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Strasbourg, 11.7.2023</w:t>
      </w:r>
      <w:r>
        <w:br/>
      </w:r>
      <w:r>
        <w:t xml:space="preserve">SWD(2023) 441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</w:p>
    <w:p>
      <w:pPr>
        <w:pStyle w:val="BodyText"/>
      </w:pPr>
      <w:r>
        <w:t xml:space="preserve">Proposal for a REGULATION OF THE EUROPEAN PARLIAMENT AND THE</w:t>
      </w:r>
      <w:r>
        <w:t xml:space="preserve"> </w:t>
      </w:r>
      <w:r>
        <w:t xml:space="preserve">COUNCIL</w:t>
      </w:r>
      <w:r>
        <w:t xml:space="preserve"> </w:t>
      </w:r>
      <w:r>
        <w:t xml:space="preserve">on the accounting of greenhouse gas emissions of transport services</w:t>
      </w:r>
      <w:r>
        <w:t xml:space="preserve"> </w:t>
      </w:r>
      <w:r>
        <w:t xml:space="preserve">{COM(2023) 441 final} - {SEC(2023) 441 final} - {SWD(2023) 440 final} -</w:t>
      </w:r>
      <w:r>
        <w:t xml:space="preserve"> </w:t>
      </w:r>
      <w:r>
        <w:t xml:space="preserve">{SWD(2023) 442 final}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INTRODUCTION: POLITICAL AND LEGAL CONTEXT ……………………………………………………………… 1</w:t>
      </w:r>
      <w:r>
        <w:t xml:space="preserve"> </w:t>
      </w:r>
      <w:r>
        <w:t xml:space="preserve">Rationale ………………………………………………………………………………………………………. 1</w:t>
      </w:r>
      <w:r>
        <w:t xml:space="preserve"> </w:t>
      </w:r>
      <w:r>
        <w:t xml:space="preserve">Political context …………………………………………………………………………………………….. 1</w:t>
      </w:r>
      <w:r>
        <w:t xml:space="preserve"> </w:t>
      </w:r>
      <w:r>
        <w:t xml:space="preserve">EU and international context …………………………………………………………………………… 2</w:t>
      </w:r>
      <w:r>
        <w:t xml:space="preserve"> </w:t>
      </w:r>
      <w:r>
        <w:t xml:space="preserve">Synergies with other EU policy instruments ……………………………………………………… 4</w:t>
      </w:r>
      <w:r>
        <w:t xml:space="preserve"> </w:t>
      </w:r>
      <w:r>
        <w:t xml:space="preserve">PROBLEM DEFINITION ……………………………………………………………………………………………………………… 7</w:t>
      </w:r>
      <w:r>
        <w:t xml:space="preserve"> </w:t>
      </w:r>
      <w:r>
        <w:t xml:space="preserve">What are the problems? ………………………………………………………………………………….. 7</w:t>
      </w:r>
      <w:r>
        <w:t xml:space="preserve"> </w:t>
      </w:r>
      <w:r>
        <w:t xml:space="preserve">What are the problem drivers? ………………………………………………………………………. 10</w:t>
      </w:r>
      <w:r>
        <w:t xml:space="preserve"> </w:t>
      </w:r>
      <w:r>
        <w:t xml:space="preserve">Interlinkages between the problem drivers ……………………………………………………… 15</w:t>
      </w:r>
      <w:r>
        <w:t xml:space="preserve"> </w:t>
      </w:r>
      <w:r>
        <w:t xml:space="preserve">Affected stakeholders …………………………………………………………………………………… 16</w:t>
      </w:r>
      <w:r>
        <w:t xml:space="preserve"> </w:t>
      </w:r>
      <w:r>
        <w:t xml:space="preserve">How likely is the problem to persist? …………………………………………………………….. 18</w:t>
      </w:r>
      <w:r>
        <w:t xml:space="preserve"> </w:t>
      </w:r>
      <w:r>
        <w:t xml:space="preserve">Foresight …………………………………………………………………………………………………….. 19</w:t>
      </w:r>
      <w:r>
        <w:t xml:space="preserve"> </w:t>
      </w:r>
      <w:r>
        <w:t xml:space="preserve">WHY SHOULD THE EU ACT? …………………………………………………………………………………………………… 20</w:t>
      </w:r>
      <w:r>
        <w:t xml:space="preserve"> </w:t>
      </w:r>
      <w:r>
        <w:t xml:space="preserve">Legal basis ………………………………………………………………………………………………….. 20</w:t>
      </w:r>
      <w:r>
        <w:t xml:space="preserve"> </w:t>
      </w:r>
      <w:r>
        <w:t xml:space="preserve">Subsidiarity: Necessity of EU action ………………………………………………………………. 20</w:t>
      </w:r>
      <w:r>
        <w:t xml:space="preserve"> </w:t>
      </w:r>
      <w:r>
        <w:t xml:space="preserve">Subsidiarity: Added value of EU action ………………………………………………………….. 20</w:t>
      </w:r>
      <w:r>
        <w:t xml:space="preserve"> </w:t>
      </w:r>
      <w:r>
        <w:t xml:space="preserve">OBJECTIVES: WHAT IS TO BE ACHIEVED? …………………………………………………………………………….. 21</w:t>
      </w:r>
      <w:r>
        <w:t xml:space="preserve"> </w:t>
      </w:r>
      <w:r>
        <w:t xml:space="preserve">General objectives ……………………………………………………………………………………….. 21</w:t>
      </w:r>
      <w:r>
        <w:t xml:space="preserve"> </w:t>
      </w:r>
      <w:r>
        <w:t xml:space="preserve">Specific objectives ……………………………………………………………………………………….. 21</w:t>
      </w:r>
      <w:r>
        <w:t xml:space="preserve"> </w:t>
      </w:r>
      <w:r>
        <w:t xml:space="preserve">WHAT ARE THE AVAILABLE POLICY OPTIONS? …………………………………………………………………… 22</w:t>
      </w:r>
      <w:r>
        <w:t xml:space="preserve"> </w:t>
      </w:r>
      <w:r>
        <w:t xml:space="preserve">What is the baseline from which options are assessed? …………………………………….. 22</w:t>
      </w:r>
      <w:r>
        <w:t xml:space="preserve"> </w:t>
      </w:r>
      <w:r>
        <w:t xml:space="preserve">Description of the policy measures and policy options ……………………………………… 24</w:t>
      </w:r>
      <w:r>
        <w:t xml:space="preserve"> </w:t>
      </w:r>
      <w:r>
        <w:t xml:space="preserve">HOW DO THE OPTIONS COMPARE? ……………………………………………………………………………………….. 44</w:t>
      </w:r>
      <w:r>
        <w:t xml:space="preserve"> </w:t>
      </w:r>
      <w:r>
        <w:t xml:space="preserve">Effectiveness ………………………………………………………………………………………………. 44</w:t>
      </w:r>
      <w:r>
        <w:t xml:space="preserve"> </w:t>
      </w:r>
      <w:r>
        <w:t xml:space="preserve">Efficiency …………………………………………………………………………………………………… 46</w:t>
      </w:r>
      <w:r>
        <w:t xml:space="preserve"> </w:t>
      </w:r>
      <w:r>
        <w:t xml:space="preserve">Coherence …………………………………………………………………………………………………… 48</w:t>
      </w:r>
      <w:r>
        <w:t xml:space="preserve"> </w:t>
      </w:r>
      <w:r>
        <w:t xml:space="preserve">Subsidiarity and proportionality …………………………………………………………………….. 49</w:t>
      </w:r>
      <w:r>
        <w:t xml:space="preserve"> </w:t>
      </w:r>
      <w:r>
        <w:t xml:space="preserve">Comparison of the options ……………………………………………………………………………. 50</w:t>
      </w:r>
      <w:r>
        <w:t xml:space="preserve"> </w:t>
      </w:r>
      <w:r>
        <w:t xml:space="preserve">Sensitivity analysis ………………………………………………………………………………………. 50</w:t>
      </w:r>
      <w:r>
        <w:t xml:space="preserve"> </w:t>
      </w:r>
      <w:r>
        <w:t xml:space="preserve">PREFERRED OPTION ……………………………………………………………………………………………………………….. 51</w:t>
      </w:r>
      <w:r>
        <w:t xml:space="preserve"> </w:t>
      </w:r>
      <w:r>
        <w:t xml:space="preserve">Identification of the preferred policy option ……………………………………………………. 51</w:t>
      </w:r>
      <w:r>
        <w:t xml:space="preserve"> </w:t>
      </w:r>
      <w:r>
        <w:t xml:space="preserve">Application of the ‘one in, one out’ approach ………………………………………………….. 52</w:t>
      </w:r>
      <w:r>
        <w:t xml:space="preserve"> </w:t>
      </w:r>
      <w:r>
        <w:t xml:space="preserve">HOW WILL ACTUAL IMPACTS BE MONITORED AND EVALUATED? ……………………………………. 53</w:t>
      </w:r>
      <w:r>
        <w:t xml:space="preserve"> </w:t>
      </w:r>
      <w:r>
        <w:t xml:space="preserve">ANNEX 1: PROCEDURAL INFORMATION ……………………………………………………………………………….. 56</w:t>
      </w:r>
      <w:r>
        <w:t xml:space="preserve"> </w:t>
      </w:r>
      <w:r>
        <w:t xml:space="preserve">ANNEX 2: STAKEHOLDER CONSULTATION (SYNOPSIS REPORT) ………………………………………… 61</w:t>
      </w:r>
      <w:r>
        <w:t xml:space="preserve"> </w:t>
      </w:r>
      <w:r>
        <w:t xml:space="preserve">ANNEX 3: WHO IS AFFECTED AND HOW? ……………………………………………………………………………… 75</w:t>
      </w:r>
      <w:r>
        <w:t xml:space="preserve"> </w:t>
      </w:r>
      <w:r>
        <w:t xml:space="preserve">ANNEX 4: ANALYTICAL METHODS ……………………………………………………………………………………….. 80</w:t>
      </w:r>
    </w:p>
    <w:p>
      <w:pPr>
        <w:pStyle w:val="BodyText"/>
      </w:pPr>
      <w:r>
        <w:t xml:space="preserve">ANNEX 5: COMPETITIVENESS CHECK ………………………………………………………………………………… 134</w:t>
      </w:r>
      <w:r>
        <w:t xml:space="preserve"> </w:t>
      </w:r>
      <w:r>
        <w:t xml:space="preserve">ANNEX 6: DISCARDED POLICY MEASURES ………………………………………………………………………… 136</w:t>
      </w:r>
      <w:r>
        <w:t xml:space="preserve"> </w:t>
      </w:r>
      <w:r>
        <w:t xml:space="preserve">ANNEX 7: RETAINED POLICY MEASURES …………………………………………………………………………… 141</w:t>
      </w:r>
      <w:r>
        <w:t xml:space="preserve"> </w:t>
      </w:r>
      <w:r>
        <w:t xml:space="preserve">ANNEX 8: ANALYSIS OF METHODOLOGICAL CHOICES FOR COUNTEMISSIONS EU ………… 150</w:t>
      </w:r>
      <w:r>
        <w:t xml:space="preserve"> </w:t>
      </w:r>
      <w:r>
        <w:t xml:space="preserve">ANNEX 9: EFFECTIVENESS OF THE DIFFERENT POLICY OPTIONS ……………………………………. 187</w:t>
      </w:r>
      <w:r>
        <w:t xml:space="preserve"> </w:t>
      </w:r>
      <w:r>
        <w:t xml:space="preserve">ANNEX 10: SME TEST …………………………………………………………………………………………………………… 194</w:t>
      </w:r>
      <w:r>
        <w:t xml:space="preserve"> </w:t>
      </w:r>
      <w:r>
        <w:t xml:space="preserve">ANNEX 11: CASE STUDIES AND USE CASES ……………………………………………………………………….. 200</w:t>
      </w:r>
    </w:p>
    <w:p>
      <w:pPr>
        <w:pStyle w:val="BodyText"/>
      </w:pP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boe</w:t>
      </w:r>
      <w:r>
        <w:t xml:space="preserve"> </w:t>
      </w:r>
      <w:r>
        <w:t xml:space="preserve">barrels of oil equivalent</w:t>
      </w:r>
      <w:r>
        <w:br/>
      </w:r>
      <w:r>
        <w:t xml:space="preserve">CEN</w:t>
      </w:r>
      <w:r>
        <w:t xml:space="preserve"> </w:t>
      </w:r>
      <w:r>
        <w:t xml:space="preserve">European Committee for Standardisation</w:t>
      </w:r>
      <w:r>
        <w:br/>
      </w:r>
      <w:r>
        <w:t xml:space="preserve">CH4</w:t>
      </w:r>
      <w:r>
        <w:t xml:space="preserve"> </w:t>
      </w:r>
      <w:r>
        <w:t xml:space="preserve">Methane</w:t>
      </w:r>
      <w:r>
        <w:t xml:space="preserve"> </w:t>
      </w:r>
      <w:r>
        <w:t xml:space="preserve">CO2</w:t>
      </w:r>
      <w:r>
        <w:t xml:space="preserve"> </w:t>
      </w:r>
      <w:r>
        <w:t xml:space="preserve">Carbondioxide</w:t>
      </w:r>
      <w:r>
        <w:t xml:space="preserve"> </w:t>
      </w:r>
      <w:r>
        <w:t xml:space="preserve">CO2-eq.</w:t>
      </w:r>
      <w:r>
        <w:t xml:space="preserve"> </w:t>
      </w:r>
      <w:r>
        <w:t xml:space="preserve">Carbondioxide equivalents</w:t>
      </w:r>
      <w:r>
        <w:t xml:space="preserve"> </w:t>
      </w:r>
      <w:r>
        <w:t xml:space="preserve">DCS</w:t>
      </w:r>
      <w:r>
        <w:t xml:space="preserve"> </w:t>
      </w:r>
      <w:r>
        <w:t xml:space="preserve">Data Collection System</w:t>
      </w:r>
      <w:r>
        <w:t xml:space="preserve"> </w:t>
      </w:r>
      <w:r>
        <w:t xml:space="preserve">EASA</w:t>
      </w:r>
      <w:r>
        <w:t xml:space="preserve"> </w:t>
      </w:r>
      <w:r>
        <w:t xml:space="preserve">European Union Aviation Safety Agency</w:t>
      </w:r>
      <w:r>
        <w:t xml:space="preserve"> </w:t>
      </w:r>
      <w:r>
        <w:t xml:space="preserve">EPA</w:t>
      </w:r>
      <w:r>
        <w:t xml:space="preserve"> </w:t>
      </w:r>
      <w:r>
        <w:t xml:space="preserve">Environmental Protection Agency (US)</w:t>
      </w:r>
      <w:r>
        <w:t xml:space="preserve"> </w:t>
      </w:r>
      <w:r>
        <w:t xml:space="preserve">GCD</w:t>
      </w:r>
      <w:r>
        <w:t xml:space="preserve"> </w:t>
      </w:r>
      <w:r>
        <w:t xml:space="preserve">Great Circle Distance</w:t>
      </w:r>
      <w:r>
        <w:t xml:space="preserve"> </w:t>
      </w:r>
      <w:r>
        <w:t xml:space="preserve">GHG</w:t>
      </w:r>
      <w:r>
        <w:t xml:space="preserve"> </w:t>
      </w:r>
      <w:r>
        <w:t xml:space="preserve">Greenhouse Gas</w:t>
      </w:r>
      <w:r>
        <w:t xml:space="preserve"> </w:t>
      </w:r>
      <w:r>
        <w:t xml:space="preserve">GLEC</w:t>
      </w:r>
      <w:r>
        <w:t xml:space="preserve"> </w:t>
      </w:r>
      <w:r>
        <w:t xml:space="preserve">Global Logistics Emissions Council</w:t>
      </w:r>
      <w:r>
        <w:t xml:space="preserve"> </w:t>
      </w:r>
      <w:r>
        <w:t xml:space="preserve">IATA</w:t>
      </w:r>
      <w:r>
        <w:t xml:space="preserve"> </w:t>
      </w:r>
      <w:r>
        <w:t xml:space="preserve">International Air Transport Association</w:t>
      </w:r>
      <w:r>
        <w:t xml:space="preserve"> </w:t>
      </w:r>
      <w:r>
        <w:t xml:space="preserve">ICAO</w:t>
      </w:r>
      <w:r>
        <w:t xml:space="preserve"> </w:t>
      </w:r>
      <w:r>
        <w:t xml:space="preserve">International Civil Aviation Association</w:t>
      </w:r>
      <w:r>
        <w:t xml:space="preserve"> </w:t>
      </w:r>
      <w:r>
        <w:t xml:space="preserve">IPCC</w:t>
      </w:r>
      <w:r>
        <w:t xml:space="preserve"> </w:t>
      </w:r>
      <w:r>
        <w:t xml:space="preserve">Intergovernmental Panel on Climate Change</w:t>
      </w:r>
      <w:r>
        <w:t xml:space="preserve"> </w:t>
      </w:r>
      <w:r>
        <w:t xml:space="preserve">ISO</w:t>
      </w:r>
      <w:r>
        <w:t xml:space="preserve"> </w:t>
      </w:r>
      <w:r>
        <w:t xml:space="preserve">International Organisation for Standardisation</w:t>
      </w:r>
      <w:r>
        <w:t xml:space="preserve"> </w:t>
      </w:r>
      <w:r>
        <w:t xml:space="preserve">kWh</w:t>
      </w:r>
      <w:r>
        <w:t xml:space="preserve"> </w:t>
      </w:r>
      <w:r>
        <w:t xml:space="preserve">Kilowatt-hour</w:t>
      </w:r>
      <w:r>
        <w:t xml:space="preserve"> </w:t>
      </w:r>
      <w:r>
        <w:t xml:space="preserve">LCA</w:t>
      </w:r>
      <w:r>
        <w:t xml:space="preserve"> </w:t>
      </w:r>
      <w:r>
        <w:t xml:space="preserve">Life cycle assessment</w:t>
      </w:r>
      <w:r>
        <w:t xml:space="preserve"> </w:t>
      </w:r>
      <w:r>
        <w:t xml:space="preserve">MJ</w:t>
      </w:r>
      <w:r>
        <w:t xml:space="preserve"> </w:t>
      </w:r>
      <w:r>
        <w:t xml:space="preserve">Mega Joule</w:t>
      </w:r>
      <w:r>
        <w:t xml:space="preserve"> </w:t>
      </w:r>
      <w:r>
        <w:t xml:space="preserve">MRV</w:t>
      </w:r>
      <w:r>
        <w:t xml:space="preserve"> </w:t>
      </w:r>
      <w:r>
        <w:t xml:space="preserve">Monitoring, Reporting and Verification</w:t>
      </w:r>
      <w:r>
        <w:t xml:space="preserve"> </w:t>
      </w:r>
      <w:r>
        <w:t xml:space="preserve">NABs</w:t>
      </w:r>
      <w:r>
        <w:t xml:space="preserve"> </w:t>
      </w:r>
      <w:r>
        <w:t xml:space="preserve">National Accreditation Bodies</w:t>
      </w:r>
    </w:p>
    <w:p>
      <w:pPr>
        <w:pStyle w:val="BodyText"/>
      </w:pPr>
      <w:r>
        <w:t xml:space="preserve">N2O</w:t>
      </w:r>
      <w:r>
        <w:t xml:space="preserve"> </w:t>
      </w:r>
      <w:r>
        <w:t xml:space="preserve">Nitrous oxide</w:t>
      </w:r>
      <w:r>
        <w:br/>
      </w:r>
      <w:r>
        <w:t xml:space="preserve">NOx</w:t>
      </w:r>
      <w:r>
        <w:t xml:space="preserve"> </w:t>
      </w:r>
      <w:r>
        <w:t xml:space="preserve">Nitrogen oxides</w:t>
      </w:r>
      <w:r>
        <w:t xml:space="preserve"> </w:t>
      </w:r>
      <w:r>
        <w:t xml:space="preserve">PEFCR</w:t>
      </w:r>
      <w:r>
        <w:t xml:space="preserve"> </w:t>
      </w:r>
      <w:r>
        <w:t xml:space="preserve">Product Environmental Footprint Category Rules</w:t>
      </w:r>
      <w:r>
        <w:t xml:space="preserve"> </w:t>
      </w:r>
      <w:r>
        <w:t xml:space="preserve">pkm</w:t>
      </w:r>
      <w:r>
        <w:t xml:space="preserve"> </w:t>
      </w:r>
      <w:r>
        <w:t xml:space="preserve">Passenger kilometre</w:t>
      </w:r>
      <w:r>
        <w:t xml:space="preserve"> </w:t>
      </w:r>
      <w:r>
        <w:t xml:space="preserve">SFD</w:t>
      </w:r>
      <w:r>
        <w:t xml:space="preserve"> </w:t>
      </w:r>
      <w:r>
        <w:t xml:space="preserve">Shortest feasible distance</w:t>
      </w:r>
      <w:r>
        <w:t xml:space="preserve"> </w:t>
      </w:r>
      <w:r>
        <w:t xml:space="preserve">SOx</w:t>
      </w:r>
      <w:r>
        <w:t xml:space="preserve"> </w:t>
      </w:r>
      <w:r>
        <w:t xml:space="preserve">Sulphur oxides</w:t>
      </w:r>
      <w:r>
        <w:t xml:space="preserve"> </w:t>
      </w:r>
      <w:r>
        <w:t xml:space="preserve">tkm</w:t>
      </w:r>
      <w:r>
        <w:t xml:space="preserve"> </w:t>
      </w:r>
      <w:r>
        <w:t xml:space="preserve">Tonne kilometre</w:t>
      </w:r>
      <w:r>
        <w:t xml:space="preserve"> </w:t>
      </w:r>
      <w:r>
        <w:t xml:space="preserve">toe</w:t>
      </w:r>
      <w:r>
        <w:t xml:space="preserve"> </w:t>
      </w:r>
      <w:r>
        <w:t xml:space="preserve">Tons of oil equivalent</w:t>
      </w:r>
      <w:r>
        <w:t xml:space="preserve"> </w:t>
      </w:r>
      <w:r>
        <w:t xml:space="preserve">TTW</w:t>
      </w:r>
      <w:r>
        <w:t xml:space="preserve"> </w:t>
      </w:r>
      <w:r>
        <w:t xml:space="preserve">Tank-to-Wheel</w:t>
      </w:r>
      <w:r>
        <w:t xml:space="preserve"> </w:t>
      </w:r>
      <w:r>
        <w:t xml:space="preserve">WTT</w:t>
      </w:r>
      <w:r>
        <w:t xml:space="preserve"> </w:t>
      </w:r>
      <w:r>
        <w:t xml:space="preserve">Well-to-Tank</w:t>
      </w:r>
      <w:r>
        <w:t xml:space="preserve"> </w:t>
      </w:r>
      <w:r>
        <w:t xml:space="preserve">WTW</w:t>
      </w:r>
      <w:r>
        <w:t xml:space="preserve"> </w:t>
      </w:r>
      <w:r>
        <w:t xml:space="preserve">Well-to-Wheel</w:t>
      </w:r>
    </w:p>
    <w:p>
      <w:pPr>
        <w:pStyle w:val="BodyText"/>
      </w:pPr>
      <w:r>
        <w:t xml:space="preserve">1</w:t>
      </w:r>
    </w:p>
    <w:p>
      <w:pPr>
        <w:pStyle w:val="Compact"/>
        <w:numPr>
          <w:ilvl w:val="0"/>
          <w:numId w:val="1001"/>
        </w:numPr>
      </w:pPr>
      <w:r>
        <w:t xml:space="preserve">INTRODUCTION: POLITICAL AND LEGAL CONTEXT</w:t>
      </w:r>
      <w:r>
        <w:t xml:space="preserve"> </w:t>
      </w:r>
      <w:r>
        <w:t xml:space="preserve">1.1. Rationale</w:t>
      </w:r>
      <w:r>
        <w:t xml:space="preserve"> </w:t>
      </w:r>
      <w:r>
        <w:t xml:space="preserve">This Impact Assessment accompanies a new legislative proposal on the accounting of</w:t>
      </w:r>
      <w:r>
        <w:t xml:space="preserve"> </w:t>
      </w:r>
      <w:r>
        <w:t xml:space="preserve">greenhouse gas (GHG) emissions of transport services1, hereafter “CountEmissions EU”.</w:t>
      </w:r>
      <w:r>
        <w:br/>
      </w:r>
      <w:r>
        <w:t xml:space="preserve">Emissions accounting is a measure used in various economic sectors – including transport – to</w:t>
      </w:r>
      <w:r>
        <w:t xml:space="preserve"> </w:t>
      </w:r>
      <w:r>
        <w:t xml:space="preserve">generate emissions data from specific activities of businesses and individuals. Transparent</w:t>
      </w:r>
      <w:r>
        <w:t xml:space="preserve"> </w:t>
      </w:r>
      <w:r>
        <w:t xml:space="preserve">information on emissions empowers customers2 for more efficient choices and influences</w:t>
      </w:r>
      <w:r>
        <w:t xml:space="preserve"> </w:t>
      </w:r>
      <w:r>
        <w:t xml:space="preserve">business decisions of entities organising and offering different type of transport services3 on the</w:t>
      </w:r>
      <w:r>
        <w:t xml:space="preserve"> </w:t>
      </w:r>
      <w:r>
        <w:t xml:space="preserve">market. These data may therefore be considered an underlying requirement for stimulating</w:t>
      </w:r>
      <w:r>
        <w:t xml:space="preserve"> </w:t>
      </w:r>
      <w:r>
        <w:t xml:space="preserve">sustainability, innovation and behavioural change towards low and zero emission transport.</w:t>
      </w:r>
      <w:r>
        <w:t xml:space="preserve"> </w:t>
      </w:r>
      <w:r>
        <w:t xml:space="preserve">Benefits and value added of emissions accounting are evidenced by the outcomes of existing</w:t>
      </w:r>
      <w:r>
        <w:t xml:space="preserve"> </w:t>
      </w:r>
      <w:r>
        <w:t xml:space="preserve">emissions monitoring and reporting schemes in the EU and beyond4.</w:t>
      </w:r>
      <w:r>
        <w:br/>
      </w:r>
      <w:r>
        <w:t xml:space="preserve">Unlocking the potential of emissions accounting requires however that the underlying</w:t>
      </w:r>
      <w:r>
        <w:t xml:space="preserve"> </w:t>
      </w:r>
      <w:r>
        <w:t xml:space="preserve">calculations are comparable and accurate, addressing the characteristics and granularity of a</w:t>
      </w:r>
      <w:r>
        <w:t xml:space="preserve"> </w:t>
      </w:r>
      <w:r>
        <w:t xml:space="preserve">transport service. Therefore, emissions should be quantified based on a scientifically sound,</w:t>
      </w:r>
      <w:r>
        <w:t xml:space="preserve"> </w:t>
      </w:r>
      <w:r>
        <w:t xml:space="preserve">detailed and harmonised methodological approach. Currently, no such harmonised approach</w:t>
      </w:r>
      <w:r>
        <w:t xml:space="preserve"> </w:t>
      </w:r>
      <w:r>
        <w:t xml:space="preserve">exists. Instead, various standards, methodologies and calculation tools entailing different</w:t>
      </w:r>
      <w:r>
        <w:t xml:space="preserve"> </w:t>
      </w:r>
      <w:r>
        <w:t xml:space="preserve">approaches and diverging input data5 are used throughout the market. This situation results in</w:t>
      </w:r>
      <w:r>
        <w:t xml:space="preserve"> </w:t>
      </w:r>
      <w:r>
        <w:t xml:space="preserve">the provision of fragmented and incomparable emissions data that creates confusion among</w:t>
      </w:r>
      <w:r>
        <w:t xml:space="preserve"> </w:t>
      </w:r>
      <w:r>
        <w:t xml:space="preserve">businesses and citizens and hampers informed transport choices and business decisions.</w:t>
      </w:r>
      <w:r>
        <w:t xml:space="preserve"> </w:t>
      </w:r>
      <w:r>
        <w:t xml:space="preserve">CountEmissions EU aims to provide a single set of rules for the quantification of GHG</w:t>
      </w:r>
      <w:r>
        <w:t xml:space="preserve"> </w:t>
      </w:r>
      <w:r>
        <w:t xml:space="preserve">emissions and the harmonisation of the underlying data formats, thus enabling to generate and</w:t>
      </w:r>
      <w:r>
        <w:t xml:space="preserve"> </w:t>
      </w:r>
      <w:r>
        <w:t xml:space="preserve">share reliable and comparable information on the environmental performance of a given service</w:t>
      </w:r>
      <w:r>
        <w:t xml:space="preserve"> </w:t>
      </w:r>
      <w:r>
        <w:t xml:space="preserve">for all transport modes, segments and countries, across the EU.</w:t>
      </w:r>
      <w:r>
        <w:t xml:space="preserve"> </w:t>
      </w:r>
      <w:r>
        <w:t xml:space="preserve">1.2. Political context</w:t>
      </w:r>
      <w:r>
        <w:t xml:space="preserve"> </w:t>
      </w:r>
      <w:r>
        <w:t xml:space="preserve">Transport6 accounted for 26% of all EU GHG emissions in 2020, with road transport alone</w:t>
      </w:r>
      <w:r>
        <w:t xml:space="preserve"> </w:t>
      </w:r>
      <w:r>
        <w:t xml:space="preserve">representing around 20% of the total7. The initiative has therefore to be seen in the context of the</w:t>
      </w:r>
      <w:r>
        <w:t xml:space="preserve"> </w:t>
      </w:r>
      <w:r>
        <w:t xml:space="preserve">European Green Deal (EGD)8, and the European Climate Law9 which set out the steps</w:t>
      </w:r>
      <w:r>
        <w:t xml:space="preserve"> </w:t>
      </w:r>
      <w:r>
        <w:t xml:space="preserve">towards climate-neutrality by 2050. The Sustainable and Smart Mobility Strategy (SSMS)10,</w:t>
      </w:r>
      <w:r>
        <w:t xml:space="preserve"> </w:t>
      </w:r>
      <w:r>
        <w:t xml:space="preserve">published on 9 December 2020 lays the foundation on how the EU transport system can achieve</w:t>
      </w:r>
    </w:p>
    <w:p>
      <w:pPr>
        <w:pStyle w:val="FirstParagraph"/>
      </w:pPr>
      <w:r>
        <w:t xml:space="preserve">1 I.e. transporting freight or a passenger from an origin to a destination; a transport service can imply one or multiple</w:t>
      </w:r>
      <w:r>
        <w:t xml:space="preserve"> </w:t>
      </w:r>
      <w:r>
        <w:t xml:space="preserve">transport chain elements requiring both transport operation(s) and/or hub operation(s).</w:t>
      </w:r>
      <w:r>
        <w:t xml:space="preserve"> </w:t>
      </w:r>
      <w:r>
        <w:t xml:space="preserve">2 Transport service users, see more in Annex 3</w:t>
      </w:r>
      <w:r>
        <w:br/>
      </w:r>
      <w:r>
        <w:t xml:space="preserve">3 Transport service organisers and hub operators; see more in Annex 3</w:t>
      </w:r>
      <w:r>
        <w:t xml:space="preserve"> </w:t>
      </w:r>
      <w:r>
        <w:t xml:space="preserve">4 In the freight sector for instance, the EU-based Lean and Green, the UK Logistics Emissions Reduction Scheme</w:t>
      </w:r>
      <w:r>
        <w:t xml:space="preserve"> </w:t>
      </w:r>
      <w:r>
        <w:t xml:space="preserve">(LERS), and the US SmartWay programme.</w:t>
      </w:r>
      <w:r>
        <w:t xml:space="preserve"> </w:t>
      </w:r>
      <w:r>
        <w:t xml:space="preserve">5 Especially default values; see more in section 2.2</w:t>
      </w:r>
      <w:r>
        <w:t xml:space="preserve"> </w:t>
      </w:r>
      <w:r>
        <w:t xml:space="preserve">6 Including international aviation and maritime.</w:t>
      </w:r>
      <w:r>
        <w:br/>
      </w:r>
      <w:r>
        <w:t xml:space="preserve">7 Statistical pocketbook 2022 (europa.eu)</w:t>
      </w:r>
      <w:r>
        <w:t xml:space="preserve"> </w:t>
      </w:r>
      <w:r>
        <w:t xml:space="preserve">8 COM(2019) 640 final</w:t>
      </w:r>
      <w:r>
        <w:t xml:space="preserve"> </w:t>
      </w:r>
      <w:r>
        <w:t xml:space="preserve">9 Regulation (EU) 2021/1119</w:t>
      </w:r>
      <w:r>
        <w:t xml:space="preserve"> </w:t>
      </w:r>
      <w:r>
        <w:t xml:space="preserve">10 COM(2020) 789 final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this systemic change, including a 90% cut in transport GHG emissions by 2050, to be delivered</w:t>
      </w:r>
      <w:r>
        <w:t xml:space="preserve"> </w:t>
      </w:r>
      <w:r>
        <w:t xml:space="preserve">by a smart, competitive, safe, accessible and affordable transport system. Apart from targeted</w:t>
      </w:r>
      <w:r>
        <w:t xml:space="preserve"> </w:t>
      </w:r>
      <w:r>
        <w:t xml:space="preserve">actions to make individual transport modes more sustainable, the Strategy also refers to</w:t>
      </w:r>
      <w:r>
        <w:t xml:space="preserve"> </w:t>
      </w:r>
      <w:r>
        <w:t xml:space="preserve">incentives for choosing the most sustainable transport options, within and across the modes. The</w:t>
      </w:r>
      <w:r>
        <w:t xml:space="preserve"> </w:t>
      </w:r>
      <w:r>
        <w:t xml:space="preserve">incentives may be of both economic and non-economic nature, including the provision of better</w:t>
      </w:r>
      <w:r>
        <w:t xml:space="preserve"> </w:t>
      </w:r>
      <w:r>
        <w:t xml:space="preserve">information for users and increased transparency of the GHG performance of transport services.</w:t>
      </w:r>
      <w:r>
        <w:t xml:space="preserve"> </w:t>
      </w:r>
      <w:r>
        <w:t xml:space="preserve">This is why the Strategy announced plans11 to “establish a European framework for the</w:t>
      </w:r>
      <w:r>
        <w:t xml:space="preserve"> </w:t>
      </w:r>
      <w:r>
        <w:t xml:space="preserve">harmonised measurement of transport and logistics greenhouse gas emissions, based on global</w:t>
      </w:r>
      <w:r>
        <w:t xml:space="preserve"> </w:t>
      </w:r>
      <w:r>
        <w:t xml:space="preserve">standards, which could then be used to provide businesses and end-users with an estimate of the</w:t>
      </w:r>
      <w:r>
        <w:t xml:space="preserve"> </w:t>
      </w:r>
      <w:r>
        <w:t xml:space="preserve">carbon footprint of their choices, and increase the demand from end-users and consumers for</w:t>
      </w:r>
      <w:r>
        <w:t xml:space="preserve"> </w:t>
      </w:r>
      <w:r>
        <w:t xml:space="preserve">opting for more sustainable transport and mobility solutions, while avoiding greenwashing”12.</w:t>
      </w:r>
      <w:r>
        <w:t xml:space="preserve"> </w:t>
      </w:r>
      <w:r>
        <w:t xml:space="preserve">CountEmissions EU therefore represents a relevant policy response. In this context, it forms part</w:t>
      </w:r>
      <w:r>
        <w:t xml:space="preserve"> </w:t>
      </w:r>
      <w:r>
        <w:t xml:space="preserve">of the ‘Greening Freight package’, a set of initiatives catering for more sustainable solutions</w:t>
      </w:r>
      <w:r>
        <w:t xml:space="preserve"> </w:t>
      </w:r>
      <w:r>
        <w:t xml:space="preserve">to improve the operational and system efficiency of the transport sector.</w:t>
      </w:r>
      <w:r>
        <w:t xml:space="preserve"> </w:t>
      </w:r>
      <w:r>
        <w:t xml:space="preserve">Through its emissions reduction potential, CountEmissions EU will contribute towards the</w:t>
      </w:r>
      <w:r>
        <w:t xml:space="preserve"> </w:t>
      </w:r>
      <w:r>
        <w:t xml:space="preserve">United Nations Sustainable Development Goal (SDG) 13 “Take urgent action to combat climate</w:t>
      </w:r>
      <w:r>
        <w:t xml:space="preserve"> </w:t>
      </w:r>
      <w:r>
        <w:t xml:space="preserve">change and its impacts”. In addition, it will indirectly support SDG 7 “Ensure access to</w:t>
      </w:r>
      <w:r>
        <w:t xml:space="preserve"> </w:t>
      </w:r>
      <w:r>
        <w:t xml:space="preserve">affordable, reliable, sustainable and modern energy for all” and SDG 12 “Ensure sustainable</w:t>
      </w:r>
      <w:r>
        <w:t xml:space="preserve"> </w:t>
      </w:r>
      <w:r>
        <w:t xml:space="preserve">consumption and production patterns”.</w:t>
      </w:r>
      <w:r>
        <w:t xml:space="preserve"> </w:t>
      </w:r>
      <w:r>
        <w:t xml:space="preserve">1.3. EU and international context</w:t>
      </w:r>
      <w:r>
        <w:t xml:space="preserve"> </w:t>
      </w:r>
      <w:r>
        <w:t xml:space="preserve">Several standards and methodologies13 (both referred also as ‘methods’) are currently available</w:t>
      </w:r>
      <w:r>
        <w:t xml:space="preserve"> </w:t>
      </w:r>
      <w:r>
        <w:t xml:space="preserve">for the EU transport stakeholders to account GHG emissions from various transport activities.</w:t>
      </w:r>
      <w:r>
        <w:t xml:space="preserve"> </w:t>
      </w:r>
      <w:r>
        <w:t xml:space="preserve">These have been developed by standardisation bodies, public authorities or private organisations.</w:t>
      </w:r>
      <w:r>
        <w:t xml:space="preserve"> </w:t>
      </w:r>
      <w:r>
        <w:t xml:space="preserve">At international level, the GHG Protocol Corporate Accounting and Reporting Standard14</w:t>
      </w:r>
      <w:r>
        <w:t xml:space="preserve"> </w:t>
      </w:r>
      <w:r>
        <w:t xml:space="preserve">of 2001, was a pioneering initiative establishing a global standardised framework to measure and</w:t>
      </w:r>
      <w:r>
        <w:t xml:space="preserve"> </w:t>
      </w:r>
      <w:r>
        <w:t xml:space="preserve">manage GHG emissions of private and public sector organisations. The GHG Protocol enables</w:t>
      </w:r>
      <w:r>
        <w:t xml:space="preserve"> </w:t>
      </w:r>
      <w:r>
        <w:t xml:space="preserve">to account for indirect emissions from value chain activities as it is complemented by the</w:t>
      </w:r>
      <w:r>
        <w:t xml:space="preserve"> </w:t>
      </w:r>
      <w:r>
        <w:t xml:space="preserve">Corporate Value Chain (Scope 3) Accounting and Reporting Standard and can therefore be used</w:t>
      </w:r>
      <w:r>
        <w:t xml:space="preserve"> </w:t>
      </w:r>
      <w:r>
        <w:t xml:space="preserve">also for the quantification of emissions from transport and logistics15.</w:t>
      </w:r>
    </w:p>
    <w:p>
      <w:pPr>
        <w:pStyle w:val="BodyText"/>
      </w:pPr>
      <w:r>
        <w:t xml:space="preserve">11 Action 33 of the Action Plan accompanying the SSMS</w:t>
      </w:r>
      <w:r>
        <w:t xml:space="preserve"> </w:t>
      </w:r>
      <w:r>
        <w:t xml:space="preserve">12 Greenwashing is the practice of companies to give a false impression of their environmental impacts or benefits.</w:t>
      </w:r>
      <w:r>
        <w:t xml:space="preserve"> </w:t>
      </w:r>
      <w:r>
        <w:t xml:space="preserve">13 There may be different meaning of a standard and a methodology. An emissions accounting standard can be</w:t>
      </w:r>
      <w:r>
        <w:t xml:space="preserve"> </w:t>
      </w:r>
      <w:r>
        <w:t xml:space="preserve">commonly defined as the technical calculation and/or allocation rules used as a norm, or model in comparative</w:t>
      </w:r>
      <w:r>
        <w:t xml:space="preserve"> </w:t>
      </w:r>
      <w:r>
        <w:t xml:space="preserve">evaluations. A methodology can be based on a standard, and in most cases it forms part of a broader policy or</w:t>
      </w:r>
      <w:r>
        <w:t xml:space="preserve"> </w:t>
      </w:r>
      <w:r>
        <w:t xml:space="preserve">incentive programme. Source: Ecorys and CE Delft (2023), Impact assessment support study</w:t>
      </w:r>
      <w:r>
        <w:t xml:space="preserve"> </w:t>
      </w:r>
      <w:r>
        <w:t xml:space="preserve">14 https://ghgprotocol.org/</w:t>
      </w:r>
      <w:r>
        <w:br/>
      </w:r>
      <w:r>
        <w:t xml:space="preserve">15 The Corporate Value Chain (Scope 3) Accounting and Reporting Standard is a supplement to GHG Protocol</w:t>
      </w:r>
      <w:r>
        <w:t xml:space="preserve"> </w:t>
      </w:r>
      <w:r>
        <w:t xml:space="preserve">Corporate Accounting and Reporting Standard allowing all types of organisations to assess their entire value chain</w:t>
      </w:r>
      <w:r>
        <w:t xml:space="preserve"> </w:t>
      </w:r>
      <w:r>
        <w:t xml:space="preserve">emissions impact, and identify where to focus reduction activities. Whereas Scope 1 and 2 refer to direct and indirect</w:t>
      </w:r>
      <w:r>
        <w:t xml:space="preserve"> </w:t>
      </w:r>
      <w:r>
        <w:t xml:space="preserve">emissions from activities of an organisation, Scope 3 reflects emissions generated outside of the owned or controlled</w:t>
      </w:r>
      <w:r>
        <w:t xml:space="preserve"> </w:t>
      </w:r>
      <w:r>
        <w:t xml:space="preserve">sources of this organisation, including from transport activities. Importantly, Scope 3 emissions for one organisation</w:t>
      </w:r>
      <w:r>
        <w:t xml:space="preserve"> </w:t>
      </w:r>
      <w:r>
        <w:t xml:space="preserve">may represent Scope 1 for another one (such as a transport service provider). See more under Corporate-Value-</w:t>
      </w:r>
      <w:r>
        <w:t xml:space="preserve"> </w:t>
      </w:r>
      <w:r>
        <w:t xml:space="preserve">Chain-Accounting-Reporing-Standard_041613_2.pdf (ghgprotocol.org)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The first transport-service specific standard was introduced in 2012 by the European Committee</w:t>
      </w:r>
      <w:r>
        <w:t xml:space="preserve"> </w:t>
      </w:r>
      <w:r>
        <w:t xml:space="preserve">for Standardisation (CEN)16. CEN EN 16258 sets out a common methodology for the calculation</w:t>
      </w:r>
      <w:r>
        <w:t xml:space="preserve"> </w:t>
      </w:r>
      <w:r>
        <w:t xml:space="preserve">and declaration of energy consumption and GHG emissions related to any transport service17.</w:t>
      </w:r>
      <w:r>
        <w:br/>
      </w:r>
      <w:r>
        <w:t xml:space="preserve">At national level, the French Transport Code18 requires that all entities offering transport</w:t>
      </w:r>
      <w:r>
        <w:t xml:space="preserve"> </w:t>
      </w:r>
      <w:r>
        <w:t xml:space="preserve">services on the market (freight and passenger, including all modes) calculate GHG emissions for</w:t>
      </w:r>
      <w:r>
        <w:t xml:space="preserve"> </w:t>
      </w:r>
      <w:r>
        <w:t xml:space="preserve">each service departing from and/or ending in France, based on a specific methodology19. The</w:t>
      </w:r>
      <w:r>
        <w:t xml:space="preserve"> </w:t>
      </w:r>
      <w:r>
        <w:t xml:space="preserve">French Transport Code also provides that the information on emissions should be reported to</w:t>
      </w:r>
      <w:r>
        <w:t xml:space="preserve"> </w:t>
      </w:r>
      <w:r>
        <w:t xml:space="preserve">relevant parties20, which is the only mandatory requirement of this type in the EU.</w:t>
      </w:r>
      <w:r>
        <w:t xml:space="preserve"> </w:t>
      </w:r>
      <w:r>
        <w:t xml:space="preserve">Specific methodologies for GHG emissions accounting exist also in the different segments of</w:t>
      </w:r>
      <w:r>
        <w:t xml:space="preserve"> </w:t>
      </w:r>
      <w:r>
        <w:t xml:space="preserve">the transport sector, especially in freight. In many cases, they form part of broader green transport</w:t>
      </w:r>
      <w:r>
        <w:t xml:space="preserve"> </w:t>
      </w:r>
      <w:r>
        <w:t xml:space="preserve">programs or other initiatives promoting efficient and low carbon transport activities. These</w:t>
      </w:r>
      <w:r>
        <w:t xml:space="preserve"> </w:t>
      </w:r>
      <w:r>
        <w:t xml:space="preserve">include for instance the industry-led Global Logistics Emissions Council (GLEC)</w:t>
      </w:r>
      <w:r>
        <w:t xml:space="preserve"> </w:t>
      </w:r>
      <w:r>
        <w:t xml:space="preserve">framework21, the public-private US SmartWay program, and the Topsector Logistics22</w:t>
      </w:r>
      <w:r>
        <w:t xml:space="preserve"> </w:t>
      </w:r>
      <w:r>
        <w:t xml:space="preserve">collaboration program between the Dutch government and businesses.</w:t>
      </w:r>
      <w:r>
        <w:br/>
      </w:r>
      <w:r>
        <w:t xml:space="preserve">Furthermore, there are numerous mode specific emission accounting methods and requirements,</w:t>
      </w:r>
      <w:r>
        <w:t xml:space="preserve"> </w:t>
      </w:r>
      <w:r>
        <w:t xml:space="preserve">which are either developed by the industries themselves, or launched by public authorities as</w:t>
      </w:r>
      <w:r>
        <w:t xml:space="preserve"> </w:t>
      </w:r>
      <w:r>
        <w:t xml:space="preserve">parts of specific legislative frameworks. In maritime, for instance, there exists the Clean Cargo</w:t>
      </w:r>
      <w:r>
        <w:t xml:space="preserve"> </w:t>
      </w:r>
      <w:r>
        <w:t xml:space="preserve">Working Group23, a business-to-business initiative for containerised sea transport. Also, the</w:t>
      </w:r>
      <w:r>
        <w:t xml:space="preserve"> </w:t>
      </w:r>
      <w:r>
        <w:t xml:space="preserve">International Maritime Organisation (IMO)24 adopted a mandatory Fuel Oil Data Collection</w:t>
      </w:r>
      <w:r>
        <w:t xml:space="preserve"> </w:t>
      </w:r>
      <w:r>
        <w:t xml:space="preserve">System (DCS) for international shipping, requiring vessels to collect and report relevant data</w:t>
      </w:r>
      <w:r>
        <w:t xml:space="preserve"> </w:t>
      </w:r>
      <w:r>
        <w:t xml:space="preserve">into a common database25. Concerning aviation, the Carbon Offsetting and Reduction Scheme</w:t>
      </w:r>
      <w:r>
        <w:t xml:space="preserve"> </w:t>
      </w:r>
      <w:r>
        <w:t xml:space="preserve">for International Aviation (CORSIA)26 developed by the International Civil Aviation</w:t>
      </w:r>
      <w:r>
        <w:t xml:space="preserve"> </w:t>
      </w:r>
      <w:r>
        <w:t xml:space="preserve">Organisation (ICAO)27 provides a method to calculate CO228 emissions at the flight level. ICAO</w:t>
      </w:r>
      <w:r>
        <w:t xml:space="preserve"> </w:t>
      </w:r>
      <w:r>
        <w:t xml:space="preserve">and the International Air Transport Association (IATA)29 have also established standards for the</w:t>
      </w:r>
    </w:p>
    <w:p>
      <w:pPr>
        <w:pStyle w:val="BodyText"/>
      </w:pPr>
      <w:r>
        <w:t xml:space="preserve">16 https://www.cencenelec.eu/</w:t>
      </w:r>
      <w:r>
        <w:br/>
      </w:r>
      <w:r>
        <w:t xml:space="preserve">17 Despite its important contribution towards harmonising emissions accounting processes, EN 16258 is still</w:t>
      </w:r>
      <w:r>
        <w:t xml:space="preserve"> </w:t>
      </w:r>
      <w:r>
        <w:t xml:space="preserve">considered not precise enough to deliver fully comparable and consistent emissions data for services performed</w:t>
      </w:r>
      <w:r>
        <w:t xml:space="preserve"> </w:t>
      </w:r>
      <w:r>
        <w:t xml:space="preserve">across various transport segments. It is also a purely European standard that creates limitations for stakeholders</w:t>
      </w:r>
      <w:r>
        <w:t xml:space="preserve"> </w:t>
      </w:r>
      <w:r>
        <w:t xml:space="preserve">operating globally. Until March 2023, when ISO 14083 was published, EN 16258 was the only transport specific</w:t>
      </w:r>
      <w:r>
        <w:t xml:space="preserve"> </w:t>
      </w:r>
      <w:r>
        <w:t xml:space="preserve">and multi-modal (i.e. covering road, rail, IWT, maritime transport and aviation) standard available. Source: Ecorys</w:t>
      </w:r>
      <w:r>
        <w:t xml:space="preserve"> </w:t>
      </w:r>
      <w:r>
        <w:t xml:space="preserve">and CE Delft (2023), Impact assessment support study</w:t>
      </w:r>
      <w:r>
        <w:t xml:space="preserve"> </w:t>
      </w:r>
      <w:r>
        <w:t xml:space="preserve">18 Article L. 1431-3</w:t>
      </w:r>
      <w:r>
        <w:t xml:space="preserve"> </w:t>
      </w:r>
      <w:r>
        <w:t xml:space="preserve">19 Established on the basis of CEN standard EN 16258</w:t>
      </w:r>
      <w:r>
        <w:t xml:space="preserve"> </w:t>
      </w:r>
      <w:r>
        <w:t xml:space="preserve">20Such as a person purchasing tickets for the transport of passengers, or a transport service user for the shipment of</w:t>
      </w:r>
      <w:r>
        <w:t xml:space="preserve"> </w:t>
      </w:r>
      <w:r>
        <w:t xml:space="preserve">goods</w:t>
      </w:r>
      <w:r>
        <w:t xml:space="preserve"> </w:t>
      </w:r>
      <w:r>
        <w:t xml:space="preserve">21 https://www.smartfreightcentre.org/en/how-to-implement-items/what-is-glec-framework/58/</w:t>
      </w:r>
      <w:r>
        <w:br/>
      </w:r>
      <w:r>
        <w:t xml:space="preserve">22 https://topsectorlogistiek.nl/</w:t>
      </w:r>
      <w:r>
        <w:br/>
      </w:r>
      <w:r>
        <w:t xml:space="preserve">23 https://www.bsr.org/en/blog/clean-cargo-working-group-transparency-and-transformation-in-ocean-transpor</w:t>
      </w:r>
      <w:r>
        <w:br/>
      </w:r>
      <w:r>
        <w:t xml:space="preserve">24 All EU Member States are IMO members</w:t>
      </w:r>
      <w:r>
        <w:t xml:space="preserve"> </w:t>
      </w:r>
      <w:r>
        <w:t xml:space="preserve">25 https://www.imo.org/en/ourwork/environment/pages/data-collection-system.aspx.</w:t>
      </w:r>
      <w:r>
        <w:br/>
      </w:r>
      <w:r>
        <w:t xml:space="preserve">26 Carbon Offsetting and Reduction Scheme for International Aviation (CORSIA) (icao.int)</w:t>
      </w:r>
      <w:r>
        <w:t xml:space="preserve"> </w:t>
      </w:r>
      <w:r>
        <w:t xml:space="preserve">27 All EU Member States are ICAO members</w:t>
      </w:r>
      <w:r>
        <w:t xml:space="preserve"> </w:t>
      </w:r>
      <w:r>
        <w:t xml:space="preserve">28 For alternative fuels, the relative reduction should be based on CO2, CORSIA methodology calculates carbon</w:t>
      </w:r>
      <w:r>
        <w:t xml:space="preserve"> </w:t>
      </w:r>
      <w:r>
        <w:t xml:space="preserve">dioxide equivalent (CO2e) emissions: of CO2, CH4 and N2O</w:t>
      </w:r>
      <w:r>
        <w:br/>
      </w:r>
      <w:r>
        <w:t xml:space="preserve">29 https://www.iata.org/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aviation sector that prescribe in more detail how emissions need to be reported per passenger and</w:t>
      </w:r>
      <w:r>
        <w:t xml:space="preserve"> </w:t>
      </w:r>
      <w:r>
        <w:t xml:space="preserve">per tonne of freight30.</w:t>
      </w:r>
      <w:r>
        <w:br/>
      </w:r>
      <w:r>
        <w:t xml:space="preserve">Given this fragmented methodological landscape, there have been various efforts by both the</w:t>
      </w:r>
      <w:r>
        <w:t xml:space="preserve"> </w:t>
      </w:r>
      <w:r>
        <w:t xml:space="preserve">European Commission and industry towards a harmonised methodological framework. Between</w:t>
      </w:r>
      <w:r>
        <w:t xml:space="preserve"> </w:t>
      </w:r>
      <w:r>
        <w:t xml:space="preserve">2011 and 2019, two consecutive EU-funded projects, the FP7 - Carbon Footprint of Freight</w:t>
      </w:r>
      <w:r>
        <w:t xml:space="preserve"> </w:t>
      </w:r>
      <w:r>
        <w:t xml:space="preserve">Transport (COFRET)31 and H2020 – Logistics Emissions Accounting &amp; Reduction Network</w:t>
      </w:r>
      <w:r>
        <w:t xml:space="preserve"> </w:t>
      </w:r>
      <w:r>
        <w:t xml:space="preserve">(LEARN)32, addressed the calculation, reporting and verification of GHG emissions from</w:t>
      </w:r>
      <w:r>
        <w:t xml:space="preserve"> </w:t>
      </w:r>
      <w:r>
        <w:t xml:space="preserve">transport services, with the aim to develop a global method. These efforts led to the development</w:t>
      </w:r>
      <w:r>
        <w:t xml:space="preserve"> </w:t>
      </w:r>
      <w:r>
        <w:t xml:space="preserve">of the GLEC framework (mentioned above) and initiated a coordinated action towards</w:t>
      </w:r>
      <w:r>
        <w:t xml:space="preserve"> </w:t>
      </w:r>
      <w:r>
        <w:t xml:space="preserve">establishing a comprehensive and tailor-made standard at the level of International Organization</w:t>
      </w:r>
      <w:r>
        <w:t xml:space="preserve"> </w:t>
      </w:r>
      <w:r>
        <w:t xml:space="preserve">for Standardization (ISO)33. This new standard, referred to as ISO 1408334 was published in</w:t>
      </w:r>
      <w:r>
        <w:t xml:space="preserve"> </w:t>
      </w:r>
      <w:r>
        <w:t xml:space="preserve">March 2023 and adopted by CEN in April as EN ISO 14083:202335. It builds inter alia on the</w:t>
      </w:r>
      <w:r>
        <w:t xml:space="preserve"> </w:t>
      </w:r>
      <w:r>
        <w:t xml:space="preserve">CEN EN 1625836 and GHG Protocol.</w:t>
      </w:r>
      <w:r>
        <w:br/>
      </w:r>
      <w:r>
        <w:t xml:space="preserve">1.4. Synergies with other EU policy instruments</w:t>
      </w:r>
      <w:r>
        <w:t xml:space="preserve"> </w:t>
      </w:r>
      <w:r>
        <w:t xml:space="preserve">As a cross-modal, horizontal initiative, CountEmissions EU accounts for synergies and</w:t>
      </w:r>
      <w:r>
        <w:t xml:space="preserve"> </w:t>
      </w:r>
      <w:r>
        <w:t xml:space="preserve">complementarities with other regulatory EU actions regarding emissions reduction frameworks,</w:t>
      </w:r>
      <w:r>
        <w:t xml:space="preserve"> </w:t>
      </w:r>
      <w:r>
        <w:t xml:space="preserve">fuel and emissions standards, enhanced transparency for users and stronger consumer rights.</w:t>
      </w:r>
      <w:r>
        <w:t xml:space="preserve"> </w:t>
      </w:r>
      <w:r>
        <w:t xml:space="preserve">These relationships concern in principle the use of input data and emissions accounting methods,</w:t>
      </w:r>
      <w:r>
        <w:t xml:space="preserve"> </w:t>
      </w:r>
      <w:r>
        <w:t xml:space="preserve">as well as the requirements related to the unambiguous communication on GHG emissions of</w:t>
      </w:r>
      <w:r>
        <w:t xml:space="preserve"> </w:t>
      </w:r>
      <w:r>
        <w:t xml:space="preserve">transport services.</w:t>
      </w:r>
      <w:r>
        <w:t xml:space="preserve"> </w:t>
      </w:r>
      <w:r>
        <w:t xml:space="preserve">In this regard, there are important interlinkages with regulatory actions regarding the collection</w:t>
      </w:r>
      <w:r>
        <w:t xml:space="preserve"> </w:t>
      </w:r>
      <w:r>
        <w:t xml:space="preserve">of information on emissions and environmental reporting. Under the EU MRV framework37</w:t>
      </w:r>
      <w:r>
        <w:t xml:space="preserve"> </w:t>
      </w:r>
      <w:r>
        <w:t xml:space="preserve">maritime vessels above 5,000 GT sailing to and from EU ports have to monitor, verify and report</w:t>
      </w:r>
      <w:r>
        <w:t xml:space="preserve"> </w:t>
      </w:r>
      <w:r>
        <w:t xml:space="preserve">annually their CO2 emissions based on the fuel burned during the performance of their</w:t>
      </w:r>
      <w:r>
        <w:t xml:space="preserve"> </w:t>
      </w:r>
      <w:r>
        <w:t xml:space="preserve">activities38. In aviation, the Emissions Trading System of the European Union (EU ETS)39</w:t>
      </w:r>
      <w:r>
        <w:t xml:space="preserve"> </w:t>
      </w:r>
      <w:r>
        <w:t xml:space="preserve">requires airlines to calculate CO2 emissions per flight in a comparable way as established by</w:t>
      </w:r>
      <w:r>
        <w:t xml:space="preserve"> </w:t>
      </w:r>
      <w:r>
        <w:t xml:space="preserve">CORSIA, and to submit an emissions report for each year. While EU MRV and EU ETS serve</w:t>
      </w:r>
      <w:r>
        <w:t xml:space="preserve"> </w:t>
      </w:r>
      <w:r>
        <w:t xml:space="preserve">different objectives and do not lead to accounting emissions of specific services40, they may be</w:t>
      </w:r>
    </w:p>
    <w:p>
      <w:pPr>
        <w:pStyle w:val="BodyText"/>
      </w:pPr>
      <w:r>
        <w:t xml:space="preserve">30 https://www.iata.org/en/programs/environment/</w:t>
      </w:r>
      <w:r>
        <w:br/>
      </w:r>
      <w:r>
        <w:t xml:space="preserve">31 https://cordis.europa.eu/project/id/265879</w:t>
      </w:r>
      <w:r>
        <w:br/>
      </w:r>
      <w:r>
        <w:t xml:space="preserve">32 https://learnproject.net/</w:t>
      </w:r>
      <w:r>
        <w:br/>
      </w:r>
      <w:r>
        <w:t xml:space="preserve">33 https://www.iso.org/home.html</w:t>
      </w:r>
      <w:r>
        <w:br/>
      </w:r>
      <w:r>
        <w:t xml:space="preserve">34 A transport specific method on the quantification and reporting of greenhouse gas emissions arising from transport</w:t>
      </w:r>
      <w:r>
        <w:t xml:space="preserve"> </w:t>
      </w:r>
      <w:r>
        <w:t xml:space="preserve">chain operations. https://www.iso.org/standard/78864.html</w:t>
      </w:r>
      <w:r>
        <w:br/>
      </w:r>
      <w:r>
        <w:t xml:space="preserve">35 Greenhouse gases - Quantification and reporting of greenhouse gas emissions arising from transport chain</w:t>
      </w:r>
      <w:r>
        <w:t xml:space="preserve"> </w:t>
      </w:r>
      <w:r>
        <w:t xml:space="preserve">operations (ISO 14083:2023)</w:t>
      </w:r>
      <w:r>
        <w:t xml:space="preserve"> </w:t>
      </w:r>
      <w:r>
        <w:t xml:space="preserve">36 EN ISO 14083 superseded CEN EN 16258 based on specific arrangements between CEN and ISO. EN ISO</w:t>
      </w:r>
      <w:r>
        <w:t xml:space="preserve"> </w:t>
      </w:r>
      <w:r>
        <w:t xml:space="preserve">14083 is the version of the standard that is referred in respective policy measures and options in the remaining of</w:t>
      </w:r>
      <w:r>
        <w:t xml:space="preserve"> </w:t>
      </w:r>
      <w:r>
        <w:t xml:space="preserve">this document</w:t>
      </w:r>
      <w:r>
        <w:t xml:space="preserve"> </w:t>
      </w:r>
      <w:r>
        <w:t xml:space="preserve">37 Regulation (EU) 2015/757</w:t>
      </w:r>
      <w:r>
        <w:br/>
      </w:r>
      <w:r>
        <w:t xml:space="preserve">38 The data monitored and reported for the EU MRV Regulation are intended to be used for other upcoming</w:t>
      </w:r>
      <w:r>
        <w:t xml:space="preserve"> </w:t>
      </w:r>
      <w:r>
        <w:t xml:space="preserve">initiatives, like the possible inclusion of maritime shipping in the EU ETS or FuelEU Maritime.</w:t>
      </w:r>
      <w:r>
        <w:br/>
      </w:r>
      <w:r>
        <w:t xml:space="preserve">39 Directive 2003/87/EC</w:t>
      </w:r>
      <w:r>
        <w:br/>
      </w:r>
      <w:r>
        <w:t xml:space="preserve">40 For instance the differences relate to the methodological boundaries applied and the allocation of emissions to</w:t>
      </w:r>
      <w:r>
        <w:t xml:space="preserve"> </w:t>
      </w:r>
      <w:r>
        <w:t xml:space="preserve">transport service level. Both terms in the context of emissions accounting are explained in Annex 8.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seen as complementary to CountEmissions EU, especially as regards the collection of the actual</w:t>
      </w:r>
      <w:r>
        <w:t xml:space="preserve"> </w:t>
      </w:r>
      <w:r>
        <w:t xml:space="preserve">energy consumption data. The consistency of the input data for quantifying GHG emissions is</w:t>
      </w:r>
      <w:r>
        <w:t xml:space="preserve"> </w:t>
      </w:r>
      <w:r>
        <w:t xml:space="preserve">also addressed in the context of the emerging EU initiatives on the uptake of renewable low</w:t>
      </w:r>
      <w:r>
        <w:t xml:space="preserve"> </w:t>
      </w:r>
      <w:r>
        <w:t xml:space="preserve">carbon fuels. To this effect, CountEmissions EU includes a thorough reflection of the Fit-for-55</w:t>
      </w:r>
      <w:r>
        <w:t xml:space="preserve"> </w:t>
      </w:r>
      <w:r>
        <w:t xml:space="preserve">package41, with particular reference to the Commission’s proposals for the revised Renewable</w:t>
      </w:r>
      <w:r>
        <w:t xml:space="preserve"> </w:t>
      </w:r>
      <w:r>
        <w:t xml:space="preserve">Energy Directive (RED II)42, and the new initiatives FuelEU Maritime43 and ReFuelEU</w:t>
      </w:r>
      <w:r>
        <w:t xml:space="preserve"> </w:t>
      </w:r>
      <w:r>
        <w:t xml:space="preserve">Aviation44, the latter consisting inter alia of provisions for a dedicated environmental label</w:t>
      </w:r>
      <w:r>
        <w:t xml:space="preserve"> </w:t>
      </w:r>
      <w:r>
        <w:t xml:space="preserve">for flights45. The revised RED II and FuelEU Maritime specifically, will offer sets of default</w:t>
      </w:r>
      <w:r>
        <w:t xml:space="preserve"> </w:t>
      </w:r>
      <w:r>
        <w:t xml:space="preserve">values46 for emissions generated during the lifecycle of fuels (“Well-to-Wheel” emissions)47. All</w:t>
      </w:r>
      <w:r>
        <w:t xml:space="preserve"> </w:t>
      </w:r>
      <w:r>
        <w:t xml:space="preserve">these aspects would be of high relevance for the uniform implementation of CountEmissions EU</w:t>
      </w:r>
      <w:r>
        <w:t xml:space="preserve"> </w:t>
      </w:r>
      <w:r>
        <w:t xml:space="preserve">on the European market. This implementation will also take account of other legislative</w:t>
      </w:r>
      <w:r>
        <w:t xml:space="preserve"> </w:t>
      </w:r>
      <w:r>
        <w:t xml:space="preserve">frameworks, such as CO2 performance standards for new heavy-duty vehicles48 and light</w:t>
      </w:r>
      <w:r>
        <w:t xml:space="preserve"> </w:t>
      </w:r>
      <w:r>
        <w:t xml:space="preserve">duty vehicles49, as well as a planned EU action on the access to in-vehicle generated data50.</w:t>
      </w:r>
      <w:r>
        <w:t xml:space="preserve"> </w:t>
      </w:r>
      <w:r>
        <w:t xml:space="preserve">Possible synergies may be related for instance to the collection of actual fuel consumption data,</w:t>
      </w:r>
      <w:r>
        <w:t xml:space="preserve"> </w:t>
      </w:r>
      <w:r>
        <w:t xml:space="preserve">and to default values on the CO2 emissions per vehicle kilometre in road transport51.</w:t>
      </w:r>
      <w:r>
        <w:br/>
      </w:r>
      <w:r>
        <w:t xml:space="preserve">On the other hand, information on GHG emissions calculated and collected when applying</w:t>
      </w:r>
      <w:r>
        <w:t xml:space="preserve"> </w:t>
      </w:r>
      <w:r>
        <w:t xml:space="preserve">CountEmissions EU, may be used for the purpose of corporate reporting, such as in the context</w:t>
      </w:r>
      <w:r>
        <w:t xml:space="preserve"> </w:t>
      </w:r>
      <w:r>
        <w:t xml:space="preserve">of Corporate Sustainability Reporting Directive (CSRD)52. The CSRD and CountEmissions</w:t>
      </w:r>
      <w:r>
        <w:t xml:space="preserve"> </w:t>
      </w:r>
      <w:r>
        <w:t xml:space="preserve">EU are consistent in their approach, both aiming at CO2 equivalent emissions of Scope 1 (direct</w:t>
      </w:r>
      <w:r>
        <w:t xml:space="preserve"> </w:t>
      </w:r>
      <w:r>
        <w:t xml:space="preserve">emissions), Scope 2 (indirect emissions from the generation of purchased or acquired electricity,</w:t>
      </w:r>
      <w:r>
        <w:t xml:space="preserve"> </w:t>
      </w:r>
      <w:r>
        <w:t xml:space="preserve">steam, heat, or cooling consumed by the undertaking), and Scope 3 (indirect emissions that occur</w:t>
      </w:r>
      <w:r>
        <w:t xml:space="preserve"> </w:t>
      </w:r>
      <w:r>
        <w:t xml:space="preserve">in the value chain of the reporting company)53. While these frameworks differ in terms of the</w:t>
      </w:r>
      <w:r>
        <w:t xml:space="preserve"> </w:t>
      </w:r>
      <w:r>
        <w:t xml:space="preserve">subject and level of precision (the CSRD refers to the emissions at the level of an entire company</w:t>
      </w:r>
      <w:r>
        <w:t xml:space="preserve"> </w:t>
      </w:r>
      <w:r>
        <w:t xml:space="preserve">and CountEmissions EU covers emissions from door-to-door transport operations), information</w:t>
      </w:r>
      <w:r>
        <w:t xml:space="preserve"> </w:t>
      </w:r>
      <w:r>
        <w:t xml:space="preserve">generated by CountEmissions EU may contribute to sustainability reports of companies thus</w:t>
      </w:r>
      <w:r>
        <w:t xml:space="preserve"> </w:t>
      </w:r>
      <w:r>
        <w:t xml:space="preserve">facilitating the implementation of the CSRD. However, it should be noted that the vast majority</w:t>
      </w:r>
      <w:r>
        <w:t xml:space="preserve"> </w:t>
      </w:r>
      <w:r>
        <w:t xml:space="preserve">of entities targeted by CountEmissions EU (i.e. SMEs and micro-companies) would not be</w:t>
      </w:r>
      <w:r>
        <w:t xml:space="preserve"> </w:t>
      </w:r>
      <w:r>
        <w:t xml:space="preserve">affected by the CSRD requirements addressing rather large European companies, as well as</w:t>
      </w:r>
      <w:r>
        <w:t xml:space="preserve"> </w:t>
      </w:r>
      <w:r>
        <w:t xml:space="preserve">companies listed on regulated markets, except listed micro-enterprises.</w:t>
      </w:r>
    </w:p>
    <w:p>
      <w:pPr>
        <w:pStyle w:val="BodyText"/>
      </w:pPr>
      <w:r>
        <w:t xml:space="preserve">41 https://ec.europa.eu/commission/presscorner/detail/en/IP_21_3541</w:t>
      </w:r>
      <w:r>
        <w:br/>
      </w:r>
      <w:r>
        <w:t xml:space="preserve">42 COM(2021) 557 final</w:t>
      </w:r>
      <w:r>
        <w:t xml:space="preserve"> </w:t>
      </w:r>
      <w:r>
        <w:t xml:space="preserve">43 COM(2021) 562 final</w:t>
      </w:r>
      <w:r>
        <w:t xml:space="preserve"> </w:t>
      </w:r>
      <w:r>
        <w:t xml:space="preserve">44 COM(2021) 561 final</w:t>
      </w:r>
      <w:r>
        <w:t xml:space="preserve"> </w:t>
      </w:r>
      <w:r>
        <w:t xml:space="preserve">45 The development of an environmental label for aviation is based on Action 35 of the SSMS. The label may consist</w:t>
      </w:r>
      <w:r>
        <w:t xml:space="preserve"> </w:t>
      </w:r>
      <w:r>
        <w:t xml:space="preserve">of different elements, including a flight emissions assessment.</w:t>
      </w:r>
      <w:r>
        <w:br/>
      </w:r>
      <w:r>
        <w:t xml:space="preserve">46 Derived by using pre-determined factors based on estimates.</w:t>
      </w:r>
      <w:r>
        <w:t xml:space="preserve"> </w:t>
      </w:r>
      <w:r>
        <w:t xml:space="preserve">47 This makes the difference with the approach applied in the EU MRV, IMO DCS, CORSIA and EU ETS, which</w:t>
      </w:r>
      <w:r>
        <w:t xml:space="preserve"> </w:t>
      </w:r>
      <w:r>
        <w:t xml:space="preserve">address solely activity based emissions (“Tank-To-Wheel”). The fuel/energy lifecycle covering both activity-based</w:t>
      </w:r>
      <w:r>
        <w:t xml:space="preserve"> </w:t>
      </w:r>
      <w:r>
        <w:t xml:space="preserve">emissions and those generated at the production and distribution of fuels is referred to as “Well-To-Wheel”.</w:t>
      </w:r>
      <w:r>
        <w:t xml:space="preserve"> </w:t>
      </w:r>
      <w:r>
        <w:t xml:space="preserve">48 Regulation (EU) 2019/1242</w:t>
      </w:r>
      <w:r>
        <w:t xml:space="preserve"> </w:t>
      </w:r>
      <w:r>
        <w:t xml:space="preserve">49 Regulation (EU) 2019/631</w:t>
      </w:r>
      <w:r>
        <w:t xml:space="preserve"> </w:t>
      </w:r>
      <w:r>
        <w:t xml:space="preserve">50</w:t>
      </w:r>
      <w:r>
        <w:t xml:space="preserve"> </w:t>
      </w:r>
      <w:r>
        <w:t xml:space="preserve">https://ec.europa.eu/info/law/better-regulation/have-your-say/initiatives/13180-Access-to-vehicle-data-</w:t>
      </w:r>
      <w:r>
        <w:t xml:space="preserve"> </w:t>
      </w:r>
      <w:r>
        <w:t xml:space="preserve">functions-and-resources_en</w:t>
      </w:r>
      <w:r>
        <w:br/>
      </w:r>
      <w:r>
        <w:t xml:space="preserve">51 It has to be noted however, that these initiatives address only activity-based emissions (“Tank-to-Wheel”) and do</w:t>
      </w:r>
      <w:r>
        <w:t xml:space="preserve"> </w:t>
      </w:r>
      <w:r>
        <w:t xml:space="preserve">not cover those generated upstream (“Well-to-Wheel”).</w:t>
      </w:r>
      <w:r>
        <w:t xml:space="preserve"> </w:t>
      </w:r>
      <w:r>
        <w:t xml:space="preserve">52 Directive 2014/95/EU</w:t>
      </w:r>
      <w:r>
        <w:t xml:space="preserve"> </w:t>
      </w:r>
      <w:r>
        <w:t xml:space="preserve">53 Addressed in the GHG Protocol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As regards the efficient information flow in logistics chains, Regulation (EU) 2020/1056 on</w:t>
      </w:r>
      <w:r>
        <w:t xml:space="preserve"> </w:t>
      </w:r>
      <w:r>
        <w:t xml:space="preserve">electronic freight transport information (eFTI)54 relates to the exchange of regulatory</w:t>
      </w:r>
      <w:r>
        <w:t xml:space="preserve"> </w:t>
      </w:r>
      <w:r>
        <w:t xml:space="preserve">information on transport of goods by road, rail, air and inland waterways in the electronic form.</w:t>
      </w:r>
      <w:r>
        <w:t xml:space="preserve"> </w:t>
      </w:r>
      <w:r>
        <w:t xml:space="preserve">It will allow operators to prove compliance to a wide range of both European and national</w:t>
      </w:r>
      <w:r>
        <w:t xml:space="preserve"> </w:t>
      </w:r>
      <w:r>
        <w:t xml:space="preserve">reporting formalities applicable to the transport of goods. By establishing a fully decentralised</w:t>
      </w:r>
      <w:r>
        <w:t xml:space="preserve"> </w:t>
      </w:r>
      <w:r>
        <w:t xml:space="preserve">but harmonised and trusted data sharing network, eFTI is expected to support sharing of GHG</w:t>
      </w:r>
      <w:r>
        <w:t xml:space="preserve"> </w:t>
      </w:r>
      <w:r>
        <w:t xml:space="preserve">emissions data between various entities and individual users, thus supporting the implementation</w:t>
      </w:r>
      <w:r>
        <w:t xml:space="preserve"> </w:t>
      </w:r>
      <w:r>
        <w:t xml:space="preserve">of this initiative.</w:t>
      </w:r>
      <w:r>
        <w:t xml:space="preserve"> </w:t>
      </w:r>
      <w:r>
        <w:t xml:space="preserve">CountEmissions EU also seeks complementarities with the Circular Economy Action Plan</w:t>
      </w:r>
      <w:r>
        <w:t xml:space="preserve"> </w:t>
      </w:r>
      <w:r>
        <w:t xml:space="preserve">(CEAP)55 and, under its umbrella, with specific initiatives aiming at the provision of adequate</w:t>
      </w:r>
      <w:r>
        <w:t xml:space="preserve"> </w:t>
      </w:r>
      <w:r>
        <w:t xml:space="preserve">information to consumers. In particular, it interlinks with the Product Environmental</w:t>
      </w:r>
      <w:r>
        <w:t xml:space="preserve"> </w:t>
      </w:r>
      <w:r>
        <w:t xml:space="preserve">Footprint (PEF)56 as regards methodological requirements for quantifying emissions. PEF was</w:t>
      </w:r>
      <w:r>
        <w:t xml:space="preserve"> </w:t>
      </w:r>
      <w:r>
        <w:t xml:space="preserve">originally developed in the context of Single Market for Green Products Initiative57, and</w:t>
      </w:r>
      <w:r>
        <w:t xml:space="preserve"> </w:t>
      </w:r>
      <w:r>
        <w:t xml:space="preserve">provides a horizontal and cross sectoral method for the measurement of the environmental</w:t>
      </w:r>
      <w:r>
        <w:t xml:space="preserve"> </w:t>
      </w:r>
      <w:r>
        <w:t xml:space="preserve">performance of a good or service throughout its full life cycle (LCA). However, the general PEF</w:t>
      </w:r>
      <w:r>
        <w:t xml:space="preserve"> </w:t>
      </w:r>
      <w:r>
        <w:t xml:space="preserve">framework does not specifically address transport services and its implementation for</w:t>
      </w:r>
      <w:r>
        <w:t xml:space="preserve"> </w:t>
      </w:r>
      <w:r>
        <w:t xml:space="preserve">benchmarking purposes would still require the definition of specific Product Category Rules58.</w:t>
      </w:r>
      <w:r>
        <w:t xml:space="preserve"> </w:t>
      </w:r>
      <w:r>
        <w:t xml:space="preserve">An analysis of PEF in the context of CountEmissions EU is presented in Annex 8.</w:t>
      </w:r>
      <w:r>
        <w:br/>
      </w:r>
      <w:r>
        <w:t xml:space="preserve">Synergies were also identified with Directive 2005/29/EC concerning unfair business-to-</w:t>
      </w:r>
      <w:r>
        <w:t xml:space="preserve"> </w:t>
      </w:r>
      <w:r>
        <w:t xml:space="preserve">consumer commercial practices in the internal market that applies to misleading</w:t>
      </w:r>
      <w:r>
        <w:t xml:space="preserve"> </w:t>
      </w:r>
      <w:r>
        <w:t xml:space="preserve">environmental claims, and subsequently, the proposal for a Directive on empowering</w:t>
      </w:r>
      <w:r>
        <w:t xml:space="preserve"> </w:t>
      </w:r>
      <w:r>
        <w:t xml:space="preserve">consumers for the green transition (amending Directive 2005/29/EC) that sets out a number</w:t>
      </w:r>
      <w:r>
        <w:t xml:space="preserve"> </w:t>
      </w:r>
      <w:r>
        <w:t xml:space="preserve">of specific requirements on environmental claims and prohibits communicating generic</w:t>
      </w:r>
      <w:r>
        <w:t xml:space="preserve"> </w:t>
      </w:r>
      <w:r>
        <w:t xml:space="preserve">environmental claims which are not based on recognised environmental performance relevant to</w:t>
      </w:r>
      <w:r>
        <w:t xml:space="preserve"> </w:t>
      </w:r>
      <w:r>
        <w:t xml:space="preserve">the claim59. These synergies concern in principle the need for better and reliable information on</w:t>
      </w:r>
      <w:r>
        <w:t xml:space="preserve"> </w:t>
      </w:r>
      <w:r>
        <w:t xml:space="preserve">sustainability aspects of services, including the protection of consumers against information that</w:t>
      </w:r>
      <w:r>
        <w:t xml:space="preserve"> </w:t>
      </w:r>
      <w:r>
        <w:t xml:space="preserve">is not true or presented in a confusing or misleading way, in order to give the inaccurate</w:t>
      </w:r>
      <w:r>
        <w:t xml:space="preserve"> </w:t>
      </w:r>
      <w:r>
        <w:t xml:space="preserve">impression that a service is more environmentally sound. CountEmissions EU would regulate</w:t>
      </w:r>
      <w:r>
        <w:t xml:space="preserve"> </w:t>
      </w:r>
      <w:r>
        <w:t xml:space="preserve">specific aspects of environmental claims through the provision of a harmonised, commonly</w:t>
      </w:r>
      <w:r>
        <w:t xml:space="preserve"> </w:t>
      </w:r>
      <w:r>
        <w:t xml:space="preserve">applicable framework, ensuring accurate and comparable emissions data to be made available to</w:t>
      </w:r>
      <w:r>
        <w:t xml:space="preserve"> </w:t>
      </w:r>
      <w:r>
        <w:t xml:space="preserve">consumers by any relevant entity accounting emissions of transport services.</w:t>
      </w:r>
      <w:r>
        <w:br/>
      </w:r>
      <w:r>
        <w:t xml:space="preserve">The Commission’s proposal for Directive on substantiation and communication of explicit</w:t>
      </w:r>
      <w:r>
        <w:t xml:space="preserve"> </w:t>
      </w:r>
      <w:r>
        <w:t xml:space="preserve">environmental claims (Green Claims Directive)60 is conceived as lex specialis to Directive</w:t>
      </w:r>
    </w:p>
    <w:p>
      <w:pPr>
        <w:pStyle w:val="BodyText"/>
      </w:pPr>
      <w:r>
        <w:t xml:space="preserve">54 Regulation (EU) 2020/1056 of the European Parliament and of the Council of 15 July 2020 on electronic freight</w:t>
      </w:r>
      <w:r>
        <w:t xml:space="preserve"> </w:t>
      </w:r>
      <w:r>
        <w:t xml:space="preserve">transport information; OJ L 249</w:t>
      </w:r>
      <w:r>
        <w:t xml:space="preserve"> </w:t>
      </w:r>
      <w:r>
        <w:t xml:space="preserve">55 COM(2020) 98 final</w:t>
      </w:r>
      <w:r>
        <w:t xml:space="preserve"> </w:t>
      </w:r>
      <w:r>
        <w:t xml:space="preserve">56 Commission Recommendation (EU) 2021/2279. Full life cycle emissions “From cradle to grave”, include the</w:t>
      </w:r>
      <w:r>
        <w:t xml:space="preserve"> </w:t>
      </w:r>
      <w:r>
        <w:t xml:space="preserve">emissions of vehicle production, maintenance and disposal, and infrastructure as far as relevant.</w:t>
      </w:r>
      <w:r>
        <w:t xml:space="preserve"> </w:t>
      </w:r>
      <w:r>
        <w:t xml:space="preserve">https://ec.europa.eu/environment/eussd/smgp/</w:t>
      </w:r>
      <w:r>
        <w:br/>
      </w:r>
      <w:r>
        <w:t xml:space="preserve">57 EUR-Lex - 52013DC0196 - EN - EUR-Lex (europa.eu)</w:t>
      </w:r>
      <w:r>
        <w:t xml:space="preserve"> </w:t>
      </w:r>
      <w:r>
        <w:t xml:space="preserve">58 Currently, PEF Category Rules are not available for transport services. It should be noted that specific Category</w:t>
      </w:r>
      <w:r>
        <w:t xml:space="preserve"> </w:t>
      </w:r>
      <w:r>
        <w:t xml:space="preserve">Rules would need to be still elaborated for a broad range of products and services across all the economic sectors</w:t>
      </w:r>
      <w:r>
        <w:t xml:space="preserve"> </w:t>
      </w:r>
      <w:r>
        <w:t xml:space="preserve">of the EU.</w:t>
      </w:r>
      <w:r>
        <w:t xml:space="preserve"> </w:t>
      </w:r>
      <w:r>
        <w:t xml:space="preserve">59 COM/2022/143</w:t>
      </w:r>
      <w:r>
        <w:t xml:space="preserve"> </w:t>
      </w:r>
      <w:r>
        <w:t xml:space="preserve">60 COM/2023/166 final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2005/29/EC. Green Claims Directive addresses the lack of trust in the credibility of</w:t>
      </w:r>
      <w:r>
        <w:t xml:space="preserve"> </w:t>
      </w:r>
      <w:r>
        <w:t xml:space="preserve">environmental claims and the proliferation of misleading commercial practices related to the</w:t>
      </w:r>
      <w:r>
        <w:t xml:space="preserve"> </w:t>
      </w:r>
      <w:r>
        <w:t xml:space="preserve">environmental sustainability of products. This Regulation is complementary to the provisions</w:t>
      </w:r>
      <w:r>
        <w:t xml:space="preserve"> </w:t>
      </w:r>
      <w:r>
        <w:t xml:space="preserve">related to explicit environmental claims, specifically where assessing and communicating GHG</w:t>
      </w:r>
      <w:r>
        <w:t xml:space="preserve"> </w:t>
      </w:r>
      <w:r>
        <w:t xml:space="preserve">impacts of transport services.</w:t>
      </w:r>
      <w:r>
        <w:t xml:space="preserve"> </w:t>
      </w:r>
      <w:r>
        <w:t xml:space="preserve">Finally, interactions with the Car Labelling Directive61 and Tyre Labelling Regulation62,</w:t>
      </w:r>
      <w:r>
        <w:t xml:space="preserve"> </w:t>
      </w:r>
      <w:r>
        <w:t xml:space="preserve">dealing with the provision of information to transport users regarding fuel economy, efficiency</w:t>
      </w:r>
      <w:r>
        <w:t xml:space="preserve"> </w:t>
      </w:r>
      <w:r>
        <w:t xml:space="preserve">and emissions, were also investigated. However, these initiatives focus rather on data related to</w:t>
      </w:r>
      <w:r>
        <w:t xml:space="preserve"> </w:t>
      </w:r>
      <w:r>
        <w:t xml:space="preserve">the type of a vehicle or tyre, and not on those associated with emissions of transport services,</w:t>
      </w:r>
      <w:r>
        <w:t xml:space="preserve"> </w:t>
      </w:r>
      <w:r>
        <w:t xml:space="preserve">thus being less relevant for CountEmissions EU.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</w:t>
      </w:r>
      <w:r>
        <w:t xml:space="preserve"> </w:t>
      </w:r>
      <w:r>
        <w:t xml:space="preserve">The underlying problems, problem drivers and implications that are relevant for CountEmissions</w:t>
      </w:r>
      <w:r>
        <w:t xml:space="preserve"> </w:t>
      </w:r>
      <w:r>
        <w:t xml:space="preserve">EU are presented in Figure 1: Problem treeError! Reference source not found..</w:t>
      </w:r>
      <w:r>
        <w:t xml:space="preserve"> </w:t>
      </w:r>
      <w:r>
        <w:t xml:space="preserve">Figure 1: Problem tree</w:t>
      </w:r>
    </w:p>
    <w:p>
      <w:pPr>
        <w:pStyle w:val="BodyText"/>
      </w:pPr>
      <w:r>
        <w:t xml:space="preserve">1.1 What are the problems?</w:t>
      </w:r>
      <w:r>
        <w:t xml:space="preserve"> </w:t>
      </w:r>
      <w:r>
        <w:t xml:space="preserve">Problem 1 – Limited comparability of results from GHG emissions accounting of transport</w:t>
      </w:r>
      <w:r>
        <w:t xml:space="preserve"> </w:t>
      </w:r>
      <w:r>
        <w:t xml:space="preserve">services in transport and logistics</w:t>
      </w:r>
      <w:r>
        <w:t xml:space="preserve"> </w:t>
      </w:r>
      <w:r>
        <w:t xml:space="preserve">Accurate and reliable figures are seen as a prerequisite to effectively manage emissions and to</w:t>
      </w:r>
      <w:r>
        <w:t xml:space="preserve"> </w:t>
      </w:r>
      <w:r>
        <w:t xml:space="preserve">use emissions data for specific areas of application, such as setting and monitoring emissions</w:t>
      </w:r>
      <w:r>
        <w:t xml:space="preserve"> </w:t>
      </w:r>
      <w:r>
        <w:t xml:space="preserve">targets, or benchmarking the environmental performance of services from different transport</w:t>
      </w:r>
      <w:r>
        <w:t xml:space="preserve"> </w:t>
      </w:r>
      <w:r>
        <w:t xml:space="preserve">operators. However, as indicated above, currently no universally accepted framework for the</w:t>
      </w:r>
      <w:r>
        <w:t xml:space="preserve"> </w:t>
      </w:r>
      <w:r>
        <w:t xml:space="preserve">GHG emissions accounting in transport exists. To quantify emissions, transport stakeholders can</w:t>
      </w:r>
      <w:r>
        <w:t xml:space="preserve"> </w:t>
      </w:r>
      <w:r>
        <w:t xml:space="preserve">choose from a basket of different standards, methodologies, calculation tools and numerous</w:t>
      </w:r>
      <w:r>
        <w:t xml:space="preserve"> </w:t>
      </w:r>
      <w:r>
        <w:t xml:space="preserve">emissions default values databases and datasets.</w:t>
      </w:r>
    </w:p>
    <w:p>
      <w:pPr>
        <w:pStyle w:val="BodyText"/>
      </w:pPr>
      <w:r>
        <w:t xml:space="preserve">61 Directive 1999/94/EC</w:t>
      </w:r>
      <w:r>
        <w:t xml:space="preserve"> </w:t>
      </w:r>
      <w:r>
        <w:t xml:space="preserve">62 Regulation (EU) 2020/740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This situation leads in many cases to a very high variance of results that compromise the</w:t>
      </w:r>
      <w:r>
        <w:t xml:space="preserve"> </w:t>
      </w:r>
      <w:r>
        <w:t xml:space="preserve">comparability of emission figures in the market63. It also bears the risk of selecting an emissions</w:t>
      </w:r>
      <w:r>
        <w:t xml:space="preserve"> </w:t>
      </w:r>
      <w:r>
        <w:t xml:space="preserve">calculation method and default data based on what is more beneficial for an individual entity.</w:t>
      </w:r>
      <w:r>
        <w:t xml:space="preserve"> </w:t>
      </w:r>
      <w:r>
        <w:t xml:space="preserve">This results in the provision of misleading information on the performance of a transport service,</w:t>
      </w:r>
      <w:r>
        <w:t xml:space="preserve"> </w:t>
      </w:r>
      <w:r>
        <w:t xml:space="preserve">thus creating conditions for greenwashing and turning up in wrong incentives for a user. The</w:t>
      </w:r>
      <w:r>
        <w:t xml:space="preserve"> </w:t>
      </w:r>
      <w:r>
        <w:t xml:space="preserve">problem may be further aggravated by the reluctance of companies to disclose detailed GHG</w:t>
      </w:r>
      <w:r>
        <w:t xml:space="preserve"> </w:t>
      </w:r>
      <w:r>
        <w:t xml:space="preserve">emissions data quantified from their transport operations, as this driver may contribute to the</w:t>
      </w:r>
      <w:r>
        <w:t xml:space="preserve"> </w:t>
      </w:r>
      <w:r>
        <w:t xml:space="preserve">existence of an incomplete and inconsistent transport emissions data environment.</w:t>
      </w:r>
      <w:r>
        <w:br/>
      </w:r>
      <w:r>
        <w:t xml:space="preserve">As a consequence, environmental claims related to transport services cannot, in particular in a</w:t>
      </w:r>
      <w:r>
        <w:t xml:space="preserve"> </w:t>
      </w:r>
      <w:r>
        <w:t xml:space="preserve">multimodal context, be compared in a fair and meaningful way by either businesses or</w:t>
      </w:r>
      <w:r>
        <w:t xml:space="preserve"> </w:t>
      </w:r>
      <w:r>
        <w:t xml:space="preserve">consumers. GHG emissions figures that are not accurate, do not allow to make informed choices</w:t>
      </w:r>
      <w:r>
        <w:t xml:space="preserve"> </w:t>
      </w:r>
      <w:r>
        <w:t xml:space="preserve">and may cause market distortions because of potential competitive advantages for those entities</w:t>
      </w:r>
      <w:r>
        <w:t xml:space="preserve"> </w:t>
      </w:r>
      <w:r>
        <w:t xml:space="preserve">that do not use a proper calculation method, or formulate untruthful or unsubstantiated claims.</w:t>
      </w:r>
      <w:r>
        <w:t xml:space="preserve"> </w:t>
      </w:r>
      <w:r>
        <w:t xml:space="preserve">The issue is generally recognised and has materialised in several attempts by industry or national</w:t>
      </w:r>
      <w:r>
        <w:t xml:space="preserve"> </w:t>
      </w:r>
      <w:r>
        <w:t xml:space="preserve">governments64 to produce a standard framework. However, none of these efforts has led to the</w:t>
      </w:r>
      <w:r>
        <w:t xml:space="preserve"> </w:t>
      </w:r>
      <w:r>
        <w:t xml:space="preserve">harmonisation of the GHG emissions accounting methods and uniform treatment of data at the</w:t>
      </w:r>
      <w:r>
        <w:t xml:space="preserve"> </w:t>
      </w:r>
      <w:r>
        <w:t xml:space="preserve">entire EU level.</w:t>
      </w:r>
      <w:r>
        <w:br/>
      </w:r>
      <w:r>
        <w:t xml:space="preserve">The lack of reliable and comparable information on GHG emissions of transport services is seen</w:t>
      </w:r>
      <w:r>
        <w:t xml:space="preserve"> </w:t>
      </w:r>
      <w:r>
        <w:t xml:space="preserve">as a relevant problem also by the consulted stakeholders. It was in principle confirmed by the</w:t>
      </w:r>
      <w:r>
        <w:t xml:space="preserve"> </w:t>
      </w:r>
      <w:r>
        <w:t xml:space="preserve">results of the Open Public Consultation (OPC), with 136 out of 169, or 80% respondents</w:t>
      </w:r>
      <w:r>
        <w:t xml:space="preserve"> </w:t>
      </w:r>
      <w:r>
        <w:t xml:space="preserve">recognising the prevalence of this problem and considering it significant or very significant.</w:t>
      </w:r>
      <w:r>
        <w:t xml:space="preserve"> </w:t>
      </w:r>
      <w:r>
        <w:t xml:space="preserve">Similar views were recorded while analysing the feedback to the Call for Evidence, the targeted</w:t>
      </w:r>
      <w:r>
        <w:t xml:space="preserve"> </w:t>
      </w:r>
      <w:r>
        <w:t xml:space="preserve">stakeholders’ survey (‘targeted survey’) as well as during the discussions at the stakeholders’</w:t>
      </w:r>
      <w:r>
        <w:t xml:space="preserve"> </w:t>
      </w:r>
      <w:r>
        <w:t xml:space="preserve">workshop65.</w:t>
      </w:r>
      <w:r>
        <w:br/>
      </w:r>
      <w:r>
        <w:t xml:space="preserve">Problem 2 – Limited uptake of emissions accounting of transport services in usual business</w:t>
      </w:r>
      <w:r>
        <w:t xml:space="preserve"> </w:t>
      </w:r>
      <w:r>
        <w:t xml:space="preserve">practice</w:t>
      </w:r>
      <w:r>
        <w:t xml:space="preserve"> </w:t>
      </w:r>
      <w:r>
        <w:t xml:space="preserve">Despite growing interest of transport stakeholders in GHG transport performance data66, the</w:t>
      </w:r>
      <w:r>
        <w:t xml:space="preserve"> </w:t>
      </w:r>
      <w:r>
        <w:t xml:space="preserve">overall uptake of GHG emissions accounting of transport services is still very limited. In most</w:t>
      </w:r>
      <w:r>
        <w:t xml:space="preserve"> </w:t>
      </w:r>
      <w:r>
        <w:t xml:space="preserve">cases, transport service users do not obtain accurate information on the performance of transport</w:t>
      </w:r>
      <w:r>
        <w:t xml:space="preserve"> </w:t>
      </w:r>
      <w:r>
        <w:t xml:space="preserve">services, and transport service organisers do not calculate their emissions. What is more, most</w:t>
      </w:r>
      <w:r>
        <w:t xml:space="preserve"> </w:t>
      </w:r>
      <w:r>
        <w:t xml:space="preserve">of transport service organisers that do so, make calculations rather at a company or vehicle level,</w:t>
      </w:r>
      <w:r>
        <w:t xml:space="preserve"> </w:t>
      </w:r>
      <w:r>
        <w:t xml:space="preserve">and are not able to generate data on the emissions of transport services67, while only the latter</w:t>
      </w:r>
    </w:p>
    <w:p>
      <w:pPr>
        <w:pStyle w:val="BodyText"/>
      </w:pPr>
      <w:r>
        <w:t xml:space="preserve">63 Auvinen, H. et al., 2014. Calculating emissions along supply chains - Towards the global methodological</w:t>
      </w:r>
      <w:r>
        <w:t xml:space="preserve"> </w:t>
      </w:r>
      <w:r>
        <w:t xml:space="preserve">harmonisation. Research in Transportation Business &amp; Management. Binnenvaartemissielabel, 2022.</w:t>
      </w:r>
      <w:r>
        <w:t xml:space="preserve"> </w:t>
      </w:r>
      <w:r>
        <w:t xml:space="preserve">64 Such as Article L. 1431-3 of the French Transport Code or GLEC framework mentioned in section 1.3</w:t>
      </w:r>
      <w:r>
        <w:t xml:space="preserve"> </w:t>
      </w:r>
      <w:r>
        <w:t xml:space="preserve">65 Organised on 27 October 2022</w:t>
      </w:r>
      <w:r>
        <w:t xml:space="preserve"> </w:t>
      </w:r>
      <w:r>
        <w:t xml:space="preserve">66 Desk research and targeted interviews highlighted that the main motivations were to raise environmental</w:t>
      </w:r>
      <w:r>
        <w:t xml:space="preserve"> </w:t>
      </w:r>
      <w:r>
        <w:t xml:space="preserve">awareness and meet emissions reduction targets, as sales argument or as a decision-making support tool. Source:</w:t>
      </w:r>
      <w:r>
        <w:t xml:space="preserve"> </w:t>
      </w:r>
      <w:r>
        <w:t xml:space="preserve">Ecorys and CE Delft (2023), Impact assessment support study</w:t>
      </w:r>
      <w:r>
        <w:t xml:space="preserve"> </w:t>
      </w:r>
      <w:r>
        <w:t xml:space="preserve">67 In order to generate accurate data on the GHG performance of a transport service (especially in the multimodal</w:t>
      </w:r>
      <w:r>
        <w:t xml:space="preserve"> </w:t>
      </w:r>
      <w:r>
        <w:t xml:space="preserve">transport chain) it is necessary to account emissions of each individual transport chain element (leg). This level of</w:t>
      </w:r>
      <w:r>
        <w:t xml:space="preserve"> </w:t>
      </w:r>
      <w:r>
        <w:t xml:space="preserve">calculation requires specific data and is more complex and costly from the perspective of an individual organisation.</w:t>
      </w:r>
      <w:r>
        <w:t xml:space="preserve"> </w:t>
      </w:r>
      <w:r>
        <w:t xml:space="preserve">See more in Annex 8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type of information is relevant to support and influence decisions of users. In this context, it is</w:t>
      </w:r>
      <w:r>
        <w:t xml:space="preserve"> </w:t>
      </w:r>
      <w:r>
        <w:t xml:space="preserve">estimated that almost 600,000 entities in the EU transport ecosystem measure their emissions</w:t>
      </w:r>
      <w:r>
        <w:t xml:space="preserve"> </w:t>
      </w:r>
      <w:r>
        <w:t xml:space="preserve">(2020), but only about 22,000 of these do it at such disaggregated level that enables to produce</w:t>
      </w:r>
      <w:r>
        <w:t xml:space="preserve"> </w:t>
      </w:r>
      <w:r>
        <w:t xml:space="preserve">GHG emissions data of transport services. This represents only 1.2% of the overall population</w:t>
      </w:r>
      <w:r>
        <w:t xml:space="preserve"> </w:t>
      </w:r>
      <w:r>
        <w:t xml:space="preserve">of the entities performing transport operations on their own (amounting to approximately 1.8</w:t>
      </w:r>
      <w:r>
        <w:t xml:space="preserve"> </w:t>
      </w:r>
      <w:r>
        <w:t xml:space="preserve">million)68.</w:t>
      </w:r>
      <w:r>
        <w:t xml:space="preserve"> </w:t>
      </w:r>
      <w:r>
        <w:t xml:space="preserve">It should be also acknowledged that the capability of companies to calculate and report GHG</w:t>
      </w:r>
      <w:r>
        <w:t xml:space="preserve"> </w:t>
      </w:r>
      <w:r>
        <w:t xml:space="preserve">emissions does not spread equally across the EU. According to a 2021 analysis undertaken for</w:t>
      </w:r>
      <w:r>
        <w:t xml:space="preserve"> </w:t>
      </w:r>
      <w:r>
        <w:t xml:space="preserve">road freight carriers, this capability is significantly higher in countries implementing specific</w:t>
      </w:r>
      <w:r>
        <w:t xml:space="preserve"> </w:t>
      </w:r>
      <w:r>
        <w:t xml:space="preserve">green freight programs, such as the Netherlands, France and Austria. France, applying Article L.</w:t>
      </w:r>
      <w:r>
        <w:t xml:space="preserve"> </w:t>
      </w:r>
      <w:r>
        <w:t xml:space="preserve">1431-3 of the French Transport Code69, is a particularly good example showing that a targeted</w:t>
      </w:r>
      <w:r>
        <w:t xml:space="preserve"> </w:t>
      </w:r>
      <w:r>
        <w:t xml:space="preserve">legislation may lead to considerable results, despite lax enforcement70.</w:t>
      </w:r>
      <w:r>
        <w:br/>
      </w:r>
      <w:r>
        <w:t xml:space="preserve">There are several drivers behind this problem, including the perceived complexity and high costs</w:t>
      </w:r>
      <w:r>
        <w:t xml:space="preserve"> </w:t>
      </w:r>
      <w:r>
        <w:t xml:space="preserve">of GHG emissions accounting, the lack of trust regarding the emissions figures that are shared</w:t>
      </w:r>
      <w:r>
        <w:t xml:space="preserve"> </w:t>
      </w:r>
      <w:r>
        <w:t xml:space="preserve">on the market, and the reluctance of transport service organisers to reveal sensitive operational</w:t>
      </w:r>
      <w:r>
        <w:t xml:space="preserve"> </w:t>
      </w:r>
      <w:r>
        <w:t xml:space="preserve">data. This problem is particularly relevant for small and medium sized enterprises (SME)71,</w:t>
      </w:r>
      <w:r>
        <w:t xml:space="preserve"> </w:t>
      </w:r>
      <w:r>
        <w:t xml:space="preserve">offering transport services on the EU market72. Given that road freight transport represents the</w:t>
      </w:r>
      <w:r>
        <w:t xml:space="preserve"> </w:t>
      </w:r>
      <w:r>
        <w:t xml:space="preserve">largest population of SME carriers73, this segment is particularly affected74.</w:t>
      </w:r>
      <w:r>
        <w:t xml:space="preserve"> </w:t>
      </w:r>
      <w:r>
        <w:t xml:space="preserve">The problem of the limited uptake of emissions accounting in usual business practice was also</w:t>
      </w:r>
      <w:r>
        <w:t xml:space="preserve"> </w:t>
      </w:r>
      <w:r>
        <w:t xml:space="preserve">highlighted in the stakeholders’ consultation. In the OPC 45 out of 56 organisations (80%); 61</w:t>
      </w:r>
      <w:r>
        <w:t xml:space="preserve"> </w:t>
      </w:r>
      <w:r>
        <w:t xml:space="preserve">out of 70 individuals (87%); and 60 out of 65 online customers (92%) stated they are not given</w:t>
      </w:r>
      <w:r>
        <w:t xml:space="preserve"> </w:t>
      </w:r>
      <w:r>
        <w:t xml:space="preserve">enough information when planning/organising a journey, shipment or choosing the delivery of</w:t>
      </w:r>
      <w:r>
        <w:t xml:space="preserve"> </w:t>
      </w:r>
      <w:r>
        <w:t xml:space="preserve">their package. In addition, 26 out of 31 (84%) respondents to the targeted survey estimated</w:t>
      </w:r>
      <w:r>
        <w:t xml:space="preserve"> </w:t>
      </w:r>
      <w:r>
        <w:t xml:space="preserve">current levels of uptake as low or very low. Looking from the emissions accounting perspective,</w:t>
      </w:r>
      <w:r>
        <w:t xml:space="preserve"> </w:t>
      </w:r>
      <w:r>
        <w:t xml:space="preserve">the targeted survey showed that although 78% of the respondents (29 out of 37) already measure</w:t>
      </w:r>
      <w:r>
        <w:t xml:space="preserve"> </w:t>
      </w:r>
      <w:r>
        <w:t xml:space="preserve">in some form their emissions, only 35% of those who measure (9 out of 26) do it at transport</w:t>
      </w:r>
      <w:r>
        <w:t xml:space="preserve"> </w:t>
      </w:r>
      <w:r>
        <w:t xml:space="preserve">service level. However, this finding may not be fully representative for all entities concerned,</w:t>
      </w:r>
      <w:r>
        <w:t xml:space="preserve"> </w:t>
      </w:r>
      <w:r>
        <w:t xml:space="preserve">and, as outlined above, the actual number of companies calculating transport services emissions</w:t>
      </w:r>
      <w:r>
        <w:t xml:space="preserve"> </w:t>
      </w:r>
      <w:r>
        <w:t xml:space="preserve">appears to be significantly lower. Altogether, various consultation activities demonstrated that</w:t>
      </w:r>
      <w:r>
        <w:t xml:space="preserve"> </w:t>
      </w:r>
      <w:r>
        <w:t xml:space="preserve">emissions accounting in transport and logistics is still very limited in uptake, completeness,</w:t>
      </w:r>
    </w:p>
    <w:p>
      <w:pPr>
        <w:pStyle w:val="BodyText"/>
      </w:pPr>
      <w:r>
        <w:t xml:space="preserve">68 Ecorys and CE Delft (2023), Impact assessment support study</w:t>
      </w:r>
      <w:r>
        <w:t xml:space="preserve"> </w:t>
      </w:r>
      <w:r>
        <w:t xml:space="preserve">69 See Annex 8 and Annex 11 for more detail</w:t>
      </w:r>
      <w:r>
        <w:t xml:space="preserve"> </w:t>
      </w:r>
      <w:r>
        <w:t xml:space="preserve">70 Tölke, M. and McKinnon, A. (2021), Decarbonizing the operations of small and medium-sized road carriers in</w:t>
      </w:r>
      <w:r>
        <w:t xml:space="preserve"> </w:t>
      </w:r>
      <w:r>
        <w:t xml:space="preserve">Europe. An analysis of their perspectives, motives, and challenges, Smart Freight Centre, Kühne Logistics</w:t>
      </w:r>
      <w:r>
        <w:t xml:space="preserve"> </w:t>
      </w:r>
      <w:r>
        <w:t xml:space="preserve">University.</w:t>
      </w:r>
      <w:r>
        <w:t xml:space="preserve"> </w:t>
      </w:r>
      <w:r>
        <w:t xml:space="preserve">71 Small and Medium Enterprises (SMEs) are companies with a staff headcount lower than 250 and turnover equal</w:t>
      </w:r>
      <w:r>
        <w:t xml:space="preserve"> </w:t>
      </w:r>
      <w:r>
        <w:t xml:space="preserve">or lower than EUR 50 million (either a balance sheet total equal or lower than EUR 43 million), according to EU</w:t>
      </w:r>
      <w:r>
        <w:t xml:space="preserve"> </w:t>
      </w:r>
      <w:r>
        <w:t xml:space="preserve">Recommendation 2003/361.</w:t>
      </w:r>
      <w:r>
        <w:t xml:space="preserve"> </w:t>
      </w:r>
      <w:r>
        <w:t xml:space="preserve">72 Tölke, M. and McKinnon, A. (2021), Op.cit.</w:t>
      </w:r>
      <w:r>
        <w:t xml:space="preserve"> </w:t>
      </w:r>
      <w:r>
        <w:t xml:space="preserve">73 Source: Eurostat (SBS_SC_1B_SE_R2)</w:t>
      </w:r>
      <w:r>
        <w:t xml:space="preserve"> </w:t>
      </w:r>
      <w:r>
        <w:t xml:space="preserve">74 A 2021 survey among 811 carriers from 32 European countries, showed that only around 10% of carriers with</w:t>
      </w:r>
      <w:r>
        <w:t xml:space="preserve"> </w:t>
      </w:r>
      <w:r>
        <w:t xml:space="preserve">fewer than 10 vehicles are able to calculate and report emissions at a customer level (compared to 25% carriers in</w:t>
      </w:r>
      <w:r>
        <w:t xml:space="preserve"> </w:t>
      </w:r>
      <w:r>
        <w:t xml:space="preserve">total), Tölke, M. and McKinnon, A. (2021), Op. cit. Another survey among 252 road carriers demonstrated that only</w:t>
      </w:r>
      <w:r>
        <w:t xml:space="preserve"> </w:t>
      </w:r>
      <w:r>
        <w:t xml:space="preserve">about 23% of respondents in total are able to calculate transport related emissions. Source: Transporeon (2022),</w:t>
      </w:r>
      <w:r>
        <w:t xml:space="preserve"> </w:t>
      </w:r>
      <w:r>
        <w:t xml:space="preserve">Decarbonizing Freight 2022. Where shippers and carriers stand on the road to net zero.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frequency and precision. Feedback to another question of the same targeted survey revealed that</w:t>
      </w:r>
      <w:r>
        <w:t xml:space="preserve"> </w:t>
      </w:r>
      <w:r>
        <w:t xml:space="preserve">most respondents (30 out of 31) would adopt a harmonised emissions measurement framework</w:t>
      </w:r>
      <w:r>
        <w:t xml:space="preserve"> </w:t>
      </w:r>
      <w:r>
        <w:t xml:space="preserve">if established at the EU level.</w:t>
      </w:r>
      <w:r>
        <w:br/>
      </w:r>
      <w:r>
        <w:t xml:space="preserve">1.2 What are the problem drivers?</w:t>
      </w:r>
      <w:r>
        <w:t xml:space="preserve"> </w:t>
      </w:r>
      <w:r>
        <w:t xml:space="preserve">Problem Driver 1: No set of common methodological principles to apply GHG emissions</w:t>
      </w:r>
      <w:r>
        <w:t xml:space="preserve"> </w:t>
      </w:r>
      <w:r>
        <w:t xml:space="preserve">accounting</w:t>
      </w:r>
      <w:r>
        <w:t xml:space="preserve"> </w:t>
      </w:r>
      <w:r>
        <w:t xml:space="preserve">As already shown in section 1.3, there exists a highly fragmented environment of methods</w:t>
      </w:r>
      <w:r>
        <w:t xml:space="preserve"> </w:t>
      </w:r>
      <w:r>
        <w:t xml:space="preserve">available for accounting emissions of transport activities. Some of them function as self-standing</w:t>
      </w:r>
      <w:r>
        <w:t xml:space="preserve"> </w:t>
      </w:r>
      <w:r>
        <w:t xml:space="preserve">initiatives to be applied by any interested party, other form part of specific policies, reporting</w:t>
      </w:r>
      <w:r>
        <w:t xml:space="preserve"> </w:t>
      </w:r>
      <w:r>
        <w:t xml:space="preserve">schemes and green incentive programmes that oblige or promote measurement and calculation</w:t>
      </w:r>
      <w:r>
        <w:t xml:space="preserve"> </w:t>
      </w:r>
      <w:r>
        <w:t xml:space="preserve">of emissions among the respective stakeholders’ groups. Also, several methods feature in the</w:t>
      </w:r>
      <w:r>
        <w:t xml:space="preserve"> </w:t>
      </w:r>
      <w:r>
        <w:t xml:space="preserve">various calculation tools75 that are offered to market players to facilitate and simplify emissions</w:t>
      </w:r>
      <w:r>
        <w:t xml:space="preserve"> </w:t>
      </w:r>
      <w:r>
        <w:t xml:space="preserve">accounting. Table 1 provides an overview of methods identified as the most relevant for the</w:t>
      </w:r>
      <w:r>
        <w:t xml:space="preserve"> </w:t>
      </w:r>
      <w:r>
        <w:t xml:space="preserve">transport sector.</w:t>
      </w:r>
      <w:r>
        <w:t xml:space="preserve"> </w:t>
      </w:r>
      <w:r>
        <w:t xml:space="preserve">Table 1: Overview of the main methods for GHG emissions accounting in the transport sector</w:t>
      </w:r>
      <w:r>
        <w:br/>
      </w:r>
      <w:r>
        <w:t xml:space="preserve">Standard/methodology</w:t>
      </w:r>
      <w:r>
        <w:t xml:space="preserve"> </w:t>
      </w:r>
      <w:r>
        <w:t xml:space="preserve">Transport modes/segments</w:t>
      </w:r>
      <w:r>
        <w:t xml:space="preserve"> </w:t>
      </w:r>
      <w:r>
        <w:t xml:space="preserve">GHG protocol</w:t>
      </w:r>
      <w:r>
        <w:br/>
      </w:r>
      <w:r>
        <w:t xml:space="preserve">All modes</w:t>
      </w:r>
      <w:r>
        <w:br/>
      </w:r>
      <w:r>
        <w:t xml:space="preserve">Passengers &amp; freight</w:t>
      </w:r>
      <w:r>
        <w:br/>
      </w:r>
      <w:r>
        <w:t xml:space="preserve">EN 16258</w:t>
      </w:r>
      <w:r>
        <w:br/>
      </w:r>
      <w:r>
        <w:t xml:space="preserve">All modes</w:t>
      </w:r>
      <w:r>
        <w:br/>
      </w:r>
      <w:r>
        <w:t xml:space="preserve">Passengers &amp; freight</w:t>
      </w:r>
      <w:r>
        <w:br/>
      </w:r>
      <w:r>
        <w:t xml:space="preserve">ISO 14083</w:t>
      </w:r>
      <w:r>
        <w:br/>
      </w:r>
      <w:r>
        <w:t xml:space="preserve">All modes</w:t>
      </w:r>
      <w:r>
        <w:br/>
      </w:r>
      <w:r>
        <w:t xml:space="preserve">Passengers &amp; freight</w:t>
      </w:r>
      <w:r>
        <w:br/>
      </w:r>
      <w:r>
        <w:t xml:space="preserve">PEF </w:t>
      </w:r>
      <w:r>
        <w:br/>
      </w:r>
      <w:r>
        <w:t xml:space="preserve">All modes</w:t>
      </w:r>
      <w:r>
        <w:br/>
      </w:r>
      <w:r>
        <w:t xml:space="preserve">Passengers &amp; freight</w:t>
      </w:r>
      <w:r>
        <w:br/>
      </w:r>
      <w:r>
        <w:t xml:space="preserve">French transport code (Article L. 1431-3)</w:t>
      </w:r>
      <w:r>
        <w:br/>
      </w:r>
      <w:r>
        <w:t xml:space="preserve">All modes</w:t>
      </w:r>
      <w:r>
        <w:br/>
      </w:r>
      <w:r>
        <w:t xml:space="preserve">Passengers &amp; freight</w:t>
      </w:r>
      <w:r>
        <w:br/>
      </w:r>
      <w:r>
        <w:t xml:space="preserve">Parcel Delivery Environmental Footprint76</w:t>
      </w:r>
      <w:r>
        <w:br/>
      </w:r>
      <w:r>
        <w:t xml:space="preserve">All modes</w:t>
      </w:r>
      <w:r>
        <w:br/>
      </w:r>
      <w:r>
        <w:t xml:space="preserve">Parcel</w:t>
      </w:r>
      <w:r>
        <w:br/>
      </w:r>
      <w:r>
        <w:t xml:space="preserve">GLEC</w:t>
      </w:r>
      <w:r>
        <w:br/>
      </w:r>
      <w:r>
        <w:t xml:space="preserve">All modes</w:t>
      </w:r>
      <w:r>
        <w:br/>
      </w:r>
      <w:r>
        <w:t xml:space="preserve">Freight</w:t>
      </w:r>
      <w:r>
        <w:br/>
      </w:r>
      <w:r>
        <w:t xml:space="preserve">SmartWay</w:t>
      </w:r>
      <w:r>
        <w:br/>
      </w:r>
      <w:r>
        <w:t xml:space="preserve">All modes</w:t>
      </w:r>
      <w:r>
        <w:br/>
      </w:r>
      <w:r>
        <w:t xml:space="preserve">Freight</w:t>
      </w:r>
      <w:r>
        <w:br/>
      </w:r>
      <w:r>
        <w:t xml:space="preserve">Topsector</w:t>
      </w:r>
      <w:r>
        <w:br/>
      </w:r>
      <w:r>
        <w:t xml:space="preserve">All modes</w:t>
      </w:r>
      <w:r>
        <w:br/>
      </w:r>
      <w:r>
        <w:t xml:space="preserve">Freight</w:t>
      </w:r>
      <w:r>
        <w:br/>
      </w:r>
      <w:r>
        <w:t xml:space="preserve">Clean Cargo Working Group</w:t>
      </w:r>
      <w:r>
        <w:br/>
      </w:r>
      <w:r>
        <w:t xml:space="preserve">Maritime</w:t>
      </w:r>
      <w:r>
        <w:br/>
      </w:r>
      <w:r>
        <w:t xml:space="preserve">Freight</w:t>
      </w:r>
      <w:r>
        <w:br/>
      </w:r>
      <w:r>
        <w:t xml:space="preserve">EU MRV</w:t>
      </w:r>
      <w:r>
        <w:br/>
      </w:r>
      <w:r>
        <w:t xml:space="preserve">Maritime</w:t>
      </w:r>
      <w:r>
        <w:br/>
      </w:r>
      <w:r>
        <w:t xml:space="preserve">Freight</w:t>
      </w:r>
      <w:r>
        <w:br/>
      </w:r>
      <w:r>
        <w:t xml:space="preserve">IMO DCS</w:t>
      </w:r>
      <w:r>
        <w:br/>
      </w:r>
      <w:r>
        <w:t xml:space="preserve">Maritime</w:t>
      </w:r>
      <w:r>
        <w:br/>
      </w:r>
      <w:r>
        <w:t xml:space="preserve">Freight</w:t>
      </w:r>
      <w:r>
        <w:br/>
      </w:r>
      <w:r>
        <w:t xml:space="preserve">CORSIA</w:t>
      </w:r>
      <w:r>
        <w:br/>
      </w:r>
      <w:r>
        <w:t xml:space="preserve">Aviation</w:t>
      </w:r>
      <w:r>
        <w:br/>
      </w:r>
      <w:r>
        <w:t xml:space="preserve">Passengers &amp; freight</w:t>
      </w:r>
      <w:r>
        <w:br/>
      </w:r>
      <w:r>
        <w:t xml:space="preserve">ICAO/IATA RP1678</w:t>
      </w:r>
      <w:r>
        <w:br/>
      </w:r>
      <w:r>
        <w:t xml:space="preserve">Aviation</w:t>
      </w:r>
      <w:r>
        <w:br/>
      </w:r>
      <w:r>
        <w:t xml:space="preserve">Freight</w:t>
      </w:r>
      <w:r>
        <w:br/>
      </w:r>
      <w:r>
        <w:t xml:space="preserve">IATA</w:t>
      </w:r>
      <w:r>
        <w:br/>
      </w:r>
      <w:r>
        <w:t xml:space="preserve">Aviation</w:t>
      </w:r>
      <w:r>
        <w:br/>
      </w:r>
      <w:r>
        <w:t xml:space="preserve">Passengers</w:t>
      </w:r>
      <w:r>
        <w:t xml:space="preserve"> </w:t>
      </w:r>
      <w:r>
        <w:t xml:space="preserve">EU ETS aviation</w:t>
      </w:r>
      <w:r>
        <w:br/>
      </w:r>
      <w:r>
        <w:t xml:space="preserve">Aviation</w:t>
      </w:r>
      <w:r>
        <w:br/>
      </w:r>
      <w:r>
        <w:t xml:space="preserve">Passengers &amp; freight</w:t>
      </w:r>
      <w:r>
        <w:br/>
      </w:r>
      <w:r>
        <w:t xml:space="preserve">Source: Ecorys and CE Delft (2023), Impact assessment support study</w:t>
      </w:r>
      <w:r>
        <w:t xml:space="preserve"> </w:t>
      </w:r>
      <w:r>
        <w:t xml:space="preserve">These methods have been, or are being developed, by various bodies, including standardisation</w:t>
      </w:r>
      <w:r>
        <w:t xml:space="preserve"> </w:t>
      </w:r>
      <w:r>
        <w:t xml:space="preserve">organisations77, public authorities78 and industry associations79, based on specific principles,</w:t>
      </w:r>
      <w:r>
        <w:t xml:space="preserve"> </w:t>
      </w:r>
      <w:r>
        <w:t xml:space="preserve">objectives and perspectives, in many cases entailing very specific governance structures80. Some</w:t>
      </w:r>
    </w:p>
    <w:p>
      <w:pPr>
        <w:pStyle w:val="BodyText"/>
      </w:pPr>
      <w:r>
        <w:t xml:space="preserve">75 Such as BigMile, Carbon Care, Carbon Visibility/Transporeon, EcoPassenger, EcoTransit, Eurocontrol small</w:t>
      </w:r>
      <w:r>
        <w:t xml:space="preserve"> </w:t>
      </w:r>
      <w:r>
        <w:t xml:space="preserve">emitters tool, GHG Protocol Calculation tool for transport, GreenRouter, LogEC, NTM calc, Reff tool, Seaexplorer,</w:t>
      </w:r>
      <w:r>
        <w:t xml:space="preserve"> </w:t>
      </w:r>
      <w:r>
        <w:t xml:space="preserve">Sncf, TK’Blue, TRACKS.</w:t>
      </w:r>
      <w:r>
        <w:br/>
      </w:r>
      <w:r>
        <w:t xml:space="preserve">76 https://single-market-economy.ec.europa.eu/sectors/postal-services_en</w:t>
      </w:r>
      <w:r>
        <w:br/>
      </w:r>
      <w:r>
        <w:t xml:space="preserve">77 E.g. CEN EN 16258</w:t>
      </w:r>
      <w:r>
        <w:t xml:space="preserve"> </w:t>
      </w:r>
      <w:r>
        <w:t xml:space="preserve">78 E.g. French Transport Code</w:t>
      </w:r>
      <w:r>
        <w:t xml:space="preserve"> </w:t>
      </w:r>
      <w:r>
        <w:t xml:space="preserve">79 E.g. IATA RP1678</w:t>
      </w:r>
      <w:r>
        <w:t xml:space="preserve"> </w:t>
      </w:r>
      <w:r>
        <w:t xml:space="preserve">80 E.g. Topsector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of these cover only individual segments or modes of transport; others enable to quantify</w:t>
      </w:r>
      <w:r>
        <w:t xml:space="preserve"> </w:t>
      </w:r>
      <w:r>
        <w:t xml:space="preserve">emissions across the entire transport chain.</w:t>
      </w:r>
      <w:r>
        <w:br/>
      </w:r>
      <w:r>
        <w:t xml:space="preserve">The methods differ in terms of principles and approaches. These differences concern a number</w:t>
      </w:r>
      <w:r>
        <w:t xml:space="preserve"> </w:t>
      </w:r>
      <w:r>
        <w:t xml:space="preserve">of design elements, including the scope (such as type of emissions covered81, activity</w:t>
      </w:r>
      <w:r>
        <w:t xml:space="preserve"> </w:t>
      </w:r>
      <w:r>
        <w:t xml:space="preserve">boundaries82, intended users83, perspective84), the method of emissions calculation (granularity</w:t>
      </w:r>
      <w:r>
        <w:t xml:space="preserve"> </w:t>
      </w:r>
      <w:r>
        <w:t xml:space="preserve">of output85, metrics86) or allocation of emissions to transport services87, thus resulting eventually</w:t>
      </w:r>
      <w:r>
        <w:t xml:space="preserve"> </w:t>
      </w:r>
      <w:r>
        <w:t xml:space="preserve">in highly inconsistent and non-comparable GHG emissions data that is available on the market.</w:t>
      </w:r>
      <w:r>
        <w:t xml:space="preserve"> </w:t>
      </w:r>
      <w:r>
        <w:t xml:space="preserve">A detailed analysis of these specific methodological principles and approaches in relation to the</w:t>
      </w:r>
      <w:r>
        <w:t xml:space="preserve"> </w:t>
      </w:r>
      <w:r>
        <w:t xml:space="preserve">identified methods is provided in Annex 8.</w:t>
      </w:r>
      <w:r>
        <w:br/>
      </w:r>
      <w:r>
        <w:t xml:space="preserve">The responses to the OPC acknowledged that the proliferation of standards and methodologies</w:t>
      </w:r>
      <w:r>
        <w:t xml:space="preserve"> </w:t>
      </w:r>
      <w:r>
        <w:t xml:space="preserve">poses a serious challenge for the comparability of emissions data. 90% of respondents (157 of</w:t>
      </w:r>
      <w:r>
        <w:t xml:space="preserve"> </w:t>
      </w:r>
      <w:r>
        <w:t xml:space="preserve">174 respondents) indicated the problem with fragmented emissions calculation methods in the</w:t>
      </w:r>
      <w:r>
        <w:t xml:space="preserve"> </w:t>
      </w:r>
      <w:r>
        <w:t xml:space="preserve">transport sector to be at least significant, and 69% (113 out of 163) stated that this situation</w:t>
      </w:r>
      <w:r>
        <w:t xml:space="preserve"> </w:t>
      </w:r>
      <w:r>
        <w:t xml:space="preserve">affects their private or professional activities. This problem driver was reported as important also</w:t>
      </w:r>
      <w:r>
        <w:t xml:space="preserve"> </w:t>
      </w:r>
      <w:r>
        <w:t xml:space="preserve">in the other consultation activities.</w:t>
      </w:r>
      <w:r>
        <w:t xml:space="preserve"> </w:t>
      </w:r>
      <w:r>
        <w:t xml:space="preserve">Problem Driver 2: No set of harmonised input data to apply emissions accounting</w:t>
      </w:r>
      <w:r>
        <w:t xml:space="preserve"> </w:t>
      </w:r>
      <w:r>
        <w:t xml:space="preserve">The lack of harmonised input data is another key driver contributing to the limited comparability</w:t>
      </w:r>
      <w:r>
        <w:t xml:space="preserve"> </w:t>
      </w:r>
      <w:r>
        <w:t xml:space="preserve">of results from GHG emissions accounting in transport and logistics (problem 1). Depending on</w:t>
      </w:r>
      <w:r>
        <w:t xml:space="preserve"> </w:t>
      </w:r>
      <w:r>
        <w:t xml:space="preserve">the method chosen88, different types of input data are required or used to quantify emissions from</w:t>
      </w:r>
      <w:r>
        <w:t xml:space="preserve"> </w:t>
      </w:r>
      <w:r>
        <w:t xml:space="preserve">transport activities. The types of data required or used are presented in Box 1.</w:t>
      </w:r>
      <w:r>
        <w:t xml:space="preserve"> </w:t>
      </w:r>
      <w:r>
        <w:t xml:space="preserve">Box 1. Type of data</w:t>
      </w:r>
      <w:r>
        <w:br/>
      </w:r>
      <w:r>
        <w:t xml:space="preserve">Primary data (actual data) recorded at source by continuous monitoring and measuring actual fuel/energy</w:t>
      </w:r>
      <w:r>
        <w:t xml:space="preserve"> </w:t>
      </w:r>
      <w:r>
        <w:t xml:space="preserve">consumption. This may also include transport performance data (e.g. origin, destination, number of persons /</w:t>
      </w:r>
      <w:r>
        <w:t xml:space="preserve"> </w:t>
      </w:r>
      <w:r>
        <w:t xml:space="preserve">volume of freight transported).</w:t>
      </w:r>
      <w:r>
        <w:t xml:space="preserve"> </w:t>
      </w:r>
      <w:r>
        <w:t xml:space="preserve">Secondary data include default values from literature or modelled data.</w:t>
      </w:r>
    </w:p>
    <w:p>
      <w:pPr>
        <w:pStyle w:val="BodyText"/>
      </w:pPr>
      <w:r>
        <w:t xml:space="preserve">81 E.g. CO2 emissions, non-CO2 emissions originating from combustion of fuel, non-CO2 emissions originating from</w:t>
      </w:r>
      <w:r>
        <w:t xml:space="preserve"> </w:t>
      </w:r>
      <w:r>
        <w:t xml:space="preserve">refrigeration, global warming effect of emission of non-CO2 products at high altitudes, global warming effect of</w:t>
      </w:r>
      <w:r>
        <w:t xml:space="preserve"> </w:t>
      </w:r>
      <w:r>
        <w:t xml:space="preserve">black carbon emissions, etc.</w:t>
      </w:r>
      <w:r>
        <w:t xml:space="preserve"> </w:t>
      </w:r>
      <w:r>
        <w:t xml:space="preserve">82 Tank-to-Wheel, Well-to-Wheel, full lifecycle.</w:t>
      </w:r>
      <w:r>
        <w:t xml:space="preserve"> </w:t>
      </w:r>
      <w:r>
        <w:t xml:space="preserve">83 Transport service providers, transport users.</w:t>
      </w:r>
      <w:r>
        <w:t xml:space="preserve"> </w:t>
      </w:r>
      <w:r>
        <w:t xml:space="preserve">84 Ex post, ex ante.</w:t>
      </w:r>
      <w:r>
        <w:t xml:space="preserve"> </w:t>
      </w:r>
      <w:r>
        <w:t xml:space="preserve">85 Total GHG emissions of a transport operator, GHG emissions of a transport service user or organiser, transport</w:t>
      </w:r>
      <w:r>
        <w:t xml:space="preserve"> </w:t>
      </w:r>
      <w:r>
        <w:t xml:space="preserve">service level (passenger, freight type, mode), transport chain element/leg, single vehicle, individual trip, total GHG</w:t>
      </w:r>
      <w:r>
        <w:t xml:space="preserve"> </w:t>
      </w:r>
      <w:r>
        <w:t xml:space="preserve">emissions of a hub operator, GHG emissions per activity at hub.</w:t>
      </w:r>
      <w:r>
        <w:t xml:space="preserve"> </w:t>
      </w:r>
      <w:r>
        <w:t xml:space="preserve">86 E.g. emissions per tonne-km or passenger-km.</w:t>
      </w:r>
      <w:r>
        <w:t xml:space="preserve"> </w:t>
      </w:r>
      <w:r>
        <w:t xml:space="preserve">87 Company level, transport leg level, transport chain element, trip level - journey specific.</w:t>
      </w:r>
      <w:r>
        <w:t xml:space="preserve"> </w:t>
      </w:r>
      <w:r>
        <w:t xml:space="preserve">88 Some methods prescribe only activity based emissions (primary information and/or emission intensity factors),</w:t>
      </w:r>
      <w:r>
        <w:t xml:space="preserve"> </w:t>
      </w:r>
      <w:r>
        <w:t xml:space="preserve">e.g. MRV, CORSIA; other cover the energy lifecycle emissions (activity based emissions and energy emission</w:t>
      </w:r>
      <w:r>
        <w:t xml:space="preserve"> </w:t>
      </w:r>
      <w:r>
        <w:t xml:space="preserve">factors), e.g. ISO 14083, CEN 16258; and other reflect emissions generated during the full lifecycle of products,</w:t>
      </w:r>
      <w:r>
        <w:t xml:space="preserve"> </w:t>
      </w:r>
      <w:r>
        <w:t xml:space="preserve">such as PEF.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The following default values are most relevant in the context of CountEmissions EU: (1) GHG emission</w:t>
      </w:r>
      <w:r>
        <w:t xml:space="preserve"> </w:t>
      </w:r>
      <w:r>
        <w:t xml:space="preserve">intensity factors (default values for GHG emission intensity), used to derive estimates of GHG emissions related</w:t>
      </w:r>
      <w:r>
        <w:t xml:space="preserve"> </w:t>
      </w:r>
      <w:r>
        <w:t xml:space="preserve">to fuel combustion based on transport performance data. These factors are often expressed in grams of GHG</w:t>
      </w:r>
      <w:r>
        <w:t xml:space="preserve"> </w:t>
      </w:r>
      <w:r>
        <w:t xml:space="preserve">emissions per vehicle kilometre, grams of GHG emissions per tonne-kilometre or grams of GHG emissions per</w:t>
      </w:r>
      <w:r>
        <w:t xml:space="preserve"> </w:t>
      </w:r>
      <w:r>
        <w:t xml:space="preserve">passenger-kilometre; (2) GHG energy emission factors (GHG emission factors), used to derive estimates of</w:t>
      </w:r>
      <w:r>
        <w:t xml:space="preserve"> </w:t>
      </w:r>
      <w:r>
        <w:t xml:space="preserve">GHG emissions based on the amount of energy/fuel used. These factors are often expressed in grams of GHG</w:t>
      </w:r>
      <w:r>
        <w:t xml:space="preserve"> </w:t>
      </w:r>
      <w:r>
        <w:t xml:space="preserve">emissions per litre/kWh or grams of GHG emissions per MJ; and (3) other emission factors applied by methods</w:t>
      </w:r>
      <w:r>
        <w:t xml:space="preserve"> </w:t>
      </w:r>
      <w:r>
        <w:t xml:space="preserve">that incorporate emissions stemming from the production and scrapping of vehicles, or infrastructure use.</w:t>
      </w:r>
      <w:r>
        <w:t xml:space="preserve"> </w:t>
      </w:r>
      <w:r>
        <w:t xml:space="preserve">Modelled data are data established by use of a model that takes into account primary data and/or GHG emission-</w:t>
      </w:r>
      <w:r>
        <w:t xml:space="preserve"> </w:t>
      </w:r>
      <w:r>
        <w:t xml:space="preserve">relevant parameters of a transport operation or hub operation. The model may be provided for instance through</w:t>
      </w:r>
      <w:r>
        <w:t xml:space="preserve"> </w:t>
      </w:r>
      <w:r>
        <w:t xml:space="preserve">a commercial calculation tool offered on the market</w:t>
      </w:r>
      <w:r>
        <w:t xml:space="preserve"> </w:t>
      </w:r>
      <w:r>
        <w:t xml:space="preserve">The majority of methods listed in Table 1 and in Annex 8 prioritise the use of primary data</w:t>
      </w:r>
      <w:r>
        <w:t xml:space="preserve"> </w:t>
      </w:r>
      <w:r>
        <w:t xml:space="preserve">reflecting the actual fuel/energy consumed while performing operations. Nonetheless, this type</w:t>
      </w:r>
      <w:r>
        <w:t xml:space="preserve"> </w:t>
      </w:r>
      <w:r>
        <w:t xml:space="preserve">of information is not always available to businesses89, and in this case default values need to be</w:t>
      </w:r>
      <w:r>
        <w:t xml:space="preserve"> </w:t>
      </w:r>
      <w:r>
        <w:t xml:space="preserve">applied. On the other hand, using default values, or even modelled data, bears the risk that the</w:t>
      </w:r>
      <w:r>
        <w:t xml:space="preserve"> </w:t>
      </w:r>
      <w:r>
        <w:t xml:space="preserve">calculation outcomes do not reflect all the relevant aspects of a transport service. To limit this</w:t>
      </w:r>
      <w:r>
        <w:t xml:space="preserve"> </w:t>
      </w:r>
      <w:r>
        <w:t xml:space="preserve">risk, default values should be based on trustful, scientifically proven and accurate datasets, and</w:t>
      </w:r>
      <w:r>
        <w:t xml:space="preserve"> </w:t>
      </w:r>
      <w:r>
        <w:t xml:space="preserve">the GHG emission-relevant parameters of modelled data should result in best possible</w:t>
      </w:r>
      <w:r>
        <w:t xml:space="preserve"> </w:t>
      </w:r>
      <w:r>
        <w:t xml:space="preserve">representation of actual GHG emissions of a transport service.</w:t>
      </w:r>
      <w:r>
        <w:br/>
      </w:r>
      <w:r>
        <w:t xml:space="preserve">Currently available databases of default values are scattered across the entire transport sector,</w:t>
      </w:r>
      <w:r>
        <w:t xml:space="preserve"> </w:t>
      </w:r>
      <w:r>
        <w:t xml:space="preserve">and this concerns especially those covering the emission intensity factors90. The emission</w:t>
      </w:r>
      <w:r>
        <w:t xml:space="preserve"> </w:t>
      </w:r>
      <w:r>
        <w:t xml:space="preserve">databases often have a national scope, reflecting emission intensity factors in gram per vehicle-</w:t>
      </w:r>
      <w:r>
        <w:t xml:space="preserve"> </w:t>
      </w:r>
      <w:r>
        <w:t xml:space="preserve">kilometre, passenger-kilometre or tonne-kilometre. There are important differences between</w:t>
      </w:r>
      <w:r>
        <w:t xml:space="preserve"> </w:t>
      </w:r>
      <w:r>
        <w:t xml:space="preserve">countries, for instance regarding the share of transport modes used (e.g. road, rail, aviation,</w:t>
      </w:r>
      <w:r>
        <w:t xml:space="preserve"> </w:t>
      </w:r>
      <w:r>
        <w:t xml:space="preserve">waterborne), the composition of the vehicle fleet, energy mix, etc. What is more, a number of</w:t>
      </w:r>
      <w:r>
        <w:t xml:space="preserve"> </w:t>
      </w:r>
      <w:r>
        <w:t xml:space="preserve">specific datasets are also embedded in specific calculation tools offered on the market as a</w:t>
      </w:r>
      <w:r>
        <w:t xml:space="preserve"> </w:t>
      </w:r>
      <w:r>
        <w:t xml:space="preserve">support for emissions accounting, thus further contributing to the proliferation of the default</w:t>
      </w:r>
      <w:r>
        <w:t xml:space="preserve"> </w:t>
      </w:r>
      <w:r>
        <w:t xml:space="preserve">values environment91.</w:t>
      </w:r>
      <w:r>
        <w:br/>
      </w:r>
      <w:r>
        <w:t xml:space="preserve">As a result, transport service organisers (and other entities calculating emissions from transport</w:t>
      </w:r>
      <w:r>
        <w:t xml:space="preserve"> </w:t>
      </w:r>
      <w:r>
        <w:t xml:space="preserve">services) face considerable challenges to access credible sources of input data for the</w:t>
      </w:r>
      <w:r>
        <w:t xml:space="preserve"> </w:t>
      </w:r>
      <w:r>
        <w:t xml:space="preserve">quantification of their GHG emissions, in particular for cross-border transport activities. As the</w:t>
      </w:r>
      <w:r>
        <w:t xml:space="preserve"> </w:t>
      </w:r>
      <w:r>
        <w:t xml:space="preserve">available datasets, especially in case of emission intensity factors, vary in terms of their</w:t>
      </w:r>
      <w:r>
        <w:t xml:space="preserve"> </w:t>
      </w:r>
      <w:r>
        <w:t xml:space="preserve">specification level (also because of different models used to calculate the values), this leads to</w:t>
      </w:r>
      <w:r>
        <w:t xml:space="preserve"> </w:t>
      </w:r>
      <w:r>
        <w:t xml:space="preserve">substantial divergences in the GHG emissions data, even when calculated using the same</w:t>
      </w:r>
      <w:r>
        <w:t xml:space="preserve"> </w:t>
      </w:r>
      <w:r>
        <w:t xml:space="preserve">method92.</w:t>
      </w:r>
    </w:p>
    <w:p>
      <w:pPr>
        <w:pStyle w:val="BodyText"/>
      </w:pPr>
      <w:r>
        <w:t xml:space="preserve">89 For example, Stevens et al., 2018, Towards an adequate methodology for GHG emissions accounting in logistics,</w:t>
      </w:r>
      <w:r>
        <w:t xml:space="preserve"> </w:t>
      </w:r>
      <w:r>
        <w:t xml:space="preserve">TU Delft, found that one of the main challenges of applying GHG emissions accounting for transport at Heineken</w:t>
      </w:r>
      <w:r>
        <w:t xml:space="preserve"> </w:t>
      </w:r>
      <w:r>
        <w:t xml:space="preserve">is obtaining accurate (primary) data.</w:t>
      </w:r>
      <w:r>
        <w:t xml:space="preserve"> </w:t>
      </w:r>
      <w:r>
        <w:t xml:space="preserve">90 For instance ADEME, DBEIS/DEFRA, GLEC, STREAM.</w:t>
      </w:r>
      <w:r>
        <w:t xml:space="preserve"> </w:t>
      </w:r>
      <w:r>
        <w:t xml:space="preserve">91 It should be noted that approaches used by these tools differ widely. Some of them focus on calculating emissions</w:t>
      </w:r>
      <w:r>
        <w:t xml:space="preserve"> </w:t>
      </w:r>
      <w:r>
        <w:t xml:space="preserve">based on default data, while other tools aim to support users in their GHG emissions accounting by automating</w:t>
      </w:r>
      <w:r>
        <w:t xml:space="preserve"> </w:t>
      </w:r>
      <w:r>
        <w:t xml:space="preserve">calculations based on primary data and allocating the emissions to specific transport services.</w:t>
      </w:r>
      <w:r>
        <w:t xml:space="preserve"> </w:t>
      </w:r>
      <w:r>
        <w:t xml:space="preserve">92 Based on the experimentation in the EU LEARN project.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This problem driver was signalled by several stakeholders during the targeted survey and</w:t>
      </w:r>
      <w:r>
        <w:t xml:space="preserve"> </w:t>
      </w:r>
      <w:r>
        <w:t xml:space="preserve">especially the workshop as a key barrier hampering the comparability of the GHG emissions data</w:t>
      </w:r>
      <w:r>
        <w:t xml:space="preserve"> </w:t>
      </w:r>
      <w:r>
        <w:t xml:space="preserve">in the transport chain. Also, 24 of the 31 (77%) respondents to the targeted survey considered it</w:t>
      </w:r>
      <w:r>
        <w:t xml:space="preserve"> </w:t>
      </w:r>
      <w:r>
        <w:t xml:space="preserve">relevant or highly relevant (addressing it together with the driver related to the proliferation of</w:t>
      </w:r>
      <w:r>
        <w:t xml:space="preserve"> </w:t>
      </w:r>
      <w:r>
        <w:t xml:space="preserve">methodological principles).</w:t>
      </w:r>
      <w:r>
        <w:br/>
      </w:r>
      <w:r>
        <w:t xml:space="preserve">Problem Driver 3: Reluctance to reveal sensitive operational data</w:t>
      </w:r>
      <w:r>
        <w:t xml:space="preserve"> </w:t>
      </w:r>
      <w:r>
        <w:t xml:space="preserve">GHG emissions accounting may be perceived to imply sharing commercially sensitive data.</w:t>
      </w:r>
      <w:r>
        <w:t xml:space="preserve"> </w:t>
      </w:r>
      <w:r>
        <w:t xml:space="preserve">Primary data in particular, may reveal the amount of fuel or energy consumed that is related to</w:t>
      </w:r>
      <w:r>
        <w:t xml:space="preserve"> </w:t>
      </w:r>
      <w:r>
        <w:t xml:space="preserve">the assignments of specific customers, and therefore emissions can be reversely converted into</w:t>
      </w:r>
      <w:r>
        <w:t xml:space="preserve"> </w:t>
      </w:r>
      <w:r>
        <w:t xml:space="preserve">the cost of operation. Especially in the freight transport sector, this is seen as a factor negatively</w:t>
      </w:r>
      <w:r>
        <w:t xml:space="preserve"> </w:t>
      </w:r>
      <w:r>
        <w:t xml:space="preserve">affecting the negotiating power of transport operators vis-à-vis users, or creating competition</w:t>
      </w:r>
      <w:r>
        <w:t xml:space="preserve"> </w:t>
      </w:r>
      <w:r>
        <w:t xml:space="preserve">issues amongst operators themselves.</w:t>
      </w:r>
      <w:r>
        <w:br/>
      </w:r>
      <w:r>
        <w:t xml:space="preserve">As a result, transport operators very often are reluctant to share actual emissions data, even</w:t>
      </w:r>
      <w:r>
        <w:t xml:space="preserve"> </w:t>
      </w:r>
      <w:r>
        <w:t xml:space="preserve">though the attempts to reverse-engineer costs are often complex and expensive. This situation</w:t>
      </w:r>
      <w:r>
        <w:t xml:space="preserve"> </w:t>
      </w:r>
      <w:r>
        <w:t xml:space="preserve">occurs in particular when the data of competitors show better performance, or if the operator</w:t>
      </w:r>
      <w:r>
        <w:t xml:space="preserve"> </w:t>
      </w:r>
      <w:r>
        <w:t xml:space="preserve">considers that competitors may use different (more beneficial from their viewpoint) methods to</w:t>
      </w:r>
      <w:r>
        <w:t xml:space="preserve"> </w:t>
      </w:r>
      <w:r>
        <w:t xml:space="preserve">compute the data, or eventually when a user is able to estimate the actual cost of the service. The</w:t>
      </w:r>
      <w:r>
        <w:t xml:space="preserve"> </w:t>
      </w:r>
      <w:r>
        <w:t xml:space="preserve">latter is mostly related to the issue of splitting incentives between transport operators and users,</w:t>
      </w:r>
      <w:r>
        <w:t xml:space="preserve"> </w:t>
      </w:r>
      <w:r>
        <w:t xml:space="preserve">stemming from contractual agreements and reflecting for instance the division of responsibility</w:t>
      </w:r>
      <w:r>
        <w:t xml:space="preserve"> </w:t>
      </w:r>
      <w:r>
        <w:t xml:space="preserve">for the fuel costs that has an impact on the final price of the service.</w:t>
      </w:r>
      <w:r>
        <w:t xml:space="preserve"> </w:t>
      </w:r>
      <w:r>
        <w:t xml:space="preserve">This reluctance is a driver behind the limited availability of the GHG emissions data, and overall</w:t>
      </w:r>
      <w:r>
        <w:t xml:space="preserve"> </w:t>
      </w:r>
      <w:r>
        <w:t xml:space="preserve">low uptake of emissions accounting on the market. If operators refuse to share data on their actual</w:t>
      </w:r>
      <w:r>
        <w:t xml:space="preserve"> </w:t>
      </w:r>
      <w:r>
        <w:t xml:space="preserve">emissions, transport users have to use modelling data or default values to complete their GHG</w:t>
      </w:r>
      <w:r>
        <w:t xml:space="preserve"> </w:t>
      </w:r>
      <w:r>
        <w:t xml:space="preserve">emissions calculations. Consequently, these calculations reflect less accurately the actual</w:t>
      </w:r>
      <w:r>
        <w:t xml:space="preserve"> </w:t>
      </w:r>
      <w:r>
        <w:t xml:space="preserve">emissions associated with the transport services, thus hindering the quality and comparability of</w:t>
      </w:r>
      <w:r>
        <w:t xml:space="preserve"> </w:t>
      </w:r>
      <w:r>
        <w:t xml:space="preserve">these data.</w:t>
      </w:r>
      <w:r>
        <w:t xml:space="preserve"> </w:t>
      </w:r>
      <w:r>
        <w:t xml:space="preserve">In the OPC, this problem driver was generally regarded as more important by stakeholders</w:t>
      </w:r>
      <w:r>
        <w:t xml:space="preserve"> </w:t>
      </w:r>
      <w:r>
        <w:t xml:space="preserve">operating in the freight and logistics segments, and especially by those working with complex</w:t>
      </w:r>
      <w:r>
        <w:t xml:space="preserve"> </w:t>
      </w:r>
      <w:r>
        <w:t xml:space="preserve">supply chains. In the targeted survey, 19 out of 31 (61%) respondents indicated that this problem</w:t>
      </w:r>
      <w:r>
        <w:t xml:space="preserve"> </w:t>
      </w:r>
      <w:r>
        <w:t xml:space="preserve">driver is either highly relevant or relevant. Although both large and small organisations are</w:t>
      </w:r>
      <w:r>
        <w:t xml:space="preserve"> </w:t>
      </w:r>
      <w:r>
        <w:t xml:space="preserve">reported to be unwilling to share operational data, operators and users interviewed in the targeted</w:t>
      </w:r>
      <w:r>
        <w:t xml:space="preserve"> </w:t>
      </w:r>
      <w:r>
        <w:t xml:space="preserve">consultation pointed out that particularly SMEs are hesitant in this respect, since they have less</w:t>
      </w:r>
      <w:r>
        <w:t xml:space="preserve"> </w:t>
      </w:r>
      <w:r>
        <w:t xml:space="preserve">market power and hence, they perceive disclosing information on their emissions as a higher</w:t>
      </w:r>
      <w:r>
        <w:t xml:space="preserve"> </w:t>
      </w:r>
      <w:r>
        <w:t xml:space="preserve">risk.</w:t>
      </w:r>
      <w:r>
        <w:t xml:space="preserve"> </w:t>
      </w:r>
      <w:r>
        <w:t xml:space="preserve">Problem Driver 4: Lack of trust concerning GHG emissions output data</w:t>
      </w:r>
      <w:r>
        <w:t xml:space="preserve"> </w:t>
      </w:r>
      <w:r>
        <w:t xml:space="preserve">The trust in the relevance of GHG emissions output data is strongly correlated with their</w:t>
      </w:r>
      <w:r>
        <w:t xml:space="preserve"> </w:t>
      </w:r>
      <w:r>
        <w:t xml:space="preserve">reliability and accuracy. This trust may be compromised if there is no confidence on how the</w:t>
      </w:r>
      <w:r>
        <w:t xml:space="preserve"> </w:t>
      </w:r>
      <w:r>
        <w:t xml:space="preserve">emissions figures are calculated and what type of input data are used. The lack of trust therefore</w:t>
      </w:r>
      <w:r>
        <w:t xml:space="preserve"> </w:t>
      </w:r>
      <w:r>
        <w:t xml:space="preserve">limits the demand for the emissions data from transport service users, and results in disincentives</w:t>
      </w:r>
      <w:r>
        <w:t xml:space="preserve"> </w:t>
      </w:r>
      <w:r>
        <w:t xml:space="preserve">for transport service organisers (especially operators) to make the calculations.</w:t>
      </w:r>
      <w:r>
        <w:br/>
      </w:r>
      <w:r>
        <w:t xml:space="preserve">There are several reasons behind this situation. Some of them are associated with the</w:t>
      </w:r>
      <w:r>
        <w:t xml:space="preserve"> </w:t>
      </w:r>
      <w:r>
        <w:t xml:space="preserve">proliferation of GHG methods and the very fragmented landscape of default emissions values,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discussed above. Others are linked to the fact that transport service providers make unconscious</w:t>
      </w:r>
      <w:r>
        <w:t xml:space="preserve"> </w:t>
      </w:r>
      <w:r>
        <w:t xml:space="preserve">errors in their measurements and calculations of emissions, or intentionally underreport their</w:t>
      </w:r>
      <w:r>
        <w:t xml:space="preserve"> </w:t>
      </w:r>
      <w:r>
        <w:t xml:space="preserve">GHG emissions to improve their own competitive position on the market93. For instance, the</w:t>
      </w:r>
      <w:r>
        <w:t xml:space="preserve"> </w:t>
      </w:r>
      <w:r>
        <w:t xml:space="preserve">latter may take the form of “values shopping”. If emissions accounted from primary data are</w:t>
      </w:r>
      <w:r>
        <w:t xml:space="preserve"> </w:t>
      </w:r>
      <w:r>
        <w:t xml:space="preserve">higher than those resulting from the use of specific default values, there is a strong incentive on</w:t>
      </w:r>
      <w:r>
        <w:t xml:space="preserve"> </w:t>
      </w:r>
      <w:r>
        <w:t xml:space="preserve">the part of the reporting organisation to use secondary data, at the expense of their accuracy and</w:t>
      </w:r>
      <w:r>
        <w:t xml:space="preserve"> </w:t>
      </w:r>
      <w:r>
        <w:t xml:space="preserve">reliability. These causes are closely related to the issue of unsubstantiated environmental claims</w:t>
      </w:r>
      <w:r>
        <w:t xml:space="preserve"> </w:t>
      </w:r>
      <w:r>
        <w:t xml:space="preserve">and greenwashing and are further exacerbated by the absence of a common data verification</w:t>
      </w:r>
      <w:r>
        <w:t xml:space="preserve"> </w:t>
      </w:r>
      <w:r>
        <w:t xml:space="preserve">system that would guarantee the uniform application of accounting processes and the reliability</w:t>
      </w:r>
      <w:r>
        <w:t xml:space="preserve"> </w:t>
      </w:r>
      <w:r>
        <w:t xml:space="preserve">of the GHG emission calculation across transport modes and segments. On the other hand</w:t>
      </w:r>
      <w:r>
        <w:t xml:space="preserve"> </w:t>
      </w:r>
      <w:r>
        <w:t xml:space="preserve">however, additional costs and burden associated with the verification activities may further</w:t>
      </w:r>
      <w:r>
        <w:t xml:space="preserve"> </w:t>
      </w:r>
      <w:r>
        <w:t xml:space="preserve">discourage certain stakeholders from accounting and sharing emissions data.</w:t>
      </w:r>
      <w:r>
        <w:t xml:space="preserve"> </w:t>
      </w:r>
      <w:r>
        <w:t xml:space="preserve">According to the stakeholders consulted, the lack of trust concerning GHG emissions output data</w:t>
      </w:r>
      <w:r>
        <w:t xml:space="preserve"> </w:t>
      </w:r>
      <w:r>
        <w:t xml:space="preserve">is a reason for less demand for such output data and hence lower uptake of GHG emissions</w:t>
      </w:r>
      <w:r>
        <w:t xml:space="preserve"> </w:t>
      </w:r>
      <w:r>
        <w:t xml:space="preserve">accounting. In particular, the lack of a credible and harmonised verification mechanism for the</w:t>
      </w:r>
      <w:r>
        <w:t xml:space="preserve"> </w:t>
      </w:r>
      <w:r>
        <w:t xml:space="preserve">output shared or published has been raised as an issue by many stakeholders during the</w:t>
      </w:r>
      <w:r>
        <w:t xml:space="preserve"> </w:t>
      </w:r>
      <w:r>
        <w:t xml:space="preserve">workshop. In the OPC, 145 out of 175 respondents acknowledged that the access to reliable and</w:t>
      </w:r>
      <w:r>
        <w:t xml:space="preserve"> </w:t>
      </w:r>
      <w:r>
        <w:t xml:space="preserve">accurate GHG emissions data is very important or important.</w:t>
      </w:r>
      <w:r>
        <w:t xml:space="preserve"> </w:t>
      </w:r>
      <w:r>
        <w:t xml:space="preserve">Problem Driver 5: Perceived complexity and high costs of GHG emissions accounting</w:t>
      </w:r>
      <w:r>
        <w:t xml:space="preserve"> </w:t>
      </w:r>
      <w:r>
        <w:t xml:space="preserve">The uptake of GHG emissions accounting, especially by transport operators, is also hampered</w:t>
      </w:r>
      <w:r>
        <w:t xml:space="preserve"> </w:t>
      </w:r>
      <w:r>
        <w:t xml:space="preserve">by the perceived complexity and high associated costs, especially related to the operation of</w:t>
      </w:r>
      <w:r>
        <w:t xml:space="preserve"> </w:t>
      </w:r>
      <w:r>
        <w:t xml:space="preserve">specific computation processes, and sharing of GHG emissions output data in the transport</w:t>
      </w:r>
      <w:r>
        <w:t xml:space="preserve"> </w:t>
      </w:r>
      <w:r>
        <w:t xml:space="preserve">networks.</w:t>
      </w:r>
      <w:r>
        <w:br/>
      </w:r>
      <w:r>
        <w:t xml:space="preserve">The GHG emissions computation processes require the combination and matching of various</w:t>
      </w:r>
      <w:r>
        <w:t xml:space="preserve"> </w:t>
      </w:r>
      <w:r>
        <w:t xml:space="preserve">data sets, which may be stored in different systems and parts of an organisation94. Particularly in</w:t>
      </w:r>
      <w:r>
        <w:t xml:space="preserve"> </w:t>
      </w:r>
      <w:r>
        <w:t xml:space="preserve">case of fragmented or incomplete data, the use of different sources, inside or outside of an</w:t>
      </w:r>
      <w:r>
        <w:t xml:space="preserve"> </w:t>
      </w:r>
      <w:r>
        <w:t xml:space="preserve">organisation, proves to be challenging. This situation is further aggravated by the proliferation</w:t>
      </w:r>
      <w:r>
        <w:t xml:space="preserve"> </w:t>
      </w:r>
      <w:r>
        <w:t xml:space="preserve">of methods and defaults values datasets, and by the limited availability of transport activity data</w:t>
      </w:r>
      <w:r>
        <w:t xml:space="preserve"> </w:t>
      </w:r>
      <w:r>
        <w:t xml:space="preserve">that is required for quantifying emissions related to actual operations95. The perceived</w:t>
      </w:r>
      <w:r>
        <w:t xml:space="preserve"> </w:t>
      </w:r>
      <w:r>
        <w:t xml:space="preserve">complexity and costs associated with the computation processes concern in particular small</w:t>
      </w:r>
      <w:r>
        <w:t xml:space="preserve"> </w:t>
      </w:r>
      <w:r>
        <w:t xml:space="preserve">transport operators that very often are confused by the fragmented methodological environment,</w:t>
      </w:r>
      <w:r>
        <w:t xml:space="preserve"> </w:t>
      </w:r>
      <w:r>
        <w:t xml:space="preserve">do not have the capacity and resources to collect primary data, to allocate it to specific</w:t>
      </w:r>
      <w:r>
        <w:t xml:space="preserve"> </w:t>
      </w:r>
      <w:r>
        <w:t xml:space="preserve">operations/shipments/passengers and to perform the calculation of their emissions.</w:t>
      </w:r>
    </w:p>
    <w:p>
      <w:pPr>
        <w:pStyle w:val="BodyText"/>
      </w:pPr>
      <w:r>
        <w:t xml:space="preserve">93 Dobers, K. et al. (2019), Challenges to standardizing emissions calculation of logistics hubs as basis for</w:t>
      </w:r>
      <w:r>
        <w:t xml:space="preserve"> </w:t>
      </w:r>
      <w:r>
        <w:t xml:space="preserve">decarbonizing transport chains on a global scale, Transportation Research Record 2673, no. 9 (2019): 502-513.</w:t>
      </w:r>
      <w:r>
        <w:t xml:space="preserve"> </w:t>
      </w:r>
      <w:r>
        <w:t xml:space="preserve">94 For instance, fuel use data, which are often stored by the financial administration of an operator (as it is what</w:t>
      </w:r>
      <w:r>
        <w:t xml:space="preserve"> </w:t>
      </w:r>
      <w:r>
        <w:t xml:space="preserve">transport operators buy), need to be matched with transport activity data, which are stored elsewhere (as it is related</w:t>
      </w:r>
      <w:r>
        <w:t xml:space="preserve"> </w:t>
      </w:r>
      <w:r>
        <w:t xml:space="preserve">to customer orders) or they may be even in the possession of a shipper who has a better view on these data. Source:</w:t>
      </w:r>
      <w:r>
        <w:t xml:space="preserve"> </w:t>
      </w:r>
      <w:r>
        <w:t xml:space="preserve">Dobers, K. et al. (2019), Challenges to standardizing emissions calculation of logistics hubs as basis for</w:t>
      </w:r>
      <w:r>
        <w:t xml:space="preserve"> </w:t>
      </w:r>
      <w:r>
        <w:t xml:space="preserve">decarbonizing transport chains on a global scale, Transportation Research Record 2673, no. 9 (2019): 502-513.</w:t>
      </w:r>
      <w:r>
        <w:br/>
      </w:r>
      <w:r>
        <w:t xml:space="preserve">95 For instance, because the exact mass of a shipment is not recorded or available routing information is not detailed</w:t>
      </w:r>
      <w:r>
        <w:t xml:space="preserve"> </w:t>
      </w:r>
      <w:r>
        <w:t xml:space="preserve">enough (e.g. missing data on the actual route followed by the vehicle). Ehrler, V.C. et al. (2018), Standardisation of</w:t>
      </w:r>
      <w:r>
        <w:t xml:space="preserve"> </w:t>
      </w:r>
      <w:r>
        <w:t xml:space="preserve">transport chain emission calculation - status quo and what is needed next, Proceedings of 7th Transport Research</w:t>
      </w:r>
      <w:r>
        <w:t xml:space="preserve"> </w:t>
      </w:r>
      <w:r>
        <w:t xml:space="preserve">Arena TRA 2018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Subsequently, a large number of SMEs, and especially microenterprises are reported as not being</w:t>
      </w:r>
      <w:r>
        <w:t xml:space="preserve"> </w:t>
      </w:r>
      <w:r>
        <w:t xml:space="preserve">able to account their emissions, or not even having emission accounting capabilities96. SMEs</w:t>
      </w:r>
      <w:r>
        <w:t xml:space="preserve"> </w:t>
      </w:r>
      <w:r>
        <w:t xml:space="preserve">also experience specific knowledge gaps97, while for larger companies, data collection and data</w:t>
      </w:r>
      <w:r>
        <w:t xml:space="preserve"> </w:t>
      </w:r>
      <w:r>
        <w:t xml:space="preserve">quality/completeness are the most challenging issues. In addition, as already shown above, a</w:t>
      </w:r>
      <w:r>
        <w:t xml:space="preserve"> </w:t>
      </w:r>
      <w:r>
        <w:t xml:space="preserve">number of businesses that eventually decide to calculate emissions are unable to perform these</w:t>
      </w:r>
      <w:r>
        <w:t xml:space="preserve"> </w:t>
      </w:r>
      <w:r>
        <w:t xml:space="preserve">activities at the service (leg) level.</w:t>
      </w:r>
      <w:r>
        <w:t xml:space="preserve"> </w:t>
      </w:r>
      <w:r>
        <w:t xml:space="preserve">Furthermore, there are also significant costs perceived with processing and sharing of GHG</w:t>
      </w:r>
      <w:r>
        <w:t xml:space="preserve"> </w:t>
      </w:r>
      <w:r>
        <w:t xml:space="preserve">emissions output data between transport service organisers and transport service users. In freight</w:t>
      </w:r>
      <w:r>
        <w:t xml:space="preserve"> </w:t>
      </w:r>
      <w:r>
        <w:t xml:space="preserve">transport, for instance, a large shipper may work with a wide range of carriers undertaking</w:t>
      </w:r>
      <w:r>
        <w:t xml:space="preserve"> </w:t>
      </w:r>
      <w:r>
        <w:t xml:space="preserve">operations in specific parts of the supply chain, including cross-border. Collection of GHG</w:t>
      </w:r>
      <w:r>
        <w:t xml:space="preserve"> </w:t>
      </w:r>
      <w:r>
        <w:t xml:space="preserve">output data therefore means dealing with different subcontractors that quantify emissions in</w:t>
      </w:r>
      <w:r>
        <w:t xml:space="preserve"> </w:t>
      </w:r>
      <w:r>
        <w:t xml:space="preserve">different forms, based on different underlying methodologies, assumptions and default values98.</w:t>
      </w:r>
      <w:r>
        <w:t xml:space="preserve"> </w:t>
      </w:r>
      <w:r>
        <w:t xml:space="preserve">Large carriers face a mirror problem, as they frequently need to report to an uncountable number</w:t>
      </w:r>
      <w:r>
        <w:t xml:space="preserve"> </w:t>
      </w:r>
      <w:r>
        <w:t xml:space="preserve">of customers, who may have their own requirements for reporting. In addition, in the passenger</w:t>
      </w:r>
      <w:r>
        <w:t xml:space="preserve"> </w:t>
      </w:r>
      <w:r>
        <w:t xml:space="preserve">transport segment, the collection of information on emissions output data from operators can be</w:t>
      </w:r>
      <w:r>
        <w:t xml:space="preserve"> </w:t>
      </w:r>
      <w:r>
        <w:t xml:space="preserve">hampered by the fact that in many cases contracts with public authorities, or other responsible</w:t>
      </w:r>
      <w:r>
        <w:t xml:space="preserve"> </w:t>
      </w:r>
      <w:r>
        <w:t xml:space="preserve">bodies, are long term and the requirements to provide information on emissions output data had</w:t>
      </w:r>
      <w:r>
        <w:t xml:space="preserve"> </w:t>
      </w:r>
      <w:r>
        <w:t xml:space="preserve">not always been reflected in the past negotiations.</w:t>
      </w:r>
      <w:r>
        <w:br/>
      </w:r>
      <w:r>
        <w:t xml:space="preserve">20 out of 31, or 64% of the stakeholders that replied to the targeted survey, consider this problem</w:t>
      </w:r>
      <w:r>
        <w:t xml:space="preserve"> </w:t>
      </w:r>
      <w:r>
        <w:t xml:space="preserve">driver relevant or highly relevant. Respondents to the OPC also ranked this driver among the</w:t>
      </w:r>
      <w:r>
        <w:t xml:space="preserve"> </w:t>
      </w:r>
      <w:r>
        <w:t xml:space="preserve">most relevant ones when asked about reasons of not measuring emissions by transport service</w:t>
      </w:r>
      <w:r>
        <w:t xml:space="preserve"> </w:t>
      </w:r>
      <w:r>
        <w:t xml:space="preserve">providers. These findings were also broadly confirmed in the context of the targeted interviews</w:t>
      </w:r>
      <w:r>
        <w:t xml:space="preserve"> </w:t>
      </w:r>
      <w:r>
        <w:t xml:space="preserve">and workshop.</w:t>
      </w:r>
      <w:r>
        <w:t xml:space="preserve"> </w:t>
      </w:r>
      <w:r>
        <w:t xml:space="preserve">1.3 Interlinkages between the problem drivers</w:t>
      </w:r>
      <w:r>
        <w:t xml:space="preserve"> </w:t>
      </w:r>
      <w:r>
        <w:t xml:space="preserve">Different characteristics and hierarchy of the problem drivers</w:t>
      </w:r>
      <w:r>
        <w:t xml:space="preserve"> </w:t>
      </w:r>
      <w:r>
        <w:t xml:space="preserve">The identified problem drivers may be categorised as either of a more technical (PD1 and PD2)</w:t>
      </w:r>
      <w:r>
        <w:t xml:space="preserve"> </w:t>
      </w:r>
      <w:r>
        <w:t xml:space="preserve">or behavioural type (PD4 and PD5). This typology was reflected in the construction of the</w:t>
      </w:r>
      <w:r>
        <w:t xml:space="preserve"> </w:t>
      </w:r>
      <w:r>
        <w:t xml:space="preserve">problem tree, where PD1 and PD2 represent main drivers behind the technical Problem 1, and</w:t>
      </w:r>
      <w:r>
        <w:t xml:space="preserve"> </w:t>
      </w:r>
      <w:r>
        <w:t xml:space="preserve">PD4 and PD5 are linked to more behavioural Problem 2. PD3 is mainly associated with the</w:t>
      </w:r>
      <w:r>
        <w:t xml:space="preserve"> </w:t>
      </w:r>
      <w:r>
        <w:t xml:space="preserve">behavioural Problem 2, however it may have some implications (i.e. the use of imprecise default</w:t>
      </w:r>
      <w:r>
        <w:t xml:space="preserve"> </w:t>
      </w:r>
      <w:r>
        <w:t xml:space="preserve">values instead of primary data) on Problem 1 as well.</w:t>
      </w:r>
      <w:r>
        <w:t xml:space="preserve"> </w:t>
      </w:r>
      <w:r>
        <w:t xml:space="preserve">Based on the results of various stakeholders’ consultation activities (summarised in Annex 2)</w:t>
      </w:r>
      <w:r>
        <w:t xml:space="preserve"> </w:t>
      </w:r>
      <w:r>
        <w:t xml:space="preserve">PD1, PD2 and PD4 are considered as having the highest weight. These drivers were addressed</w:t>
      </w:r>
    </w:p>
    <w:p>
      <w:pPr>
        <w:pStyle w:val="BodyText"/>
      </w:pPr>
      <w:r>
        <w:t xml:space="preserve">96 For instance, according to the survey of Smart Freight Centre and Kühne Logistics University, reported above,</w:t>
      </w:r>
      <w:r>
        <w:t xml:space="preserve"> </w:t>
      </w:r>
      <w:r>
        <w:t xml:space="preserve">around 60% of the operators with fewer than 10 vehicles claim to have no emission measurement capabilities at all.</w:t>
      </w:r>
      <w:r>
        <w:t xml:space="preserve"> </w:t>
      </w:r>
      <w:r>
        <w:t xml:space="preserve">Source: Tölke, M. and McKinnon, A. (2021), Op.cit.</w:t>
      </w:r>
      <w:r>
        <w:t xml:space="preserve"> </w:t>
      </w:r>
      <w:r>
        <w:t xml:space="preserve">97 For instance, test cases carried out in the LEARN (Choumert &amp; Smit, 2019) show that a common mistake made</w:t>
      </w:r>
      <w:r>
        <w:t xml:space="preserve"> </w:t>
      </w:r>
      <w:r>
        <w:t xml:space="preserve">by small road carriers was in the computation of transport activity. All small road carriers that took part in the test</w:t>
      </w:r>
      <w:r>
        <w:t xml:space="preserve"> </w:t>
      </w:r>
      <w:r>
        <w:t xml:space="preserve">cases computed transport activity by multiplying the sum of kilometres driven by the sum of weight of all shipments</w:t>
      </w:r>
      <w:r>
        <w:t xml:space="preserve"> </w:t>
      </w:r>
      <w:r>
        <w:t xml:space="preserve">transported instead of summing up all shipments multiplied by the shipment-specific distances.</w:t>
      </w:r>
      <w:r>
        <w:t xml:space="preserve"> </w:t>
      </w:r>
      <w:r>
        <w:t xml:space="preserve">98 Sources: Connekt (2021), Carbon Added Accounting - Background and principles of the CCA framework;</w:t>
      </w:r>
      <w:r>
        <w:t xml:space="preserve"> </w:t>
      </w:r>
      <w:r>
        <w:t xml:space="preserve">Logistics Innovation (2021), Carbon accounting in freight transportation after the publication of EN 16258; Stevens,</w:t>
      </w:r>
      <w:r>
        <w:t xml:space="preserve"> </w:t>
      </w:r>
      <w:r>
        <w:t xml:space="preserve">H. et al. (2018), Towards an adequate methodology for GHG emissions accounting in logistics - A case study at</w:t>
      </w:r>
      <w:r>
        <w:t xml:space="preserve"> </w:t>
      </w:r>
      <w:r>
        <w:t xml:space="preserve">Heineken, TU DELFT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with key policy measures structured around the methodological framework, input data and</w:t>
      </w:r>
      <w:r>
        <w:t xml:space="preserve"> </w:t>
      </w:r>
      <w:r>
        <w:t xml:space="preserve">conformity (see Section 5.2 and Annex 7).</w:t>
      </w:r>
      <w:r>
        <w:t xml:space="preserve"> </w:t>
      </w:r>
      <w:r>
        <w:t xml:space="preserve">Synergies and trade-offs between the problem drivers</w:t>
      </w:r>
      <w:r>
        <w:t xml:space="preserve"> </w:t>
      </w:r>
      <w:r>
        <w:t xml:space="preserve">PD1 and PD2 featured very prominently in the debate with stakeholders. Because of the impact</w:t>
      </w:r>
      <w:r>
        <w:t xml:space="preserve"> </w:t>
      </w:r>
      <w:r>
        <w:t xml:space="preserve">that the choice of the common reference method will have on other choices, i.e. the input data</w:t>
      </w:r>
      <w:r>
        <w:t xml:space="preserve"> </w:t>
      </w:r>
      <w:r>
        <w:t xml:space="preserve">that needs to be used, PD1 and PD2 are inherently interlinked. For instance, a different set of</w:t>
      </w:r>
      <w:r>
        <w:t xml:space="preserve"> </w:t>
      </w:r>
      <w:r>
        <w:t xml:space="preserve">default values would be necessary for using well-to-wheel (WTW) and full life cycle assessment</w:t>
      </w:r>
      <w:r>
        <w:t xml:space="preserve"> </w:t>
      </w:r>
      <w:r>
        <w:t xml:space="preserve">(LCA) methodologies, respectively. Therefore, it is not possible to fully disentangle how to deal</w:t>
      </w:r>
      <w:r>
        <w:t xml:space="preserve"> </w:t>
      </w:r>
      <w:r>
        <w:t xml:space="preserve">with input data from the choice of a method. The two drivers are therefore “feeding” each other</w:t>
      </w:r>
      <w:r>
        <w:t xml:space="preserve"> </w:t>
      </w:r>
      <w:r>
        <w:t xml:space="preserve">while the quality of the output of the calculations will be substantially based on the quality of</w:t>
      </w:r>
      <w:r>
        <w:t xml:space="preserve"> </w:t>
      </w:r>
      <w:r>
        <w:t xml:space="preserve">the input data, and the solidity and acceptability of the method. However, the relationship</w:t>
      </w:r>
      <w:r>
        <w:t xml:space="preserve"> </w:t>
      </w:r>
      <w:r>
        <w:t xml:space="preserve">between PD1 and PD2 is rather nuanced and therefore these drivers were separated on clear</w:t>
      </w:r>
      <w:r>
        <w:t xml:space="preserve"> </w:t>
      </w:r>
      <w:r>
        <w:t xml:space="preserve">request of the stakeholders. This is because the use of different methodologies and different sets</w:t>
      </w:r>
      <w:r>
        <w:t xml:space="preserve"> </w:t>
      </w:r>
      <w:r>
        <w:t xml:space="preserve">of input data leads to higher variance of GHG emissions calculation results, but significant</w:t>
      </w:r>
      <w:r>
        <w:t xml:space="preserve"> </w:t>
      </w:r>
      <w:r>
        <w:t xml:space="preserve">inconsistencies may also be observed when using the same methodology and different type of</w:t>
      </w:r>
      <w:r>
        <w:t xml:space="preserve"> </w:t>
      </w:r>
      <w:r>
        <w:t xml:space="preserve">input data. PD1 and PD2 also show some trade-offs with PD4 and PD5, as presented below.</w:t>
      </w:r>
      <w:r>
        <w:t xml:space="preserve"> </w:t>
      </w:r>
      <w:r>
        <w:t xml:space="preserve">PD3 needs to be considered in conjunction with PD4 concerning the lack of trust, and PD5</w:t>
      </w:r>
      <w:r>
        <w:t xml:space="preserve"> </w:t>
      </w:r>
      <w:r>
        <w:t xml:space="preserve">related to the complexity and high costs of emissions calculation. Concerning its link with PD4,</w:t>
      </w:r>
      <w:r>
        <w:t xml:space="preserve"> </w:t>
      </w:r>
      <w:r>
        <w:t xml:space="preserve">there is important trade-off between the two – the less operational data is used in the emissions</w:t>
      </w:r>
      <w:r>
        <w:t xml:space="preserve"> </w:t>
      </w:r>
      <w:r>
        <w:t xml:space="preserve">calculation, the less reliable the results of the calculation would be available for the final data</w:t>
      </w:r>
      <w:r>
        <w:t xml:space="preserve"> </w:t>
      </w:r>
      <w:r>
        <w:t xml:space="preserve">recipients.</w:t>
      </w:r>
      <w:r>
        <w:br/>
      </w:r>
      <w:r>
        <w:t xml:space="preserve">As far as PD4 is concerned, apart from the synergies with PD3, interlinkages with PD1 and PD2</w:t>
      </w:r>
      <w:r>
        <w:t xml:space="preserve"> </w:t>
      </w:r>
      <w:r>
        <w:t xml:space="preserve">may also be observed, especially where the lack of trust in GHG emissions data is driven by the</w:t>
      </w:r>
      <w:r>
        <w:t xml:space="preserve"> </w:t>
      </w:r>
      <w:r>
        <w:t xml:space="preserve">proliferation of GHG calculation methods and the very fragmented landscape of default</w:t>
      </w:r>
      <w:r>
        <w:t xml:space="preserve"> </w:t>
      </w:r>
      <w:r>
        <w:t xml:space="preserve">emissions values. In addition, trade-offs with PD5 may be identified, especially related to the</w:t>
      </w:r>
      <w:r>
        <w:t xml:space="preserve"> </w:t>
      </w:r>
      <w:r>
        <w:t xml:space="preserve">situation, where, from the one hand, a dedicated GHG data verification system would increase</w:t>
      </w:r>
      <w:r>
        <w:t xml:space="preserve"> </w:t>
      </w:r>
      <w:r>
        <w:t xml:space="preserve">trust in the emissions figures shared on the market, but additional costs and burden associated</w:t>
      </w:r>
      <w:r>
        <w:t xml:space="preserve"> </w:t>
      </w:r>
      <w:r>
        <w:t xml:space="preserve">with the verification activities may discourage transport organisers and operators from</w:t>
      </w:r>
      <w:r>
        <w:t xml:space="preserve"> </w:t>
      </w:r>
      <w:r>
        <w:t xml:space="preserve">accounting and sharing emissions data, from the other.</w:t>
      </w:r>
      <w:r>
        <w:t xml:space="preserve"> </w:t>
      </w:r>
      <w:r>
        <w:t xml:space="preserve">Eventually, PD5 demonstrates synergies with PD1 and PD2, since the complexity and high costs</w:t>
      </w:r>
      <w:r>
        <w:t xml:space="preserve"> </w:t>
      </w:r>
      <w:r>
        <w:t xml:space="preserve">of GHG emissions accounting may be associated with the proliferation of methods and default</w:t>
      </w:r>
      <w:r>
        <w:t xml:space="preserve"> </w:t>
      </w:r>
      <w:r>
        <w:t xml:space="preserve">values datasets. It is also related to the limited availability of transport activity data, required for</w:t>
      </w:r>
      <w:r>
        <w:t xml:space="preserve"> </w:t>
      </w:r>
      <w:r>
        <w:t xml:space="preserve">quantifying emissions from actual operations, which also establishes a relevant link to PD3.</w:t>
      </w:r>
      <w:r>
        <w:t xml:space="preserve"> </w:t>
      </w:r>
      <w:r>
        <w:t xml:space="preserve">1.4 Affected stakeholders</w:t>
      </w:r>
      <w:r>
        <w:t xml:space="preserve"> </w:t>
      </w:r>
      <w:r>
        <w:t xml:space="preserve">The problems and problem drivers discussed above affect various stakeholders operating in the</w:t>
      </w:r>
      <w:r>
        <w:t xml:space="preserve"> </w:t>
      </w:r>
      <w:r>
        <w:t xml:space="preserve">transport sector, and the magnitude of the impact on each stakeholders’ group depends on their</w:t>
      </w:r>
      <w:r>
        <w:t xml:space="preserve"> </w:t>
      </w:r>
      <w:r>
        <w:t xml:space="preserve">role in the transport chain. The main stakeholders’ groups identified in the context of the</w:t>
      </w:r>
      <w:r>
        <w:t xml:space="preserve"> </w:t>
      </w:r>
      <w:r>
        <w:t xml:space="preserve">initiative are:</w:t>
      </w:r>
      <w:r>
        <w:t xml:space="preserve"> </w:t>
      </w:r>
      <w:r>
        <w:t xml:space="preserve"> Transport service organisers (or transport service providers) that include transport</w:t>
      </w:r>
      <w:r>
        <w:t xml:space="preserve"> </w:t>
      </w:r>
      <w:r>
        <w:t xml:space="preserve">operators, transport intermediaries (e.g. travel agencies, freight forwarders) and operators</w:t>
      </w:r>
      <w:r>
        <w:t xml:space="preserve"> </w:t>
      </w:r>
      <w:r>
        <w:t xml:space="preserve">of freight and passengers hubs (e.g. terminals, logistics platforms, ports, airports);</w:t>
      </w:r>
    </w:p>
    <w:p>
      <w:pPr>
        <w:pStyle w:val="BodyText"/>
      </w:pPr>
      <w:r>
        <w:t xml:space="preserve">17</w:t>
      </w:r>
    </w:p>
    <w:p>
      <w:pPr>
        <w:pStyle w:val="BodyText"/>
      </w:pPr>
      <w:r>
        <w:t xml:space="preserve"> Transport service users that include passengers, customers, public authorities,</w:t>
      </w:r>
      <w:r>
        <w:t xml:space="preserve"> </w:t>
      </w:r>
      <w:r>
        <w:t xml:space="preserve">manufacturers/shippers, wholesalers, retailers, transport service intermediaries and data</w:t>
      </w:r>
      <w:r>
        <w:t xml:space="preserve"> </w:t>
      </w:r>
      <w:r>
        <w:t xml:space="preserve">intermediaries99.</w:t>
      </w:r>
      <w:r>
        <w:t xml:space="preserve"> </w:t>
      </w:r>
      <w:r>
        <w:t xml:space="preserve">The way how the problems affect these specific groups of stakeholders and their motivation to</w:t>
      </w:r>
      <w:r>
        <w:t xml:space="preserve"> </w:t>
      </w:r>
      <w:r>
        <w:t xml:space="preserve">measure, report or base their decision on GHG emissions accounting, is presented in Table 2.</w:t>
      </w:r>
      <w:r>
        <w:t xml:space="preserve"> </w:t>
      </w:r>
      <w:r>
        <w:t xml:space="preserve">Table 2: Stakeholders affected by the identified problems</w:t>
      </w:r>
      <w:r>
        <w:t xml:space="preserve"> </w:t>
      </w:r>
      <w:r>
        <w:t xml:space="preserve">Problems</w:t>
      </w:r>
      <w:r>
        <w:br/>
      </w:r>
      <w:r>
        <w:t xml:space="preserve">Stakeholders’ groups affected</w:t>
      </w:r>
      <w:r>
        <w:t xml:space="preserve"> </w:t>
      </w:r>
      <w:r>
        <w:t xml:space="preserve">P1: limited comparability</w:t>
      </w:r>
      <w:r>
        <w:t xml:space="preserve"> </w:t>
      </w:r>
      <w:r>
        <w:t xml:space="preserve">of</w:t>
      </w:r>
      <w:r>
        <w:t xml:space="preserve"> </w:t>
      </w:r>
      <w:r>
        <w:t xml:space="preserve">results</w:t>
      </w:r>
      <w:r>
        <w:t xml:space="preserve"> </w:t>
      </w:r>
      <w:r>
        <w:t xml:space="preserve">from</w:t>
      </w:r>
      <w:r>
        <w:t xml:space="preserve"> </w:t>
      </w:r>
      <w:r>
        <w:t xml:space="preserve">GHG</w:t>
      </w:r>
      <w:r>
        <w:t xml:space="preserve"> </w:t>
      </w:r>
      <w:r>
        <w:t xml:space="preserve">emissions accounting of</w:t>
      </w:r>
      <w:r>
        <w:t xml:space="preserve"> </w:t>
      </w:r>
      <w:r>
        <w:t xml:space="preserve">transport</w:t>
      </w:r>
      <w:r>
        <w:t xml:space="preserve"> </w:t>
      </w:r>
      <w:r>
        <w:t xml:space="preserve">services</w:t>
      </w:r>
      <w:r>
        <w:t xml:space="preserve"> </w:t>
      </w:r>
      <w:r>
        <w:t xml:space="preserve">in</w:t>
      </w:r>
      <w:r>
        <w:t xml:space="preserve"> </w:t>
      </w:r>
      <w:r>
        <w:t xml:space="preserve">transport and logistics</w:t>
      </w:r>
    </w:p>
    <w:p>
      <w:pPr>
        <w:pStyle w:val="Compact"/>
        <w:numPr>
          <w:ilvl w:val="0"/>
          <w:numId w:val="1002"/>
        </w:numPr>
      </w:pPr>
      <w:r>
        <w:t xml:space="preserve">Transport service organisers providing transport services (especially</w:t>
      </w:r>
      <w:r>
        <w:t xml:space="preserve"> </w:t>
      </w:r>
      <w:r>
        <w:t xml:space="preserve">operators), as the lack of a common methodology and harmonised data</w:t>
      </w:r>
    </w:p>
    <w:p>
      <w:pPr>
        <w:pStyle w:val="Compact"/>
        <w:numPr>
          <w:ilvl w:val="0"/>
          <w:numId w:val="1003"/>
        </w:numPr>
      </w:pPr>
      <w:r>
        <w:t xml:space="preserve">creates market distortions because of potential competitive advantages</w:t>
      </w:r>
      <w:r>
        <w:t xml:space="preserve"> </w:t>
      </w:r>
      <w:r>
        <w:t xml:space="preserve">for those entities that do not use a proper calculation method, (2) results</w:t>
      </w:r>
      <w:r>
        <w:t xml:space="preserve"> </w:t>
      </w:r>
      <w:r>
        <w:t xml:space="preserve">in uncertainty as regards the choice of a calculation method and datasets,</w:t>
      </w:r>
      <w:r>
        <w:t xml:space="preserve"> </w:t>
      </w:r>
      <w:r>
        <w:t xml:space="preserve">that may also in certain cases translate in higher complexity (and hence</w:t>
      </w:r>
      <w:r>
        <w:t xml:space="preserve"> </w:t>
      </w:r>
      <w:r>
        <w:t xml:space="preserve">costs) of calculating emissions data of their services.</w:t>
      </w:r>
      <w:r>
        <w:br/>
      </w:r>
    </w:p>
    <w:p>
      <w:pPr>
        <w:numPr>
          <w:ilvl w:val="0"/>
          <w:numId w:val="1004"/>
        </w:numPr>
      </w:pPr>
      <w:r>
        <w:t xml:space="preserve">Transport service users, as this problem does not allow for a fair</w:t>
      </w:r>
      <w:r>
        <w:t xml:space="preserve"> </w:t>
      </w:r>
      <w:r>
        <w:t xml:space="preserve">comparison of GHG emission figures of different transport services, thus</w:t>
      </w:r>
      <w:r>
        <w:t xml:space="preserve"> </w:t>
      </w:r>
      <w:r>
        <w:t xml:space="preserve">preventing users from making informed transport decisions. For large</w:t>
      </w:r>
      <w:r>
        <w:t xml:space="preserve"> </w:t>
      </w:r>
      <w:r>
        <w:t xml:space="preserve">transport intermediaries (such as freight forwarders) and shippers that</w:t>
      </w:r>
      <w:r>
        <w:t xml:space="preserve"> </w:t>
      </w:r>
      <w:r>
        <w:t xml:space="preserve">aggregate transport emissions data from various sources, the limited</w:t>
      </w:r>
      <w:r>
        <w:t xml:space="preserve"> </w:t>
      </w:r>
      <w:r>
        <w:t xml:space="preserve">comparability of GHG emission figures from carriers heavily complicates</w:t>
      </w:r>
      <w:r>
        <w:t xml:space="preserve"> </w:t>
      </w:r>
      <w:r>
        <w:t xml:space="preserve">the calculation of emissions from their activities.</w:t>
      </w:r>
      <w:r>
        <w:br/>
      </w:r>
    </w:p>
    <w:p>
      <w:pPr>
        <w:numPr>
          <w:ilvl w:val="0"/>
          <w:numId w:val="1004"/>
        </w:numPr>
      </w:pPr>
      <w:r>
        <w:t xml:space="preserve">Impacts related to the reluctance of sharing operational data differ widely</w:t>
      </w:r>
      <w:r>
        <w:t xml:space="preserve"> </w:t>
      </w:r>
      <w:r>
        <w:t xml:space="preserve">between transport users (that require more transparency about transport</w:t>
      </w:r>
      <w:r>
        <w:t xml:space="preserve"> </w:t>
      </w:r>
      <w:r>
        <w:t xml:space="preserve">services) and transport organisers (that are reluctant to share operational</w:t>
      </w:r>
      <w:r>
        <w:t xml:space="preserve"> </w:t>
      </w:r>
      <w:r>
        <w:t xml:space="preserve">data), thus being far less significant for the latter category.</w:t>
      </w:r>
      <w:r>
        <w:t xml:space="preserve"> </w:t>
      </w:r>
      <w:r>
        <w:t xml:space="preserve">P2: Limited uptake of</w:t>
      </w:r>
      <w:r>
        <w:t xml:space="preserve"> </w:t>
      </w:r>
      <w:r>
        <w:t xml:space="preserve">emissions accounting of</w:t>
      </w:r>
      <w:r>
        <w:t xml:space="preserve"> </w:t>
      </w:r>
      <w:r>
        <w:t xml:space="preserve">transport services in usual</w:t>
      </w:r>
      <w:r>
        <w:t xml:space="preserve"> </w:t>
      </w:r>
      <w:r>
        <w:t xml:space="preserve">business practice</w:t>
      </w:r>
    </w:p>
    <w:p>
      <w:pPr>
        <w:numPr>
          <w:ilvl w:val="0"/>
          <w:numId w:val="1004"/>
        </w:numPr>
      </w:pPr>
      <w:r>
        <w:t xml:space="preserve">Transport service users, as accurate emission figures per transport service</w:t>
      </w:r>
      <w:r>
        <w:t xml:space="preserve"> </w:t>
      </w:r>
      <w:r>
        <w:t xml:space="preserve">are not available on a wide scale, preventing them from making informed</w:t>
      </w:r>
      <w:r>
        <w:t xml:space="preserve"> </w:t>
      </w:r>
      <w:r>
        <w:t xml:space="preserve">transport decisions. Similarly as above, for large transport intermediaries</w:t>
      </w:r>
      <w:r>
        <w:t xml:space="preserve"> </w:t>
      </w:r>
      <w:r>
        <w:t xml:space="preserve">(such as freight forwarders) and shippers that aggregate transport</w:t>
      </w:r>
      <w:r>
        <w:t xml:space="preserve"> </w:t>
      </w:r>
      <w:r>
        <w:t xml:space="preserve">emissions data from various sources, the lack of GHG emission figures</w:t>
      </w:r>
      <w:r>
        <w:t xml:space="preserve"> </w:t>
      </w:r>
      <w:r>
        <w:t xml:space="preserve">from carriers heavily complicates the calculation of emissions from their</w:t>
      </w:r>
      <w:r>
        <w:t xml:space="preserve"> </w:t>
      </w:r>
      <w:r>
        <w:t xml:space="preserve">activities.</w:t>
      </w:r>
    </w:p>
    <w:p>
      <w:pPr>
        <w:numPr>
          <w:ilvl w:val="0"/>
          <w:numId w:val="1004"/>
        </w:numPr>
      </w:pPr>
      <w:r>
        <w:t xml:space="preserve">Transport service organisers (especially operators), as due to the lack of</w:t>
      </w:r>
      <w:r>
        <w:t xml:space="preserve"> </w:t>
      </w:r>
      <w:r>
        <w:t xml:space="preserve">data (1) they cannot effectively benchmark their services against other</w:t>
      </w:r>
      <w:r>
        <w:t xml:space="preserve"> </w:t>
      </w:r>
      <w:r>
        <w:t xml:space="preserve">similar ones, which may result in inadequate business decisions and</w:t>
      </w:r>
      <w:r>
        <w:t xml:space="preserve"> </w:t>
      </w:r>
      <w:r>
        <w:t xml:space="preserve">additional costs, (2) they may find themselves in disadvantage when</w:t>
      </w:r>
      <w:r>
        <w:t xml:space="preserve"> </w:t>
      </w:r>
      <w:r>
        <w:t xml:space="preserve">competing with enterprises being able to deliver accurate and reliable</w:t>
      </w:r>
      <w:r>
        <w:t xml:space="preserve"> </w:t>
      </w:r>
      <w:r>
        <w:t xml:space="preserve">information on emissions to the users.</w:t>
      </w:r>
      <w:r>
        <w:br/>
      </w:r>
    </w:p>
    <w:p>
      <w:pPr>
        <w:numPr>
          <w:ilvl w:val="0"/>
          <w:numId w:val="1004"/>
        </w:numPr>
      </w:pPr>
      <w:r>
        <w:t xml:space="preserve">Similarly as in the case of Problem 1, transport operators may not be</w:t>
      </w:r>
      <w:r>
        <w:t xml:space="preserve"> </w:t>
      </w:r>
      <w:r>
        <w:t xml:space="preserve">interested in disclosing operational data, therefore this issue affects</w:t>
      </w:r>
    </w:p>
    <w:p>
      <w:pPr>
        <w:pStyle w:val="FirstParagraph"/>
      </w:pPr>
      <w:r>
        <w:t xml:space="preserve">99 A data intermediary may be perceived as a specific category of a user that collects information on a transport</w:t>
      </w:r>
      <w:r>
        <w:t xml:space="preserve"> </w:t>
      </w:r>
      <w:r>
        <w:t xml:space="preserve">services from transport organisers and operators and discloses it further on the market.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mostly transport service users that are recipients of information on GHG</w:t>
      </w:r>
      <w:r>
        <w:t xml:space="preserve"> </w:t>
      </w:r>
      <w:r>
        <w:t xml:space="preserve">emissions.</w:t>
      </w:r>
    </w:p>
    <w:p>
      <w:pPr>
        <w:pStyle w:val="BodyText"/>
      </w:pPr>
      <w:r>
        <w:t xml:space="preserve">1.5 How likely is the problem to persist?</w:t>
      </w:r>
      <w:r>
        <w:br/>
      </w:r>
      <w:r>
        <w:t xml:space="preserve">Problem 1: Limited comparability of results from GHG emissions accounting of transport</w:t>
      </w:r>
      <w:r>
        <w:t xml:space="preserve"> </w:t>
      </w:r>
      <w:r>
        <w:t xml:space="preserve">services in transport and logistics</w:t>
      </w:r>
      <w:r>
        <w:t xml:space="preserve"> </w:t>
      </w:r>
      <w:r>
        <w:t xml:space="preserve">Despite recent harmonisation efforts towards a common GHG emissions accounting approach</w:t>
      </w:r>
      <w:r>
        <w:t xml:space="preserve"> </w:t>
      </w:r>
      <w:r>
        <w:t xml:space="preserve">for transport services, the problem of limited comparability of GHG emissions output data is</w:t>
      </w:r>
      <w:r>
        <w:t xml:space="preserve"> </w:t>
      </w:r>
      <w:r>
        <w:t xml:space="preserve">likely to persist without EU level action. As regards the method used, the ISO standard 14083</w:t>
      </w:r>
      <w:r>
        <w:t xml:space="preserve"> </w:t>
      </w:r>
      <w:r>
        <w:t xml:space="preserve">may represent a step towards establishing a common set of rules and emissions calculation</w:t>
      </w:r>
      <w:r>
        <w:t xml:space="preserve"> </w:t>
      </w:r>
      <w:r>
        <w:t xml:space="preserve">principles. Full harmonisation between the various methods and calculation tools is however not</w:t>
      </w:r>
      <w:r>
        <w:t xml:space="preserve"> </w:t>
      </w:r>
      <w:r>
        <w:t xml:space="preserve">possible, particularly because of the voluntary nature of this standard. This phenomenon can be</w:t>
      </w:r>
      <w:r>
        <w:t xml:space="preserve"> </w:t>
      </w:r>
      <w:r>
        <w:t xml:space="preserve">evidenced through the experience with the existing CEN standard EN 16258, which eventually</w:t>
      </w:r>
      <w:r>
        <w:t xml:space="preserve"> </w:t>
      </w:r>
      <w:r>
        <w:t xml:space="preserve">has not led itself to the harmonisation of the emissions accounting processes at EU level100.</w:t>
      </w:r>
      <w:r>
        <w:t xml:space="preserve"> </w:t>
      </w:r>
      <w:r>
        <w:t xml:space="preserve">As explained in section 2.2, the issue of harmonised input data is equally important to ensure the</w:t>
      </w:r>
      <w:r>
        <w:t xml:space="preserve"> </w:t>
      </w:r>
      <w:r>
        <w:t xml:space="preserve">comparability of the GHG emissions calculation outputs. According to the interviewed</w:t>
      </w:r>
      <w:r>
        <w:t xml:space="preserve"> </w:t>
      </w:r>
      <w:r>
        <w:t xml:space="preserve">stakeholders, some increase in the use of primary data is expected over time. The primary data</w:t>
      </w:r>
      <w:r>
        <w:t xml:space="preserve"> </w:t>
      </w:r>
      <w:r>
        <w:t xml:space="preserve">improves the accuracy of the calculations and therefore makes it possible to use the emissions</w:t>
      </w:r>
      <w:r>
        <w:t xml:space="preserve"> </w:t>
      </w:r>
      <w:r>
        <w:t xml:space="preserve">data for operational optimisation purposes. However, this progress is expected to happen mainly</w:t>
      </w:r>
      <w:r>
        <w:t xml:space="preserve"> </w:t>
      </w:r>
      <w:r>
        <w:t xml:space="preserve">within large companies, often having more resources and knowledge at their disposal. Smaller</w:t>
      </w:r>
      <w:r>
        <w:t xml:space="preserve"> </w:t>
      </w:r>
      <w:r>
        <w:t xml:space="preserve">transport companies usually lack such capabilities, and in addition, are highly reluctant to share</w:t>
      </w:r>
      <w:r>
        <w:t xml:space="preserve"> </w:t>
      </w:r>
      <w:r>
        <w:t xml:space="preserve">operational data. Therefore, their calculations are likely to continue to be mostly based on default</w:t>
      </w:r>
      <w:r>
        <w:t xml:space="preserve"> </w:t>
      </w:r>
      <w:r>
        <w:t xml:space="preserve">emission intensity factors, the quality of which may also improve, for instance with respect to</w:t>
      </w:r>
      <w:r>
        <w:t xml:space="preserve"> </w:t>
      </w:r>
      <w:r>
        <w:t xml:space="preserve">the development of specific metering and monitoring systems offered by third parties101.</w:t>
      </w:r>
      <w:r>
        <w:t xml:space="preserve"> </w:t>
      </w:r>
      <w:r>
        <w:t xml:space="preserve">Nonetheless, in the absence of harmonised databases and datasets, differences in the quality of</w:t>
      </w:r>
      <w:r>
        <w:t xml:space="preserve"> </w:t>
      </w:r>
      <w:r>
        <w:t xml:space="preserve">these intensity emission factors are likely to persist in the future.</w:t>
      </w:r>
      <w:r>
        <w:t xml:space="preserve"> </w:t>
      </w:r>
      <w:r>
        <w:t xml:space="preserve">Concerning the energy emission factors, specific initiatives such as the Commission’s proposal</w:t>
      </w:r>
      <w:r>
        <w:t xml:space="preserve"> </w:t>
      </w:r>
      <w:r>
        <w:t xml:space="preserve">for the revision of the Renewable Energy Directive and the proposed FuelEU Maritime</w:t>
      </w:r>
      <w:r>
        <w:t xml:space="preserve"> </w:t>
      </w:r>
      <w:r>
        <w:t xml:space="preserve">Regulation, if adopted by co-legislators, may contribute to better reliability and accuracy of the</w:t>
      </w:r>
      <w:r>
        <w:t xml:space="preserve"> </w:t>
      </w:r>
      <w:r>
        <w:t xml:space="preserve">available emissions input data. However, since the energy emission factors represent only one</w:t>
      </w:r>
      <w:r>
        <w:t xml:space="preserve"> </w:t>
      </w:r>
      <w:r>
        <w:t xml:space="preserve">part of the calculation inputs, these are not likely to allow for a uniform approach for accounting</w:t>
      </w:r>
      <w:r>
        <w:t xml:space="preserve"> </w:t>
      </w:r>
      <w:r>
        <w:t xml:space="preserve">emissions from the entire energy lifecycle perspective.</w:t>
      </w:r>
    </w:p>
    <w:p>
      <w:pPr>
        <w:pStyle w:val="BodyText"/>
      </w:pPr>
      <w:r>
        <w:t xml:space="preserve">100 EN 16258 provided general principles, definitions, system boundaries, calculation methods and allocation rules</w:t>
      </w:r>
      <w:r>
        <w:t xml:space="preserve"> </w:t>
      </w:r>
      <w:r>
        <w:t xml:space="preserve">to harmonise the quantification of energy consumption and GHG emissions of transport services. The standard was,</w:t>
      </w:r>
      <w:r>
        <w:t xml:space="preserve"> </w:t>
      </w:r>
      <w:r>
        <w:t xml:space="preserve">however, affected by some shortcomings preventing from the uniform implementation of GHG emissions</w:t>
      </w:r>
      <w:r>
        <w:t xml:space="preserve"> </w:t>
      </w:r>
      <w:r>
        <w:t xml:space="preserve">accounting on the market. In addition, other parallel methods stayed in use by transport sector stakeholders,</w:t>
      </w:r>
      <w:r>
        <w:t xml:space="preserve"> </w:t>
      </w:r>
      <w:r>
        <w:t xml:space="preserve">preventing from the comparability of various GHG emissions data. Finally, the stakeholders’ consultation showed</w:t>
      </w:r>
      <w:r>
        <w:t xml:space="preserve"> </w:t>
      </w:r>
      <w:r>
        <w:t xml:space="preserve">that market players usually prefer a global approach instead of a European one, especially to be able to capture also</w:t>
      </w:r>
      <w:r>
        <w:t xml:space="preserve"> </w:t>
      </w:r>
      <w:r>
        <w:t xml:space="preserve">emissions from the services performed beyond the EU network. See more details in Annex 8.</w:t>
      </w:r>
      <w:r>
        <w:br/>
      </w:r>
      <w:r>
        <w:t xml:space="preserve">101 These systems for instance may include telematics, data analytics, modelling and Artificial Intelligence (AI) to</w:t>
      </w:r>
      <w:r>
        <w:t xml:space="preserve"> </w:t>
      </w:r>
      <w:r>
        <w:t xml:space="preserve">generate and transmit data to the back-office of fleet managers.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Finally, when speaking about the full lifecycle assessment approach, relevant emission factors</w:t>
      </w:r>
      <w:r>
        <w:t xml:space="preserve"> </w:t>
      </w:r>
      <w:r>
        <w:t xml:space="preserve">may be only developed in case a dedicated LCA method is launched and widely used in the</w:t>
      </w:r>
      <w:r>
        <w:t xml:space="preserve"> </w:t>
      </w:r>
      <w:r>
        <w:t xml:space="preserve">transport sector.</w:t>
      </w:r>
      <w:r>
        <w:t xml:space="preserve"> </w:t>
      </w:r>
      <w:r>
        <w:t xml:space="preserve">Problem 2: Limited uptake of emissions accounting of transport services in usual business</w:t>
      </w:r>
      <w:r>
        <w:t xml:space="preserve"> </w:t>
      </w:r>
      <w:r>
        <w:t xml:space="preserve">practice</w:t>
      </w:r>
      <w:r>
        <w:t xml:space="preserve"> </w:t>
      </w:r>
      <w:r>
        <w:t xml:space="preserve">Without an EU level action, the uptake of GHG emissions accounting in the transport sector is</w:t>
      </w:r>
      <w:r>
        <w:t xml:space="preserve"> </w:t>
      </w:r>
      <w:r>
        <w:t xml:space="preserve">likely to increase only at a limited extent. This process will be mostly driven by:</w:t>
      </w:r>
      <w:r>
        <w:t xml:space="preserve"> </w:t>
      </w:r>
      <w:r>
        <w:t xml:space="preserve"> the development and implementation of public policies that require data on GHG emissions</w:t>
      </w:r>
      <w:r>
        <w:t xml:space="preserve"> </w:t>
      </w:r>
      <w:r>
        <w:t xml:space="preserve">from transport and logistics activities, like the Corporate Sustainable Reporting Directive, or</w:t>
      </w:r>
      <w:r>
        <w:t xml:space="preserve"> </w:t>
      </w:r>
      <w:r>
        <w:t xml:space="preserve">the French Transport Code at the national level;</w:t>
      </w:r>
      <w:r>
        <w:t xml:space="preserve"> </w:t>
      </w:r>
      <w:r>
        <w:t xml:space="preserve"> growing environmental awareness, leading to higher demand and supply of sustainable</w:t>
      </w:r>
      <w:r>
        <w:t xml:space="preserve"> </w:t>
      </w:r>
      <w:r>
        <w:t xml:space="preserve">products and services;</w:t>
      </w:r>
      <w:r>
        <w:t xml:space="preserve"> </w:t>
      </w:r>
      <w:r>
        <w:t xml:space="preserve"> the need to support decision-making or improve investor and consumer relations;</w:t>
      </w:r>
      <w:r>
        <w:t xml:space="preserve"> </w:t>
      </w:r>
      <w:r>
        <w:t xml:space="preserve"> the development of specific implementation guidelines, calculation tools, secure data sharing</w:t>
      </w:r>
      <w:r>
        <w:t xml:space="preserve"> </w:t>
      </w:r>
      <w:r>
        <w:t xml:space="preserve">platforms, or sectorial standards (such as those existing in the chemical industry and emerging</w:t>
      </w:r>
      <w:r>
        <w:t xml:space="preserve"> </w:t>
      </w:r>
      <w:r>
        <w:t xml:space="preserve">in the postal delivery sector).</w:t>
      </w:r>
    </w:p>
    <w:p>
      <w:pPr>
        <w:pStyle w:val="BodyText"/>
      </w:pPr>
      <w:r>
        <w:t xml:space="preserve">Therefore, the factors identified above will not ensure the common application of emission</w:t>
      </w:r>
      <w:r>
        <w:t xml:space="preserve"> </w:t>
      </w:r>
      <w:r>
        <w:t xml:space="preserve">accounting at the level of transport services and will not guarantee uniform procedures and</w:t>
      </w:r>
      <w:r>
        <w:t xml:space="preserve"> </w:t>
      </w:r>
      <w:r>
        <w:t xml:space="preserve">processes across segments and modes, thus compromising the trust in quality of emissions output</w:t>
      </w:r>
      <w:r>
        <w:t xml:space="preserve"> </w:t>
      </w:r>
      <w:r>
        <w:t xml:space="preserve">data generated by transport service providers. This situation will persist in the absence of a</w:t>
      </w:r>
      <w:r>
        <w:t xml:space="preserve"> </w:t>
      </w:r>
      <w:r>
        <w:t xml:space="preserve">common verification system that otherwise would provide for the increased reliability of various</w:t>
      </w:r>
      <w:r>
        <w:t xml:space="preserve"> </w:t>
      </w:r>
      <w:r>
        <w:t xml:space="preserve">GHG emissions outputs, and the correctness of the underlying quantification processes.</w:t>
      </w:r>
      <w:r>
        <w:br/>
      </w:r>
      <w:r>
        <w:t xml:space="preserve">In addition, there will be no means to fully alleviate the problem driver related to the reluctance</w:t>
      </w:r>
      <w:r>
        <w:t xml:space="preserve"> </w:t>
      </w:r>
      <w:r>
        <w:t xml:space="preserve">of operators to share operational information on their emissions. As explained in section 2.2, this</w:t>
      </w:r>
      <w:r>
        <w:t xml:space="preserve"> </w:t>
      </w:r>
      <w:r>
        <w:t xml:space="preserve">issue affects in particular SMEs in business-to-business relations, and cannot be solved without</w:t>
      </w:r>
      <w:r>
        <w:t xml:space="preserve"> </w:t>
      </w:r>
      <w:r>
        <w:t xml:space="preserve">ensuring the trust and security when sharing emissions data.</w:t>
      </w:r>
      <w:r>
        <w:t xml:space="preserve"> </w:t>
      </w:r>
      <w:r>
        <w:t xml:space="preserve">As regards the perceived complexity and costs related to quantification of emissions, this driver</w:t>
      </w:r>
      <w:r>
        <w:t xml:space="preserve"> </w:t>
      </w:r>
      <w:r>
        <w:t xml:space="preserve">may be addressed to a certain extent by the emergence of specific calculation tools and</w:t>
      </w:r>
      <w:r>
        <w:t xml:space="preserve"> </w:t>
      </w:r>
      <w:r>
        <w:t xml:space="preserve">implementation guidelines. However, in the absence of a common methodological framework,</w:t>
      </w:r>
      <w:r>
        <w:t xml:space="preserve"> </w:t>
      </w:r>
      <w:r>
        <w:t xml:space="preserve">it is not expected to change significantly the situation on the market.</w:t>
      </w:r>
      <w:r>
        <w:br/>
      </w:r>
      <w:r>
        <w:t xml:space="preserve">1.6 Foresight</w:t>
      </w:r>
      <w:r>
        <w:t xml:space="preserve"> </w:t>
      </w:r>
      <w:r>
        <w:t xml:space="preserve">The analysis incorporates throughout all its dimensions relevant foresight tools. It does so to</w:t>
      </w:r>
      <w:r>
        <w:t xml:space="preserve"> </w:t>
      </w:r>
      <w:r>
        <w:t xml:space="preserve">anticipate trends and issues that may affect the initiative and build a robust, future-proof evidence</w:t>
      </w:r>
      <w:r>
        <w:t xml:space="preserve"> </w:t>
      </w:r>
      <w:r>
        <w:t xml:space="preserve">base for its likely impact. The megatrend “climate change and environmental degradation”102 is</w:t>
      </w:r>
      <w:r>
        <w:t xml:space="preserve"> </w:t>
      </w:r>
      <w:r>
        <w:t xml:space="preserve">relevant for both the problem related to the comparability of GHG emissions data and that related</w:t>
      </w:r>
      <w:r>
        <w:t xml:space="preserve"> </w:t>
      </w:r>
      <w:r>
        <w:t xml:space="preserve">to the limited uptake of emissions accounting, especially as regards to the increasing need in the</w:t>
      </w:r>
      <w:r>
        <w:t xml:space="preserve"> </w:t>
      </w:r>
      <w:r>
        <w:t xml:space="preserve">future for a harmonised approach to quantify transport services emissions. According to the 2022</w:t>
      </w:r>
      <w:r>
        <w:t xml:space="preserve"> </w:t>
      </w:r>
      <w:r>
        <w:t xml:space="preserve">Strategic Foresight Report103, the aspect of “enabling a greener transport sector with digital</w:t>
      </w:r>
    </w:p>
    <w:p>
      <w:pPr>
        <w:pStyle w:val="BodyText"/>
      </w:pPr>
      <w:r>
        <w:t xml:space="preserve">102 https://knowledge4policy.ec.europa.eu/foresight/tool/megatrends-hub_en</w:t>
      </w:r>
      <w:r>
        <w:t xml:space="preserve"> </w:t>
      </w:r>
      <w:r>
        <w:t xml:space="preserve">103 COM(2022) 289 final.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technologies” is one of the areas where the twinning of the green and digital transitions is</w:t>
      </w:r>
      <w:r>
        <w:t xml:space="preserve"> </w:t>
      </w:r>
      <w:r>
        <w:t xml:space="preserve">expected to have a major effect. It is particularly relevant to the challenges linked to the</w:t>
      </w:r>
      <w:r>
        <w:t xml:space="preserve"> </w:t>
      </w:r>
      <w:r>
        <w:t xml:space="preserve">continuously growing population, increasing consumer awareness, evolving costs of sustainable</w:t>
      </w:r>
      <w:r>
        <w:t xml:space="preserve"> </w:t>
      </w:r>
      <w:r>
        <w:t xml:space="preserve">transport options and new supply chain business models affecting the transport and mobility</w:t>
      </w:r>
      <w:r>
        <w:t xml:space="preserve"> </w:t>
      </w:r>
      <w:r>
        <w:t xml:space="preserve">sector. Another megatrend that is relevant for the evolution of the problems is “continuing</w:t>
      </w:r>
      <w:r>
        <w:t xml:space="preserve"> </w:t>
      </w:r>
      <w:r>
        <w:t xml:space="preserve">urbanisation”. Together with the growing demand for better connections to and between urban</w:t>
      </w:r>
      <w:r>
        <w:t xml:space="preserve"> </w:t>
      </w:r>
      <w:r>
        <w:t xml:space="preserve">centres, this calls also for more sustainable modal choices. This has been duly taken into account</w:t>
      </w:r>
      <w:r>
        <w:t xml:space="preserve"> </w:t>
      </w:r>
      <w:r>
        <w:t xml:space="preserve">in the analysis presented in the following sections.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</w:t>
      </w:r>
      <w:r>
        <w:t xml:space="preserve"> </w:t>
      </w:r>
      <w:r>
        <w:t xml:space="preserve">1.7 Legal basis</w:t>
      </w:r>
      <w:r>
        <w:t xml:space="preserve"> </w:t>
      </w:r>
      <w:r>
        <w:t xml:space="preserve">The legal basis giving the EU the right to act are Article 91(1) and Article 100(2) of the Treaty</w:t>
      </w:r>
      <w:r>
        <w:t xml:space="preserve"> </w:t>
      </w:r>
      <w:r>
        <w:t xml:space="preserve">on the Functioning of the European Union (TFEU). In accordance with Article 4(2) of the Treaty,</w:t>
      </w:r>
      <w:r>
        <w:t xml:space="preserve"> </w:t>
      </w:r>
      <w:r>
        <w:t xml:space="preserve">shared competence between the EU and the Member States applies in the area of transport.</w:t>
      </w:r>
      <w:r>
        <w:br/>
      </w:r>
      <w:r>
        <w:t xml:space="preserve">1.8 Subsidiarity: Necessity of EU action</w:t>
      </w:r>
      <w:r>
        <w:t xml:space="preserve"> </w:t>
      </w:r>
      <w:r>
        <w:t xml:space="preserve">Under the principle of subsidiarity, in areas which do not fall within its exclusive competence,</w:t>
      </w:r>
      <w:r>
        <w:t xml:space="preserve"> </w:t>
      </w:r>
      <w:r>
        <w:t xml:space="preserve">the Union shall act only if and in so far as the objectives of the proposed action cannot be</w:t>
      </w:r>
      <w:r>
        <w:t xml:space="preserve"> </w:t>
      </w:r>
      <w:r>
        <w:t xml:space="preserve">sufficiently achieved by the Member States. Since transport is not an exclusive Union</w:t>
      </w:r>
      <w:r>
        <w:t xml:space="preserve"> </w:t>
      </w:r>
      <w:r>
        <w:t xml:space="preserve">competence pursuant to Article 4(g) TFEU, the subsidiarity principle applies. By providing</w:t>
      </w:r>
      <w:r>
        <w:t xml:space="preserve"> </w:t>
      </w:r>
      <w:r>
        <w:t xml:space="preserve">harmonised rules for GHG emissions accounting at the transport service level, CountEmissions</w:t>
      </w:r>
      <w:r>
        <w:t xml:space="preserve"> </w:t>
      </w:r>
      <w:r>
        <w:t xml:space="preserve">EU is particularly relevant for operations in the cross-border transport sector between EU</w:t>
      </w:r>
      <w:r>
        <w:t xml:space="preserve"> </w:t>
      </w:r>
      <w:r>
        <w:t xml:space="preserve">Member States. This level of harmonisation, related to the methodological choices and input</w:t>
      </w:r>
      <w:r>
        <w:t xml:space="preserve"> </w:t>
      </w:r>
      <w:r>
        <w:t xml:space="preserve">data, cannot be effectively achieved across the EU by action of individual Member States104.</w:t>
      </w:r>
      <w:r>
        <w:br/>
      </w:r>
      <w:r>
        <w:t xml:space="preserve">1.9 Subsidiarity: Added value of EU action</w:t>
      </w:r>
      <w:r>
        <w:t xml:space="preserve"> </w:t>
      </w:r>
      <w:r>
        <w:t xml:space="preserve">Overall, the EU transport sector has a strong cross-border dimension, playing an important role</w:t>
      </w:r>
      <w:r>
        <w:t xml:space="preserve"> </w:t>
      </w:r>
      <w:r>
        <w:t xml:space="preserve">for the free flow of people and goods on the EU internal market. Efficient transport services are</w:t>
      </w:r>
      <w:r>
        <w:t xml:space="preserve"> </w:t>
      </w:r>
      <w:r>
        <w:t xml:space="preserve">key to meet the demand of transport users, support the growth of the EU economy and preserve</w:t>
      </w:r>
      <w:r>
        <w:t xml:space="preserve"> </w:t>
      </w:r>
      <w:r>
        <w:t xml:space="preserve">lifestyle of the citizens. At the same time, attention should be drawn to challenges related to</w:t>
      </w:r>
      <w:r>
        <w:t xml:space="preserve"> </w:t>
      </w:r>
      <w:r>
        <w:t xml:space="preserve">environmental impacts from transport, still growing mostly due to the increase of freight and</w:t>
      </w:r>
      <w:r>
        <w:t xml:space="preserve"> </w:t>
      </w:r>
      <w:r>
        <w:t xml:space="preserve">passenger traffic on the European network105.</w:t>
      </w:r>
      <w:r>
        <w:br/>
      </w:r>
      <w:r>
        <w:t xml:space="preserve">CountEmissions EU is therefore conceived as an enabler for the transport community to facilitate</w:t>
      </w:r>
      <w:r>
        <w:t xml:space="preserve"> </w:t>
      </w:r>
      <w:r>
        <w:t xml:space="preserve">green transition. The initiative will contribute to creating the level playing field for GHG</w:t>
      </w:r>
      <w:r>
        <w:t xml:space="preserve"> </w:t>
      </w:r>
      <w:r>
        <w:t xml:space="preserve">emissions accounting between all segments and modes of transport, and across the national</w:t>
      </w:r>
      <w:r>
        <w:t xml:space="preserve"> </w:t>
      </w:r>
      <w:r>
        <w:t xml:space="preserve">networks. By providing for better transparency on the performance of transport services, and</w:t>
      </w:r>
    </w:p>
    <w:p>
      <w:pPr>
        <w:pStyle w:val="BodyText"/>
      </w:pPr>
      <w:r>
        <w:t xml:space="preserve">104 So far only France has established a dedicated harmonised methodological framework, including measures to</w:t>
      </w:r>
      <w:r>
        <w:t xml:space="preserve"> </w:t>
      </w:r>
      <w:r>
        <w:t xml:space="preserve">incentivise its uptake. No plans for other similar national initiatives have been identified. However, in case further</w:t>
      </w:r>
      <w:r>
        <w:t xml:space="preserve"> </w:t>
      </w:r>
      <w:r>
        <w:t xml:space="preserve">Member States follow, this is expected to lead to very diverse calculations and/or reporting requirements for</w:t>
      </w:r>
      <w:r>
        <w:t xml:space="preserve"> </w:t>
      </w:r>
      <w:r>
        <w:t xml:space="preserve">transport operators and users, with additional costs and administrative burden for industries operating across</w:t>
      </w:r>
      <w:r>
        <w:t xml:space="preserve"> </w:t>
      </w:r>
      <w:r>
        <w:t xml:space="preserve">borders. Actions at national level may also lower the general effectiveness of emissions accounting, as GHG</w:t>
      </w:r>
      <w:r>
        <w:t xml:space="preserve"> </w:t>
      </w:r>
      <w:r>
        <w:t xml:space="preserve">emissions output data from transport operations carried out in different countries would not be comparable, with a</w:t>
      </w:r>
      <w:r>
        <w:t xml:space="preserve"> </w:t>
      </w:r>
      <w:r>
        <w:t xml:space="preserve">significant risk of creating confusion for users, and providing different, or even negative incentives for operators.</w:t>
      </w:r>
      <w:r>
        <w:t xml:space="preserve"> </w:t>
      </w:r>
      <w:r>
        <w:t xml:space="preserve">105 Statistical pocketbook 2022 (europa.eu)</w:t>
      </w:r>
    </w:p>
    <w:p>
      <w:pPr>
        <w:pStyle w:val="BodyText"/>
      </w:pPr>
      <w:r>
        <w:t xml:space="preserve">21</w:t>
      </w:r>
    </w:p>
    <w:p>
      <w:pPr>
        <w:pStyle w:val="BodyText"/>
      </w:pPr>
      <w:r>
        <w:t xml:space="preserve">supporting the use of GHG emissions data to make specific transport choices, it will lead to</w:t>
      </w:r>
      <w:r>
        <w:t xml:space="preserve"> </w:t>
      </w:r>
      <w:r>
        <w:t xml:space="preserve">creating incentives for more sustainable solutions and innovation. Any national approaches</w:t>
      </w:r>
      <w:r>
        <w:t xml:space="preserve"> </w:t>
      </w:r>
      <w:r>
        <w:t xml:space="preserve">would be highly counterproductive for achieving these objectives, bearing significant risk of</w:t>
      </w:r>
      <w:r>
        <w:t xml:space="preserve"> </w:t>
      </w:r>
      <w:r>
        <w:t xml:space="preserve">conflicting requirements and inconsistent methodologies and data. These divergent national</w:t>
      </w:r>
      <w:r>
        <w:t xml:space="preserve"> </w:t>
      </w:r>
      <w:r>
        <w:t xml:space="preserve">approaches would add costs and create unnecessary burden to businesses operating between</w:t>
      </w:r>
      <w:r>
        <w:t xml:space="preserve"> </w:t>
      </w:r>
      <w:r>
        <w:t xml:space="preserve">different Member States.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</w:t>
      </w:r>
      <w:r>
        <w:t xml:space="preserve"> </w:t>
      </w:r>
      <w:r>
        <w:t xml:space="preserve">1.10</w:t>
      </w:r>
      <w:r>
        <w:t xml:space="preserve"> </w:t>
      </w:r>
      <w:r>
        <w:t xml:space="preserve">General objectives</w:t>
      </w:r>
      <w:r>
        <w:t xml:space="preserve"> </w:t>
      </w:r>
      <w:r>
        <w:t xml:space="preserve">In view of the problems described in section 2, the general objective of CountEmissions EU is</w:t>
      </w:r>
      <w:r>
        <w:t xml:space="preserve"> </w:t>
      </w:r>
      <w:r>
        <w:t xml:space="preserve">to incentivise behavioural change among businesses and customers to reduce GHG</w:t>
      </w:r>
      <w:r>
        <w:t xml:space="preserve"> </w:t>
      </w:r>
      <w:r>
        <w:t xml:space="preserve">emissions from transport services through the uptake and use of comparable and reliable</w:t>
      </w:r>
      <w:r>
        <w:t xml:space="preserve"> </w:t>
      </w:r>
      <w:r>
        <w:t xml:space="preserve">GHG emissions data. To this end, the initiative will provide a harmonised regulatory framework</w:t>
      </w:r>
      <w:r>
        <w:t xml:space="preserve"> </w:t>
      </w:r>
      <w:r>
        <w:t xml:space="preserve">for GHG emissions accounting, and specific rules stimulating its use across the entire transport</w:t>
      </w:r>
      <w:r>
        <w:t xml:space="preserve"> </w:t>
      </w:r>
      <w:r>
        <w:t xml:space="preserve">chain.</w:t>
      </w:r>
      <w:r>
        <w:br/>
      </w:r>
      <w:r>
        <w:t xml:space="preserve">In this context, and as already indicated above, CountEmissions EU will contribute towards SDG</w:t>
      </w:r>
      <w:r>
        <w:t xml:space="preserve"> </w:t>
      </w:r>
      <w:r>
        <w:t xml:space="preserve">13 (“Take urgent action to combat climate change and its impacts”), SDG 7 (“Ensure access to</w:t>
      </w:r>
      <w:r>
        <w:t xml:space="preserve"> </w:t>
      </w:r>
      <w:r>
        <w:t xml:space="preserve">affordable, reliable, sustainable and modern energy for all”) and SDG 12 (“Ensure sustainable</w:t>
      </w:r>
      <w:r>
        <w:t xml:space="preserve"> </w:t>
      </w:r>
      <w:r>
        <w:t xml:space="preserve">consumption and production patterns”).</w:t>
      </w:r>
      <w:r>
        <w:t xml:space="preserve"> </w:t>
      </w:r>
      <w:r>
        <w:t xml:space="preserve">1.11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This initiative is designed to effectively address the existing barriers hindering the harmonisation</w:t>
      </w:r>
      <w:r>
        <w:t xml:space="preserve"> </w:t>
      </w:r>
      <w:r>
        <w:t xml:space="preserve">of the GHG emissions accounting and its uptake. The specific objectives (SOs) and their</w:t>
      </w:r>
      <w:r>
        <w:t xml:space="preserve"> </w:t>
      </w:r>
      <w:r>
        <w:t xml:space="preserve">interlinkages with the problem drivers are presented in Figure 2.</w:t>
      </w:r>
      <w:r>
        <w:t xml:space="preserve"> </w:t>
      </w:r>
      <w:r>
        <w:t xml:space="preserve">Figure 2: Interlinkages between the specific objectives and the problem drivers</w:t>
      </w:r>
    </w:p>
    <w:p>
      <w:pPr>
        <w:pStyle w:val="BodyText"/>
      </w:pPr>
      <w:r>
        <w:t xml:space="preserve">SO1: Ensure the comparability of results from GHG emissions accounting of transport</w:t>
      </w:r>
      <w:r>
        <w:t xml:space="preserve"> </w:t>
      </w:r>
      <w:r>
        <w:t xml:space="preserve">services. This objective aims at the provision of a common reference methodology and a</w:t>
      </w:r>
      <w:r>
        <w:t xml:space="preserve"> </w:t>
      </w:r>
      <w:r>
        <w:t xml:space="preserve">harmonised set of input data for accounting emissions from transport services, as well as</w:t>
      </w:r>
      <w:r>
        <w:t xml:space="preserve"> </w:t>
      </w:r>
      <w:r>
        <w:t xml:space="preserve">addressing the issue of the sensitivity of emissions data.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SO2: Facilitate the uptake of GHG emissions accounting of transport services in business</w:t>
      </w:r>
      <w:r>
        <w:t xml:space="preserve"> </w:t>
      </w:r>
      <w:r>
        <w:t xml:space="preserve">practice. This objectives aims to provide a harmonised approach for implementing the common</w:t>
      </w:r>
      <w:r>
        <w:t xml:space="preserve"> </w:t>
      </w:r>
      <w:r>
        <w:t xml:space="preserve">reference methodology and supporting its use across all transport segments and modes. Together</w:t>
      </w:r>
      <w:r>
        <w:t xml:space="preserve"> </w:t>
      </w:r>
      <w:r>
        <w:t xml:space="preserve">with SO1 it addresses the issue of the sensitivity of emissions data.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</w:t>
      </w:r>
      <w:r>
        <w:t xml:space="preserve"> </w:t>
      </w:r>
      <w:r>
        <w:t xml:space="preserve">1.12</w:t>
      </w:r>
      <w:r>
        <w:t xml:space="preserve"> </w:t>
      </w:r>
      <w:r>
        <w:t xml:space="preserve">What is the baseline from which options are assessed?</w:t>
      </w:r>
      <w:r>
        <w:t xml:space="preserve"> </w:t>
      </w:r>
      <w:r>
        <w:t xml:space="preserve">The EU Reference scenario 2020 (REF2020) is the starting point for the impact assessment of</w:t>
      </w:r>
      <w:r>
        <w:t xml:space="preserve"> </w:t>
      </w:r>
      <w:r>
        <w:t xml:space="preserve">this initiative106. The REF2020 takes into account the impacts of the COVID-19 pandemic that</w:t>
      </w:r>
      <w:r>
        <w:t xml:space="preserve"> </w:t>
      </w:r>
      <w:r>
        <w:t xml:space="preserve">had a significant impact on the transport sector. More detailed information about the preparation</w:t>
      </w:r>
      <w:r>
        <w:t xml:space="preserve"> </w:t>
      </w:r>
      <w:r>
        <w:t xml:space="preserve">process, assumptions and results are included in the Reference scenario publication107. Building</w:t>
      </w:r>
      <w:r>
        <w:t xml:space="preserve"> </w:t>
      </w:r>
      <w:r>
        <w:t xml:space="preserve">on REF2020, the baseline has been designed to include the initiatives of the ‘Fit for 55’ package</w:t>
      </w:r>
      <w:r>
        <w:t xml:space="preserve"> </w:t>
      </w:r>
      <w:r>
        <w:t xml:space="preserve">proposed by the Commission on 14 July 2021108 and the initiatives of the RePowerEU package</w:t>
      </w:r>
      <w:r>
        <w:t xml:space="preserve"> </w:t>
      </w:r>
      <w:r>
        <w:t xml:space="preserve">proposed by the Commission on 18 May 2022109. In terms of GHG emissions accounting, the</w:t>
      </w:r>
      <w:r>
        <w:t xml:space="preserve"> </w:t>
      </w:r>
      <w:r>
        <w:t xml:space="preserve">Baseline scenario assumes no further EU level intervention beyond the current initiatives in place at</w:t>
      </w:r>
      <w:r>
        <w:t xml:space="preserve"> </w:t>
      </w:r>
      <w:r>
        <w:t xml:space="preserve">national level and enterprise level. More details on the baseline are provided in Annex 4.</w:t>
      </w:r>
      <w:r>
        <w:t xml:space="preserve"> </w:t>
      </w:r>
      <w:r>
        <w:t xml:space="preserve">The baseline also incorporates foresight megatrends110 and developments captured in the 2022</w:t>
      </w:r>
      <w:r>
        <w:t xml:space="preserve"> </w:t>
      </w:r>
      <w:r>
        <w:t xml:space="preserve">Strategic Foresight Report111. Among others, it captures the trend of increasing demand for</w:t>
      </w:r>
      <w:r>
        <w:t xml:space="preserve"> </w:t>
      </w:r>
      <w:r>
        <w:t xml:space="preserve">transport as population and living standards grow as well as the links between the digital and</w:t>
      </w:r>
      <w:r>
        <w:t xml:space="preserve"> </w:t>
      </w:r>
      <w:r>
        <w:t xml:space="preserve">green transition.</w:t>
      </w:r>
      <w:r>
        <w:t xml:space="preserve"> </w:t>
      </w:r>
      <w:r>
        <w:t xml:space="preserve">In the Baseline scenario, EU transport activity is projected to grow post-2020, following the</w:t>
      </w:r>
      <w:r>
        <w:t xml:space="preserve"> </w:t>
      </w:r>
      <w:r>
        <w:t xml:space="preserve">recovery from the COVID pandemic. Road transport would maintain its dominant role within</w:t>
      </w:r>
      <w:r>
        <w:t xml:space="preserve"> </w:t>
      </w:r>
      <w:r>
        <w:t xml:space="preserve">the EU by 2050. Rail transport activity is projected to grow significantly faster than for road,</w:t>
      </w:r>
      <w:r>
        <w:t xml:space="preserve"> </w:t>
      </w:r>
      <w:r>
        <w:t xml:space="preserve">driven in particular by the completion of the TEN-T core network by 2030 and of the</w:t>
      </w:r>
      <w:r>
        <w:t xml:space="preserve"> </w:t>
      </w:r>
      <w:r>
        <w:t xml:space="preserve">comprehensive network by 2050, supported by the CEF, Cohesion Fund and ERDF funding, but</w:t>
      </w:r>
      <w:r>
        <w:t xml:space="preserve"> </w:t>
      </w:r>
      <w:r>
        <w:t xml:space="preserve">also by measures of the ‘Fit for 55’ package that increase to some extent the competitiveness of</w:t>
      </w:r>
      <w:r>
        <w:t xml:space="preserve"> </w:t>
      </w:r>
      <w:r>
        <w:t xml:space="preserve">rail relative to road and air transport. Passenger rail activity is projected to go up by 24% by 2030</w:t>
      </w:r>
      <w:r>
        <w:t xml:space="preserve"> </w:t>
      </w:r>
      <w:r>
        <w:t xml:space="preserve">relative to 2015 (67% for 2015-2050). High speed rail activity, in particular, would grow by 68%</w:t>
      </w:r>
      <w:r>
        <w:t xml:space="preserve"> </w:t>
      </w:r>
      <w:r>
        <w:t xml:space="preserve">by 2030 relative to 2015 (165% by 2050), missing however to deliver on the milestone of the</w:t>
      </w:r>
      <w:r>
        <w:t xml:space="preserve"> </w:t>
      </w:r>
      <w:r>
        <w:t xml:space="preserve">SSMS of doubling its traffic by 2030 and tripling it by 2050. Freight rail traffic would increase</w:t>
      </w:r>
      <w:r>
        <w:t xml:space="preserve"> </w:t>
      </w:r>
      <w:r>
        <w:t xml:space="preserve">by 42% by 2030 relative to 2015 (91% for 2015-2050) also not delivering on the milestone of</w:t>
      </w:r>
      <w:r>
        <w:t xml:space="preserve"> </w:t>
      </w:r>
      <w:r>
        <w:t xml:space="preserve">the SSMS of increasing the traffic by 50% by 2030 and doubling it by 2050112. Well-to-wheel</w:t>
      </w:r>
    </w:p>
    <w:p>
      <w:pPr>
        <w:pStyle w:val="BodyText"/>
      </w:pPr>
      <w:r>
        <w:t xml:space="preserve">106 EU Reference Scenario 2020 (europa.eu)</w:t>
      </w:r>
      <w:r>
        <w:t xml:space="preserve"> </w:t>
      </w:r>
      <w:r>
        <w:t xml:space="preserve">107 https://energy.ec.europa.eu/data-and-analysis/energy-modelling/eu-reference-scenario-2020_en</w:t>
      </w:r>
      <w:r>
        <w:t xml:space="preserve"> </w:t>
      </w:r>
      <w:r>
        <w:t xml:space="preserve">108 https://ec.europa.eu/info/strategy/priorities-2019-2024/european-green-deal/delivering-european-green-deal_en</w:t>
      </w:r>
      <w:r>
        <w:t xml:space="preserve"> </w:t>
      </w:r>
      <w:r>
        <w:t xml:space="preserve">109 https://ec.europa.eu/commission/presscorner/detail/en/IP_22_3131</w:t>
      </w:r>
      <w:r>
        <w:t xml:space="preserve"> </w:t>
      </w:r>
      <w:r>
        <w:t xml:space="preserve">110 https://knowledge4policy.ec.europa.eu/foresight/tool/megatrends-hub_en#explore</w:t>
      </w:r>
      <w:r>
        <w:br/>
      </w:r>
      <w:r>
        <w:t xml:space="preserve">111 COM(2022) 289 final.</w:t>
      </w:r>
      <w:r>
        <w:t xml:space="preserve"> </w:t>
      </w:r>
      <w:r>
        <w:t xml:space="preserve">112 It should be noted that the scenarios underpinning the impact assessment accompanying the 2030 Climate Target</w:t>
      </w:r>
      <w:r>
        <w:t xml:space="preserve"> </w:t>
      </w:r>
      <w:r>
        <w:t xml:space="preserve">Plan and the staff working document accompanying the Sustainable and Smart Mobility Strategy, as well as the</w:t>
      </w:r>
      <w:r>
        <w:t xml:space="preserve"> </w:t>
      </w:r>
      <w:r>
        <w:t xml:space="preserve">impact assessments accompanying the ‘Fit for 55’ initiatives and the staff working document accompanying the</w:t>
      </w:r>
      <w:r>
        <w:t xml:space="preserve"> </w:t>
      </w:r>
      <w:r>
        <w:t xml:space="preserve">REPowerEU package, took into account a broader range of policies (including this initiative as well as the initiatives</w:t>
      </w:r>
      <w:r>
        <w:t xml:space="preserve"> </w:t>
      </w:r>
      <w:r>
        <w:t xml:space="preserve">on rail capacity, weights and dimensions for heavy duty vehicles and combined transport) that were represented in</w:t>
      </w:r>
      <w:r>
        <w:t xml:space="preserve"> </w:t>
      </w:r>
      <w:r>
        <w:t xml:space="preserve">a stylised way ahead of the actual proposals, to show the delivery of at least 55% emissions reduction target by 2030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GHG emissions from transport including international aviation and maritime, are projected to be</w:t>
      </w:r>
      <w:r>
        <w:t xml:space="preserve"> </w:t>
      </w:r>
      <w:r>
        <w:t xml:space="preserve">26% lower by 2030 compared to 2015, and 89% lower by 2050. NOx emissions are projected to</w:t>
      </w:r>
      <w:r>
        <w:t xml:space="preserve"> </w:t>
      </w:r>
      <w:r>
        <w:t xml:space="preserve">go down by 56% between 2015 and 2030 (87% by 2050), mainly driven by the electrification of</w:t>
      </w:r>
      <w:r>
        <w:t xml:space="preserve"> </w:t>
      </w:r>
      <w:r>
        <w:t xml:space="preserve">the road transport and in particular of the light duty vehicles segment. The decline in particulate</w:t>
      </w:r>
      <w:r>
        <w:t xml:space="preserve"> </w:t>
      </w:r>
      <w:r>
        <w:t xml:space="preserve">matter (PM2.5) would be slightly lower by 2030 at 53% relative to 2015 (91% by 2050).</w:t>
      </w:r>
      <w:r>
        <w:t xml:space="preserve"> </w:t>
      </w:r>
      <w:r>
        <w:t xml:space="preserve">Regarding the uptake of GHG emissions accounting of transport services, due account was taken</w:t>
      </w:r>
      <w:r>
        <w:t xml:space="preserve"> </w:t>
      </w:r>
      <w:r>
        <w:t xml:space="preserve">of the results of the stakeholders’ consultation and the experience derived from other initiatives</w:t>
      </w:r>
      <w:r>
        <w:t xml:space="preserve"> </w:t>
      </w:r>
      <w:r>
        <w:t xml:space="preserve">aimed to harmonise the quantification and reporting of emissions in transport. As explained in</w:t>
      </w:r>
      <w:r>
        <w:t xml:space="preserve"> </w:t>
      </w:r>
      <w:r>
        <w:t xml:space="preserve">section 2.5, in the absence of a regulatory framework, and despite the publication of ISO standard</w:t>
      </w:r>
      <w:r>
        <w:t xml:space="preserve"> </w:t>
      </w:r>
      <w:r>
        <w:t xml:space="preserve">14083, this uptake is likely to increase only at a limited extent since market forces alone will not</w:t>
      </w:r>
      <w:r>
        <w:t xml:space="preserve"> </w:t>
      </w:r>
      <w:r>
        <w:t xml:space="preserve">be able to secure the uniform application of GHG accounting practices across the transport</w:t>
      </w:r>
      <w:r>
        <w:t xml:space="preserve"> </w:t>
      </w:r>
      <w:r>
        <w:t xml:space="preserve">sector, and to guarantee the reliability, accuracy and comparability of GHG emissions data of</w:t>
      </w:r>
      <w:r>
        <w:t xml:space="preserve"> </w:t>
      </w:r>
      <w:r>
        <w:t xml:space="preserve">different transport services shared by transport organisers. This assumption can be illustrated</w:t>
      </w:r>
      <w:r>
        <w:t xml:space="preserve"> </w:t>
      </w:r>
      <w:r>
        <w:t xml:space="preserve">with the example of CEN EN 16258 standard, which has not led to the uniform GHG emissions</w:t>
      </w:r>
      <w:r>
        <w:t xml:space="preserve"> </w:t>
      </w:r>
      <w:r>
        <w:t xml:space="preserve">accounting system for transport services.</w:t>
      </w:r>
      <w:r>
        <w:t xml:space="preserve"> </w:t>
      </w:r>
      <w:r>
        <w:t xml:space="preserve">The number of enterprises in the transport sector and other sectors performing transport on own</w:t>
      </w:r>
      <w:r>
        <w:t xml:space="preserve"> </w:t>
      </w:r>
      <w:r>
        <w:t xml:space="preserve">account is estimated at 1.8 million in 2020 and is projected to remain stable over time. The large</w:t>
      </w:r>
      <w:r>
        <w:t xml:space="preserve"> </w:t>
      </w:r>
      <w:r>
        <w:t xml:space="preserve">majority (99.7%) are micro, small and medium enterprises. The number of enterprises</w:t>
      </w:r>
      <w:r>
        <w:t xml:space="preserve"> </w:t>
      </w:r>
      <w:r>
        <w:t xml:space="preserve">performing GHG emissions accounting at service level (i.e. for individual services delivered by</w:t>
      </w:r>
      <w:r>
        <w:t xml:space="preserve"> </w:t>
      </w:r>
      <w:r>
        <w:t xml:space="preserve">an operator) is estimated at 21,660 in 2020, of which 21,342 SMEs. Their number is projected</w:t>
      </w:r>
      <w:r>
        <w:t xml:space="preserve"> </w:t>
      </w:r>
      <w:r>
        <w:t xml:space="preserve">to increase over time to 39,380 by 2030 (38,693 SMEs and 687 large companies) and 69,599 by</w:t>
      </w:r>
      <w:r>
        <w:t xml:space="preserve"> </w:t>
      </w:r>
      <w:r>
        <w:t xml:space="preserve">2050 (68,279 SMEs and 1,320 large companies), driven by initiatives at national level and</w:t>
      </w:r>
      <w:r>
        <w:t xml:space="preserve"> </w:t>
      </w:r>
      <w:r>
        <w:t xml:space="preserve">enterprise level. However, their share in the total number of enterprises in the transport sector</w:t>
      </w:r>
      <w:r>
        <w:t xml:space="preserve"> </w:t>
      </w:r>
      <w:r>
        <w:t xml:space="preserve">and other sectors performing transport on own account is projected to remain limited by 2050</w:t>
      </w:r>
      <w:r>
        <w:t xml:space="preserve"> </w:t>
      </w:r>
      <w:r>
        <w:t xml:space="preserve">(2.2% in 2030 and 3.9% in 2050, relative to 1.2% in 2020). The number of large companies</w:t>
      </w:r>
      <w:r>
        <w:t xml:space="preserve"> </w:t>
      </w:r>
      <w:r>
        <w:t xml:space="preserve">measuring GHG emissions at service level is projected to grow at higher pace relative to SMEs.</w:t>
      </w:r>
      <w:r>
        <w:t xml:space="preserve"> </w:t>
      </w:r>
      <w:r>
        <w:t xml:space="preserve">The total costs incurred by the enterprises that measure GHG emissions from transport at service</w:t>
      </w:r>
      <w:r>
        <w:t xml:space="preserve"> </w:t>
      </w:r>
      <w:r>
        <w:t xml:space="preserve">level are projected to increase from EUR 36.4 million in 2020 (EUR 34.1 million for SMEs and</w:t>
      </w:r>
      <w:r>
        <w:t xml:space="preserve"> </w:t>
      </w:r>
      <w:r>
        <w:t xml:space="preserve">EUR 2.2 million for large companies) to EUR 61.4 million in 2030 (EUR 56.9 million for SMEs</w:t>
      </w:r>
      <w:r>
        <w:t xml:space="preserve"> </w:t>
      </w:r>
      <w:r>
        <w:t xml:space="preserve">and EUR 4.6 million for large companies) and EUR 92.7 million in 2050 (EUR 85.1 million for</w:t>
      </w:r>
      <w:r>
        <w:t xml:space="preserve"> </w:t>
      </w:r>
      <w:r>
        <w:t xml:space="preserve">SMEs and EUR 7.6 million for large companies). The largest share of the costs is associated to</w:t>
      </w:r>
      <w:r>
        <w:t xml:space="preserve"> </w:t>
      </w:r>
      <w:r>
        <w:t xml:space="preserve">SMEs.</w:t>
      </w:r>
      <w:r>
        <w:t xml:space="preserve"> </w:t>
      </w:r>
      <w:r>
        <w:t xml:space="preserve">The baseline scenario reflects the projected higher energy prices driven by the Russian invasion</w:t>
      </w:r>
      <w:r>
        <w:t xml:space="preserve"> </w:t>
      </w:r>
      <w:r>
        <w:t xml:space="preserve">of Ukraine113. Beyond this aspect, it was however not possible to quantify the impact of the</w:t>
      </w:r>
      <w:r>
        <w:t xml:space="preserve"> </w:t>
      </w:r>
      <w:r>
        <w:t xml:space="preserve">Russian invasion of Ukraine in the context of the baseline scenario, given large uncertainty with</w:t>
      </w:r>
      <w:r>
        <w:t xml:space="preserve"> </w:t>
      </w:r>
      <w:r>
        <w:t xml:space="preserve">respect to its impacts, in particular for the medium to long term. However, the Russian invasion</w:t>
      </w:r>
    </w:p>
    <w:p>
      <w:pPr>
        <w:pStyle w:val="BodyText"/>
      </w:pPr>
      <w:r>
        <w:t xml:space="preserve">and to account for the interaction with the forthcoming initiatives. These initiatives (in particular the rail capacity</w:t>
      </w:r>
      <w:r>
        <w:t xml:space="preserve"> </w:t>
      </w:r>
      <w:r>
        <w:t xml:space="preserve">initiative) are contributing towards the achievement of the milestones set in the context of the Sustainable and Smart</w:t>
      </w:r>
      <w:r>
        <w:t xml:space="preserve"> </w:t>
      </w:r>
      <w:r>
        <w:t xml:space="preserve">Mobility Strategy. To define a meaningful baseline scenario for the initiatives part of the Greening transport</w:t>
      </w:r>
      <w:r>
        <w:t xml:space="preserve"> </w:t>
      </w:r>
      <w:r>
        <w:t xml:space="preserve">package, these initiatives were not considered in the baseline scenario. This is the reason why the milestones of the</w:t>
      </w:r>
      <w:r>
        <w:t xml:space="preserve"> </w:t>
      </w:r>
      <w:r>
        <w:t xml:space="preserve">Sustainable and Smart Mobility Strategy in terms of rail traffic growth are not assumed to be met in the baseline. If</w:t>
      </w:r>
      <w:r>
        <w:t xml:space="preserve"> </w:t>
      </w:r>
      <w:r>
        <w:t xml:space="preserve">considering the milestones of the Sustainable and Smart Mobility Strategy in terms of rail traffic growth to be</w:t>
      </w:r>
      <w:r>
        <w:t xml:space="preserve"> </w:t>
      </w:r>
      <w:r>
        <w:t xml:space="preserve">achieved in the baseline, the benefits of the policy options in terms of reduction in external costs of GHG emissions</w:t>
      </w:r>
      <w:r>
        <w:t xml:space="preserve"> </w:t>
      </w:r>
      <w:r>
        <w:t xml:space="preserve">and air pollution emissions, as well as the avoided use of fuel, would be somewhat lower.</w:t>
      </w:r>
      <w:r>
        <w:t xml:space="preserve"> </w:t>
      </w:r>
      <w:r>
        <w:t xml:space="preserve">113 SWD(2022) 230 final of 18 May 2022.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of Ukraine is not expected to have an impact on the number of companies performing GHG</w:t>
      </w:r>
      <w:r>
        <w:t xml:space="preserve"> </w:t>
      </w:r>
      <w:r>
        <w:t xml:space="preserve">emissions accounting at service level, relevant for this initiative.</w:t>
      </w:r>
      <w:r>
        <w:br/>
      </w:r>
      <w:r>
        <w:t xml:space="preserve">1.13</w:t>
      </w:r>
      <w:r>
        <w:t xml:space="preserve"> </w:t>
      </w:r>
      <w:r>
        <w:t xml:space="preserve">Description of the policy measures and policy options</w:t>
      </w:r>
      <w:r>
        <w:t xml:space="preserve"> </w:t>
      </w:r>
      <w:r>
        <w:t xml:space="preserve">As a first step, a comprehensive list of possible policy measures was established after extensive</w:t>
      </w:r>
      <w:r>
        <w:t xml:space="preserve"> </w:t>
      </w:r>
      <w:r>
        <w:t xml:space="preserve">consultations with stakeholders (surveys, meetings, stakeholder workshop), independent</w:t>
      </w:r>
      <w:r>
        <w:t xml:space="preserve"> </w:t>
      </w:r>
      <w:r>
        <w:t xml:space="preserve">research in the context of the impact assessment support study and the Commission’s own</w:t>
      </w:r>
      <w:r>
        <w:t xml:space="preserve"> </w:t>
      </w:r>
      <w:r>
        <w:t xml:space="preserve">analysis. This list was subsequently screened based on the likely effectiveness, efficiency and</w:t>
      </w:r>
      <w:r>
        <w:t xml:space="preserve"> </w:t>
      </w:r>
      <w:r>
        <w:t xml:space="preserve">proportionality of the proposed measures in relation to the given objectives, as well as their legal,</w:t>
      </w:r>
      <w:r>
        <w:t xml:space="preserve"> </w:t>
      </w:r>
      <w:r>
        <w:t xml:space="preserve">political and technical feasibility.</w:t>
      </w:r>
      <w:r>
        <w:t xml:space="preserve"> </w:t>
      </w:r>
      <w:r>
        <w:t xml:space="preserve">Discarded policy measures</w:t>
      </w:r>
      <w:r>
        <w:br/>
      </w:r>
      <w:r>
        <w:t xml:space="preserve">A number of possible policy measures considered during the impact assessment process were</w:t>
      </w:r>
      <w:r>
        <w:t xml:space="preserve"> </w:t>
      </w:r>
      <w:r>
        <w:t xml:space="preserve">discarded, either because the identified problem driver was not validated by the stakeholders, the</w:t>
      </w:r>
      <w:r>
        <w:t xml:space="preserve"> </w:t>
      </w:r>
      <w:r>
        <w:t xml:space="preserve">problem was not susceptible to a solution by means of EU intervention, or proposing an action</w:t>
      </w:r>
      <w:r>
        <w:t xml:space="preserve"> </w:t>
      </w:r>
      <w:r>
        <w:t xml:space="preserve">to address the issue at EU level would not yield additional value. The full list of discarded policy</w:t>
      </w:r>
      <w:r>
        <w:t xml:space="preserve"> </w:t>
      </w:r>
      <w:r>
        <w:t xml:space="preserve">measures and the reasons for discarding them is included in Annex 6.</w:t>
      </w:r>
      <w:r>
        <w:t xml:space="preserve"> </w:t>
      </w:r>
      <w:r>
        <w:t xml:space="preserve">Examples of policy measures discarded on the basis of stakeholders’ contribution and desk</w:t>
      </w:r>
      <w:r>
        <w:t xml:space="preserve"> </w:t>
      </w:r>
      <w:r>
        <w:t xml:space="preserve">research performed in the context of this impact assessment are:</w:t>
      </w:r>
      <w:r>
        <w:t xml:space="preserve"> </w:t>
      </w:r>
      <w:r>
        <w:t xml:space="preserve"> the development of a completely new reference methodology for accounting emissions – this</w:t>
      </w:r>
      <w:r>
        <w:t xml:space="preserve"> </w:t>
      </w:r>
      <w:r>
        <w:t xml:space="preserve">measure was evaluated as neither realistic nor proportionate, given the very low stakeholders’</w:t>
      </w:r>
      <w:r>
        <w:t xml:space="preserve"> </w:t>
      </w:r>
      <w:r>
        <w:t xml:space="preserve">support, and the time and resources to be invested in its development;</w:t>
      </w:r>
      <w:r>
        <w:t xml:space="preserve"> </w:t>
      </w:r>
      <w:r>
        <w:t xml:space="preserve"> the mandatory use of primary data as input for the GHG emissions calculations – it was found</w:t>
      </w:r>
      <w:r>
        <w:t xml:space="preserve"> </w:t>
      </w:r>
      <w:r>
        <w:t xml:space="preserve">that such data is not yet widely available for certain types of transport operators (especially</w:t>
      </w:r>
      <w:r>
        <w:t xml:space="preserve"> </w:t>
      </w:r>
      <w:r>
        <w:t xml:space="preserve">for SMEs and micro companies), and such requirement would thus impose disproportionate</w:t>
      </w:r>
      <w:r>
        <w:t xml:space="preserve"> </w:t>
      </w:r>
      <w:r>
        <w:t xml:space="preserve">burden and costs on them;</w:t>
      </w:r>
      <w:r>
        <w:t xml:space="preserve"> </w:t>
      </w:r>
      <w:r>
        <w:t xml:space="preserve"> the certification of sectorial implementation guidelines – it was considered too complex,</w:t>
      </w:r>
      <w:r>
        <w:t xml:space="preserve"> </w:t>
      </w:r>
      <w:r>
        <w:t xml:space="preserve">costly and bringing limited value added for achieving the objectives of the initiative,</w:t>
      </w:r>
      <w:r>
        <w:t xml:space="preserve"> </w:t>
      </w:r>
      <w:r>
        <w:t xml:space="preserve">compared to other measures that were eventually retained.</w:t>
      </w:r>
    </w:p>
    <w:p>
      <w:pPr>
        <w:pStyle w:val="BodyText"/>
      </w:pPr>
      <w:r>
        <w:t xml:space="preserve">Retained policy measures and policy options</w:t>
      </w:r>
      <w:r>
        <w:br/>
      </w:r>
      <w:r>
        <w:t xml:space="preserve">The retained policy measures (see details in Annex 7) have been structured around the following</w:t>
      </w:r>
      <w:r>
        <w:t xml:space="preserve"> </w:t>
      </w:r>
      <w:r>
        <w:t xml:space="preserve">areas of action:</w:t>
      </w:r>
      <w:r>
        <w:br/>
      </w:r>
      <w:r>
        <w:t xml:space="preserve"> Methodological framework – to determine a common reference method ensuring that the</w:t>
      </w:r>
      <w:r>
        <w:t xml:space="preserve"> </w:t>
      </w:r>
      <w:r>
        <w:t xml:space="preserve">quantification of emissions for transport services is performed in a standardised way across</w:t>
      </w:r>
      <w:r>
        <w:t xml:space="preserve"> </w:t>
      </w:r>
      <w:r>
        <w:t xml:space="preserve">the entire transport sector. An additional assessment was performed to shortlist the</w:t>
      </w:r>
      <w:r>
        <w:t xml:space="preserve"> </w:t>
      </w:r>
      <w:r>
        <w:t xml:space="preserve">methodologies that are the most relevant for the policy options (see Annex 7);</w:t>
      </w:r>
      <w:r>
        <w:t xml:space="preserve"> </w:t>
      </w:r>
      <w:r>
        <w:t xml:space="preserve"> Input data and sources – to provide a harmonised approach for the input data, by</w:t>
      </w:r>
      <w:r>
        <w:t xml:space="preserve"> </w:t>
      </w:r>
      <w:r>
        <w:t xml:space="preserve">incentivising the use of primary information, increasing the reliability, accessibility and</w:t>
      </w:r>
      <w:r>
        <w:t xml:space="preserve"> </w:t>
      </w:r>
      <w:r>
        <w:t xml:space="preserve">adequacy of default values, and mitigating variations between national, regional and sectorial</w:t>
      </w:r>
      <w:r>
        <w:t xml:space="preserve"> </w:t>
      </w:r>
      <w:r>
        <w:t xml:space="preserve">datasets;</w:t>
      </w:r>
      <w:r>
        <w:t xml:space="preserve"> </w:t>
      </w:r>
      <w:r>
        <w:t xml:space="preserve"> Applicability – to determine the relevant type of policy instrument (ranging from mandatory</w:t>
      </w:r>
      <w:r>
        <w:t xml:space="preserve"> </w:t>
      </w:r>
      <w:r>
        <w:t xml:space="preserve">to voluntary) to effectively apply CountEmissions EU on the EU market;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 Harmonised emissions output data and transparency – to determine appropriate formats</w:t>
      </w:r>
      <w:r>
        <w:t xml:space="preserve"> </w:t>
      </w:r>
      <w:r>
        <w:t xml:space="preserve">and metrics for generating and sharing the GHG emissions data, as well as to provide for</w:t>
      </w:r>
      <w:r>
        <w:t xml:space="preserve"> </w:t>
      </w:r>
      <w:r>
        <w:t xml:space="preserve">common rules on the communication and transparency of the emissions accounting results;</w:t>
      </w:r>
      <w:r>
        <w:t xml:space="preserve"> </w:t>
      </w:r>
      <w:r>
        <w:t xml:space="preserve"> Sectorial implementation support – to provide for harmonised implementation of</w:t>
      </w:r>
      <w:r>
        <w:t xml:space="preserve"> </w:t>
      </w:r>
      <w:r>
        <w:t xml:space="preserve">CountEmissions EU in various transport segments;</w:t>
      </w:r>
      <w:r>
        <w:t xml:space="preserve"> </w:t>
      </w:r>
      <w:r>
        <w:t xml:space="preserve"> Conformity – to ensure a common, proportionate and reliable verification system for the</w:t>
      </w:r>
      <w:r>
        <w:t xml:space="preserve"> </w:t>
      </w:r>
      <w:r>
        <w:t xml:space="preserve">GHG emissions data generated from specific transport services, and for the underlying</w:t>
      </w:r>
      <w:r>
        <w:t xml:space="preserve"> </w:t>
      </w:r>
      <w:r>
        <w:t xml:space="preserve">calculation processes;</w:t>
      </w:r>
      <w:r>
        <w:br/>
      </w:r>
      <w:r>
        <w:t xml:space="preserve"> Complementary measures – to cover aspects related to the development and use of technical</w:t>
      </w:r>
      <w:r>
        <w:t xml:space="preserve"> </w:t>
      </w:r>
      <w:r>
        <w:t xml:space="preserve">support measures.</w:t>
      </w:r>
      <w:r>
        <w:t xml:space="preserve"> </w:t>
      </w:r>
      <w:r>
        <w:t xml:space="preserve">The impact assessment considers six policy options, combining retained policy measures based</w:t>
      </w:r>
      <w:r>
        <w:t xml:space="preserve"> </w:t>
      </w:r>
      <w:r>
        <w:t xml:space="preserve">on the areas of action discussed above. Table 3 Table 3 presents the interlinkages between the</w:t>
      </w:r>
      <w:r>
        <w:t xml:space="preserve"> </w:t>
      </w:r>
      <w:r>
        <w:t xml:space="preserve">retained policy measures, policy options, the specific policy objectives and problem drivers.</w:t>
      </w:r>
      <w:r>
        <w:br/>
      </w:r>
      <w:r>
        <w:t xml:space="preserve">Table 3: Overview of specific objectives, problem drivers, measures and policy options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</w:t>
      </w:r>
      <w:r>
        <w:t xml:space="preserve"> </w:t>
      </w:r>
      <w:r>
        <w:t xml:space="preserve">e</w:t>
      </w:r>
      <w:r>
        <w:t xml:space="preserve"> </w:t>
      </w:r>
      <w:r>
        <w:t xml:space="preserve">Problem</w:t>
      </w:r>
      <w:r>
        <w:t xml:space="preserve"> </w:t>
      </w:r>
      <w:r>
        <w:t xml:space="preserve">driver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PO</w:t>
      </w:r>
      <w:r>
        <w:t xml:space="preserve"> </w:t>
      </w:r>
      <w:r>
        <w:t xml:space="preserve">1</w:t>
      </w:r>
      <w:r>
        <w:t xml:space="preserve"> </w:t>
      </w:r>
      <w:r>
        <w:t xml:space="preserve">PO</w:t>
      </w:r>
      <w:r>
        <w:t xml:space="preserve"> </w:t>
      </w:r>
      <w:r>
        <w:t xml:space="preserve">2</w:t>
      </w:r>
      <w:r>
        <w:t xml:space="preserve"> </w:t>
      </w:r>
      <w:r>
        <w:t xml:space="preserve">PO</w:t>
      </w:r>
      <w:r>
        <w:t xml:space="preserve"> </w:t>
      </w:r>
      <w:r>
        <w:t xml:space="preserve">3</w:t>
      </w:r>
      <w:r>
        <w:t xml:space="preserve"> </w:t>
      </w:r>
      <w:r>
        <w:t xml:space="preserve">PO</w:t>
      </w:r>
      <w:r>
        <w:t xml:space="preserve"> </w:t>
      </w:r>
      <w:r>
        <w:t xml:space="preserve">4</w:t>
      </w:r>
      <w:r>
        <w:t xml:space="preserve"> </w:t>
      </w:r>
      <w:r>
        <w:t xml:space="preserve">PO</w:t>
      </w:r>
      <w:r>
        <w:t xml:space="preserve"> </w:t>
      </w:r>
      <w:r>
        <w:t xml:space="preserve">5</w:t>
      </w:r>
      <w:r>
        <w:t xml:space="preserve"> </w:t>
      </w:r>
      <w:r>
        <w:t xml:space="preserve">PO</w:t>
      </w:r>
      <w:r>
        <w:t xml:space="preserve"> </w:t>
      </w:r>
      <w:r>
        <w:t xml:space="preserve">6</w:t>
      </w:r>
      <w:r>
        <w:t xml:space="preserve"> </w:t>
      </w:r>
      <w:r>
        <w:t xml:space="preserve">SO1</w:t>
      </w:r>
    </w:p>
    <w:p>
      <w:pPr>
        <w:pStyle w:val="BodyText"/>
      </w:pPr>
      <w:r>
        <w:t xml:space="preserve">PD1</w:t>
      </w:r>
      <w:r>
        <w:t xml:space="preserve"> </w:t>
      </w:r>
      <w:r>
        <w:t xml:space="preserve">PM1: ISO 14083 is set as common reference</w:t>
      </w:r>
      <w:r>
        <w:t xml:space="preserve"> </w:t>
      </w:r>
      <w:r>
        <w:t xml:space="preserve">methodology at EU level</w:t>
      </w:r>
    </w:p>
    <w:p>
      <w:pPr>
        <w:pStyle w:val="BodyText"/>
      </w:pPr>
      <w:r>
        <w:t xml:space="preserve">√</w:t>
      </w:r>
    </w:p>
    <w:p>
      <w:pPr>
        <w:pStyle w:val="BodyText"/>
      </w:pPr>
      <w:r>
        <w:t xml:space="preserve">√</w:t>
      </w:r>
    </w:p>
    <w:p>
      <w:pPr>
        <w:pStyle w:val="BodyText"/>
      </w:pPr>
      <w:r>
        <w:t xml:space="preserve">√</w:t>
      </w:r>
      <w:r>
        <w:t xml:space="preserve"> </w:t>
      </w:r>
      <w:r>
        <w:t xml:space="preserve">PM2: Product Environmental Footprint Category</w:t>
      </w:r>
      <w:r>
        <w:t xml:space="preserve"> </w:t>
      </w:r>
      <w:r>
        <w:t xml:space="preserve">Rules for GHG emissions in transport, including</w:t>
      </w:r>
      <w:r>
        <w:t xml:space="preserve"> </w:t>
      </w:r>
      <w:r>
        <w:t xml:space="preserve">rules for transport services, is set as common</w:t>
      </w:r>
      <w:r>
        <w:t xml:space="preserve"> </w:t>
      </w:r>
      <w:r>
        <w:t xml:space="preserve">reference methodology at EU level</w:t>
      </w:r>
    </w:p>
    <w:p>
      <w:pPr>
        <w:pStyle w:val="BodyText"/>
      </w:pPr>
      <w:r>
        <w:t xml:space="preserve">√</w:t>
      </w:r>
    </w:p>
    <w:p>
      <w:pPr>
        <w:pStyle w:val="BodyText"/>
      </w:pPr>
      <w:r>
        <w:t xml:space="preserve">PM3: A common reference methodology is set at</w:t>
      </w:r>
      <w:r>
        <w:t xml:space="preserve"> </w:t>
      </w:r>
      <w:r>
        <w:t xml:space="preserve">EU level, based on ISO 14083 but with additional</w:t>
      </w:r>
      <w:r>
        <w:t xml:space="preserve"> </w:t>
      </w:r>
      <w:r>
        <w:t xml:space="preserve">elements and increased accuracy</w:t>
      </w:r>
      <w:r>
        <w:t xml:space="preserve"> </w:t>
      </w:r>
      <w:r>
        <w:t xml:space="preserve">√</w:t>
      </w:r>
    </w:p>
    <w:p>
      <w:pPr>
        <w:pStyle w:val="BodyText"/>
      </w:pPr>
      <w:r>
        <w:t xml:space="preserve">√</w:t>
      </w:r>
    </w:p>
    <w:p>
      <w:pPr>
        <w:pStyle w:val="BodyText"/>
      </w:pPr>
      <w:r>
        <w:t xml:space="preserve">PD2</w:t>
      </w:r>
      <w:r>
        <w:t xml:space="preserve"> </w:t>
      </w:r>
      <w:r>
        <w:t xml:space="preserve">PD3</w:t>
      </w:r>
      <w:r>
        <w:t xml:space="preserve"> </w:t>
      </w:r>
      <w:r>
        <w:t xml:space="preserve">PM4: The use of primary data is recognised and</w:t>
      </w:r>
      <w:r>
        <w:t xml:space="preserve"> </w:t>
      </w:r>
      <w:r>
        <w:t xml:space="preserve">centralised databases for default values for GHG</w:t>
      </w:r>
      <w:r>
        <w:t xml:space="preserve"> </w:t>
      </w:r>
      <w:r>
        <w:t xml:space="preserve">emission intensity and GHG energy emission</w:t>
      </w:r>
      <w:r>
        <w:t xml:space="preserve"> </w:t>
      </w:r>
      <w:r>
        <w:t xml:space="preserve">factors are established at EU level (by European</w:t>
      </w:r>
      <w:r>
        <w:t xml:space="preserve"> </w:t>
      </w:r>
      <w:r>
        <w:t xml:space="preserve">Environment Agency). Modelled data is used in</w:t>
      </w:r>
      <w:r>
        <w:t xml:space="preserve"> </w:t>
      </w:r>
      <w:r>
        <w:t xml:space="preserve">conformity with the reference methodology.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</w:p>
    <w:p>
      <w:pPr>
        <w:pStyle w:val="BodyText"/>
      </w:pPr>
      <w:r>
        <w:t xml:space="preserve">√</w:t>
      </w:r>
    </w:p>
    <w:p>
      <w:pPr>
        <w:pStyle w:val="BodyText"/>
      </w:pPr>
      <w:r>
        <w:t xml:space="preserve">PM5: The use of primary data is incentivised and</w:t>
      </w:r>
      <w:r>
        <w:t xml:space="preserve"> </w:t>
      </w:r>
      <w:r>
        <w:t xml:space="preserve">centralised databases for default values for GHG</w:t>
      </w:r>
      <w:r>
        <w:t xml:space="preserve"> </w:t>
      </w:r>
      <w:r>
        <w:t xml:space="preserve">emission intensity and GHG energy emission</w:t>
      </w:r>
      <w:r>
        <w:t xml:space="preserve"> </w:t>
      </w:r>
      <w:r>
        <w:t xml:space="preserve">factors are established at EU level. Quality</w:t>
      </w:r>
      <w:r>
        <w:t xml:space="preserve"> </w:t>
      </w:r>
      <w:r>
        <w:t xml:space="preserve">assurance of external databases operated by third</w:t>
      </w:r>
      <w:r>
        <w:t xml:space="preserve"> </w:t>
      </w:r>
      <w:r>
        <w:t xml:space="preserve">parties is provided at EU level (by European</w:t>
      </w:r>
      <w:r>
        <w:t xml:space="preserve"> </w:t>
      </w:r>
      <w:r>
        <w:t xml:space="preserve">Environment Agency). Modelled data is used in</w:t>
      </w:r>
      <w:r>
        <w:t xml:space="preserve"> </w:t>
      </w:r>
      <w:r>
        <w:t xml:space="preserve">conformity with the reference methodology.</w:t>
      </w:r>
    </w:p>
    <w:p>
      <w:pPr>
        <w:pStyle w:val="BodyText"/>
      </w:pPr>
      <w:r>
        <w:t xml:space="preserve">√</w:t>
      </w:r>
      <w:r>
        <w:t xml:space="preserve"> </w:t>
      </w:r>
      <w:r>
        <w:t xml:space="preserve">√</w:t>
      </w:r>
    </w:p>
    <w:p>
      <w:pPr>
        <w:pStyle w:val="BodyText"/>
      </w:pPr>
      <w:r>
        <w:t xml:space="preserve">√</w:t>
      </w:r>
      <w:r>
        <w:t xml:space="preserve"> </w:t>
      </w:r>
      <w:r>
        <w:t xml:space="preserve">SO1,</w:t>
      </w:r>
      <w:r>
        <w:t xml:space="preserve"> </w:t>
      </w:r>
      <w:r>
        <w:t xml:space="preserve">SO2</w:t>
      </w:r>
      <w:r>
        <w:t xml:space="preserve"> </w:t>
      </w:r>
      <w:r>
        <w:t xml:space="preserve">PD1</w:t>
      </w:r>
      <w:r>
        <w:t xml:space="preserve"> </w:t>
      </w:r>
      <w:r>
        <w:t xml:space="preserve">PD3</w:t>
      </w:r>
      <w:r>
        <w:t xml:space="preserve"> </w:t>
      </w:r>
      <w:r>
        <w:t xml:space="preserve">PD4</w:t>
      </w:r>
      <w:r>
        <w:t xml:space="preserve"> </w:t>
      </w:r>
      <w:r>
        <w:t xml:space="preserve">PM6: Minimum requirements for harmonised GHG</w:t>
      </w:r>
      <w:r>
        <w:t xml:space="preserve"> </w:t>
      </w:r>
      <w:r>
        <w:t xml:space="preserve">output data metrics are provided at EU level,</w:t>
      </w:r>
      <w:r>
        <w:t xml:space="preserve"> </w:t>
      </w:r>
      <w:r>
        <w:t xml:space="preserve">together with common rules on communication and</w:t>
      </w:r>
      <w:r>
        <w:t xml:space="preserve"> </w:t>
      </w:r>
      <w:r>
        <w:t xml:space="preserve">transparency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PD3</w:t>
      </w:r>
      <w:r>
        <w:t xml:space="preserve"> </w:t>
      </w:r>
      <w:r>
        <w:t xml:space="preserve">PD4</w:t>
      </w:r>
      <w:r>
        <w:t xml:space="preserve"> </w:t>
      </w:r>
      <w:r>
        <w:t xml:space="preserve">PD5</w:t>
      </w:r>
      <w:r>
        <w:t xml:space="preserve"> </w:t>
      </w:r>
      <w:r>
        <w:t xml:space="preserve">PM7: Horizontal guidelines for the harmonised</w:t>
      </w:r>
      <w:r>
        <w:t xml:space="preserve"> </w:t>
      </w:r>
      <w:r>
        <w:t xml:space="preserve">implementation of CountEmissions EU in various</w:t>
      </w:r>
      <w:r>
        <w:t xml:space="preserve"> </w:t>
      </w:r>
      <w:r>
        <w:t xml:space="preserve">sectors and segments of the transport market are</w:t>
      </w:r>
      <w:r>
        <w:t xml:space="preserve"> </w:t>
      </w:r>
      <w:r>
        <w:t xml:space="preserve">provided at EU level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SO2</w:t>
      </w:r>
      <w:r>
        <w:t xml:space="preserve"> </w:t>
      </w:r>
      <w:r>
        <w:t xml:space="preserve">PD4</w:t>
      </w:r>
      <w:r>
        <w:t xml:space="preserve"> </w:t>
      </w:r>
      <w:r>
        <w:t xml:space="preserve">PM8: Mandatory process and data verification for</w:t>
      </w:r>
      <w:r>
        <w:t xml:space="preserve"> </w:t>
      </w:r>
      <w:r>
        <w:t xml:space="preserve">all entities falling under the scope of</w:t>
      </w:r>
      <w:r>
        <w:t xml:space="preserve"> </w:t>
      </w:r>
      <w:r>
        <w:t xml:space="preserve">CountEmissions EU is established at EU level</w:t>
      </w:r>
      <w:r>
        <w:t xml:space="preserve"> </w:t>
      </w:r>
      <w:r>
        <w:t xml:space="preserve">√</w:t>
      </w:r>
    </w:p>
    <w:p>
      <w:pPr>
        <w:pStyle w:val="BodyText"/>
      </w:pPr>
      <w:r>
        <w:t xml:space="preserve">PM9: Mandatory process and data verification for</w:t>
      </w:r>
      <w:r>
        <w:t xml:space="preserve"> </w:t>
      </w:r>
      <w:r>
        <w:t xml:space="preserve">entities above a certain size falling under the scope</w:t>
      </w:r>
      <w:r>
        <w:t xml:space="preserve"> </w:t>
      </w:r>
      <w:r>
        <w:t xml:space="preserve">of CountEmissions EU is established at EU level</w:t>
      </w:r>
    </w:p>
    <w:p>
      <w:pPr>
        <w:pStyle w:val="BodyText"/>
      </w:pP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</w:p>
    <w:p>
      <w:pPr>
        <w:pStyle w:val="BodyText"/>
      </w:pPr>
      <w:r>
        <w:t xml:space="preserve">26</w:t>
      </w:r>
    </w:p>
    <w:p>
      <w:pPr>
        <w:pStyle w:val="BodyText"/>
      </w:pPr>
      <w:r>
        <w:t xml:space="preserve">Specific</w:t>
      </w:r>
      <w:r>
        <w:t xml:space="preserve"> </w:t>
      </w:r>
      <w:r>
        <w:t xml:space="preserve">objectiv</w:t>
      </w:r>
      <w:r>
        <w:t xml:space="preserve"> </w:t>
      </w:r>
      <w:r>
        <w:t xml:space="preserve">e</w:t>
      </w:r>
      <w:r>
        <w:t xml:space="preserve"> </w:t>
      </w:r>
      <w:r>
        <w:t xml:space="preserve">Problem</w:t>
      </w:r>
      <w:r>
        <w:t xml:space="preserve"> </w:t>
      </w:r>
      <w:r>
        <w:t xml:space="preserve">driver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PO</w:t>
      </w:r>
      <w:r>
        <w:t xml:space="preserve"> </w:t>
      </w:r>
      <w:r>
        <w:t xml:space="preserve">1</w:t>
      </w:r>
      <w:r>
        <w:t xml:space="preserve"> </w:t>
      </w:r>
      <w:r>
        <w:t xml:space="preserve">PO</w:t>
      </w:r>
      <w:r>
        <w:t xml:space="preserve"> </w:t>
      </w:r>
      <w:r>
        <w:t xml:space="preserve">2</w:t>
      </w:r>
      <w:r>
        <w:t xml:space="preserve"> </w:t>
      </w:r>
      <w:r>
        <w:t xml:space="preserve">PO</w:t>
      </w:r>
      <w:r>
        <w:t xml:space="preserve"> </w:t>
      </w:r>
      <w:r>
        <w:t xml:space="preserve">3</w:t>
      </w:r>
      <w:r>
        <w:t xml:space="preserve"> </w:t>
      </w:r>
      <w:r>
        <w:t xml:space="preserve">PO</w:t>
      </w:r>
      <w:r>
        <w:t xml:space="preserve"> </w:t>
      </w:r>
      <w:r>
        <w:t xml:space="preserve">4</w:t>
      </w:r>
      <w:r>
        <w:t xml:space="preserve"> </w:t>
      </w:r>
      <w:r>
        <w:t xml:space="preserve">PO</w:t>
      </w:r>
      <w:r>
        <w:t xml:space="preserve"> </w:t>
      </w:r>
      <w:r>
        <w:t xml:space="preserve">5</w:t>
      </w:r>
      <w:r>
        <w:t xml:space="preserve"> </w:t>
      </w:r>
      <w:r>
        <w:t xml:space="preserve">PO</w:t>
      </w:r>
      <w:r>
        <w:t xml:space="preserve"> </w:t>
      </w:r>
      <w:r>
        <w:t xml:space="preserve">6</w:t>
      </w:r>
      <w:r>
        <w:t xml:space="preserve"> </w:t>
      </w:r>
      <w:r>
        <w:t xml:space="preserve">PM10: Voluntary process and data verification for</w:t>
      </w:r>
      <w:r>
        <w:t xml:space="preserve"> </w:t>
      </w:r>
      <w:r>
        <w:t xml:space="preserve">all entities are established at EU level</w:t>
      </w:r>
    </w:p>
    <w:p>
      <w:pPr>
        <w:pStyle w:val="BodyText"/>
      </w:pPr>
      <w:r>
        <w:t xml:space="preserve">√</w:t>
      </w:r>
    </w:p>
    <w:p>
      <w:pPr>
        <w:pStyle w:val="BodyText"/>
      </w:pPr>
      <w:r>
        <w:t xml:space="preserve">PD5</w:t>
      </w:r>
      <w:r>
        <w:t xml:space="preserve"> </w:t>
      </w:r>
      <w:r>
        <w:t xml:space="preserve">PM11: Emissions calculation tools are provided at</w:t>
      </w:r>
      <w:r>
        <w:t xml:space="preserve"> </w:t>
      </w:r>
      <w:r>
        <w:t xml:space="preserve">EU level (by the European Commission)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</w:p>
    <w:p>
      <w:pPr>
        <w:pStyle w:val="BodyText"/>
      </w:pPr>
      <w:r>
        <w:t xml:space="preserve">PM12: Emissions calculation tools are provided by</w:t>
      </w:r>
      <w:r>
        <w:t xml:space="preserve"> </w:t>
      </w:r>
      <w:r>
        <w:t xml:space="preserve">the market but they are certified at EU level</w:t>
      </w:r>
    </w:p>
    <w:p>
      <w:pPr>
        <w:pStyle w:val="BodyText"/>
      </w:pP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PM13: Mandatory application of CountEmissions</w:t>
      </w:r>
      <w:r>
        <w:t xml:space="preserve"> </w:t>
      </w:r>
      <w:r>
        <w:t xml:space="preserve">EU in the transport sector</w:t>
      </w:r>
      <w:r>
        <w:t xml:space="preserve"> </w:t>
      </w:r>
      <w:r>
        <w:t xml:space="preserve">√</w:t>
      </w:r>
    </w:p>
    <w:p>
      <w:pPr>
        <w:pStyle w:val="BodyText"/>
      </w:pPr>
      <w:r>
        <w:t xml:space="preserve">√</w:t>
      </w:r>
      <w:r>
        <w:t xml:space="preserve"> </w:t>
      </w:r>
      <w:r>
        <w:t xml:space="preserve">PM14: Binding opt-in application of</w:t>
      </w:r>
      <w:r>
        <w:t xml:space="preserve"> </w:t>
      </w:r>
      <w:r>
        <w:t xml:space="preserve">CountEmissions EU in the transport sector</w:t>
      </w:r>
    </w:p>
    <w:p>
      <w:pPr>
        <w:pStyle w:val="BodyText"/>
      </w:pP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</w:p>
    <w:p>
      <w:pPr>
        <w:pStyle w:val="BodyText"/>
      </w:pPr>
      <w:r>
        <w:t xml:space="preserve">PM15: Voluntary opt-in application of</w:t>
      </w:r>
      <w:r>
        <w:t xml:space="preserve"> </w:t>
      </w:r>
      <w:r>
        <w:t xml:space="preserve">CountEmissions EU in the transport sector with a</w:t>
      </w:r>
      <w:r>
        <w:t xml:space="preserve"> </w:t>
      </w:r>
      <w:r>
        <w:t xml:space="preserve">label</w:t>
      </w:r>
    </w:p>
    <w:p>
      <w:pPr>
        <w:pStyle w:val="BodyText"/>
      </w:pPr>
      <w:r>
        <w:t xml:space="preserve">√</w:t>
      </w:r>
    </w:p>
    <w:p>
      <w:pPr>
        <w:pStyle w:val="BodyText"/>
      </w:pPr>
      <w:r>
        <w:t xml:space="preserve">Policy option 1</w:t>
      </w:r>
      <w:r>
        <w:br/>
      </w:r>
      <w:r>
        <w:t xml:space="preserve">Policy option 1 (PO1) envisages the highest level of centralisation and harmonisation for</w:t>
      </w:r>
      <w:r>
        <w:t xml:space="preserve"> </w:t>
      </w:r>
      <w:r>
        <w:t xml:space="preserve">accounting GHG emissions from transport services and boosting its uptake on the market.</w:t>
      </w:r>
      <w:r>
        <w:br/>
      </w:r>
      <w:r>
        <w:t xml:space="preserve">To address Specific Objective 1 (Ensure comparability of results from GHG emissions</w:t>
      </w:r>
      <w:r>
        <w:t xml:space="preserve"> </w:t>
      </w:r>
      <w:r>
        <w:t xml:space="preserve">accounting of transport services), PO1 includes a comprehensive reference methodology based</w:t>
      </w:r>
      <w:r>
        <w:t xml:space="preserve"> </w:t>
      </w:r>
      <w:r>
        <w:t xml:space="preserve">on ISO 14083 but with certain additional specifications and elements increasing accuracy and</w:t>
      </w:r>
      <w:r>
        <w:t xml:space="preserve"> </w:t>
      </w:r>
      <w:r>
        <w:t xml:space="preserve">comparability of the results114 (PM3), and also measures related to the input and output emissions</w:t>
      </w:r>
      <w:r>
        <w:t xml:space="preserve"> </w:t>
      </w:r>
      <w:r>
        <w:t xml:space="preserve">data. As regards the input data, PO1 recommends the use of primary data and recognises entities</w:t>
      </w:r>
      <w:r>
        <w:t xml:space="preserve"> </w:t>
      </w:r>
      <w:r>
        <w:t xml:space="preserve">that apply this type of information in their emissions accounting processes (PM4). In case this</w:t>
      </w:r>
      <w:r>
        <w:t xml:space="preserve"> </w:t>
      </w:r>
      <w:r>
        <w:t xml:space="preserve">type of information is not available for an economic operator, PO1 allows the use of default</w:t>
      </w:r>
      <w:r>
        <w:t xml:space="preserve"> </w:t>
      </w:r>
      <w:r>
        <w:t xml:space="preserve">values derived from a common database of the emission intensity factors established at the</w:t>
      </w:r>
      <w:r>
        <w:t xml:space="preserve"> </w:t>
      </w:r>
      <w:r>
        <w:t xml:space="preserve">central EU level (by the European Environment Agency). This database is complemented by a</w:t>
      </w:r>
      <w:r>
        <w:t xml:space="preserve"> </w:t>
      </w:r>
      <w:r>
        <w:t xml:space="preserve">separate database of the energy emission factors enabling to calculate GHG emissions in the</w:t>
      </w:r>
      <w:r>
        <w:t xml:space="preserve"> </w:t>
      </w:r>
      <w:r>
        <w:t xml:space="preserve">energy lifecycle (Well-to-Wheel) perspective. Insofar the emissions output data is concerned,</w:t>
      </w:r>
      <w:r>
        <w:t xml:space="preserve"> </w:t>
      </w:r>
      <w:r>
        <w:t xml:space="preserve">PO1 will mandate their formats and metrics, to ensure the alignment in the measurement units115,</w:t>
      </w:r>
      <w:r>
        <w:t xml:space="preserve"> </w:t>
      </w:r>
      <w:r>
        <w:t xml:space="preserve">and it will establish common rules on the communication and transparency for any</w:t>
      </w:r>
      <w:r>
        <w:t xml:space="preserve"> </w:t>
      </w:r>
      <w:r>
        <w:t xml:space="preserve">environmental claims related to GHG emissions of transport services based on CountEmissions</w:t>
      </w:r>
      <w:r>
        <w:t xml:space="preserve"> </w:t>
      </w:r>
      <w:r>
        <w:t xml:space="preserve">EU (PM6) - a measure that is included in all policy options.</w:t>
      </w:r>
      <w:r>
        <w:br/>
      </w:r>
      <w:r>
        <w:t xml:space="preserve">As regards Specific Objective 2 (Facilitate the uptake of the GHG emissions accounting of</w:t>
      </w:r>
      <w:r>
        <w:t xml:space="preserve"> </w:t>
      </w:r>
      <w:r>
        <w:t xml:space="preserve">transport services for businesses and customers), PO1 will mandate the verification of the</w:t>
      </w:r>
      <w:r>
        <w:t xml:space="preserve"> </w:t>
      </w:r>
      <w:r>
        <w:t xml:space="preserve">adherence to CountEmissions EU, for GHG emissions data generated by transport service</w:t>
      </w:r>
      <w:r>
        <w:t xml:space="preserve"> </w:t>
      </w:r>
      <w:r>
        <w:t xml:space="preserve">providers, and the accounting processes applied for the quantification of emissions (PM8), to</w:t>
      </w:r>
      <w:r>
        <w:t xml:space="preserve"> </w:t>
      </w:r>
      <w:r>
        <w:t xml:space="preserve">address the lack of trust in GHG emissions outputs. Furthermore, a dedicated GHG emissions</w:t>
      </w:r>
      <w:r>
        <w:t xml:space="preserve"> </w:t>
      </w:r>
      <w:r>
        <w:t xml:space="preserve">calculation tool will be provided at the central EU level (by the European Commission), to</w:t>
      </w:r>
      <w:r>
        <w:t xml:space="preserve"> </w:t>
      </w:r>
      <w:r>
        <w:t xml:space="preserve">facilitate the use of the common methodology on the market (PM11). To ensure high uptake and</w:t>
      </w:r>
      <w:r>
        <w:t xml:space="preserve"> </w:t>
      </w:r>
      <w:r>
        <w:t xml:space="preserve">harmonisation of GHG emissions accounting, PO1 will require the mandatory application by all</w:t>
      </w:r>
      <w:r>
        <w:t xml:space="preserve"> </w:t>
      </w:r>
      <w:r>
        <w:t xml:space="preserve">entities organising and providing transport services, with CountEmissions EU as the only</w:t>
      </w:r>
    </w:p>
    <w:p>
      <w:pPr>
        <w:pStyle w:val="BodyText"/>
      </w:pPr>
      <w:r>
        <w:t xml:space="preserve">114 For details see Annex 8.</w:t>
      </w:r>
      <w:r>
        <w:br/>
      </w:r>
      <w:r>
        <w:t xml:space="preserve">115 For instance, to determine how the data shall be presented and communicated to any party in the transport chain.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applicable framework. After a transition period ending in 2035, all companies involved in the</w:t>
      </w:r>
      <w:r>
        <w:t xml:space="preserve"> </w:t>
      </w:r>
      <w:r>
        <w:t xml:space="preserve">organisation and provision of transport services should account GHG emissions (PM13).</w:t>
      </w:r>
      <w:r>
        <w:t xml:space="preserve"> </w:t>
      </w:r>
      <w:r>
        <w:t xml:space="preserve">Finally, PO1 includes the provision of horizontal guidelines for the implementation of the</w:t>
      </w:r>
      <w:r>
        <w:t xml:space="preserve"> </w:t>
      </w:r>
      <w:r>
        <w:t xml:space="preserve">common accounting framework across various segments and sectors of the transport market</w:t>
      </w:r>
      <w:r>
        <w:t xml:space="preserve"> </w:t>
      </w:r>
      <w:r>
        <w:t xml:space="preserve">(PM7) that addresses both Specific Objectives 1 and 2 - a measure that is included in all policy</w:t>
      </w:r>
      <w:r>
        <w:t xml:space="preserve"> </w:t>
      </w:r>
      <w:r>
        <w:t xml:space="preserve">options.</w:t>
      </w:r>
      <w:r>
        <w:br/>
      </w:r>
      <w:r>
        <w:t xml:space="preserve">Policy option 2</w:t>
      </w:r>
      <w:r>
        <w:br/>
      </w:r>
      <w:r>
        <w:t xml:space="preserve">Policy option 2 (PO2) proposes an equally high level of centralisation as PO1, but with a</w:t>
      </w:r>
      <w:r>
        <w:t xml:space="preserve"> </w:t>
      </w:r>
      <w:r>
        <w:t xml:space="preserve">methodology based on a global standard, less stringent conformity requirements and voluntary</w:t>
      </w:r>
      <w:r>
        <w:t xml:space="preserve"> </w:t>
      </w:r>
      <w:r>
        <w:t xml:space="preserve">application by the transport service providers.</w:t>
      </w:r>
      <w:r>
        <w:t xml:space="preserve"> </w:t>
      </w:r>
      <w:r>
        <w:t xml:space="preserve">With respect to Specific Objective 1 (Ensure comparability of results from GHG emissions</w:t>
      </w:r>
      <w:r>
        <w:t xml:space="preserve"> </w:t>
      </w:r>
      <w:r>
        <w:t xml:space="preserve">accounting of transport services), PO2 includes ISO standard 14083 as a common reference</w:t>
      </w:r>
      <w:r>
        <w:t xml:space="preserve"> </w:t>
      </w:r>
      <w:r>
        <w:t xml:space="preserve">methodology for quantifying GHG emissions from transport services (PM1). Regarding issues</w:t>
      </w:r>
      <w:r>
        <w:t xml:space="preserve"> </w:t>
      </w:r>
      <w:r>
        <w:t xml:space="preserve">related to the harmonisation of input and output data, PO2 follows the same approach as in PO1</w:t>
      </w:r>
      <w:r>
        <w:t xml:space="preserve"> </w:t>
      </w:r>
      <w:r>
        <w:t xml:space="preserve">(including respectively PM4 and PM6).</w:t>
      </w:r>
      <w:r>
        <w:br/>
      </w:r>
      <w:r>
        <w:t xml:space="preserve">For Specific Objective 2 (Facilitate the uptake of the GHG emissions accounting of transport</w:t>
      </w:r>
      <w:r>
        <w:t xml:space="preserve"> </w:t>
      </w:r>
      <w:r>
        <w:t xml:space="preserve">services for businesses and customers), PO2, contrary to PO1, proposes a voluntary verification</w:t>
      </w:r>
      <w:r>
        <w:t xml:space="preserve"> </w:t>
      </w:r>
      <w:r>
        <w:t xml:space="preserve">of the adherence to CountEmissions EU in terms of the emissions data and underlying calculation</w:t>
      </w:r>
      <w:r>
        <w:t xml:space="preserve"> </w:t>
      </w:r>
      <w:r>
        <w:t xml:space="preserve">processes (PM10). Concerning GHG emissions calculation tools, similarly to PO1 they will be</w:t>
      </w:r>
      <w:r>
        <w:t xml:space="preserve"> </w:t>
      </w:r>
      <w:r>
        <w:t xml:space="preserve">provided centrally at EU level by the European Commission (PM11). PO2 will leave the</w:t>
      </w:r>
      <w:r>
        <w:t xml:space="preserve"> </w:t>
      </w:r>
      <w:r>
        <w:t xml:space="preserve">application of CountEmissions EU as a voluntary choice. The use of other frameworks is also</w:t>
      </w:r>
      <w:r>
        <w:t xml:space="preserve"> </w:t>
      </w:r>
      <w:r>
        <w:t xml:space="preserve">possible, but the transport service providers choosing to adhere to the common framework are</w:t>
      </w:r>
      <w:r>
        <w:t xml:space="preserve"> </w:t>
      </w:r>
      <w:r>
        <w:t xml:space="preserve">offered a CountEmissions EU label (PM15).</w:t>
      </w:r>
      <w:r>
        <w:t xml:space="preserve"> </w:t>
      </w:r>
      <w:r>
        <w:t xml:space="preserve">As in PO1, PO2 also includes the provision of horizontal guidelines for the implementation of</w:t>
      </w:r>
      <w:r>
        <w:t xml:space="preserve"> </w:t>
      </w:r>
      <w:r>
        <w:t xml:space="preserve">the common accounting framework across various segments and sectors of the transport market</w:t>
      </w:r>
      <w:r>
        <w:t xml:space="preserve"> </w:t>
      </w:r>
      <w:r>
        <w:t xml:space="preserve">(PM7) that addresses both Specific Objectives 1 and 2.</w:t>
      </w:r>
      <w:r>
        <w:t xml:space="preserve"> </w:t>
      </w:r>
      <w:r>
        <w:t xml:space="preserve">Policy option 3</w:t>
      </w:r>
      <w:r>
        <w:br/>
      </w:r>
      <w:r>
        <w:t xml:space="preserve">Policy option 3 (PO3), includes measures with a lower level of centralisation and reduced</w:t>
      </w:r>
      <w:r>
        <w:t xml:space="preserve"> </w:t>
      </w:r>
      <w:r>
        <w:t xml:space="preserve">requirements for harmonisation and applicability, but it is based on a comprehensive accounting</w:t>
      </w:r>
      <w:r>
        <w:t xml:space="preserve"> </w:t>
      </w:r>
      <w:r>
        <w:t xml:space="preserve">methodology.</w:t>
      </w:r>
      <w:r>
        <w:br/>
      </w:r>
      <w:r>
        <w:t xml:space="preserve">With regard to Specific Objective 1 (Ensure comparability of results from GHG emissions</w:t>
      </w:r>
      <w:r>
        <w:t xml:space="preserve"> </w:t>
      </w:r>
      <w:r>
        <w:t xml:space="preserve">accounting of transport services) PO3 includes the same comprehensive methodology as</w:t>
      </w:r>
      <w:r>
        <w:t xml:space="preserve"> </w:t>
      </w:r>
      <w:r>
        <w:t xml:space="preserve">proposed under PO1 (PM3), but with a less centralised approach for the treatment of emissions</w:t>
      </w:r>
      <w:r>
        <w:t xml:space="preserve"> </w:t>
      </w:r>
      <w:r>
        <w:t xml:space="preserve">input data (PM5). Specifically, PM5 recommends the use of primary data and recognises those</w:t>
      </w:r>
      <w:r>
        <w:t xml:space="preserve"> </w:t>
      </w:r>
      <w:r>
        <w:t xml:space="preserve">entities that apply it while quantifying emissions; it also proposes common EU databases for</w:t>
      </w:r>
      <w:r>
        <w:t xml:space="preserve"> </w:t>
      </w:r>
      <w:r>
        <w:t xml:space="preserve">emission intensity factors and energy emissions factors. However, unlike PM4, this measure</w:t>
      </w:r>
      <w:r>
        <w:t xml:space="preserve"> </w:t>
      </w:r>
      <w:r>
        <w:t xml:space="preserve">allows the use of additional national, regional or sectorial datasets, subject to a specific quality</w:t>
      </w:r>
      <w:r>
        <w:t xml:space="preserve"> </w:t>
      </w:r>
      <w:r>
        <w:t xml:space="preserve">assurance process. This set of measures is complemented by PM6 that harmonises the GHG</w:t>
      </w:r>
      <w:r>
        <w:t xml:space="preserve"> </w:t>
      </w:r>
      <w:r>
        <w:t xml:space="preserve">output data formats and metrics at EU level - also included in PO1 and PO2.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Regarding Specific Objective 2 (Facilitate the uptake of the GHG emissions accounting of</w:t>
      </w:r>
      <w:r>
        <w:t xml:space="preserve"> </w:t>
      </w:r>
      <w:r>
        <w:t xml:space="preserve">transport services for businesses and customers), PO3 will mandate the verification of the</w:t>
      </w:r>
      <w:r>
        <w:t xml:space="preserve"> </w:t>
      </w:r>
      <w:r>
        <w:t xml:space="preserve">adherence to CountEmissions EU, for both emissions data and underlying calculation processes,</w:t>
      </w:r>
      <w:r>
        <w:t xml:space="preserve"> </w:t>
      </w:r>
      <w:r>
        <w:t xml:space="preserve">to entities above a certain size, i.e. large organisations (PM9). Unlike PO1 and PO2, PO3 will</w:t>
      </w:r>
      <w:r>
        <w:t xml:space="preserve"> </w:t>
      </w:r>
      <w:r>
        <w:t xml:space="preserve">allow the use of external calculation tools developed both by industry and public authorities116,</w:t>
      </w:r>
      <w:r>
        <w:t xml:space="preserve"> </w:t>
      </w:r>
      <w:r>
        <w:t xml:space="preserve">under the condition that these are certified as conforming to CountEmissions EU (PM12).</w:t>
      </w:r>
      <w:r>
        <w:t xml:space="preserve"> </w:t>
      </w:r>
      <w:r>
        <w:t xml:space="preserve">Eventually, PO3 envisages the application of CountEmissions EU as “binding opt-in”, imposing</w:t>
      </w:r>
      <w:r>
        <w:t xml:space="preserve"> </w:t>
      </w:r>
      <w:r>
        <w:t xml:space="preserve">the requirement to use the common framework whenever entities providing and/or organising</w:t>
      </w:r>
      <w:r>
        <w:t xml:space="preserve"> </w:t>
      </w:r>
      <w:r>
        <w:t xml:space="preserve">transport services choose or are mandated by other means117 to share, publish, report or make</w:t>
      </w:r>
      <w:r>
        <w:t xml:space="preserve"> </w:t>
      </w:r>
      <w:r>
        <w:t xml:space="preserve">claims on GHG emissions related to the performed transport services (PM14).</w:t>
      </w:r>
      <w:r>
        <w:br/>
      </w:r>
      <w:r>
        <w:t xml:space="preserve">As in PO1 and PO2, PO3 also includes the provision of horizontal guidelines for the</w:t>
      </w:r>
      <w:r>
        <w:t xml:space="preserve"> </w:t>
      </w:r>
      <w:r>
        <w:t xml:space="preserve">implementation of the common accounting framework across various segments and sectors of</w:t>
      </w:r>
      <w:r>
        <w:t xml:space="preserve"> </w:t>
      </w:r>
      <w:r>
        <w:t xml:space="preserve">the transport market (PM7) that addresses both Specific Objectives 1 and 2.</w:t>
      </w:r>
      <w:r>
        <w:t xml:space="preserve"> </w:t>
      </w:r>
      <w:r>
        <w:t xml:space="preserve">Policy option 4</w:t>
      </w:r>
      <w:r>
        <w:br/>
      </w:r>
      <w:r>
        <w:t xml:space="preserve">Policy option 4 (PO4), proposes a similar approach as envisaged under PO3, however with a</w:t>
      </w:r>
      <w:r>
        <w:t xml:space="preserve"> </w:t>
      </w:r>
      <w:r>
        <w:t xml:space="preserve">methodology based exclusively on a global standard, offering the opportunity for the global</w:t>
      </w:r>
      <w:r>
        <w:t xml:space="preserve"> </w:t>
      </w:r>
      <w:r>
        <w:t xml:space="preserve">outreach. Therefore, with respect to Specific Objective 1 (Ensure comparability of results from</w:t>
      </w:r>
      <w:r>
        <w:t xml:space="preserve"> </w:t>
      </w:r>
      <w:r>
        <w:t xml:space="preserve">GHG emissions accounting of transport services), PO4 includes a direct reference to ISO</w:t>
      </w:r>
      <w:r>
        <w:t xml:space="preserve"> </w:t>
      </w:r>
      <w:r>
        <w:t xml:space="preserve">standard 14083 as a common methodology for accounting emissions (PM1), instead of PM3</w:t>
      </w:r>
      <w:r>
        <w:t xml:space="preserve"> </w:t>
      </w:r>
      <w:r>
        <w:t xml:space="preserve">included in PO3. All other measures are the same as in PO3, including those addressing Specific</w:t>
      </w:r>
      <w:r>
        <w:t xml:space="preserve"> </w:t>
      </w:r>
      <w:r>
        <w:t xml:space="preserve">Objective 2 (Facilitate the uptake of the GHG emissions accounting of transport services for</w:t>
      </w:r>
      <w:r>
        <w:t xml:space="preserve"> </w:t>
      </w:r>
      <w:r>
        <w:t xml:space="preserve">businesses and customers).</w:t>
      </w:r>
      <w:r>
        <w:t xml:space="preserve"> </w:t>
      </w:r>
      <w:r>
        <w:t xml:space="preserve">Policy option 5</w:t>
      </w:r>
      <w:r>
        <w:t xml:space="preserve"> </w:t>
      </w:r>
      <w:r>
        <w:t xml:space="preserve">Policy option 5 (PO5), similarly to PO3 and PO4, envisages a balanced level of centralisation</w:t>
      </w:r>
      <w:r>
        <w:t xml:space="preserve"> </w:t>
      </w:r>
      <w:r>
        <w:t xml:space="preserve">and harmonisation. The only differences concern Specific Objective 1 (Ensure comparability of</w:t>
      </w:r>
      <w:r>
        <w:t xml:space="preserve"> </w:t>
      </w:r>
      <w:r>
        <w:t xml:space="preserve">results from GHG emissions accounting of transport services), where PO1 includes the Product</w:t>
      </w:r>
      <w:r>
        <w:t xml:space="preserve"> </w:t>
      </w:r>
      <w:r>
        <w:t xml:space="preserve">Environmental Footprint Category Rules for GHG emissions in transport, as the common</w:t>
      </w:r>
      <w:r>
        <w:t xml:space="preserve"> </w:t>
      </w:r>
      <w:r>
        <w:t xml:space="preserve">reference methodology (PM2), and establishes centralised databases of default values (PM4).</w:t>
      </w:r>
      <w:r>
        <w:t xml:space="preserve"> </w:t>
      </w:r>
      <w:r>
        <w:t xml:space="preserve">All other policy measures, including those addressing Specific Objective 2 (Facilitate the uptake</w:t>
      </w:r>
      <w:r>
        <w:t xml:space="preserve"> </w:t>
      </w:r>
      <w:r>
        <w:t xml:space="preserve">of the GHG emissions accounting of transport services for businesses and customers) replicate</w:t>
      </w:r>
      <w:r>
        <w:t xml:space="preserve"> </w:t>
      </w:r>
      <w:r>
        <w:t xml:space="preserve">the approach taken in PO3 and PO4 (i.e. PM6, PM7, PM9, PM12 and PM14).</w:t>
      </w:r>
      <w:r>
        <w:t xml:space="preserve"> </w:t>
      </w:r>
      <w:r>
        <w:t xml:space="preserve">Policy option 6</w:t>
      </w:r>
      <w:r>
        <w:br/>
      </w:r>
      <w:r>
        <w:t xml:space="preserve">Policy option 6 (PO6), is based on a similar set of policy measures as PO4, with one exception</w:t>
      </w:r>
      <w:r>
        <w:t xml:space="preserve"> </w:t>
      </w:r>
      <w:r>
        <w:t xml:space="preserve">related to the applicability in the context of Specific Objective 2 (Facilitate the uptake of the</w:t>
      </w:r>
      <w:r>
        <w:t xml:space="preserve"> </w:t>
      </w:r>
      <w:r>
        <w:t xml:space="preserve">GHG emissions accounting of transport services for businesses and customers). Consequently,</w:t>
      </w:r>
    </w:p>
    <w:p>
      <w:pPr>
        <w:pStyle w:val="BodyText"/>
      </w:pPr>
      <w:r>
        <w:t xml:space="preserve">116 Developed and offered for the use by wider public by enterprises, industrial associations, public authorities and</w:t>
      </w:r>
      <w:r>
        <w:t xml:space="preserve"> </w:t>
      </w:r>
      <w:r>
        <w:t xml:space="preserve">other relevant bodies</w:t>
      </w:r>
      <w:r>
        <w:t xml:space="preserve"> </w:t>
      </w:r>
      <w:r>
        <w:t xml:space="preserve">117 For instance, by other EU or national legislation or through contractual relations.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instead of the binding opt-in approach envisaged under PM14, PO6 includes PM13, requiring</w:t>
      </w:r>
      <w:r>
        <w:t xml:space="preserve"> </w:t>
      </w:r>
      <w:r>
        <w:t xml:space="preserve">the mandatory use of CountEmissions EU framework in the transport sector.</w:t>
      </w:r>
      <w:r>
        <w:br/>
      </w:r>
      <w:r>
        <w:t xml:space="preserve">6.</w:t>
      </w:r>
      <w:r>
        <w:t xml:space="preserve"> </w:t>
      </w:r>
      <w:r>
        <w:t xml:space="preserve">WHAT ARE THE IMPACTS OF THE POLICY OPTIONS?</w:t>
      </w:r>
      <w:r>
        <w:br/>
      </w:r>
      <w:r>
        <w:t xml:space="preserve">This section summarises the main expected economic, social and environmental impacts of each policy</w:t>
      </w:r>
      <w:r>
        <w:t xml:space="preserve"> </w:t>
      </w:r>
      <w:r>
        <w:t xml:space="preserve">option118 (PO). The proposed measures are assumed to be implemented from 2025 onwards, so the</w:t>
      </w:r>
      <w:r>
        <w:t xml:space="preserve"> </w:t>
      </w:r>
      <w:r>
        <w:t xml:space="preserve">assessment has been undertaken for the 2025-2050 period and refers to EU27. Costs and benefits are</w:t>
      </w:r>
      <w:r>
        <w:t xml:space="preserve"> </w:t>
      </w:r>
      <w:r>
        <w:t xml:space="preserve">expressed as present value over the 2025-2050 period, using a 3% discount rate.</w:t>
      </w:r>
    </w:p>
    <w:p>
      <w:pPr>
        <w:pStyle w:val="BodyText"/>
      </w:pPr>
      <w:r>
        <w:t xml:space="preserve">Further details on the methodological approach are provided in Annex 4.</w:t>
      </w:r>
      <w:r>
        <w:t xml:space="preserve"> </w:t>
      </w:r>
      <w:r>
        <w:t xml:space="preserve">1.14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This section provides the economic impacts of the policy options on national public authorities, the</w:t>
      </w:r>
      <w:r>
        <w:t xml:space="preserve"> </w:t>
      </w:r>
      <w:r>
        <w:t xml:space="preserve">European Environment Agency (EEA), the European Commission, and businesses and business</w:t>
      </w:r>
      <w:r>
        <w:t xml:space="preserve"> </w:t>
      </w:r>
      <w:r>
        <w:t xml:space="preserve">associations involved in the accounting of GHG emissions from transport services. It also</w:t>
      </w:r>
      <w:r>
        <w:t xml:space="preserve"> </w:t>
      </w:r>
      <w:r>
        <w:t xml:space="preserve">provides an assessment of impacts on SMEs, on consumers, on the functioning of the internal market</w:t>
      </w:r>
      <w:r>
        <w:t xml:space="preserve"> </w:t>
      </w:r>
      <w:r>
        <w:t xml:space="preserve">and competition, and on competitiveness. The assessment of economic impacts draws on multiple data</w:t>
      </w:r>
      <w:r>
        <w:t xml:space="preserve"> </w:t>
      </w:r>
      <w:r>
        <w:t xml:space="preserve">sources, including the targeted stakeholders’ consultation (interviews and survey) and OPC, and</w:t>
      </w:r>
      <w:r>
        <w:t xml:space="preserve"> </w:t>
      </w:r>
      <w:r>
        <w:t xml:space="preserve">findings from desk research in the context of the impact assessment support study.</w:t>
      </w:r>
      <w:r>
        <w:br/>
      </w:r>
      <w:r>
        <w:t xml:space="preserve">6.1.1 Impacts on national public authorities</w:t>
      </w:r>
      <w:r>
        <w:t xml:space="preserve"> </w:t>
      </w:r>
      <w:r>
        <w:t xml:space="preserve">Adjustment costs for national public authorities. All six policy options entail adjustments costs for</w:t>
      </w:r>
      <w:r>
        <w:t xml:space="preserve"> </w:t>
      </w:r>
      <w:r>
        <w:t xml:space="preserve">national statistical offices dealing with transport emissions statistics, driven by the minimum</w:t>
      </w:r>
      <w:r>
        <w:t xml:space="preserve"> </w:t>
      </w:r>
      <w:r>
        <w:t xml:space="preserve">requirements for harmonised GHG output data formats and metrics at EU level (PM6). The workload</w:t>
      </w:r>
      <w:r>
        <w:t xml:space="preserve"> </w:t>
      </w:r>
      <w:r>
        <w:t xml:space="preserve">needed for adapting to the harmonised GHG output data format is estimated at 120 hours per statistical</w:t>
      </w:r>
      <w:r>
        <w:t xml:space="preserve"> </w:t>
      </w:r>
      <w:r>
        <w:t xml:space="preserve">office. The average cost per hour is estimated at EUR 40.9119 in 2022 prices for ISCO 2 category</w:t>
      </w:r>
      <w:r>
        <w:t xml:space="preserve"> </w:t>
      </w:r>
      <w:r>
        <w:t xml:space="preserve">(Professionals) and is assumed to remain constant over time in real prices. Thus, the total one-off</w:t>
      </w:r>
      <w:r>
        <w:t xml:space="preserve"> </w:t>
      </w:r>
      <w:r>
        <w:t xml:space="preserve">adjustment costs at EU level in 2025 are estimated at EUR 132,504 relative to the baseline (in 2022</w:t>
      </w:r>
      <w:r>
        <w:t xml:space="preserve"> </w:t>
      </w:r>
      <w:r>
        <w:t xml:space="preserve">prices) for all policy options.</w:t>
      </w:r>
      <w:r>
        <w:t xml:space="preserve"> </w:t>
      </w:r>
      <w:r>
        <w:t xml:space="preserve">Administrative costs for national public authorities. All six policy options entail administrative</w:t>
      </w:r>
      <w:r>
        <w:t xml:space="preserve"> </w:t>
      </w:r>
      <w:r>
        <w:t xml:space="preserve">costs for accreditation of verifiers by National Accreditation Bodies (NABs), in view of performing</w:t>
      </w:r>
      <w:r>
        <w:t xml:space="preserve"> </w:t>
      </w:r>
      <w:r>
        <w:t xml:space="preserve">data verification. The accreditation of verifiers by NABs is part of:</w:t>
      </w:r>
      <w:r>
        <w:t xml:space="preserve"> </w:t>
      </w:r>
      <w:r>
        <w:t xml:space="preserve"> PM8 (mandatory process and data verification for all entities falling under the scope of</w:t>
      </w:r>
      <w:r>
        <w:t xml:space="preserve"> </w:t>
      </w:r>
      <w:r>
        <w:t xml:space="preserve">CountEmissions EU at EU level) included in PO1,</w:t>
      </w:r>
      <w:r>
        <w:br/>
      </w:r>
      <w:r>
        <w:t xml:space="preserve"> PM9 (mandatory process and data verification for entities above a certain size falling under</w:t>
      </w:r>
      <w:r>
        <w:t xml:space="preserve"> </w:t>
      </w:r>
      <w:r>
        <w:t xml:space="preserve">the scope of CountEmissions EU at EU level) included in PO3, PO4, PO5 and PO6, and</w:t>
      </w:r>
      <w:r>
        <w:t xml:space="preserve"> </w:t>
      </w:r>
      <w:r>
        <w:t xml:space="preserve"> PM10 (voluntary process and data verification for all entities at EU level) included in PO2.</w:t>
      </w:r>
    </w:p>
    <w:p>
      <w:pPr>
        <w:pStyle w:val="BodyText"/>
      </w:pPr>
      <w:r>
        <w:t xml:space="preserve">118 The analysis in this section is based on the Ecorys and CE Delft (2023), Impact assessment support study, and</w:t>
      </w:r>
      <w:r>
        <w:t xml:space="preserve"> </w:t>
      </w:r>
      <w:r>
        <w:t xml:space="preserve">on the analysis of stakeholders’ feedback.</w:t>
      </w:r>
      <w:r>
        <w:t xml:space="preserve"> </w:t>
      </w:r>
      <w:r>
        <w:t xml:space="preserve">119 Eurostat Structure of earnings survey, Labour Force Survey data for Non-Wage Labour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The workload per NAB for the accreditation of verifiers is estimated at 120 hours in 2025 and is the</w:t>
      </w:r>
      <w:r>
        <w:t xml:space="preserve"> </w:t>
      </w:r>
      <w:r>
        <w:t xml:space="preserve">same for all options. Thus, the total one-off administrative costs at EU level in 2025 are estimated at</w:t>
      </w:r>
      <w:r>
        <w:t xml:space="preserve"> </w:t>
      </w:r>
      <w:r>
        <w:t xml:space="preserve">EUR 132,504 relative to the baseline (in 2022 prices) for all policy options.</w:t>
      </w:r>
      <w:r>
        <w:br/>
      </w:r>
      <w:r>
        <w:t xml:space="preserve">6.1.2 Impacts on the European Environment Agency (EEA)</w:t>
      </w:r>
      <w:r>
        <w:t xml:space="preserve"> </w:t>
      </w:r>
      <w:r>
        <w:t xml:space="preserve">Adjustment costs for EEA. All policy options establish centralised databases for default input values</w:t>
      </w:r>
      <w:r>
        <w:t xml:space="preserve"> </w:t>
      </w:r>
      <w:r>
        <w:t xml:space="preserve">(i.e. emissions intensity factors and energy/fuel emissions factors) at EU level (PM4 in PO1, PO2 and</w:t>
      </w:r>
      <w:r>
        <w:t xml:space="preserve"> </w:t>
      </w:r>
      <w:r>
        <w:t xml:space="preserve">PO5, and PM5 in PO3, PO4 and PO6). The centralised EU databases will be developed and maintained</w:t>
      </w:r>
      <w:r>
        <w:t xml:space="preserve"> </w:t>
      </w:r>
      <w:r>
        <w:t xml:space="preserve">by the European Environment Agency (EEA). In addition, PM5 (included in PO3, PO4 and PO6)</w:t>
      </w:r>
      <w:r>
        <w:t xml:space="preserve"> </w:t>
      </w:r>
      <w:r>
        <w:t xml:space="preserve">allows for the use of data from databases operated by third parties, following quality assurance check</w:t>
      </w:r>
      <w:r>
        <w:t xml:space="preserve"> </w:t>
      </w:r>
      <w:r>
        <w:t xml:space="preserve">by EEA.</w:t>
      </w:r>
      <w:r>
        <w:br/>
      </w:r>
      <w:r>
        <w:t xml:space="preserve">For developing the databases (PM4 in PO1, PO2 and PO5), 1 full time equivalent (FTE) is estimated</w:t>
      </w:r>
      <w:r>
        <w:t xml:space="preserve"> </w:t>
      </w:r>
      <w:r>
        <w:t xml:space="preserve">to be needed by EEA in 2025, 2026 and 2027, in addition to EUR 200,000 for infrastructure costs120.</w:t>
      </w:r>
      <w:r>
        <w:t xml:space="preserve"> </w:t>
      </w:r>
      <w:r>
        <w:t xml:space="preserve">The one-off adjustment costs associated to the development of the databases are thus estimated at EUR</w:t>
      </w:r>
      <w:r>
        <w:t xml:space="preserve"> </w:t>
      </w:r>
      <w:r>
        <w:t xml:space="preserve">693,149. In addition, one FTE and operational costs for maintenance would be required for maintaining</w:t>
      </w:r>
      <w:r>
        <w:t xml:space="preserve"> </w:t>
      </w:r>
      <w:r>
        <w:t xml:space="preserve">and updating the databases from 2026 onwards. The recurrent adjustment costs for EEA in PO1, PO2</w:t>
      </w:r>
      <w:r>
        <w:t xml:space="preserve"> </w:t>
      </w:r>
      <w:r>
        <w:t xml:space="preserve">and PO5 are estimated at EUR 186,000 per year from 2026 onwards relative to the baseline. Expressed</w:t>
      </w:r>
      <w:r>
        <w:t xml:space="preserve"> </w:t>
      </w:r>
      <w:r>
        <w:t xml:space="preserve">as present value over 2025-2050, the total adjustment costs for PO1, PO2 and PO5 are estimated at</w:t>
      </w:r>
      <w:r>
        <w:t xml:space="preserve"> </w:t>
      </w:r>
      <w:r>
        <w:t xml:space="preserve">EUR 3.5 million of which EUR 0.7 million one-off costs (in 2022 prices).</w:t>
      </w:r>
      <w:r>
        <w:br/>
      </w:r>
      <w:r>
        <w:t xml:space="preserve">As explained above, PM5 (included in PO3, PO4 and PO6) covers the costs for developing the</w:t>
      </w:r>
      <w:r>
        <w:t xml:space="preserve"> </w:t>
      </w:r>
      <w:r>
        <w:t xml:space="preserve">databases plus the quality assurance check by EEA. For the quality assurance check of external</w:t>
      </w:r>
      <w:r>
        <w:t xml:space="preserve"> </w:t>
      </w:r>
      <w:r>
        <w:t xml:space="preserve">databases, the workload is estimated at 15 hours per database. The quality check is assumed to be</w:t>
      </w:r>
      <w:r>
        <w:t xml:space="preserve"> </w:t>
      </w:r>
      <w:r>
        <w:t xml:space="preserve">performed for the first time in 2026 for 24 databases and would take place every two years. Thus, the</w:t>
      </w:r>
      <w:r>
        <w:t xml:space="preserve"> </w:t>
      </w:r>
      <w:r>
        <w:t xml:space="preserve">recurrent adjustment costs for the quality assurance check are estimated at EUR 35,791 per year</w:t>
      </w:r>
      <w:r>
        <w:t xml:space="preserve"> </w:t>
      </w:r>
      <w:r>
        <w:t xml:space="preserve">(occurring every two years from 2026 onwards). These are identified as operational costs for EEA.121</w:t>
      </w:r>
      <w:r>
        <w:t xml:space="preserve"> </w:t>
      </w:r>
      <w:r>
        <w:t xml:space="preserve">The total adjustment costs for developing the databases plus the quality assurance check by EEA in</w:t>
      </w:r>
      <w:r>
        <w:t xml:space="preserve"> </w:t>
      </w:r>
      <w:r>
        <w:t xml:space="preserve">PO3, PO4 and PO6 are estimated at EUR 693,149 one-off costs in 2025-2027 and EUR 221,791</w:t>
      </w:r>
      <w:r>
        <w:t xml:space="preserve"> </w:t>
      </w:r>
      <w:r>
        <w:t xml:space="preserve">recurrent costs in 2030 and 2050 relative to the baseline. Expressed as present value over 2025-2050,</w:t>
      </w:r>
      <w:r>
        <w:t xml:space="preserve"> </w:t>
      </w:r>
      <w:r>
        <w:t xml:space="preserve">the total adjustment costs in PO3, PO4 and PO6 are estimated at EUR 3.9 million relative to the</w:t>
      </w:r>
      <w:r>
        <w:t xml:space="preserve"> </w:t>
      </w:r>
      <w:r>
        <w:t xml:space="preserve">baseline of which EUR 0.7 million one-off costs (in 2022 prices).</w:t>
      </w:r>
      <w:r>
        <w:br/>
      </w:r>
      <w:r>
        <w:t xml:space="preserve">6.1.3 Impacts on the European Commission</w:t>
      </w:r>
      <w:r>
        <w:t xml:space="preserve"> </w:t>
      </w:r>
      <w:r>
        <w:t xml:space="preserve">Adjustment costs for the European Commission. The definition of Category Rules (PEFCRs) for</w:t>
      </w:r>
      <w:r>
        <w:t xml:space="preserve"> </w:t>
      </w:r>
      <w:r>
        <w:t xml:space="preserve">transport of the Product Environmental Footprint methodology (PM2) in PO5 will be done via a</w:t>
      </w:r>
      <w:r>
        <w:t xml:space="preserve"> </w:t>
      </w:r>
      <w:r>
        <w:t xml:space="preserve">research project. The budget to be dedicated to develop the PEFCRs for transport is estimated at EUR</w:t>
      </w:r>
      <w:r>
        <w:t xml:space="preserve"> </w:t>
      </w:r>
      <w:r>
        <w:t xml:space="preserve">1.5 million per PEFCR. Based on previous work done in the context of ESPR122 and aviation label,</w:t>
      </w:r>
      <w:r>
        <w:t xml:space="preserve"> </w:t>
      </w:r>
      <w:r>
        <w:t xml:space="preserve">for covering all transport services, at least 4 PEFCRs are needed (road, maritime and inland waterways,</w:t>
      </w:r>
      <w:r>
        <w:t xml:space="preserve"> </w:t>
      </w:r>
      <w:r>
        <w:t xml:space="preserve">aviation, rail). However, the work on aviation has already started and part of these costs (50%) are</w:t>
      </w:r>
      <w:r>
        <w:t xml:space="preserve"> </w:t>
      </w:r>
      <w:r>
        <w:t xml:space="preserve">included in the baseline. Thus, the one-off adjustment costs for the European Commission in 2025</w:t>
      </w:r>
      <w:r>
        <w:t xml:space="preserve"> </w:t>
      </w:r>
      <w:r>
        <w:t xml:space="preserve">for PO5 are estimated at EUR 5.25 million relative to the baseline (in 2022 prices).</w:t>
      </w:r>
    </w:p>
    <w:p>
      <w:pPr>
        <w:pStyle w:val="BodyText"/>
      </w:pPr>
      <w:r>
        <w:t xml:space="preserve">120 Source: EEA</w:t>
      </w:r>
      <w:r>
        <w:t xml:space="preserve"> </w:t>
      </w:r>
      <w:r>
        <w:t xml:space="preserve">121 Source: EEA</w:t>
      </w:r>
      <w:r>
        <w:t xml:space="preserve"> </w:t>
      </w:r>
      <w:r>
        <w:t xml:space="preserve">122 COM(2022) 142 final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The development of the additional requirements for the methodology based on ISO 14083 but with</w:t>
      </w:r>
      <w:r>
        <w:t xml:space="preserve"> </w:t>
      </w:r>
      <w:r>
        <w:t xml:space="preserve">additional elements and increased accuracy (PM3) in PO1 and PO3 will be also done via a research</w:t>
      </w:r>
      <w:r>
        <w:t xml:space="preserve"> </w:t>
      </w:r>
      <w:r>
        <w:t xml:space="preserve">project. The budget to be dedicated to this work is estimated at EUR 2.4 million for 2025 (one-off</w:t>
      </w:r>
      <w:r>
        <w:t xml:space="preserve"> </w:t>
      </w:r>
      <w:r>
        <w:t xml:space="preserve">costs) relative to the baseline (in 2022 prices).</w:t>
      </w:r>
      <w:r>
        <w:br/>
      </w:r>
      <w:r>
        <w:t xml:space="preserve">Furthermore, PO1 and PO2 will lead to additional costs for the European Commission linked to the</w:t>
      </w:r>
      <w:r>
        <w:t xml:space="preserve"> </w:t>
      </w:r>
      <w:r>
        <w:t xml:space="preserve">development of calculation tools following the common reference methodology (PM11). Based on the</w:t>
      </w:r>
      <w:r>
        <w:t xml:space="preserve"> </w:t>
      </w:r>
      <w:r>
        <w:t xml:space="preserve">cost of THETIS-MRV123 and experience with existing THETIS-EU modules, such IT-developments</w:t>
      </w:r>
      <w:r>
        <w:t xml:space="preserve"> </w:t>
      </w:r>
      <w:r>
        <w:t xml:space="preserve">are estimated at EUR 300,000 (one-off costs in 2025).</w:t>
      </w:r>
      <w:r>
        <w:br/>
      </w:r>
      <w:r>
        <w:t xml:space="preserve">Thus, the total one-off adjustment costs for the European Commission in 2025 are estimated at EUR</w:t>
      </w:r>
      <w:r>
        <w:t xml:space="preserve"> </w:t>
      </w:r>
      <w:r>
        <w:t xml:space="preserve">2.7 million in PO1, EUR 0.3 million in PO2, EUR 2.4 million in PO3 and EUR 5.25 million in PO5.</w:t>
      </w:r>
      <w:r>
        <w:t xml:space="preserve"> </w:t>
      </w:r>
      <w:r>
        <w:t xml:space="preserve">6.1.4 Impact on businesses and business associations involved in transport</w:t>
      </w:r>
      <w:r>
        <w:t xml:space="preserve"> </w:t>
      </w:r>
      <w:r>
        <w:t xml:space="preserve">services</w:t>
      </w:r>
      <w:r>
        <w:t xml:space="preserve"> </w:t>
      </w:r>
      <w:r>
        <w:t xml:space="preserve">Adjustment costs for businesses and business associations. All policy options result in recurrent and</w:t>
      </w:r>
      <w:r>
        <w:t xml:space="preserve"> </w:t>
      </w:r>
      <w:r>
        <w:t xml:space="preserve">one-off adjustment costs for businesses and business associations. While under PO2, PO3, PO4 and</w:t>
      </w:r>
      <w:r>
        <w:t xml:space="preserve"> </w:t>
      </w:r>
      <w:r>
        <w:t xml:space="preserve">PO5 the application of CountEmissions EU in the transport sector is voluntary or quasi voluntary (i.e. </w:t>
      </w:r>
      <w:r>
        <w:t xml:space="preserve"> </w:t>
      </w:r>
      <w:r>
        <w:t xml:space="preserve">voluntary opt-in with a label in PO2 and binding opt-in in PO3, PO4 and PO5), PO1 and PO6 foresee</w:t>
      </w:r>
      <w:r>
        <w:t xml:space="preserve"> </w:t>
      </w:r>
      <w:r>
        <w:t xml:space="preserve">the mandatory application. Thus, the total (one-off and recurrent) adjustment costs in PO1 and PO6 are</w:t>
      </w:r>
      <w:r>
        <w:t xml:space="preserve"> </w:t>
      </w:r>
      <w:r>
        <w:t xml:space="preserve">significantly higher than in all other policy options. For PO1, they are estimated at EUR 0.5 billion in</w:t>
      </w:r>
      <w:r>
        <w:t xml:space="preserve"> </w:t>
      </w:r>
      <w:r>
        <w:t xml:space="preserve">2025, EUR 3.9 billion in 2030 and EUR 6.4 billion in 2050 relative to the baseline, and for PO6 at</w:t>
      </w:r>
      <w:r>
        <w:t xml:space="preserve"> </w:t>
      </w:r>
      <w:r>
        <w:t xml:space="preserve">EUR 0.3 billion in 2025, EUR 2 billion in 2030 and EUR 3.2 billion in 2050, relative to the baseline.</w:t>
      </w:r>
      <w:r>
        <w:t xml:space="preserve"> </w:t>
      </w:r>
      <w:r>
        <w:t xml:space="preserve">At the same time, PO2 results in the lowest total adjustment costs among the options, estimated at EUR</w:t>
      </w:r>
      <w:r>
        <w:t xml:space="preserve"> </w:t>
      </w:r>
      <w:r>
        <w:t xml:space="preserve">54.8 million in 2025, EUR 101.3 million in 2030 and EUR 4.7 million in 2050 relative to the baseline,</w:t>
      </w:r>
      <w:r>
        <w:t xml:space="preserve"> </w:t>
      </w:r>
      <w:r>
        <w:t xml:space="preserve">due to the voluntary opt-in foreseen by this option. Table 4 to Table 13 provide the recurrent and one-</w:t>
      </w:r>
      <w:r>
        <w:t xml:space="preserve"> </w:t>
      </w:r>
      <w:r>
        <w:t xml:space="preserve">off adjustment costs by policy option and by policy measure for 2025, 2030 and 2050 relative to the</w:t>
      </w:r>
      <w:r>
        <w:t xml:space="preserve"> </w:t>
      </w:r>
      <w:r>
        <w:t xml:space="preserve">baseline.</w:t>
      </w:r>
      <w:r>
        <w:br/>
      </w:r>
      <w:r>
        <w:t xml:space="preserve">The highest share of the costs in all policy options is related to the setting of a common reference</w:t>
      </w:r>
      <w:r>
        <w:t xml:space="preserve"> </w:t>
      </w:r>
      <w:r>
        <w:t xml:space="preserve">methodology at EU level (ISO 14083 in PO2, PO4 and PO6, ISO 14083 with additional elements and</w:t>
      </w:r>
      <w:r>
        <w:t xml:space="preserve"> </w:t>
      </w:r>
      <w:r>
        <w:t xml:space="preserve">increased accuracy in PO1 and PO3 and PEFCR in PO5). Other important cost categories, discussed</w:t>
      </w:r>
      <w:r>
        <w:t xml:space="preserve"> </w:t>
      </w:r>
      <w:r>
        <w:t xml:space="preserve">below, relate to the verification activities and the emissions calculation tools. More detailed</w:t>
      </w:r>
      <w:r>
        <w:t xml:space="preserve"> </w:t>
      </w:r>
      <w:r>
        <w:t xml:space="preserve">explanations on the costs and the assumptions used to derive them, by policy measure and policy</w:t>
      </w:r>
      <w:r>
        <w:t xml:space="preserve"> </w:t>
      </w:r>
      <w:r>
        <w:t xml:space="preserve">option, are provided in Annex 4.</w:t>
      </w:r>
      <w:r>
        <w:br/>
      </w:r>
      <w:r>
        <w:t xml:space="preserve">The setting of the new ISO 14083 methodology as the common reference methodology (PM1) in</w:t>
      </w:r>
      <w:r>
        <w:t xml:space="preserve"> </w:t>
      </w:r>
      <w:r>
        <w:t xml:space="preserve">PO2, PO4 and PO6 is expected to lead to additional labour costs relative to the baseline for the</w:t>
      </w:r>
      <w:r>
        <w:t xml:space="preserve"> </w:t>
      </w:r>
      <w:r>
        <w:t xml:space="preserve">new businesses performing GHG emissions accounting at service level, but also for the</w:t>
      </w:r>
      <w:r>
        <w:t xml:space="preserve"> </w:t>
      </w:r>
      <w:r>
        <w:t xml:space="preserve">businesses that are already quantifying GHG emissions in the baseline and would need to adjust</w:t>
      </w:r>
      <w:r>
        <w:t xml:space="preserve"> </w:t>
      </w:r>
      <w:r>
        <w:t xml:space="preserve">their processes in line with the new ISO 14083 requirements. The costs of PM1 in PO2, PO4 and</w:t>
      </w:r>
      <w:r>
        <w:t xml:space="preserve"> </w:t>
      </w:r>
      <w:r>
        <w:t xml:space="preserve">PO6 are different because of the voluntary opt-in application with a label of CountEmissions EU</w:t>
      </w:r>
      <w:r>
        <w:t xml:space="preserve"> </w:t>
      </w:r>
      <w:r>
        <w:t xml:space="preserve">in PO2 (in conjunction with PM15), the binding opt-in application in PO4 (in conjunction with</w:t>
      </w:r>
      <w:r>
        <w:t xml:space="preserve"> </w:t>
      </w:r>
      <w:r>
        <w:t xml:space="preserve">PM14) and the mandatory application in PO6 (in conjunction with PM13). For PO2, the one-off</w:t>
      </w:r>
      <w:r>
        <w:t xml:space="preserve"> </w:t>
      </w:r>
      <w:r>
        <w:t xml:space="preserve">adjustment costs for businesses are estimated at EUR 31.8 million in 2025, EUR 56.4 million in</w:t>
      </w:r>
    </w:p>
    <w:p>
      <w:pPr>
        <w:pStyle w:val="BodyText"/>
      </w:pPr>
      <w:r>
        <w:t xml:space="preserve">123 https://mrv.emsa.europa.eu/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2030 and EUR 2.9 million in 2050 relative to the baseline, while the recurrent annual costs at</w:t>
      </w:r>
      <w:r>
        <w:t xml:space="preserve"> </w:t>
      </w:r>
      <w:r>
        <w:t xml:space="preserve">EUR 15.9 million in 2025, EUR 31.3 million in 2030 and EUR 1.3 million in 2050 (see Table 4</w:t>
      </w:r>
      <w:r>
        <w:t xml:space="preserve"> </w:t>
      </w:r>
      <w:r>
        <w:t xml:space="preserve">and Table ). Expressed as present value over 2025-2050, the total adjustment costs due to PM1 in PO2</w:t>
      </w:r>
      <w:r>
        <w:t xml:space="preserve"> </w:t>
      </w:r>
      <w:r>
        <w:t xml:space="preserve">are estimated at EUR 0.9 billion relative to the baseline, of which EUR 0.6 billion one-off adjustment</w:t>
      </w:r>
      <w:r>
        <w:t xml:space="preserve"> </w:t>
      </w:r>
      <w:r>
        <w:t xml:space="preserve">costs. For PO4, the one-off adjustment costs for businesses are estimated at EUR 44.8 million in</w:t>
      </w:r>
      <w:r>
        <w:t xml:space="preserve"> </w:t>
      </w:r>
      <w:r>
        <w:t xml:space="preserve">2025, EUR 73.9 million in 2030 and EUR 16 million by 2050 relative to the baseline, while the</w:t>
      </w:r>
      <w:r>
        <w:t xml:space="preserve"> </w:t>
      </w:r>
      <w:r>
        <w:t xml:space="preserve">recurrent annual costs at EUR 23.6 million in 2025, EUR 41.6 million in 2030 and EUR 9 million</w:t>
      </w:r>
      <w:r>
        <w:t xml:space="preserve"> </w:t>
      </w:r>
      <w:r>
        <w:t xml:space="preserve">in 2050 (see Table 5 and Table 13). Expressed as present value over 2025-2050, the total adjustment</w:t>
      </w:r>
      <w:r>
        <w:t xml:space="preserve"> </w:t>
      </w:r>
      <w:r>
        <w:t xml:space="preserve">costs due to PM1 in PO4 are estimated at EUR 1.4 billion relative to the baseline, of which EUR 0.9</w:t>
      </w:r>
      <w:r>
        <w:t xml:space="preserve"> </w:t>
      </w:r>
      <w:r>
        <w:t xml:space="preserve">billion one-off adjustment costs. For PO6, the one-off adjustment costs for businesses are estimated</w:t>
      </w:r>
      <w:r>
        <w:t xml:space="preserve"> </w:t>
      </w:r>
      <w:r>
        <w:t xml:space="preserve">at EUR 0.2 billion in 2025, EUR 1.7 billion in 2030 and EUR 2.7 billion by 2050 relative to the</w:t>
      </w:r>
      <w:r>
        <w:t xml:space="preserve"> </w:t>
      </w:r>
      <w:r>
        <w:t xml:space="preserve">baseline, while the recurrent annual costs at EUR 107.3 million in 2025, EUR 835.5 million in</w:t>
      </w:r>
      <w:r>
        <w:t xml:space="preserve"> </w:t>
      </w:r>
      <w:r>
        <w:t xml:space="preserve">2030 and EUR 1.4 billion in 2050 (see Table 5 and Table 13). Expressed as present value over</w:t>
      </w:r>
      <w:r>
        <w:t xml:space="preserve"> </w:t>
      </w:r>
      <w:r>
        <w:t xml:space="preserve">2025-2050, the total adjustment costs due to PM1 in PO6 are estimated at EUR 60.5 billion relative to</w:t>
      </w:r>
      <w:r>
        <w:t xml:space="preserve"> </w:t>
      </w:r>
      <w:r>
        <w:t xml:space="preserve">the baseline, of which EUR 40.3 billion one-off adjustment costs. According to stakeholders’</w:t>
      </w:r>
      <w:r>
        <w:t xml:space="preserve"> </w:t>
      </w:r>
      <w:r>
        <w:t xml:space="preserve">feedback, meetings with experts and desk research, the alignment with a global standard</w:t>
      </w:r>
      <w:r>
        <w:t xml:space="preserve"> </w:t>
      </w:r>
      <w:r>
        <w:t xml:space="preserve">provided by ISO 14083 would allow for better comparability and usability by the businesses</w:t>
      </w:r>
      <w:r>
        <w:t xml:space="preserve"> </w:t>
      </w:r>
      <w:r>
        <w:t xml:space="preserve">across the world.</w:t>
      </w:r>
      <w:r>
        <w:t xml:space="preserve"> </w:t>
      </w:r>
      <w:r>
        <w:t xml:space="preserve">The setting of the Product Environmental Footprint (PEF) as common reference methodology</w:t>
      </w:r>
      <w:r>
        <w:t xml:space="preserve"> </w:t>
      </w:r>
      <w:r>
        <w:t xml:space="preserve">(PM2) in PO5 is expected to lead to additional labour costs for those businesses that are already</w:t>
      </w:r>
      <w:r>
        <w:t xml:space="preserve"> </w:t>
      </w:r>
      <w:r>
        <w:t xml:space="preserve">quantifying GHG emissions in the baseline, as they will need to adjust their processes in line</w:t>
      </w:r>
      <w:r>
        <w:t xml:space="preserve"> </w:t>
      </w:r>
      <w:r>
        <w:t xml:space="preserve">with the PEF requirements once the PEFCRs for transport have been developed, but also for the</w:t>
      </w:r>
      <w:r>
        <w:t xml:space="preserve"> </w:t>
      </w:r>
      <w:r>
        <w:t xml:space="preserve">new businesses performing GHG emissions accounting. The one-off adjustment costs for</w:t>
      </w:r>
      <w:r>
        <w:t xml:space="preserve"> </w:t>
      </w:r>
      <w:r>
        <w:t xml:space="preserve">businesses are estimated at EUR 63.1 million in 2025, EUR 94.6 million in 2030 and EUR 14.6</w:t>
      </w:r>
      <w:r>
        <w:t xml:space="preserve"> </w:t>
      </w:r>
      <w:r>
        <w:t xml:space="preserve">million by 2050 relative to the baseline, while the recurrent annual costs at EUR 29.9 million in</w:t>
      </w:r>
      <w:r>
        <w:t xml:space="preserve"> </w:t>
      </w:r>
      <w:r>
        <w:t xml:space="preserve">2025, EUR 50 million in 2030 and EUR 6.9 million in 2050 (see Table 5 and Table 13).</w:t>
      </w:r>
      <w:r>
        <w:t xml:space="preserve"> </w:t>
      </w:r>
      <w:r>
        <w:t xml:space="preserve">Expressed as present value over 2025-2050, the total adjustment costs due to PM2 in PO5 are</w:t>
      </w:r>
      <w:r>
        <w:t xml:space="preserve"> </w:t>
      </w:r>
      <w:r>
        <w:t xml:space="preserve">estimated at EUR 1.6 billion relative to the baseline, of which EUR 1.1 billion one-off adjustment</w:t>
      </w:r>
      <w:r>
        <w:t xml:space="preserve"> </w:t>
      </w:r>
      <w:r>
        <w:t xml:space="preserve">costs (in 2022 prices). According to stakeholders’ feedback, this measure may not ensure</w:t>
      </w:r>
      <w:r>
        <w:t xml:space="preserve"> </w:t>
      </w:r>
      <w:r>
        <w:t xml:space="preserve">alignment at the global level, which may lead to difficulties for the aviation and the maritime</w:t>
      </w:r>
      <w:r>
        <w:t xml:space="preserve"> </w:t>
      </w:r>
      <w:r>
        <w:t xml:space="preserve">transport sectors that are global in nature. Due to the fact that Category Rules are still to be</w:t>
      </w:r>
      <w:r>
        <w:t xml:space="preserve"> </w:t>
      </w:r>
      <w:r>
        <w:t xml:space="preserve">developed, the costs reported are dependent on the future developments of the methodology.</w:t>
      </w:r>
      <w:r>
        <w:t xml:space="preserve"> </w:t>
      </w:r>
      <w:r>
        <w:t xml:space="preserve">The setting of the new ISO 14083 with additional elements and increased accuracy as common</w:t>
      </w:r>
      <w:r>
        <w:t xml:space="preserve"> </w:t>
      </w:r>
      <w:r>
        <w:t xml:space="preserve">reference methodology (PM3) in PO1 and PO3, is expected to lead to additional labour costs</w:t>
      </w:r>
      <w:r>
        <w:t xml:space="preserve"> </w:t>
      </w:r>
      <w:r>
        <w:t xml:space="preserve">relative to the baseline for the new businesses performing GHG emissions accounting, but also</w:t>
      </w:r>
      <w:r>
        <w:t xml:space="preserve"> </w:t>
      </w:r>
      <w:r>
        <w:t xml:space="preserve">for the businesses that are already quantifying GHG emissions in the baseline and would need</w:t>
      </w:r>
      <w:r>
        <w:t xml:space="preserve"> </w:t>
      </w:r>
      <w:r>
        <w:t xml:space="preserve">to adjust their processes in line with the new ISO 14083 requirements, once the additional</w:t>
      </w:r>
      <w:r>
        <w:t xml:space="preserve"> </w:t>
      </w:r>
      <w:r>
        <w:t xml:space="preserve">elements have been developed. The costs of PM3 in PO1 and PO3 are different because of the</w:t>
      </w:r>
      <w:r>
        <w:t xml:space="preserve"> </w:t>
      </w:r>
      <w:r>
        <w:t xml:space="preserve">mandatory application of CountEmissions EU in PO1 (in conjunction with PM13) and the</w:t>
      </w:r>
      <w:r>
        <w:t xml:space="preserve"> </w:t>
      </w:r>
      <w:r>
        <w:t xml:space="preserve">binding opt-in application in PO3 (in conjunction with PM14). For PO1, the one-off adjustment</w:t>
      </w:r>
      <w:r>
        <w:t xml:space="preserve"> </w:t>
      </w:r>
      <w:r>
        <w:t xml:space="preserve">costs for businesses are estimated at EUR 0.3 billion in 2025, EUR 2.3 billion in 2030 and EUR</w:t>
      </w:r>
      <w:r>
        <w:t xml:space="preserve"> </w:t>
      </w:r>
      <w:r>
        <w:t xml:space="preserve">3.7 billion in 2050 relative to the baseline, while the recurrent annual costs at EUR 0.1 billion in</w:t>
      </w:r>
      <w:r>
        <w:t xml:space="preserve"> </w:t>
      </w:r>
      <w:r>
        <w:t xml:space="preserve">2025, EUR 1 billion in 2030 and EUR 1.6 billion in 2050 (see Table 4 and Table ). Expressed as</w:t>
      </w:r>
      <w:r>
        <w:t xml:space="preserve"> </w:t>
      </w:r>
      <w:r>
        <w:t xml:space="preserve">present value over 2025-2050, the total adjustment costs due to PM3 in PO1 are estimated at EUR 80.3</w:t>
      </w:r>
      <w:r>
        <w:t xml:space="preserve"> </w:t>
      </w:r>
      <w:r>
        <w:t xml:space="preserve">billion relative to the baseline, of which EUR 56 billion one-off adjustment costs (in 2022 prices). For</w:t>
      </w:r>
      <w:r>
        <w:t xml:space="preserve"> </w:t>
      </w:r>
      <w:r>
        <w:t xml:space="preserve">PO3, the one-off adjustment costs for businesses are estimated at EUR 43.6 million in 2025,</w:t>
      </w:r>
      <w:r>
        <w:t xml:space="preserve"> </w:t>
      </w:r>
      <w:r>
        <w:t xml:space="preserve">EUR 76.3 million in 2030 and EUR 12 million in 2050 relative to the baseline, while the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recurrent annual costs at EUR 18.1 million in 2025, EUR 33.8 million in 2030 and EUR 4.9</w:t>
      </w:r>
      <w:r>
        <w:t xml:space="preserve"> </w:t>
      </w:r>
      <w:r>
        <w:t xml:space="preserve">million in 2050 (see Table 4 and Table ). Expressed as present value over 2025-2050, the total</w:t>
      </w:r>
      <w:r>
        <w:t xml:space="preserve"> </w:t>
      </w:r>
      <w:r>
        <w:t xml:space="preserve">adjustment costs due to PM3 in PO3 are estimated at EUR 1.2 billion relative to the baseline, of which</w:t>
      </w:r>
      <w:r>
        <w:t xml:space="preserve"> </w:t>
      </w:r>
      <w:r>
        <w:t xml:space="preserve">EUR 0.8 billion one-off adjustment costs. According to stakeholders’ feedback, meetings with experts</w:t>
      </w:r>
      <w:r>
        <w:t xml:space="preserve"> </w:t>
      </w:r>
      <w:r>
        <w:t xml:space="preserve">and desk research, the stricter requirements and additional elements relative to the global ISO 14083</w:t>
      </w:r>
      <w:r>
        <w:t xml:space="preserve"> </w:t>
      </w:r>
      <w:r>
        <w:t xml:space="preserve">standard are not likely to be followed at global level, which may lead to some challenges for the aviation</w:t>
      </w:r>
      <w:r>
        <w:t xml:space="preserve"> </w:t>
      </w:r>
      <w:r>
        <w:t xml:space="preserve">and maritime transport sectors that are global in nature. The costs estimates above are also dependent</w:t>
      </w:r>
      <w:r>
        <w:t xml:space="preserve"> </w:t>
      </w:r>
      <w:r>
        <w:t xml:space="preserve">on the additional elements that would still need to be developed.</w:t>
      </w:r>
      <w:r>
        <w:t xml:space="preserve"> </w:t>
      </w:r>
      <w:r>
        <w:t xml:space="preserve">All six policy options will require the provision of horizontal guidelines for the harmonised</w:t>
      </w:r>
      <w:r>
        <w:t xml:space="preserve"> </w:t>
      </w:r>
      <w:r>
        <w:t xml:space="preserve">implementation of CountEmissions EU in various sectors and segments of the transport market (PM7).</w:t>
      </w:r>
      <w:r>
        <w:t xml:space="preserve"> </w:t>
      </w:r>
      <w:r>
        <w:t xml:space="preserve">The workload required by businesses sector associations to adapt sector processes in line with the</w:t>
      </w:r>
      <w:r>
        <w:t xml:space="preserve"> </w:t>
      </w:r>
      <w:r>
        <w:t xml:space="preserve">guidelines set in the implementing act of CountEmissions EU is estimated at 90 hours per sector</w:t>
      </w:r>
      <w:r>
        <w:t xml:space="preserve"> </w:t>
      </w:r>
      <w:r>
        <w:t xml:space="preserve">association. The average cost per hour is estimated at EUR 40.9124 in 2022 prices for ISCO 2 category</w:t>
      </w:r>
      <w:r>
        <w:t xml:space="preserve"> </w:t>
      </w:r>
      <w:r>
        <w:t xml:space="preserve">(Professionals). The number of sectors that will need to adapt processes is estimated to be 17, which</w:t>
      </w:r>
      <w:r>
        <w:t xml:space="preserve"> </w:t>
      </w:r>
      <w:r>
        <w:t xml:space="preserve">represents an upper bound estimate (including all relevant NACE categories125). Thus, the one-off</w:t>
      </w:r>
      <w:r>
        <w:t xml:space="preserve"> </w:t>
      </w:r>
      <w:r>
        <w:t xml:space="preserve">adjustment costs for business sector associations in 2025 are estimated at EUR 62,571 relative to the</w:t>
      </w:r>
      <w:r>
        <w:t xml:space="preserve"> </w:t>
      </w:r>
      <w:r>
        <w:t xml:space="preserve">baseline (in 2022 prices).</w:t>
      </w:r>
      <w:r>
        <w:t xml:space="preserve"> </w:t>
      </w:r>
      <w:r>
        <w:t xml:space="preserve">All policy options foresee process and data verification for businesses (PM8, PM9 and PM10). The</w:t>
      </w:r>
      <w:r>
        <w:t xml:space="preserve"> </w:t>
      </w:r>
      <w:r>
        <w:t xml:space="preserve">scope however varies between policy options: mandatory for all businesses (PM8) in PO1; mandatory</w:t>
      </w:r>
      <w:r>
        <w:t xml:space="preserve"> </w:t>
      </w:r>
      <w:r>
        <w:t xml:space="preserve">for businesses above a certain size, excluding SMEs (PM9) in PO3, PO4, PO5 and PO6; and voluntary</w:t>
      </w:r>
      <w:r>
        <w:t xml:space="preserve"> </w:t>
      </w:r>
      <w:r>
        <w:t xml:space="preserve">for all businesses (PM10) in PO2. The annual verification is performed by bodies that are accredited</w:t>
      </w:r>
      <w:r>
        <w:t xml:space="preserve"> </w:t>
      </w:r>
      <w:r>
        <w:t xml:space="preserve">by NABs, following specific EU rules. A secondary act will define the accreditation rules and the</w:t>
      </w:r>
      <w:r>
        <w:t xml:space="preserve"> </w:t>
      </w:r>
      <w:r>
        <w:t xml:space="preserve">verification rules for verification bodies. In PO1, the additional number of companies that would</w:t>
      </w:r>
      <w:r>
        <w:t xml:space="preserve"> </w:t>
      </w:r>
      <w:r>
        <w:t xml:space="preserve">undergo verification activities (in conjunction with the mandatory application of CountEmissions EU,</w:t>
      </w:r>
      <w:r>
        <w:t xml:space="preserve"> </w:t>
      </w:r>
      <w:r>
        <w:t xml:space="preserve">due to PM13) is estimated at 134,873 in 2025, 949,093 in 2030 and 1,758,729 in 2050, leading to</w:t>
      </w:r>
      <w:r>
        <w:t xml:space="preserve"> </w:t>
      </w:r>
      <w:r>
        <w:t xml:space="preserve">recurrent adjustment costs of EUR 41.5 million in 2025, EUR 296.2 million in 2030 and EUR</w:t>
      </w:r>
      <w:r>
        <w:t xml:space="preserve"> </w:t>
      </w:r>
      <w:r>
        <w:t xml:space="preserve">481.9 million in 2050 relative to the baseline. Expressed as present value over 2025-2050, the total</w:t>
      </w:r>
      <w:r>
        <w:t xml:space="preserve"> </w:t>
      </w:r>
      <w:r>
        <w:t xml:space="preserve">adjustment costs for PM8 in PO1 are estimated at EUR 7.2 billion relative to the baseline.</w:t>
      </w:r>
      <w:r>
        <w:t xml:space="preserve"> </w:t>
      </w:r>
      <w:r>
        <w:t xml:space="preserve">For PM9, the costs are different between policy options (between PO3, PO4, PO5 and PO6) because</w:t>
      </w:r>
      <w:r>
        <w:t xml:space="preserve"> </w:t>
      </w:r>
      <w:r>
        <w:t xml:space="preserve">of the different unit cost per company for verification activities, linked to the method for GHG</w:t>
      </w:r>
      <w:r>
        <w:t xml:space="preserve"> </w:t>
      </w:r>
      <w:r>
        <w:t xml:space="preserve">accounting applied (ISO 14083 with additional elements and increased accuracy in PO3, ISO 14083</w:t>
      </w:r>
      <w:r>
        <w:t xml:space="preserve"> </w:t>
      </w:r>
      <w:r>
        <w:t xml:space="preserve">in PO4 and PO6, and PEFCR in PO5). In PO3, PO4 and PO6, businesses that already perform</w:t>
      </w:r>
      <w:r>
        <w:t xml:space="preserve"> </w:t>
      </w:r>
      <w:r>
        <w:t xml:space="preserve">verification activities in the baseline are expected to be faced with costs savings due to the fact that unit</w:t>
      </w:r>
      <w:r>
        <w:t xml:space="preserve"> </w:t>
      </w:r>
      <w:r>
        <w:t xml:space="preserve">costs per company126 for verification activities are expected to be lower relative to the baseline. On the</w:t>
      </w:r>
      <w:r>
        <w:t xml:space="preserve"> </w:t>
      </w:r>
      <w:r>
        <w:t xml:space="preserve">other hand, the additional number of companies that perform verification activities (in conjunction</w:t>
      </w:r>
      <w:r>
        <w:t xml:space="preserve"> </w:t>
      </w:r>
      <w:r>
        <w:t xml:space="preserve">with the binding opt-in application of CountEmissions EU, due to PM14 and the mandatory</w:t>
      </w:r>
      <w:r>
        <w:t xml:space="preserve"> </w:t>
      </w:r>
      <w:r>
        <w:t xml:space="preserve">application due to PM13) leads to an overall increase in the recurrent adjustment costs in 2025 and</w:t>
      </w:r>
    </w:p>
    <w:p>
      <w:pPr>
        <w:pStyle w:val="BodyText"/>
      </w:pPr>
      <w:r>
        <w:t xml:space="preserve">124 Eurostat Structure of earnings survey, Labour Force Survey data for Non-Wage Labour</w:t>
      </w:r>
      <w:r>
        <w:t xml:space="preserve"> </w:t>
      </w:r>
      <w:r>
        <w:t xml:space="preserve">125 NACE is a four-digit classification providing the framework for collecting and presenting a large range of</w:t>
      </w:r>
      <w:r>
        <w:t xml:space="preserve"> </w:t>
      </w:r>
      <w:r>
        <w:t xml:space="preserve">statistical data according to economic activity in the fields of economic statistics (e.g. production, employment and</w:t>
      </w:r>
      <w:r>
        <w:t xml:space="preserve"> </w:t>
      </w:r>
      <w:r>
        <w:t xml:space="preserve">national accounts) and in other statistical domains developed within the European statistical system (ESS).</w:t>
      </w:r>
      <w:r>
        <w:t xml:space="preserve"> </w:t>
      </w:r>
      <w:r>
        <w:t xml:space="preserve">126 The provision of a single standardised set of rules will lead to time savings to support verification activities. The</w:t>
      </w:r>
      <w:r>
        <w:t xml:space="preserve"> </w:t>
      </w:r>
      <w:r>
        <w:t xml:space="preserve">verification is conducted on annual basis on random samplings of quantifications. The verifiers will be provided</w:t>
      </w:r>
      <w:r>
        <w:t xml:space="preserve"> </w:t>
      </w:r>
      <w:r>
        <w:t xml:space="preserve">with specific standardised rules to perform verifications. Source: Ecorys and CE Delft (2023), Impact assessment</w:t>
      </w:r>
      <w:r>
        <w:t xml:space="preserve"> </w:t>
      </w:r>
      <w:r>
        <w:t xml:space="preserve">support study.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2030 relative to the baseline (for PO3 estimated at EUR 0.3 million in 2025 and EUR 1.1 million in</w:t>
      </w:r>
      <w:r>
        <w:t xml:space="preserve"> </w:t>
      </w:r>
      <w:r>
        <w:t xml:space="preserve">2030; for PO4 estimated at EUR 0.1 million in 2025 and EUR 0.9 million in 2030; for PO6 estimated</w:t>
      </w:r>
      <w:r>
        <w:t xml:space="preserve"> </w:t>
      </w:r>
      <w:r>
        <w:t xml:space="preserve">at EUR 5 million in 2025 and EUR 47.6 million in 2030). In 2050, both PO3 and PO4 result in net</w:t>
      </w:r>
      <w:r>
        <w:t xml:space="preserve"> </w:t>
      </w:r>
      <w:r>
        <w:t xml:space="preserve">costs savings relative to the baseline (EUR 1.3 million costs savings in PO3 and EUR 1.8 million in</w:t>
      </w:r>
      <w:r>
        <w:t xml:space="preserve"> </w:t>
      </w:r>
      <w:r>
        <w:t xml:space="preserve">PO4) due to the lower unit cost of verification activities relative to the baseline, while PO6 results in</w:t>
      </w:r>
      <w:r>
        <w:t xml:space="preserve"> </w:t>
      </w:r>
      <w:r>
        <w:t xml:space="preserve">additional adjustment costs for verification activities of EUR 77.4 million in 2050 due to the increased</w:t>
      </w:r>
      <w:r>
        <w:t xml:space="preserve"> </w:t>
      </w:r>
      <w:r>
        <w:t xml:space="preserve">uptake. Expressed as present value over 2025-2050, PM9 results in total adjustment costs estimated at</w:t>
      </w:r>
      <w:r>
        <w:t xml:space="preserve"> </w:t>
      </w:r>
      <w:r>
        <w:t xml:space="preserve">EUR 1 million in PO3, adjustment costs savings of EUR 3.6 million in PO4 and additional adjustment</w:t>
      </w:r>
      <w:r>
        <w:t xml:space="preserve"> </w:t>
      </w:r>
      <w:r>
        <w:t xml:space="preserve">costs of EUR 1.2 billion relative to the baseline in PO6. In PO5, the recurrent adjustment costs are</w:t>
      </w:r>
      <w:r>
        <w:t xml:space="preserve"> </w:t>
      </w:r>
      <w:r>
        <w:t xml:space="preserve">estimated at EUR 7.4 million in 2025, EUR 11.6 million in 2030 and EUR 8.9 million in 2050 relative</w:t>
      </w:r>
      <w:r>
        <w:t xml:space="preserve"> </w:t>
      </w:r>
      <w:r>
        <w:t xml:space="preserve">to the baseline. Expressed as present value over 2025-2050, PM9 results in adjustment costs estimated</w:t>
      </w:r>
      <w:r>
        <w:t xml:space="preserve"> </w:t>
      </w:r>
      <w:r>
        <w:t xml:space="preserve">at EUR 180.3 million in PO5 relative to the baseline. For PM10 (included in PO2)127, the recurrent</w:t>
      </w:r>
      <w:r>
        <w:t xml:space="preserve"> </w:t>
      </w:r>
      <w:r>
        <w:t xml:space="preserve">adjustment costs are estimated at EUR 3 million in 2025, EUR 5.2 million in 2030 and EUR 2.1 million</w:t>
      </w:r>
      <w:r>
        <w:t xml:space="preserve"> </w:t>
      </w:r>
      <w:r>
        <w:t xml:space="preserve">in 2050 relative to the baseline. Expressed as present value over 2025-2050, PM10 results in adjustment</w:t>
      </w:r>
      <w:r>
        <w:t xml:space="preserve"> </w:t>
      </w:r>
      <w:r>
        <w:t xml:space="preserve">costs of EUR 68.1 million in PO2 relative to the baseline.</w:t>
      </w:r>
      <w:r>
        <w:t xml:space="preserve"> </w:t>
      </w:r>
      <w:r>
        <w:t xml:space="preserve">Finally, all policy options foresee the use of calculation tools by businesses. PM11 (included in PO1</w:t>
      </w:r>
      <w:r>
        <w:t xml:space="preserve"> </w:t>
      </w:r>
      <w:r>
        <w:t xml:space="preserve">and PO2) will provide businesses with calculation tools developed at EU level (by the European</w:t>
      </w:r>
      <w:r>
        <w:t xml:space="preserve"> </w:t>
      </w:r>
      <w:r>
        <w:t xml:space="preserve">Commission), while PM12 (included in PO3, PO4, PO5 and PO6) foresees that calculation tools are</w:t>
      </w:r>
      <w:r>
        <w:t xml:space="preserve"> </w:t>
      </w:r>
      <w:r>
        <w:t xml:space="preserve">developed by the market but certified according to EU rules that will be defined by a secondary act.</w:t>
      </w:r>
      <w:r>
        <w:t xml:space="preserve"> </w:t>
      </w:r>
      <w:r>
        <w:t xml:space="preserve">The use of these calculation tools will require labour costs for incorporating them into the</w:t>
      </w:r>
      <w:r>
        <w:t xml:space="preserve"> </w:t>
      </w:r>
      <w:r>
        <w:t xml:space="preserve">business practice, and time dedicated to use them. The recurrent adjustment costs relative to the</w:t>
      </w:r>
      <w:r>
        <w:t xml:space="preserve"> </w:t>
      </w:r>
      <w:r>
        <w:t xml:space="preserve">baseline are driven by the unit costs for using the tools, which are dependent on the methodology</w:t>
      </w:r>
      <w:r>
        <w:t xml:space="preserve"> </w:t>
      </w:r>
      <w:r>
        <w:t xml:space="preserve">applied, and the additional number of companies using the tools relative to the baseline. The</w:t>
      </w:r>
      <w:r>
        <w:t xml:space="preserve"> </w:t>
      </w:r>
      <w:r>
        <w:t xml:space="preserve">highest recurrent adjustment costs related to the use of calculation tools are expected in PO1</w:t>
      </w:r>
      <w:r>
        <w:t xml:space="preserve"> </w:t>
      </w:r>
      <w:r>
        <w:t xml:space="preserve">(EUR 41.2 million in 2025, EUR 312.1 million in 2030 and EUR 505.3 million in 2050), and</w:t>
      </w:r>
      <w:r>
        <w:t xml:space="preserve"> </w:t>
      </w:r>
      <w:r>
        <w:t xml:space="preserve">PO6 (EUR 32.5 million in 2025, EUR 257.7 million in 2030 and EUR 417.3 million in 2050)</w:t>
      </w:r>
      <w:r>
        <w:t xml:space="preserve"> </w:t>
      </w:r>
      <w:r>
        <w:t xml:space="preserve">due to the mandatory application (in conjunction with PM13). The lowest recurrent adjustment costs</w:t>
      </w:r>
      <w:r>
        <w:t xml:space="preserve"> </w:t>
      </w:r>
      <w:r>
        <w:t xml:space="preserve">are expected in PO2 (see Table 4) due to the voluntary opt-in application but also the lower unit costs</w:t>
      </w:r>
      <w:r>
        <w:t xml:space="preserve"> </w:t>
      </w:r>
      <w:r>
        <w:t xml:space="preserve">for using the tools relative to the baseline. Expressed as present value over 2025-2025, the use of</w:t>
      </w:r>
      <w:r>
        <w:t xml:space="preserve"> </w:t>
      </w:r>
      <w:r>
        <w:t xml:space="preserve">calculation tools is estimated to lead to recurrent adjustment costs of EUR 7.6 billion in PO1, EUR</w:t>
      </w:r>
      <w:r>
        <w:t xml:space="preserve"> </w:t>
      </w:r>
      <w:r>
        <w:t xml:space="preserve">74.5 million in PO2, EUR 167.6 million in PO3, EUR 138.6 million in PO4 (see Table 5) and EUR</w:t>
      </w:r>
      <w:r>
        <w:t xml:space="preserve"> </w:t>
      </w:r>
      <w:r>
        <w:t xml:space="preserve">470 million in PO5.</w:t>
      </w:r>
      <w:r>
        <w:br/>
      </w:r>
      <w:r>
        <w:t xml:space="preserve">Table 4: Recurrent costs for business in the PO1, PO2 and PO3 relative to the baseline scenario (EU27), in million</w:t>
      </w:r>
      <w:r>
        <w:t xml:space="preserve"> </w:t>
      </w:r>
      <w:r>
        <w:t xml:space="preserve">EUR (2022 prices) in 2025, 2030 and 2050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2025</w:t>
      </w:r>
      <w:r>
        <w:t xml:space="preserve"> </w:t>
      </w:r>
      <w:r>
        <w:t xml:space="preserve">2030 2050 2025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Adjustment costs</w:t>
      </w:r>
      <w:r>
        <w:br/>
      </w:r>
      <w:r>
        <w:t xml:space="preserve">212.9 1,611.3 2,611.7</w:t>
      </w:r>
      <w:r>
        <w:t xml:space="preserve"> </w:t>
      </w:r>
      <w:r>
        <w:t xml:space="preserve">22.9</w:t>
      </w:r>
      <w:r>
        <w:t xml:space="preserve"> </w:t>
      </w:r>
      <w:r>
        <w:t xml:space="preserve">44.9</w:t>
      </w:r>
      <w:r>
        <w:t xml:space="preserve"> </w:t>
      </w:r>
      <w:r>
        <w:t xml:space="preserve">1.8</w:t>
      </w:r>
      <w:r>
        <w:t xml:space="preserve"> </w:t>
      </w:r>
      <w:r>
        <w:t xml:space="preserve">25.8</w:t>
      </w:r>
      <w:r>
        <w:t xml:space="preserve"> </w:t>
      </w:r>
      <w:r>
        <w:t xml:space="preserve">48.7</w:t>
      </w:r>
      <w:r>
        <w:t xml:space="preserve"> </w:t>
      </w:r>
      <w:r>
        <w:t xml:space="preserve">8.2</w:t>
      </w:r>
      <w:r>
        <w:t xml:space="preserve"> </w:t>
      </w:r>
      <w:r>
        <w:t xml:space="preserve">PM1 - ISO 14083 set as common</w:t>
      </w:r>
      <w:r>
        <w:t xml:space="preserve"> </w:t>
      </w:r>
      <w:r>
        <w:t xml:space="preserve">reference methodology</w:t>
      </w:r>
    </w:p>
    <w:p>
      <w:pPr>
        <w:pStyle w:val="BodyText"/>
      </w:pPr>
      <w:r>
        <w:t xml:space="preserve">15.9</w:t>
      </w:r>
      <w:r>
        <w:t xml:space="preserve"> </w:t>
      </w:r>
      <w:r>
        <w:t xml:space="preserve">31.3</w:t>
      </w:r>
      <w:r>
        <w:t xml:space="preserve"> </w:t>
      </w:r>
      <w:r>
        <w:t xml:space="preserve">1.3</w:t>
      </w:r>
    </w:p>
    <w:p>
      <w:pPr>
        <w:pStyle w:val="BodyText"/>
      </w:pPr>
      <w:r>
        <w:t xml:space="preserve">PM2 - PEFCR set as common</w:t>
      </w:r>
      <w:r>
        <w:t xml:space="preserve"> </w:t>
      </w:r>
      <w:r>
        <w:t xml:space="preserve">reference methodology</w:t>
      </w:r>
    </w:p>
    <w:p>
      <w:pPr>
        <w:pStyle w:val="BodyText"/>
      </w:pPr>
      <w:r>
        <w:t xml:space="preserve">127 The assumption behind the uptake of verification activities in PO2 is that 100% of the businesses that voluntarily</w:t>
      </w:r>
      <w:r>
        <w:t xml:space="preserve"> </w:t>
      </w:r>
      <w:r>
        <w:t xml:space="preserve">opt-in to CountEmissions EU will perform verification. Verification in PO2 is the condition under which the</w:t>
      </w:r>
      <w:r>
        <w:t xml:space="preserve"> </w:t>
      </w:r>
      <w:r>
        <w:t xml:space="preserve">CountEmissions EU label is awarded. Therefore, it is reasonable to assume that all businesses that invested in the</w:t>
      </w:r>
      <w:r>
        <w:t xml:space="preserve"> </w:t>
      </w:r>
      <w:r>
        <w:t xml:space="preserve">quantification will decide to receive the label assessing their conformity to CountEmissions EU.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2025</w:t>
      </w:r>
      <w:r>
        <w:t xml:space="preserve"> </w:t>
      </w:r>
      <w:r>
        <w:t xml:space="preserve">2030 2050 2025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PM3 - ISO 14083 with additional</w:t>
      </w:r>
      <w:r>
        <w:t xml:space="preserve"> </w:t>
      </w:r>
      <w:r>
        <w:t xml:space="preserve">elements and increased accuracy set</w:t>
      </w:r>
      <w:r>
        <w:t xml:space="preserve"> </w:t>
      </w:r>
      <w:r>
        <w:t xml:space="preserve">as common reference methodology</w:t>
      </w:r>
      <w:r>
        <w:t xml:space="preserve"> </w:t>
      </w:r>
      <w:r>
        <w:t xml:space="preserve">130.2 1,003.0 1,624.5</w:t>
      </w:r>
    </w:p>
    <w:p>
      <w:pPr>
        <w:pStyle w:val="BodyText"/>
      </w:pPr>
      <w:r>
        <w:t xml:space="preserve">18.1</w:t>
      </w:r>
      <w:r>
        <w:t xml:space="preserve"> </w:t>
      </w:r>
      <w:r>
        <w:t xml:space="preserve">33.8</w:t>
      </w:r>
      <w:r>
        <w:t xml:space="preserve"> </w:t>
      </w:r>
      <w:r>
        <w:t xml:space="preserve">4.9</w:t>
      </w:r>
      <w:r>
        <w:t xml:space="preserve"> </w:t>
      </w:r>
      <w:r>
        <w:t xml:space="preserve">PM8 - Mandatory process and data</w:t>
      </w:r>
      <w:r>
        <w:t xml:space="preserve"> </w:t>
      </w:r>
      <w:r>
        <w:t xml:space="preserve">verification for all entities</w:t>
      </w:r>
      <w:r>
        <w:t xml:space="preserve"> </w:t>
      </w:r>
      <w:r>
        <w:t xml:space="preserve">41.5</w:t>
      </w:r>
      <w:r>
        <w:t xml:space="preserve"> </w:t>
      </w:r>
      <w:r>
        <w:t xml:space="preserve">296.2</w:t>
      </w:r>
      <w:r>
        <w:t xml:space="preserve"> </w:t>
      </w:r>
      <w:r>
        <w:t xml:space="preserve">481.9</w:t>
      </w:r>
    </w:p>
    <w:p>
      <w:pPr>
        <w:pStyle w:val="BodyText"/>
      </w:pPr>
      <w:r>
        <w:t xml:space="preserve">PM9 - Mandatory process and data</w:t>
      </w:r>
      <w:r>
        <w:t xml:space="preserve"> </w:t>
      </w:r>
      <w:r>
        <w:t xml:space="preserve">verification for entities above certain</w:t>
      </w:r>
      <w:r>
        <w:t xml:space="preserve"> </w:t>
      </w:r>
      <w:r>
        <w:t xml:space="preserve">size</w:t>
      </w:r>
    </w:p>
    <w:p>
      <w:pPr>
        <w:pStyle w:val="BodyText"/>
      </w:pPr>
      <w:r>
        <w:t xml:space="preserve">0.3</w:t>
      </w:r>
      <w:r>
        <w:t xml:space="preserve"> </w:t>
      </w:r>
      <w:r>
        <w:t xml:space="preserve">1.1</w:t>
      </w:r>
      <w:r>
        <w:t xml:space="preserve"> </w:t>
      </w:r>
      <w:r>
        <w:t xml:space="preserve">-1.3</w:t>
      </w:r>
      <w:r>
        <w:t xml:space="preserve"> </w:t>
      </w:r>
      <w:r>
        <w:t xml:space="preserve">PM10 - Voluntary process and data</w:t>
      </w:r>
      <w:r>
        <w:t xml:space="preserve"> </w:t>
      </w:r>
      <w:r>
        <w:t xml:space="preserve">verification for all entities</w:t>
      </w:r>
    </w:p>
    <w:p>
      <w:pPr>
        <w:pStyle w:val="BodyText"/>
      </w:pPr>
      <w:r>
        <w:t xml:space="preserve">3.0</w:t>
      </w:r>
      <w:r>
        <w:t xml:space="preserve"> </w:t>
      </w:r>
      <w:r>
        <w:t xml:space="preserve">5.2</w:t>
      </w:r>
      <w:r>
        <w:t xml:space="preserve"> </w:t>
      </w:r>
      <w:r>
        <w:t xml:space="preserve">2.1</w:t>
      </w:r>
    </w:p>
    <w:p>
      <w:pPr>
        <w:pStyle w:val="BodyText"/>
      </w:pPr>
      <w:r>
        <w:t xml:space="preserve">PM11 - Emissions calculation tools</w:t>
      </w:r>
      <w:r>
        <w:t xml:space="preserve"> </w:t>
      </w:r>
      <w:r>
        <w:t xml:space="preserve">are provided at EU level</w:t>
      </w:r>
      <w:r>
        <w:t xml:space="preserve"> </w:t>
      </w:r>
      <w:r>
        <w:t xml:space="preserve">41.2</w:t>
      </w:r>
      <w:r>
        <w:t xml:space="preserve"> </w:t>
      </w:r>
      <w:r>
        <w:t xml:space="preserve">312.1</w:t>
      </w:r>
      <w:r>
        <w:t xml:space="preserve"> </w:t>
      </w:r>
      <w:r>
        <w:t xml:space="preserve">505.3</w:t>
      </w:r>
      <w:r>
        <w:t xml:space="preserve"> </w:t>
      </w:r>
      <w:r>
        <w:t xml:space="preserve">4.0</w:t>
      </w:r>
      <w:r>
        <w:t xml:space="preserve"> </w:t>
      </w:r>
      <w:r>
        <w:t xml:space="preserve">8.4</w:t>
      </w:r>
      <w:r>
        <w:t xml:space="preserve"> </w:t>
      </w:r>
      <w:r>
        <w:t xml:space="preserve">-1.6</w:t>
      </w:r>
    </w:p>
    <w:p>
      <w:pPr>
        <w:pStyle w:val="BodyText"/>
      </w:pPr>
      <w:r>
        <w:t xml:space="preserve">PM12 - Emissions calculation tools</w:t>
      </w:r>
      <w:r>
        <w:t xml:space="preserve"> </w:t>
      </w:r>
      <w:r>
        <w:t xml:space="preserve">are provided by the market but they</w:t>
      </w:r>
      <w:r>
        <w:t xml:space="preserve"> </w:t>
      </w:r>
      <w:r>
        <w:t xml:space="preserve">are certified at EU level</w:t>
      </w:r>
    </w:p>
    <w:p>
      <w:pPr>
        <w:pStyle w:val="BodyText"/>
      </w:pPr>
      <w:r>
        <w:t xml:space="preserve">7.5</w:t>
      </w:r>
      <w:r>
        <w:t xml:space="preserve"> </w:t>
      </w:r>
      <w:r>
        <w:t xml:space="preserve">13.7</w:t>
      </w:r>
      <w:r>
        <w:t xml:space="preserve"> </w:t>
      </w:r>
      <w:r>
        <w:t xml:space="preserve">4.5</w:t>
      </w:r>
      <w:r>
        <w:t xml:space="preserve"> </w:t>
      </w:r>
      <w:r>
        <w:t xml:space="preserve">Administrative costs</w:t>
      </w:r>
      <w:r>
        <w:br/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0.00 0.00</w:t>
      </w:r>
      <w:r>
        <w:t xml:space="preserve"> </w:t>
      </w:r>
      <w:r>
        <w:t xml:space="preserve">0.02</w:t>
      </w:r>
      <w:r>
        <w:t xml:space="preserve"> </w:t>
      </w:r>
      <w:r>
        <w:t xml:space="preserve">0.03 0.03</w:t>
      </w:r>
      <w:r>
        <w:t xml:space="preserve"> </w:t>
      </w:r>
      <w:r>
        <w:t xml:space="preserve">PM5 - Quality assurance of external</w:t>
      </w:r>
      <w:r>
        <w:t xml:space="preserve"> </w:t>
      </w:r>
      <w:r>
        <w:t xml:space="preserve">databases operated by third parties is</w:t>
      </w:r>
      <w:r>
        <w:t xml:space="preserve"> </w:t>
      </w:r>
      <w:r>
        <w:t xml:space="preserve">provided at the EU level</w:t>
      </w:r>
    </w:p>
    <w:p>
      <w:pPr>
        <w:pStyle w:val="BodyText"/>
      </w:pPr>
      <w:r>
        <w:t xml:space="preserve">0.00</w:t>
      </w:r>
      <w:r>
        <w:t xml:space="preserve"> </w:t>
      </w:r>
      <w:r>
        <w:t xml:space="preserve">0.02 0.02</w:t>
      </w:r>
      <w:r>
        <w:t xml:space="preserve"> </w:t>
      </w:r>
      <w:r>
        <w:t xml:space="preserve">PM12 - Emissions calculation tools</w:t>
      </w:r>
      <w:r>
        <w:t xml:space="preserve"> </w:t>
      </w:r>
      <w:r>
        <w:t xml:space="preserve">are provided by the market but they</w:t>
      </w:r>
      <w:r>
        <w:t xml:space="preserve"> </w:t>
      </w:r>
      <w:r>
        <w:t xml:space="preserve">are certified at EU level</w:t>
      </w:r>
    </w:p>
    <w:p>
      <w:pPr>
        <w:pStyle w:val="BodyText"/>
      </w:pPr>
      <w:r>
        <w:t xml:space="preserve">0.02</w:t>
      </w:r>
      <w:r>
        <w:t xml:space="preserve"> </w:t>
      </w:r>
      <w:r>
        <w:t xml:space="preserve">0.02 0.02</w:t>
      </w:r>
      <w:r>
        <w:t xml:space="preserve"> </w:t>
      </w:r>
      <w:r>
        <w:t xml:space="preserve">Total net costs</w:t>
      </w:r>
      <w:r>
        <w:t xml:space="preserve"> </w:t>
      </w:r>
      <w:r>
        <w:t xml:space="preserve">212.9 1,611.3 2,611.7</w:t>
      </w:r>
      <w:r>
        <w:t xml:space="preserve"> </w:t>
      </w:r>
      <w:r>
        <w:t xml:space="preserve">22.9</w:t>
      </w:r>
      <w:r>
        <w:t xml:space="preserve"> </w:t>
      </w:r>
      <w:r>
        <w:t xml:space="preserve">44.9</w:t>
      </w:r>
      <w:r>
        <w:t xml:space="preserve"> </w:t>
      </w:r>
      <w:r>
        <w:t xml:space="preserve">1.8</w:t>
      </w:r>
      <w:r>
        <w:t xml:space="preserve"> </w:t>
      </w:r>
      <w:r>
        <w:t xml:space="preserve">25.9</w:t>
      </w:r>
      <w:r>
        <w:t xml:space="preserve"> </w:t>
      </w:r>
      <w:r>
        <w:t xml:space="preserve">48.7</w:t>
      </w:r>
      <w:r>
        <w:t xml:space="preserve"> </w:t>
      </w:r>
      <w:r>
        <w:t xml:space="preserve">8.2</w:t>
      </w:r>
      <w:r>
        <w:t xml:space="preserve"> </w:t>
      </w:r>
      <w:r>
        <w:t xml:space="preserve">Source : Ecorys and CE Delft (2023), Impact assessment support study; Note: negative values reflect costs savings,</w:t>
      </w:r>
      <w:r>
        <w:t xml:space="preserve"> </w:t>
      </w:r>
      <w:r>
        <w:t xml:space="preserve">where relevant.</w:t>
      </w:r>
      <w:r>
        <w:br/>
      </w:r>
      <w:r>
        <w:t xml:space="preserve">Table 5: Recurrent costs for business in the PO4, PO5 and PO6 relative to the baseline scenario (EU27), in million</w:t>
      </w:r>
      <w:r>
        <w:t xml:space="preserve"> </w:t>
      </w:r>
      <w:r>
        <w:t xml:space="preserve">EUR (2022 prices) in 2025, 2030 and 2050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PO4</w:t>
      </w:r>
      <w:r>
        <w:t xml:space="preserve"> </w:t>
      </w:r>
      <w:r>
        <w:t xml:space="preserve">PO5</w:t>
      </w:r>
      <w:r>
        <w:t xml:space="preserve"> </w:t>
      </w:r>
      <w:r>
        <w:t xml:space="preserve">PO6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2025</w:t>
      </w:r>
      <w:r>
        <w:t xml:space="preserve"> </w:t>
      </w:r>
      <w:r>
        <w:t xml:space="preserve">2030 2050 2025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Adjustment costs</w:t>
      </w:r>
      <w:r>
        <w:br/>
      </w:r>
      <w:r>
        <w:t xml:space="preserve">30.4</w:t>
      </w:r>
      <w:r>
        <w:t xml:space="preserve"> </w:t>
      </w:r>
      <w:r>
        <w:t xml:space="preserve">54.8</w:t>
      </w:r>
      <w:r>
        <w:t xml:space="preserve"> </w:t>
      </w:r>
      <w:r>
        <w:t xml:space="preserve">8.6</w:t>
      </w:r>
      <w:r>
        <w:t xml:space="preserve"> </w:t>
      </w:r>
      <w:r>
        <w:t xml:space="preserve">56.6 93.2 37.3</w:t>
      </w:r>
      <w:r>
        <w:t xml:space="preserve"> </w:t>
      </w:r>
      <w:r>
        <w:t xml:space="preserve">144.9 1,140.9 1,848.2</w:t>
      </w:r>
      <w:r>
        <w:t xml:space="preserve"> </w:t>
      </w:r>
      <w:r>
        <w:t xml:space="preserve">PM1 - ISO 14083 set as common</w:t>
      </w:r>
      <w:r>
        <w:t xml:space="preserve"> </w:t>
      </w:r>
      <w:r>
        <w:t xml:space="preserve">reference methodology</w:t>
      </w:r>
      <w:r>
        <w:t xml:space="preserve"> </w:t>
      </w:r>
      <w:r>
        <w:t xml:space="preserve">23.6</w:t>
      </w:r>
      <w:r>
        <w:t xml:space="preserve"> </w:t>
      </w:r>
      <w:r>
        <w:t xml:space="preserve">41.6</w:t>
      </w:r>
      <w:r>
        <w:t xml:space="preserve"> </w:t>
      </w:r>
      <w:r>
        <w:t xml:space="preserve">9.0</w:t>
      </w:r>
    </w:p>
    <w:p>
      <w:pPr>
        <w:pStyle w:val="BodyText"/>
      </w:pPr>
      <w:r>
        <w:t xml:space="preserve">107.3</w:t>
      </w:r>
      <w:r>
        <w:t xml:space="preserve"> </w:t>
      </w:r>
      <w:r>
        <w:t xml:space="preserve">835.5 1,353.5</w:t>
      </w:r>
      <w:r>
        <w:t xml:space="preserve"> </w:t>
      </w:r>
      <w:r>
        <w:t xml:space="preserve">PM2 - PEFCR set as common</w:t>
      </w:r>
      <w:r>
        <w:t xml:space="preserve"> </w:t>
      </w:r>
      <w:r>
        <w:t xml:space="preserve">reference methodology</w:t>
      </w:r>
    </w:p>
    <w:p>
      <w:pPr>
        <w:pStyle w:val="BodyText"/>
      </w:pPr>
      <w:r>
        <w:t xml:space="preserve">29.9 50.0</w:t>
      </w:r>
      <w:r>
        <w:t xml:space="preserve"> </w:t>
      </w:r>
      <w:r>
        <w:t xml:space="preserve">6.9</w:t>
      </w:r>
    </w:p>
    <w:p>
      <w:pPr>
        <w:pStyle w:val="BodyText"/>
      </w:pPr>
      <w:r>
        <w:t xml:space="preserve">PM3 - ISO 14083 with additional</w:t>
      </w:r>
      <w:r>
        <w:t xml:space="preserve"> </w:t>
      </w:r>
      <w:r>
        <w:t xml:space="preserve">elements and increased accuracy set</w:t>
      </w:r>
      <w:r>
        <w:t xml:space="preserve"> </w:t>
      </w:r>
      <w:r>
        <w:t xml:space="preserve">as common reference methodology</w:t>
      </w:r>
    </w:p>
    <w:p>
      <w:pPr>
        <w:pStyle w:val="BodyText"/>
      </w:pPr>
      <w:r>
        <w:t xml:space="preserve">PM8 - Mandatory process and data</w:t>
      </w:r>
      <w:r>
        <w:t xml:space="preserve"> </w:t>
      </w:r>
      <w:r>
        <w:t xml:space="preserve">verification for all entities</w:t>
      </w:r>
    </w:p>
    <w:p>
      <w:pPr>
        <w:pStyle w:val="BodyText"/>
      </w:pPr>
      <w:r>
        <w:t xml:space="preserve">PM9 - Mandatory process and data</w:t>
      </w:r>
      <w:r>
        <w:t xml:space="preserve"> </w:t>
      </w:r>
      <w:r>
        <w:t xml:space="preserve">verification for entities above certain</w:t>
      </w:r>
      <w:r>
        <w:t xml:space="preserve"> </w:t>
      </w:r>
      <w:r>
        <w:t xml:space="preserve">size</w:t>
      </w:r>
      <w:r>
        <w:br/>
      </w:r>
      <w:r>
        <w:t xml:space="preserve">0.1</w:t>
      </w:r>
      <w:r>
        <w:t xml:space="preserve"> </w:t>
      </w:r>
      <w:r>
        <w:t xml:space="preserve">0.9</w:t>
      </w:r>
      <w:r>
        <w:t xml:space="preserve"> </w:t>
      </w:r>
      <w:r>
        <w:t xml:space="preserve">-1.8</w:t>
      </w:r>
      <w:r>
        <w:t xml:space="preserve"> </w:t>
      </w:r>
      <w:r>
        <w:t xml:space="preserve">7.4 11.6</w:t>
      </w:r>
      <w:r>
        <w:t xml:space="preserve"> </w:t>
      </w:r>
      <w:r>
        <w:t xml:space="preserve">8.9</w:t>
      </w:r>
      <w:r>
        <w:t xml:space="preserve"> </w:t>
      </w:r>
      <w:r>
        <w:t xml:space="preserve">5.0</w:t>
      </w:r>
      <w:r>
        <w:t xml:space="preserve"> </w:t>
      </w:r>
      <w:r>
        <w:t xml:space="preserve">47.6</w:t>
      </w:r>
      <w:r>
        <w:t xml:space="preserve"> </w:t>
      </w:r>
      <w:r>
        <w:t xml:space="preserve">77.4</w:t>
      </w:r>
      <w:r>
        <w:t xml:space="preserve"> </w:t>
      </w:r>
      <w:r>
        <w:t xml:space="preserve">PM10 - Voluntary process and data</w:t>
      </w:r>
      <w:r>
        <w:t xml:space="preserve"> </w:t>
      </w:r>
      <w:r>
        <w:t xml:space="preserve">verification for all entities</w:t>
      </w:r>
    </w:p>
    <w:p>
      <w:pPr>
        <w:pStyle w:val="BodyText"/>
      </w:pPr>
      <w:r>
        <w:t xml:space="preserve">PM11 - Emissions calculation tools</w:t>
      </w:r>
      <w:r>
        <w:t xml:space="preserve"> </w:t>
      </w:r>
      <w:r>
        <w:t xml:space="preserve">are provided at EU level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PO4</w:t>
      </w:r>
      <w:r>
        <w:t xml:space="preserve"> </w:t>
      </w:r>
      <w:r>
        <w:t xml:space="preserve">PO5</w:t>
      </w:r>
      <w:r>
        <w:t xml:space="preserve"> </w:t>
      </w:r>
      <w:r>
        <w:t xml:space="preserve">PO6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2025</w:t>
      </w:r>
      <w:r>
        <w:t xml:space="preserve"> </w:t>
      </w:r>
      <w:r>
        <w:t xml:space="preserve">2030 2050 2025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PM12 - Emissions calculation tools</w:t>
      </w:r>
      <w:r>
        <w:t xml:space="preserve"> </w:t>
      </w:r>
      <w:r>
        <w:t xml:space="preserve">are provided by the market but they</w:t>
      </w:r>
      <w:r>
        <w:t xml:space="preserve"> </w:t>
      </w:r>
      <w:r>
        <w:t xml:space="preserve">are certified at EU level</w:t>
      </w:r>
      <w:r>
        <w:t xml:space="preserve"> </w:t>
      </w:r>
      <w:r>
        <w:t xml:space="preserve">6.7</w:t>
      </w:r>
      <w:r>
        <w:t xml:space="preserve"> </w:t>
      </w:r>
      <w:r>
        <w:t xml:space="preserve">12.3</w:t>
      </w:r>
      <w:r>
        <w:t xml:space="preserve"> </w:t>
      </w:r>
      <w:r>
        <w:t xml:space="preserve">1.4</w:t>
      </w:r>
      <w:r>
        <w:t xml:space="preserve"> </w:t>
      </w:r>
      <w:r>
        <w:t xml:space="preserve">19.3 31.6 21.5</w:t>
      </w:r>
      <w:r>
        <w:t xml:space="preserve"> </w:t>
      </w:r>
      <w:r>
        <w:t xml:space="preserve">32.5</w:t>
      </w:r>
      <w:r>
        <w:t xml:space="preserve"> </w:t>
      </w:r>
      <w:r>
        <w:t xml:space="preserve">257.7</w:t>
      </w:r>
      <w:r>
        <w:t xml:space="preserve"> </w:t>
      </w:r>
      <w:r>
        <w:t xml:space="preserve">417.3</w:t>
      </w:r>
      <w:r>
        <w:t xml:space="preserve"> </w:t>
      </w:r>
      <w:r>
        <w:t xml:space="preserve">Administrative costs</w:t>
      </w:r>
      <w:r>
        <w:br/>
      </w:r>
      <w:r>
        <w:t xml:space="preserve">0.02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0.02 0.02 0.02</w:t>
      </w:r>
      <w:r>
        <w:t xml:space="preserve"> </w:t>
      </w:r>
      <w:r>
        <w:t xml:space="preserve">0.02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PM5 - Quality assurance of external</w:t>
      </w:r>
      <w:r>
        <w:t xml:space="preserve"> </w:t>
      </w:r>
      <w:r>
        <w:t xml:space="preserve">databases operated by third parties is</w:t>
      </w:r>
      <w:r>
        <w:t xml:space="preserve"> </w:t>
      </w:r>
      <w:r>
        <w:t xml:space="preserve">provided at the EU level</w:t>
      </w:r>
      <w:r>
        <w:br/>
      </w:r>
      <w:r>
        <w:t xml:space="preserve">0.00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</w:p>
    <w:p>
      <w:pPr>
        <w:pStyle w:val="BodyText"/>
      </w:pPr>
      <w:r>
        <w:t xml:space="preserve">0.00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PM12 - Emissions calculation tools</w:t>
      </w:r>
      <w:r>
        <w:t xml:space="preserve"> </w:t>
      </w:r>
      <w:r>
        <w:t xml:space="preserve">are provided by the market but they</w:t>
      </w:r>
      <w:r>
        <w:t xml:space="preserve"> </w:t>
      </w:r>
      <w:r>
        <w:t xml:space="preserve">are certified at EU level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0.02 0.02 0.02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Total net costs</w:t>
      </w:r>
      <w:r>
        <w:t xml:space="preserve"> </w:t>
      </w:r>
      <w:r>
        <w:t xml:space="preserve">30.4</w:t>
      </w:r>
      <w:r>
        <w:t xml:space="preserve"> </w:t>
      </w:r>
      <w:r>
        <w:t xml:space="preserve">54.8</w:t>
      </w:r>
      <w:r>
        <w:t xml:space="preserve"> </w:t>
      </w:r>
      <w:r>
        <w:t xml:space="preserve">8.7</w:t>
      </w:r>
      <w:r>
        <w:t xml:space="preserve"> </w:t>
      </w:r>
      <w:r>
        <w:t xml:space="preserve">56.6 93.3 37.4</w:t>
      </w:r>
      <w:r>
        <w:t xml:space="preserve"> </w:t>
      </w:r>
      <w:r>
        <w:t xml:space="preserve">144.9 1,140.9 1,848.2</w:t>
      </w:r>
      <w:r>
        <w:t xml:space="preserve"> </w:t>
      </w:r>
      <w:r>
        <w:t xml:space="preserve">Source : Ecorys and CE Delft (2023), Impact assessment support study; Note: negative values reflect costs savings,</w:t>
      </w:r>
      <w:r>
        <w:t xml:space="preserve"> </w:t>
      </w:r>
      <w:r>
        <w:t xml:space="preserve">where relevant.</w:t>
      </w:r>
      <w:r>
        <w:br/>
      </w:r>
      <w:r>
        <w:t xml:space="preserve">Table 6: One-off costs for business in PO1, PO2 and PO3 relative to the baseline scenario (EU27), in million EUR</w:t>
      </w:r>
      <w:r>
        <w:t xml:space="preserve"> </w:t>
      </w:r>
      <w:r>
        <w:t xml:space="preserve">(2022 prices)</w:t>
      </w:r>
      <w:r>
        <w:br/>
      </w:r>
      <w:r>
        <w:t xml:space="preserve">One-off costs</w:t>
      </w:r>
      <w:r>
        <w:t xml:space="preserve"> </w:t>
      </w:r>
      <w:r>
        <w:t xml:space="preserve">Difference to the Baseline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Adjustment costs</w:t>
      </w:r>
    </w:p>
    <w:p>
      <w:pPr>
        <w:pStyle w:val="BodyText"/>
      </w:pPr>
      <w:r>
        <w:t xml:space="preserve">PM1 - ISO 14083 set as</w:t>
      </w:r>
      <w:r>
        <w:t xml:space="preserve"> </w:t>
      </w:r>
      <w:r>
        <w:t xml:space="preserve">common reference methodology</w:t>
      </w:r>
    </w:p>
    <w:p>
      <w:pPr>
        <w:pStyle w:val="BodyText"/>
      </w:pPr>
      <w:r>
        <w:t xml:space="preserve">31.8</w:t>
      </w:r>
      <w:r>
        <w:t xml:space="preserve"> </w:t>
      </w:r>
      <w:r>
        <w:t xml:space="preserve">56.4</w:t>
      </w:r>
      <w:r>
        <w:t xml:space="preserve"> </w:t>
      </w:r>
      <w:r>
        <w:t xml:space="preserve">2.9</w:t>
      </w:r>
    </w:p>
    <w:p>
      <w:pPr>
        <w:pStyle w:val="BodyText"/>
      </w:pPr>
      <w:r>
        <w:t xml:space="preserve">PM2 - PEFCR set as common</w:t>
      </w:r>
      <w:r>
        <w:t xml:space="preserve"> </w:t>
      </w:r>
      <w:r>
        <w:t xml:space="preserve">reference methodology</w:t>
      </w:r>
    </w:p>
    <w:p>
      <w:pPr>
        <w:pStyle w:val="BodyText"/>
      </w:pPr>
      <w:r>
        <w:t xml:space="preserve">PM3 - ISO 14083 with</w:t>
      </w:r>
      <w:r>
        <w:t xml:space="preserve"> </w:t>
      </w:r>
      <w:r>
        <w:t xml:space="preserve">additional elements and</w:t>
      </w:r>
      <w:r>
        <w:t xml:space="preserve"> </w:t>
      </w:r>
      <w:r>
        <w:t xml:space="preserve">increased accuracy set as</w:t>
      </w:r>
      <w:r>
        <w:t xml:space="preserve"> </w:t>
      </w:r>
      <w:r>
        <w:t xml:space="preserve">common reference methodology</w:t>
      </w:r>
      <w:r>
        <w:t xml:space="preserve"> </w:t>
      </w:r>
      <w:r>
        <w:t xml:space="preserve">295.0 2,308.0 3,747.8</w:t>
      </w:r>
    </w:p>
    <w:p>
      <w:pPr>
        <w:pStyle w:val="BodyText"/>
      </w:pPr>
      <w:r>
        <w:t xml:space="preserve">43.6</w:t>
      </w:r>
      <w:r>
        <w:t xml:space="preserve"> </w:t>
      </w:r>
      <w:r>
        <w:t xml:space="preserve">76.3</w:t>
      </w:r>
      <w:r>
        <w:t xml:space="preserve"> </w:t>
      </w:r>
      <w:r>
        <w:t xml:space="preserve">12.0</w:t>
      </w:r>
      <w:r>
        <w:t xml:space="preserve"> </w:t>
      </w:r>
      <w:r>
        <w:t xml:space="preserve">PM7 - Guidelines for</w:t>
      </w:r>
      <w:r>
        <w:t xml:space="preserve"> </w:t>
      </w:r>
      <w:r>
        <w:t xml:space="preserve">harmonised implementation</w:t>
      </w:r>
      <w:r>
        <w:t xml:space="preserve"> </w:t>
      </w:r>
      <w:r>
        <w:t xml:space="preserve">0.06</w:t>
      </w:r>
    </w:p>
    <w:p>
      <w:pPr>
        <w:pStyle w:val="BodyText"/>
      </w:pPr>
      <w:r>
        <w:t xml:space="preserve">0.06</w:t>
      </w:r>
    </w:p>
    <w:p>
      <w:pPr>
        <w:pStyle w:val="BodyText"/>
      </w:pPr>
      <w:r>
        <w:t xml:space="preserve">0.06</w:t>
      </w:r>
    </w:p>
    <w:p>
      <w:pPr>
        <w:pStyle w:val="BodyText"/>
      </w:pPr>
      <w:r>
        <w:t xml:space="preserve">Total costs</w:t>
      </w:r>
      <w:r>
        <w:t xml:space="preserve"> </w:t>
      </w:r>
      <w:r>
        <w:t xml:space="preserve">295.1 2,308.0 3,747.8</w:t>
      </w:r>
      <w:r>
        <w:t xml:space="preserve"> </w:t>
      </w:r>
      <w:r>
        <w:t xml:space="preserve">31.8</w:t>
      </w:r>
      <w:r>
        <w:t xml:space="preserve"> </w:t>
      </w:r>
      <w:r>
        <w:t xml:space="preserve">56.4</w:t>
      </w:r>
      <w:r>
        <w:t xml:space="preserve"> </w:t>
      </w:r>
      <w:r>
        <w:t xml:space="preserve">2.9</w:t>
      </w:r>
      <w:r>
        <w:t xml:space="preserve"> </w:t>
      </w:r>
      <w:r>
        <w:t xml:space="preserve">43.7</w:t>
      </w:r>
      <w:r>
        <w:t xml:space="preserve"> </w:t>
      </w:r>
      <w:r>
        <w:t xml:space="preserve">76.3</w:t>
      </w:r>
      <w:r>
        <w:t xml:space="preserve"> </w:t>
      </w:r>
      <w:r>
        <w:t xml:space="preserve">12.0</w:t>
      </w:r>
      <w:r>
        <w:t xml:space="preserve"> </w:t>
      </w:r>
      <w:r>
        <w:t xml:space="preserve">Source : Ecorys and CE Delft (2023), Impact assessment support study</w:t>
      </w:r>
      <w:r>
        <w:t xml:space="preserve"> </w:t>
      </w:r>
      <w:r>
        <w:t xml:space="preserve">Table 7: One-off costs for business in PO4, PO5 and PO6 relative to the baseline scenario (EU27), in million EUR</w:t>
      </w:r>
      <w:r>
        <w:t xml:space="preserve"> </w:t>
      </w:r>
      <w:r>
        <w:t xml:space="preserve">(2022 prices)</w:t>
      </w:r>
      <w:r>
        <w:br/>
      </w:r>
      <w:r>
        <w:t xml:space="preserve">One-off costs</w:t>
      </w:r>
      <w:r>
        <w:t xml:space="preserve"> </w:t>
      </w:r>
      <w:r>
        <w:t xml:space="preserve">Difference to the Baseline</w:t>
      </w:r>
      <w:r>
        <w:t xml:space="preserve"> </w:t>
      </w:r>
      <w:r>
        <w:t xml:space="preserve">PO4</w:t>
      </w:r>
      <w:r>
        <w:t xml:space="preserve"> </w:t>
      </w:r>
      <w:r>
        <w:t xml:space="preserve">PO5</w:t>
      </w:r>
      <w:r>
        <w:t xml:space="preserve"> </w:t>
      </w:r>
      <w:r>
        <w:t xml:space="preserve">PO6</w:t>
      </w:r>
      <w:r>
        <w:t xml:space="preserve"> </w:t>
      </w:r>
      <w:r>
        <w:t xml:space="preserve">2025 2030 2050 2025 2030 2050</w:t>
      </w:r>
    </w:p>
    <w:p>
      <w:pPr>
        <w:pStyle w:val="BodyText"/>
      </w:pPr>
      <w:r>
        <w:t xml:space="preserve">Adjustment costs</w:t>
      </w:r>
    </w:p>
    <w:p>
      <w:pPr>
        <w:pStyle w:val="BodyText"/>
      </w:pPr>
      <w:r>
        <w:t xml:space="preserve">PM1 - ISO 14083 set as common reference</w:t>
      </w:r>
      <w:r>
        <w:t xml:space="preserve"> </w:t>
      </w:r>
      <w:r>
        <w:t xml:space="preserve">methodology</w:t>
      </w:r>
      <w:r>
        <w:t xml:space="preserve"> </w:t>
      </w:r>
      <w:r>
        <w:t xml:space="preserve">44.8 73.9 16.0</w:t>
      </w:r>
    </w:p>
    <w:p>
      <w:pPr>
        <w:pStyle w:val="BodyText"/>
      </w:pPr>
      <w:r>
        <w:t xml:space="preserve">210.5 1,660.2 2,698.2</w:t>
      </w:r>
      <w:r>
        <w:t xml:space="preserve"> </w:t>
      </w:r>
      <w:r>
        <w:t xml:space="preserve">PM2 - PEFCR set as common reference</w:t>
      </w:r>
      <w:r>
        <w:t xml:space="preserve"> </w:t>
      </w:r>
      <w:r>
        <w:t xml:space="preserve">methodology</w:t>
      </w:r>
    </w:p>
    <w:p>
      <w:pPr>
        <w:pStyle w:val="BodyText"/>
      </w:pPr>
      <w:r>
        <w:t xml:space="preserve">63.1 94.6 14.6</w:t>
      </w:r>
    </w:p>
    <w:p>
      <w:pPr>
        <w:pStyle w:val="BodyText"/>
      </w:pPr>
      <w:r>
        <w:t xml:space="preserve">PM3 - ISO 14083 with additional elements</w:t>
      </w:r>
      <w:r>
        <w:t xml:space="preserve"> </w:t>
      </w:r>
      <w:r>
        <w:t xml:space="preserve">and increased accuracy set as common</w:t>
      </w:r>
      <w:r>
        <w:t xml:space="preserve"> </w:t>
      </w:r>
      <w:r>
        <w:t xml:space="preserve">reference methodology</w:t>
      </w:r>
    </w:p>
    <w:p>
      <w:pPr>
        <w:pStyle w:val="BodyText"/>
      </w:pPr>
      <w:r>
        <w:t xml:space="preserve">PM7 - Guidelines for harmonised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0.06</w:t>
      </w:r>
    </w:p>
    <w:p>
      <w:pPr>
        <w:pStyle w:val="BodyText"/>
      </w:pPr>
      <w:r>
        <w:t xml:space="preserve">0.06</w:t>
      </w:r>
    </w:p>
    <w:p>
      <w:pPr>
        <w:pStyle w:val="BodyText"/>
      </w:pPr>
      <w:r>
        <w:t xml:space="preserve">0.06</w:t>
      </w:r>
    </w:p>
    <w:p>
      <w:pPr>
        <w:pStyle w:val="BodyText"/>
      </w:pPr>
      <w:r>
        <w:t xml:space="preserve">Total costs</w:t>
      </w:r>
      <w:r>
        <w:t xml:space="preserve"> </w:t>
      </w:r>
      <w:r>
        <w:t xml:space="preserve">44.8 73.9 16.0 63.2 94.6 14.6 210.5 1,660.2 2,698.2</w:t>
      </w:r>
      <w:r>
        <w:t xml:space="preserve"> </w:t>
      </w:r>
      <w:r>
        <w:t xml:space="preserve">Source : Ecorys and CE Delft (2023), Impact assessment support study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Total (one-off and recurrent) adjustment costs for businesses, expressed as present value over 2025-</w:t>
      </w:r>
      <w:r>
        <w:t xml:space="preserve"> </w:t>
      </w:r>
      <w:r>
        <w:t xml:space="preserve">2050, are estimated to be the highest in PO1 (EUR 95 billion), followed by PO6 (EUR 67.9 billion)</w:t>
      </w:r>
      <w:r>
        <w:t xml:space="preserve"> </w:t>
      </w:r>
      <w:r>
        <w:t xml:space="preserve">and at large distance by PO5 (EUR 2.3 billion), PO4 (EUR 1.5 billion), PO3 (EUR 1.4 billion) and</w:t>
      </w:r>
      <w:r>
        <w:t xml:space="preserve"> </w:t>
      </w:r>
      <w:r>
        <w:t xml:space="preserve">PO2 (EUR 1.1 billion). As already explained, while under PO2, PO3, PO4 and PO5 the application of</w:t>
      </w:r>
      <w:r>
        <w:t xml:space="preserve"> </w:t>
      </w:r>
      <w:r>
        <w:t xml:space="preserve">CountEmissions EU in the transport sector is voluntary or quasi voluntary (i.e. voluntary opt-in with a</w:t>
      </w:r>
      <w:r>
        <w:t xml:space="preserve"> </w:t>
      </w:r>
      <w:r>
        <w:t xml:space="preserve">label in PO2 and binding opt-in in PO3, PO4 and PO5), PO1 and PO6 foresee the mandatory</w:t>
      </w:r>
      <w:r>
        <w:t xml:space="preserve"> </w:t>
      </w:r>
      <w:r>
        <w:t xml:space="preserve">application and thus lead to significantly higher costs. At the same time, PO2 results in the lowest total</w:t>
      </w:r>
      <w:r>
        <w:t xml:space="preserve"> </w:t>
      </w:r>
      <w:r>
        <w:t xml:space="preserve">adjustment costs among the options, due to the voluntary opt-in foreseen by this option. The highest</w:t>
      </w:r>
      <w:r>
        <w:t xml:space="preserve"> </w:t>
      </w:r>
      <w:r>
        <w:t xml:space="preserve">share of the adjustment costs for each policy option relates to the setting of a common reference</w:t>
      </w:r>
      <w:r>
        <w:t xml:space="preserve"> </w:t>
      </w:r>
      <w:r>
        <w:t xml:space="preserve">methodology at EU level (91% of the total costs in PO4 and 89% in PO6 for ISO 14083, 88% in PO3</w:t>
      </w:r>
      <w:r>
        <w:t xml:space="preserve"> </w:t>
      </w:r>
      <w:r>
        <w:t xml:space="preserve">for ISO 14083 with additional elements and increased accuracy, 87% in PO2 for ISO 14083, 84% in</w:t>
      </w:r>
      <w:r>
        <w:t xml:space="preserve"> </w:t>
      </w:r>
      <w:r>
        <w:t xml:space="preserve">PO1 for ISO 14083 with additional elements and increased accuracy and 72% in PO5 for PEFCR).</w:t>
      </w:r>
      <w:r>
        <w:t xml:space="preserve"> </w:t>
      </w:r>
      <w:r>
        <w:t xml:space="preserve">The second category of costs in terms of share of the total costs relates to the use of the calculation</w:t>
      </w:r>
      <w:r>
        <w:t xml:space="preserve"> </w:t>
      </w:r>
      <w:r>
        <w:t xml:space="preserve">tools (21% of the total costs in PO5, 12% in PO3, 9% in PO4 and PO6, 8% in PO1 and 7% in PO2).</w:t>
      </w:r>
      <w:r>
        <w:t xml:space="preserve"> </w:t>
      </w:r>
      <w:r>
        <w:t xml:space="preserve">The verification activities account for less than 8% of the costs in all options.</w:t>
      </w:r>
      <w:r>
        <w:br/>
      </w:r>
      <w:r>
        <w:t xml:space="preserve">Administrative costs for businesses. PM12 (included in PO3, PO4, PO5 and PO6) foresees that the</w:t>
      </w:r>
      <w:r>
        <w:t xml:space="preserve"> </w:t>
      </w:r>
      <w:r>
        <w:t xml:space="preserve">development of calculation tools following a common reference methodology is left to the market but</w:t>
      </w:r>
      <w:r>
        <w:t xml:space="preserve"> </w:t>
      </w:r>
      <w:r>
        <w:t xml:space="preserve">certified at EU level. A maximum of 34 tools are expected to be certified in addition to the baseline.</w:t>
      </w:r>
      <w:r>
        <w:t xml:space="preserve"> </w:t>
      </w:r>
      <w:r>
        <w:t xml:space="preserve">The cost per tool for submitting for certification, per year, is estimated at EUR 531.65, assuming 13</w:t>
      </w:r>
      <w:r>
        <w:t xml:space="preserve"> </w:t>
      </w:r>
      <w:r>
        <w:t xml:space="preserve">hours of work per certification at an average cost per hour estimated at EUR 40.9128 in 2022 prices for</w:t>
      </w:r>
      <w:r>
        <w:t xml:space="preserve"> </w:t>
      </w:r>
      <w:r>
        <w:t xml:space="preserve">ISCO 2 category (Professionals). Thus, the recurrent administrative costs for businesses are estimated</w:t>
      </w:r>
      <w:r>
        <w:t xml:space="preserve"> </w:t>
      </w:r>
      <w:r>
        <w:t xml:space="preserve">at EUR 18,076 from 2025 onwards relative to the baseline. Expressed as present value over 2025-2050,</w:t>
      </w:r>
      <w:r>
        <w:t xml:space="preserve"> </w:t>
      </w:r>
      <w:r>
        <w:t xml:space="preserve">the total administrative costs are estimated at EUR 332,840 relative to the baseline.</w:t>
      </w:r>
      <w:r>
        <w:t xml:space="preserve"> </w:t>
      </w:r>
      <w:r>
        <w:t xml:space="preserve">In addition, in PO3, PO4 and PO6 the possibility of using data from sectorial specific datasets (PM5)</w:t>
      </w:r>
      <w:r>
        <w:t xml:space="preserve"> </w:t>
      </w:r>
      <w:r>
        <w:t xml:space="preserve">recognised through the quality check performed by EEA will create additional administrative costs for</w:t>
      </w:r>
      <w:r>
        <w:t xml:space="preserve"> </w:t>
      </w:r>
      <w:r>
        <w:t xml:space="preserve">the datasets developers willing to use this alternative. The recurrent administrative costs for datasets</w:t>
      </w:r>
      <w:r>
        <w:t xml:space="preserve"> </w:t>
      </w:r>
      <w:r>
        <w:t xml:space="preserve">developers are estimated at EUR 16,686 in 2026 relative to baseline, and every two years up to 2050.</w:t>
      </w:r>
      <w:r>
        <w:t xml:space="preserve"> </w:t>
      </w:r>
      <w:r>
        <w:t xml:space="preserve">Expressed as present value over 2025-2050, the total administrative costs are estimated at EUR</w:t>
      </w:r>
      <w:r>
        <w:t xml:space="preserve"> </w:t>
      </w:r>
      <w:r>
        <w:t xml:space="preserve">177,452. For the purpose of reporting on the application of the ‘one in, one out’ approach129, the annual</w:t>
      </w:r>
      <w:r>
        <w:t xml:space="preserve"> </w:t>
      </w:r>
      <w:r>
        <w:t xml:space="preserve">average number of hours per database for datasets developers to submit the databases has been</w:t>
      </w:r>
      <w:r>
        <w:t xml:space="preserve"> </w:t>
      </w:r>
      <w:r>
        <w:t xml:space="preserve">estimated at 12 hours each year (instead of every two years). The cost per hour is estimated at EUR</w:t>
      </w:r>
      <w:r>
        <w:t xml:space="preserve"> </w:t>
      </w:r>
      <w:r>
        <w:t xml:space="preserve">40.9 and a number of 17 databases is assumed to be submitted. The cost per database for preparing the</w:t>
      </w:r>
      <w:r>
        <w:t xml:space="preserve"> </w:t>
      </w:r>
      <w:r>
        <w:t xml:space="preserve">submission is thus estimated at EUR 490.76 per database. For the purpose of ‘one in, one out’ approach,</w:t>
      </w:r>
      <w:r>
        <w:t xml:space="preserve"> </w:t>
      </w:r>
      <w:r>
        <w:t xml:space="preserve">the recurrent administrative costs for datasets developers are estimated at EUR 8,343 per year.</w:t>
      </w:r>
      <w:r>
        <w:t xml:space="preserve"> </w:t>
      </w:r>
      <w:r>
        <w:t xml:space="preserve">Expressed as present value over 2025-2050, total administrative costs for calculation tool developers</w:t>
      </w:r>
      <w:r>
        <w:t xml:space="preserve"> </w:t>
      </w:r>
      <w:r>
        <w:t xml:space="preserve">are estimated at EUR 0.5 million in PO3, PO4 and PO6, and EUR 0.3 million in PO5.</w:t>
      </w:r>
      <w:r>
        <w:t xml:space="preserve"> </w:t>
      </w:r>
      <w:r>
        <w:t xml:space="preserve">Energy costs savings. All policy options are expected to incentivise behavioural change, leading to</w:t>
      </w:r>
      <w:r>
        <w:t xml:space="preserve"> </w:t>
      </w:r>
      <w:r>
        <w:t xml:space="preserve">higher use of more sustainable transport options and optimised trips. This is expected to result in energy</w:t>
      </w:r>
      <w:r>
        <w:t xml:space="preserve"> </w:t>
      </w:r>
      <w:r>
        <w:t xml:space="preserve">savings for transport service providers. The energy savings and the reduction in the energy costs for</w:t>
      </w:r>
      <w:r>
        <w:t xml:space="preserve"> </w:t>
      </w:r>
      <w:r>
        <w:t xml:space="preserve">transport service providers for 2025, 2030 and 2050 relative to the baseline are provided in Table 8. In</w:t>
      </w:r>
    </w:p>
    <w:p>
      <w:pPr>
        <w:pStyle w:val="BodyText"/>
      </w:pPr>
      <w:r>
        <w:t xml:space="preserve">128 Eurostat Structure of earnings survey, Labour Force Survey data for Non-Wage Labour</w:t>
      </w:r>
      <w:r>
        <w:t xml:space="preserve"> </w:t>
      </w:r>
      <w:r>
        <w:t xml:space="preserve">129 https://ec.europa.eu/info/law/law-making-process/planning-and-proposing-law/better-regulation-why-and-</w:t>
      </w:r>
      <w:r>
        <w:t xml:space="preserve"> </w:t>
      </w:r>
      <w:r>
        <w:t xml:space="preserve">how_en</w:t>
      </w:r>
    </w:p>
    <w:p>
      <w:pPr>
        <w:pStyle w:val="BodyText"/>
      </w:pPr>
      <w:r>
        <w:t xml:space="preserve">38</w:t>
      </w:r>
    </w:p>
    <w:p>
      <w:pPr>
        <w:pStyle w:val="BodyText"/>
      </w:pPr>
      <w:r>
        <w:t xml:space="preserve">cumulative terms over 2025-2050, the energy savings are estimated to be the highest in PO1 and PO6</w:t>
      </w:r>
      <w:r>
        <w:t xml:space="preserve"> </w:t>
      </w:r>
      <w:r>
        <w:t xml:space="preserve">(8.9 Mtoe130), followed by PO4 (1.9 Mtoe), PO2 (1.2 Mtoe) and PO3 and PO5 (around 0.5 Mtoe).</w:t>
      </w:r>
      <w:r>
        <w:t xml:space="preserve"> </w:t>
      </w:r>
      <w:r>
        <w:t xml:space="preserve">Total energy costs savings for the transport service providers, expressed as present value over 2025-</w:t>
      </w:r>
      <w:r>
        <w:t xml:space="preserve"> </w:t>
      </w:r>
      <w:r>
        <w:t xml:space="preserve">2050 relative to the baseline, are estimated at EUR 10 billion in PO1 and PO6, EUR 2.3 billion in PO4,</w:t>
      </w:r>
      <w:r>
        <w:t xml:space="preserve"> </w:t>
      </w:r>
      <w:r>
        <w:t xml:space="preserve">EUR 1.5 billion in PO2, EUR 0.7 billion in PO3 and EUR 0.6 billion in PO5131. It should however be</w:t>
      </w:r>
      <w:r>
        <w:t xml:space="preserve"> </w:t>
      </w:r>
      <w:r>
        <w:t xml:space="preserve">noted that there is large uncertainty related to these estimates, that depend on behavioural change (for</w:t>
      </w:r>
      <w:r>
        <w:t xml:space="preserve"> </w:t>
      </w:r>
      <w:r>
        <w:t xml:space="preserve">more details, see Annex 4).</w:t>
      </w:r>
      <w:r>
        <w:br/>
      </w:r>
      <w:r>
        <w:t xml:space="preserve">Table 8: Energy savings and the reduction in energy costs for transport service providers in the policy options</w:t>
      </w:r>
      <w:r>
        <w:t xml:space="preserve"> </w:t>
      </w:r>
      <w:r>
        <w:t xml:space="preserve">relative to the baseline scenario (EU27)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Energy savings for transport service providers (ktoe)</w:t>
      </w:r>
    </w:p>
    <w:p>
      <w:pPr>
        <w:pStyle w:val="BodyText"/>
      </w:pPr>
      <w:r>
        <w:t xml:space="preserve">PO1</w:t>
      </w:r>
      <w:r>
        <w:t xml:space="preserve"> </w:t>
      </w:r>
      <w:r>
        <w:t xml:space="preserve">32.6</w:t>
      </w:r>
      <w:r>
        <w:t xml:space="preserve"> </w:t>
      </w:r>
      <w:r>
        <w:t xml:space="preserve">259.4</w:t>
      </w:r>
      <w:r>
        <w:t xml:space="preserve"> </w:t>
      </w:r>
      <w:r>
        <w:t xml:space="preserve">385.7</w:t>
      </w:r>
      <w:r>
        <w:t xml:space="preserve"> </w:t>
      </w:r>
      <w:r>
        <w:t xml:space="preserve">PO2</w:t>
      </w:r>
      <w:r>
        <w:t xml:space="preserve"> </w:t>
      </w:r>
      <w:r>
        <w:t xml:space="preserve">46.8</w:t>
      </w:r>
      <w:r>
        <w:t xml:space="preserve"> </w:t>
      </w:r>
      <w:r>
        <w:t xml:space="preserve">93.9</w:t>
      </w:r>
      <w:r>
        <w:t xml:space="preserve"> </w:t>
      </w:r>
      <w:r>
        <w:t xml:space="preserve">3.5</w:t>
      </w:r>
      <w:r>
        <w:t xml:space="preserve"> </w:t>
      </w:r>
      <w:r>
        <w:t xml:space="preserve">PO3</w:t>
      </w:r>
      <w:r>
        <w:t xml:space="preserve"> </w:t>
      </w:r>
      <w:r>
        <w:t xml:space="preserve">23.6</w:t>
      </w:r>
      <w:r>
        <w:t xml:space="preserve"> </w:t>
      </w:r>
      <w:r>
        <w:t xml:space="preserve">56.0</w:t>
      </w:r>
      <w:r>
        <w:t xml:space="preserve"> </w:t>
      </w:r>
      <w:r>
        <w:t xml:space="preserve">1.2</w:t>
      </w:r>
      <w:r>
        <w:t xml:space="preserve"> </w:t>
      </w:r>
      <w:r>
        <w:t xml:space="preserve">PO4</w:t>
      </w:r>
      <w:r>
        <w:t xml:space="preserve"> </w:t>
      </w:r>
      <w:r>
        <w:t xml:space="preserve">70.6</w:t>
      </w:r>
      <w:r>
        <w:t xml:space="preserve"> </w:t>
      </w:r>
      <w:r>
        <w:t xml:space="preserve">123.8</w:t>
      </w:r>
      <w:r>
        <w:t xml:space="preserve"> </w:t>
      </w:r>
      <w:r>
        <w:t xml:space="preserve">24.0</w:t>
      </w:r>
      <w:r>
        <w:t xml:space="preserve"> </w:t>
      </w:r>
      <w:r>
        <w:t xml:space="preserve">PO5</w:t>
      </w:r>
      <w:r>
        <w:t xml:space="preserve"> </w:t>
      </w:r>
      <w:r>
        <w:t xml:space="preserve">21.3</w:t>
      </w:r>
      <w:r>
        <w:t xml:space="preserve"> </w:t>
      </w:r>
      <w:r>
        <w:t xml:space="preserve">51.5</w:t>
      </w:r>
      <w:r>
        <w:t xml:space="preserve"> </w:t>
      </w:r>
      <w:r>
        <w:t xml:space="preserve">1.1</w:t>
      </w:r>
      <w:r>
        <w:t xml:space="preserve"> </w:t>
      </w:r>
      <w:r>
        <w:t xml:space="preserve">PO6</w:t>
      </w:r>
      <w:r>
        <w:t xml:space="preserve"> </w:t>
      </w:r>
      <w:r>
        <w:t xml:space="preserve">32.6</w:t>
      </w:r>
      <w:r>
        <w:t xml:space="preserve"> </w:t>
      </w:r>
      <w:r>
        <w:t xml:space="preserve">259.4</w:t>
      </w:r>
      <w:r>
        <w:t xml:space="preserve"> </w:t>
      </w:r>
      <w:r>
        <w:t xml:space="preserve">385.7</w:t>
      </w:r>
      <w:r>
        <w:t xml:space="preserve"> </w:t>
      </w:r>
      <w:r>
        <w:t xml:space="preserve">Reduction in the energy costs for transport service providers (in million EUR)</w:t>
      </w:r>
    </w:p>
    <w:p>
      <w:pPr>
        <w:pStyle w:val="BodyText"/>
      </w:pPr>
      <w:r>
        <w:t xml:space="preserve">PO1</w:t>
      </w:r>
      <w:r>
        <w:t xml:space="preserve"> </w:t>
      </w:r>
      <w:r>
        <w:t xml:space="preserve">52.0</w:t>
      </w:r>
      <w:r>
        <w:t xml:space="preserve"> </w:t>
      </w:r>
      <w:r>
        <w:t xml:space="preserve">391.4</w:t>
      </w:r>
      <w:r>
        <w:t xml:space="preserve"> </w:t>
      </w:r>
      <w:r>
        <w:t xml:space="preserve">776.3</w:t>
      </w:r>
      <w:r>
        <w:t xml:space="preserve"> </w:t>
      </w:r>
      <w:r>
        <w:t xml:space="preserve">PO2</w:t>
      </w:r>
      <w:r>
        <w:t xml:space="preserve"> </w:t>
      </w:r>
      <w:r>
        <w:t xml:space="preserve">74.6</w:t>
      </w:r>
      <w:r>
        <w:t xml:space="preserve"> </w:t>
      </w:r>
      <w:r>
        <w:t xml:space="preserve">141.7</w:t>
      </w:r>
      <w:r>
        <w:t xml:space="preserve"> </w:t>
      </w:r>
      <w:r>
        <w:t xml:space="preserve">7.0</w:t>
      </w:r>
      <w:r>
        <w:t xml:space="preserve"> </w:t>
      </w:r>
      <w:r>
        <w:t xml:space="preserve">PO3</w:t>
      </w:r>
      <w:r>
        <w:t xml:space="preserve"> </w:t>
      </w:r>
      <w:r>
        <w:t xml:space="preserve">37.6</w:t>
      </w:r>
      <w:r>
        <w:t xml:space="preserve"> </w:t>
      </w:r>
      <w:r>
        <w:t xml:space="preserve">84.5</w:t>
      </w:r>
      <w:r>
        <w:t xml:space="preserve"> </w:t>
      </w:r>
      <w:r>
        <w:t xml:space="preserve">2.4</w:t>
      </w:r>
      <w:r>
        <w:t xml:space="preserve"> </w:t>
      </w:r>
      <w:r>
        <w:t xml:space="preserve">PO4</w:t>
      </w:r>
      <w:r>
        <w:t xml:space="preserve"> </w:t>
      </w:r>
      <w:r>
        <w:t xml:space="preserve">112.6</w:t>
      </w:r>
      <w:r>
        <w:t xml:space="preserve"> </w:t>
      </w:r>
      <w:r>
        <w:t xml:space="preserve">186.9</w:t>
      </w:r>
      <w:r>
        <w:t xml:space="preserve"> </w:t>
      </w:r>
      <w:r>
        <w:t xml:space="preserve">48.4</w:t>
      </w:r>
      <w:r>
        <w:t xml:space="preserve"> </w:t>
      </w:r>
      <w:r>
        <w:t xml:space="preserve">PO5</w:t>
      </w:r>
      <w:r>
        <w:t xml:space="preserve"> </w:t>
      </w:r>
      <w:r>
        <w:t xml:space="preserve">34.0</w:t>
      </w:r>
      <w:r>
        <w:t xml:space="preserve"> </w:t>
      </w:r>
      <w:r>
        <w:t xml:space="preserve">77.8</w:t>
      </w:r>
      <w:r>
        <w:t xml:space="preserve"> </w:t>
      </w:r>
      <w:r>
        <w:t xml:space="preserve">2.2</w:t>
      </w:r>
      <w:r>
        <w:t xml:space="preserve"> </w:t>
      </w:r>
      <w:r>
        <w:t xml:space="preserve">PO6</w:t>
      </w:r>
      <w:r>
        <w:t xml:space="preserve"> </w:t>
      </w:r>
      <w:r>
        <w:t xml:space="preserve">52.0</w:t>
      </w:r>
      <w:r>
        <w:t xml:space="preserve"> </w:t>
      </w:r>
      <w:r>
        <w:t xml:space="preserve">391.4</w:t>
      </w:r>
      <w:r>
        <w:t xml:space="preserve"> </w:t>
      </w:r>
      <w:r>
        <w:t xml:space="preserve">776.3</w:t>
      </w:r>
      <w:r>
        <w:t xml:space="preserve"> </w:t>
      </w:r>
      <w:r>
        <w:t xml:space="preserve">Source: Ecorys and CE Delft (2023), Impact assessment support study; Note: ktoe stands for kilo tonnes of oil</w:t>
      </w:r>
      <w:r>
        <w:t xml:space="preserve"> </w:t>
      </w:r>
      <w:r>
        <w:t xml:space="preserve">equivalent.</w:t>
      </w:r>
      <w:r>
        <w:br/>
      </w:r>
      <w:r>
        <w:t xml:space="preserve">Net costs/costs savings for businesses. PO1, PO3 and PO5 are expected to lead to net costs for</w:t>
      </w:r>
      <w:r>
        <w:t xml:space="preserve"> </w:t>
      </w:r>
      <w:r>
        <w:t xml:space="preserve">businesses, estimated at EUR 85.1 billion in PO1, 57.9 billion in PO6, EUR 0.7 billion in PO3 and</w:t>
      </w:r>
      <w:r>
        <w:t xml:space="preserve"> </w:t>
      </w:r>
      <w:r>
        <w:t xml:space="preserve">EUR 1.7 billion in PO5, expressed as present value over 2025-2050 relative to the baseline. On the</w:t>
      </w:r>
      <w:r>
        <w:t xml:space="preserve"> </w:t>
      </w:r>
      <w:r>
        <w:t xml:space="preserve">other hand, PO2 and PO4 are projected to lead to net costs savings of EUR 0.4 billion and EUR 0.8</w:t>
      </w:r>
      <w:r>
        <w:t xml:space="preserve"> </w:t>
      </w:r>
      <w:r>
        <w:t xml:space="preserve">billion, respectively, relative to the baseline. The beneficiaries of the net savings are enterprises in the</w:t>
      </w:r>
      <w:r>
        <w:t xml:space="preserve"> </w:t>
      </w:r>
      <w:r>
        <w:t xml:space="preserve">transport ecosystem, namely: (i) transport service organisers (TSO), (ii) transport service users (TSU)</w:t>
      </w:r>
      <w:r>
        <w:t xml:space="preserve"> </w:t>
      </w:r>
      <w:r>
        <w:t xml:space="preserve">or hub operators (HO), as detailed in Annex 4.</w:t>
      </w:r>
    </w:p>
    <w:p>
      <w:pPr>
        <w:pStyle w:val="BodyText"/>
      </w:pPr>
      <w:r>
        <w:t xml:space="preserve">130 Million of tonnes of oil equivalent.</w:t>
      </w:r>
      <w:r>
        <w:t xml:space="preserve"> </w:t>
      </w:r>
      <w:r>
        <w:t xml:space="preserve">131 The energy use by policy option is derived based on the transport activity by transport mode corresponding to</w:t>
      </w:r>
      <w:r>
        <w:t xml:space="preserve"> </w:t>
      </w:r>
      <w:r>
        <w:t xml:space="preserve">each option and the projected energy intensity per transport mode from the baseline scenario. The energy intensity</w:t>
      </w:r>
      <w:r>
        <w:t xml:space="preserve"> </w:t>
      </w:r>
      <w:r>
        <w:t xml:space="preserve">is expressed in ton of oil equivalent (toe) per tonne-kilometre and takes into account all energy forms, including</w:t>
      </w:r>
      <w:r>
        <w:t xml:space="preserve"> </w:t>
      </w:r>
      <w:r>
        <w:t xml:space="preserve">green electricity and hydrogen. The energy savings are computed by taking the difference between the energy use</w:t>
      </w:r>
      <w:r>
        <w:t xml:space="preserve"> </w:t>
      </w:r>
      <w:r>
        <w:t xml:space="preserve">in the policy options and the baseline. Finally, projected average fuel costs in EUR per toe for each transport mode</w:t>
      </w:r>
      <w:r>
        <w:t xml:space="preserve"> </w:t>
      </w:r>
      <w:r>
        <w:t xml:space="preserve">from the baseline scenario is used to monetise the energy savings. The average fuel costs takes into account all the</w:t>
      </w:r>
      <w:r>
        <w:t xml:space="preserve"> </w:t>
      </w:r>
      <w:r>
        <w:t xml:space="preserve">energy forms used by transport mode, including green electricity and hydrogen. It needs to be clarified that the</w:t>
      </w:r>
      <w:r>
        <w:t xml:space="preserve"> </w:t>
      </w:r>
      <w:r>
        <w:t xml:space="preserve">baseline scenario of this initiative includes significant reductions in the energy intensity of all modes over time. This</w:t>
      </w:r>
      <w:r>
        <w:t xml:space="preserve"> </w:t>
      </w:r>
      <w:r>
        <w:t xml:space="preserve">is because it reflects the ‘Fit for 55’ and the REPowerEU packages. Yet, the rail transport shows significantly lower</w:t>
      </w:r>
      <w:r>
        <w:t xml:space="preserve"> </w:t>
      </w:r>
      <w:r>
        <w:t xml:space="preserve">energy intensity per tonne-kilometres than other modes, as also the case today.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6.1.5 Impacts on competitiveness</w:t>
      </w:r>
      <w:r>
        <w:br/>
      </w:r>
      <w:r>
        <w:t xml:space="preserve">The impact on businesses involved in GHG emissions accounting of transport services is</w:t>
      </w:r>
      <w:r>
        <w:t xml:space="preserve"> </w:t>
      </w:r>
      <w:r>
        <w:t xml:space="preserve">presented in section 6.1.4. This section focuses on the possible impacts on the competitiveness</w:t>
      </w:r>
      <w:r>
        <w:t xml:space="preserve"> </w:t>
      </w:r>
      <w:r>
        <w:t xml:space="preserve">of a wider set of actors in the EU industry cluster, namely the transport sector, manufacturing</w:t>
      </w:r>
      <w:r>
        <w:t xml:space="preserve"> </w:t>
      </w:r>
      <w:r>
        <w:t xml:space="preserve">companies, retailers and fuel suppliers as actors in the European supply chain. These impacts are</w:t>
      </w:r>
      <w:r>
        <w:t xml:space="preserve"> </w:t>
      </w:r>
      <w:r>
        <w:t xml:space="preserve">driven by expected behavioural change, leading to higher use of more sustainable transport solutions</w:t>
      </w:r>
      <w:r>
        <w:t xml:space="preserve"> </w:t>
      </w:r>
      <w:r>
        <w:t xml:space="preserve">and optimised trips. All policy options are expected to lead to indirect benefits for the EU industry</w:t>
      </w:r>
      <w:r>
        <w:t xml:space="preserve"> </w:t>
      </w:r>
      <w:r>
        <w:t xml:space="preserve">cluster at large, resulting from energy costs savings due to increased efficiency of transport</w:t>
      </w:r>
      <w:r>
        <w:t xml:space="preserve"> </w:t>
      </w:r>
      <w:r>
        <w:t xml:space="preserve">operations, helping companies de-risk future carbon prices. Sustainability is becoming an</w:t>
      </w:r>
      <w:r>
        <w:t xml:space="preserve"> </w:t>
      </w:r>
      <w:r>
        <w:t xml:space="preserve">important issue also when influencing the decision of businesses when choosing with whom to</w:t>
      </w:r>
      <w:r>
        <w:t xml:space="preserve"> </w:t>
      </w:r>
      <w:r>
        <w:t xml:space="preserve">work with. The assessment of impacts of the policy options on competitiveness is based on</w:t>
      </w:r>
      <w:r>
        <w:t xml:space="preserve"> </w:t>
      </w:r>
      <w:r>
        <w:t xml:space="preserve">stakeholders’ consultation.</w:t>
      </w:r>
      <w:r>
        <w:t xml:space="preserve"> </w:t>
      </w:r>
      <w:r>
        <w:t xml:space="preserve">Table 9: Impacts on competitiveness</w:t>
      </w:r>
      <w:r>
        <w:t xml:space="preserve"> </w:t>
      </w:r>
      <w:r>
        <w:t xml:space="preserve">Stakeholder</w:t>
      </w:r>
      <w:r>
        <w:t xml:space="preserve"> </w:t>
      </w:r>
      <w:r>
        <w:t xml:space="preserve">group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PO5</w:t>
      </w:r>
      <w:r>
        <w:t xml:space="preserve"> </w:t>
      </w:r>
      <w:r>
        <w:t xml:space="preserve">PO6</w:t>
      </w:r>
      <w:r>
        <w:t xml:space="preserve"> </w:t>
      </w:r>
      <w:r>
        <w:t xml:space="preserve">Transport sector</w:t>
      </w:r>
      <w:r>
        <w:t xml:space="preserve"> </w:t>
      </w:r>
      <w:r>
        <w:t xml:space="preserve">Positive</w:t>
      </w:r>
      <w:r>
        <w:t xml:space="preserve"> </w:t>
      </w:r>
      <w:r>
        <w:t xml:space="preserve">Small</w:t>
      </w:r>
      <w:r>
        <w:t xml:space="preserve"> </w:t>
      </w:r>
      <w:r>
        <w:t xml:space="preserve">positive</w:t>
      </w:r>
      <w:r>
        <w:t xml:space="preserve"> </w:t>
      </w:r>
      <w:r>
        <w:t xml:space="preserve">Small</w:t>
      </w:r>
      <w:r>
        <w:t xml:space="preserve"> </w:t>
      </w:r>
      <w:r>
        <w:t xml:space="preserve">positive</w:t>
      </w:r>
      <w:r>
        <w:t xml:space="preserve"> </w:t>
      </w:r>
      <w:r>
        <w:t xml:space="preserve">Positive</w:t>
      </w:r>
      <w:r>
        <w:t xml:space="preserve"> </w:t>
      </w:r>
      <w:r>
        <w:t xml:space="preserve">Small</w:t>
      </w:r>
      <w:r>
        <w:t xml:space="preserve"> </w:t>
      </w:r>
      <w:r>
        <w:t xml:space="preserve">positive</w:t>
      </w:r>
      <w:r>
        <w:t xml:space="preserve"> </w:t>
      </w:r>
      <w:r>
        <w:t xml:space="preserve">Positive</w:t>
      </w:r>
      <w:r>
        <w:t xml:space="preserve"> </w:t>
      </w:r>
      <w:r>
        <w:t xml:space="preserve">Manufacturing</w:t>
      </w:r>
      <w:r>
        <w:br/>
      </w:r>
      <w:r>
        <w:t xml:space="preserve">Small</w:t>
      </w:r>
      <w:r>
        <w:t xml:space="preserve"> </w:t>
      </w:r>
      <w:r>
        <w:t xml:space="preserve">positive</w:t>
      </w:r>
      <w:r>
        <w:t xml:space="preserve"> </w:t>
      </w:r>
      <w:r>
        <w:t xml:space="preserve">No change</w:t>
      </w:r>
      <w:r>
        <w:t xml:space="preserve"> </w:t>
      </w:r>
      <w:r>
        <w:t xml:space="preserve">No change</w:t>
      </w:r>
      <w:r>
        <w:t xml:space="preserve"> </w:t>
      </w:r>
      <w:r>
        <w:t xml:space="preserve">Positive</w:t>
      </w:r>
      <w:r>
        <w:t xml:space="preserve"> </w:t>
      </w:r>
      <w:r>
        <w:t xml:space="preserve">No change</w:t>
      </w:r>
      <w:r>
        <w:t xml:space="preserve"> </w:t>
      </w:r>
      <w:r>
        <w:t xml:space="preserve">Positive</w:t>
      </w:r>
      <w:r>
        <w:t xml:space="preserve"> </w:t>
      </w:r>
      <w:r>
        <w:t xml:space="preserve">Retail sector</w:t>
      </w:r>
      <w:r>
        <w:t xml:space="preserve"> </w:t>
      </w:r>
      <w:r>
        <w:t xml:space="preserve">Small</w:t>
      </w:r>
      <w:r>
        <w:t xml:space="preserve"> </w:t>
      </w:r>
      <w:r>
        <w:t xml:space="preserve">positive</w:t>
      </w:r>
      <w:r>
        <w:t xml:space="preserve"> </w:t>
      </w:r>
      <w:r>
        <w:t xml:space="preserve">No change</w:t>
      </w:r>
      <w:r>
        <w:t xml:space="preserve"> </w:t>
      </w:r>
      <w:r>
        <w:t xml:space="preserve">No change</w:t>
      </w:r>
      <w:r>
        <w:t xml:space="preserve"> </w:t>
      </w:r>
      <w:r>
        <w:t xml:space="preserve">Small</w:t>
      </w:r>
      <w:r>
        <w:t xml:space="preserve"> </w:t>
      </w:r>
      <w:r>
        <w:t xml:space="preserve">positive</w:t>
      </w:r>
      <w:r>
        <w:t xml:space="preserve"> </w:t>
      </w:r>
      <w:r>
        <w:t xml:space="preserve">No change</w:t>
      </w:r>
      <w:r>
        <w:t xml:space="preserve"> </w:t>
      </w:r>
      <w:r>
        <w:t xml:space="preserve">Small</w:t>
      </w:r>
      <w:r>
        <w:t xml:space="preserve"> </w:t>
      </w:r>
      <w:r>
        <w:t xml:space="preserve">positive</w:t>
      </w:r>
      <w:r>
        <w:t xml:space="preserve"> </w:t>
      </w:r>
      <w:r>
        <w:t xml:space="preserve">Fuel suppliers</w:t>
      </w:r>
      <w:r>
        <w:t xml:space="preserve"> </w:t>
      </w:r>
      <w:r>
        <w:t xml:space="preserve">No change</w:t>
      </w:r>
      <w:r>
        <w:t xml:space="preserve"> </w:t>
      </w:r>
      <w:r>
        <w:t xml:space="preserve">No change</w:t>
      </w:r>
      <w:r>
        <w:t xml:space="preserve"> </w:t>
      </w:r>
      <w:r>
        <w:t xml:space="preserve">No change</w:t>
      </w:r>
      <w:r>
        <w:t xml:space="preserve"> </w:t>
      </w:r>
      <w:r>
        <w:t xml:space="preserve">Positive</w:t>
      </w:r>
      <w:r>
        <w:t xml:space="preserve"> </w:t>
      </w:r>
      <w:r>
        <w:t xml:space="preserve">Small</w:t>
      </w:r>
      <w:r>
        <w:t xml:space="preserve"> </w:t>
      </w:r>
      <w:r>
        <w:t xml:space="preserve">positive</w:t>
      </w:r>
      <w:r>
        <w:t xml:space="preserve"> </w:t>
      </w:r>
      <w:r>
        <w:t xml:space="preserve">Positive</w:t>
      </w:r>
    </w:p>
    <w:p>
      <w:pPr>
        <w:pStyle w:val="BodyText"/>
      </w:pPr>
      <w:r>
        <w:t xml:space="preserve">A small positive to positive improvement in the competitive position of the transport sector is</w:t>
      </w:r>
      <w:r>
        <w:t xml:space="preserve"> </w:t>
      </w:r>
      <w:r>
        <w:t xml:space="preserve">expected in all policy options, while the impacts on other sectors largely depend on the uptake</w:t>
      </w:r>
      <w:r>
        <w:t xml:space="preserve"> </w:t>
      </w:r>
      <w:r>
        <w:t xml:space="preserve">of GHG emissions accounting at transport service level. In addition, the policy options may also</w:t>
      </w:r>
      <w:r>
        <w:t xml:space="preserve"> </w:t>
      </w:r>
      <w:r>
        <w:t xml:space="preserve">provide incentives for the uptake of zero-emission vehicles and of the renewable and low carbon</w:t>
      </w:r>
      <w:r>
        <w:t xml:space="preserve"> </w:t>
      </w:r>
      <w:r>
        <w:t xml:space="preserve">fuels, strengthening the EU leadership position in sustainable mobility. Positive impacts on</w:t>
      </w:r>
      <w:r>
        <w:t xml:space="preserve"> </w:t>
      </w:r>
      <w:r>
        <w:t xml:space="preserve">innovation (including process innovation) and faster technology uptake by transport service</w:t>
      </w:r>
      <w:r>
        <w:t xml:space="preserve"> </w:t>
      </w:r>
      <w:r>
        <w:t xml:space="preserve">providers and hub operators may also be expected. The wider demand for collecting and sharing</w:t>
      </w:r>
      <w:r>
        <w:t xml:space="preserve"> </w:t>
      </w:r>
      <w:r>
        <w:t xml:space="preserve">transport emissions data may also trigger further efforts by companies towards digital solutions.</w:t>
      </w:r>
      <w:r>
        <w:t xml:space="preserve"> </w:t>
      </w:r>
      <w:r>
        <w:t xml:space="preserve">PO4 is expected to provide overall positive impacts on the competitiveness of the EU market,</w:t>
      </w:r>
      <w:r>
        <w:t xml:space="preserve"> </w:t>
      </w:r>
      <w:r>
        <w:t xml:space="preserve">followed by PO6, PO1, PO5, PO2 and PO3.</w:t>
      </w:r>
      <w:r>
        <w:t xml:space="preserve"> </w:t>
      </w:r>
      <w:r>
        <w:t xml:space="preserve">6.1.6 Impacts on consumers</w:t>
      </w:r>
      <w:r>
        <w:t xml:space="preserve"> </w:t>
      </w:r>
      <w:r>
        <w:t xml:space="preserve">All policy options are expected to improve the comparability of GHG emissions data and allow</w:t>
      </w:r>
      <w:r>
        <w:t xml:space="preserve"> </w:t>
      </w:r>
      <w:r>
        <w:t xml:space="preserve">consumers make informed decisions on their trips. This is expected to incentivise behavioural</w:t>
      </w:r>
      <w:r>
        <w:t xml:space="preserve"> </w:t>
      </w:r>
      <w:r>
        <w:t xml:space="preserve">change, leading to higher use of more sustainable transport solutions. As a result, energy costs</w:t>
      </w:r>
      <w:r>
        <w:t xml:space="preserve"> </w:t>
      </w:r>
      <w:r>
        <w:t xml:space="preserve">savings for consumers, expressed as present value over 2025-2050 relative to the baseline, are</w:t>
      </w:r>
      <w:r>
        <w:t xml:space="preserve"> </w:t>
      </w:r>
      <w:r>
        <w:t xml:space="preserve">estimated to be the highest in PO1 and PO6 (EUR 405.3 million), followed by PO4 (EUR 108.1</w:t>
      </w:r>
      <w:r>
        <w:t xml:space="preserve"> </w:t>
      </w:r>
      <w:r>
        <w:t xml:space="preserve">million), PO2 (EUR 72.9 million), PO3 (EUR 34.6 million) and PO5 (EUR 30.6 million). It</w:t>
      </w:r>
      <w:r>
        <w:t xml:space="preserve"> </w:t>
      </w:r>
      <w:r>
        <w:t xml:space="preserve">should however be noted that there is large uncertainty related to these estimates, that depends on the</w:t>
      </w:r>
      <w:r>
        <w:t xml:space="preserve"> </w:t>
      </w:r>
      <w:r>
        <w:t xml:space="preserve">scale of behavioural change (for more details, see Annex 4).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6.1.7 Impacts on small and medium enterprises (SMEs)</w:t>
      </w:r>
      <w:r>
        <w:t xml:space="preserve"> </w:t>
      </w:r>
      <w:r>
        <w:t xml:space="preserve">SMEs play a very significant role in the supply chain of goods and passenger transport. Therefore, the</w:t>
      </w:r>
      <w:r>
        <w:t xml:space="preserve"> </w:t>
      </w:r>
      <w:r>
        <w:t xml:space="preserve">initiative is considered relevant for the SMEs and the SME test has been performed. More detailed</w:t>
      </w:r>
      <w:r>
        <w:t xml:space="preserve"> </w:t>
      </w:r>
      <w:r>
        <w:t xml:space="preserve">explanations on the SME test, including the four SME steps, are provided in Annex 10.</w:t>
      </w:r>
      <w:r>
        <w:t xml:space="preserve"> </w:t>
      </w:r>
      <w:r>
        <w:t xml:space="preserve">The share of SMEs in the sectors affected by the quantification of GHG emission for transport services</w:t>
      </w:r>
      <w:r>
        <w:t xml:space="preserve"> </w:t>
      </w:r>
      <w:r>
        <w:t xml:space="preserve">is estimated at 99.7%, as shown in Annex 4. Therefore, the consultation activities were designed to</w:t>
      </w:r>
      <w:r>
        <w:t xml:space="preserve"> </w:t>
      </w:r>
      <w:r>
        <w:t xml:space="preserve">identify the affected businesses and to further investigate the extent to which they would be affected.</w:t>
      </w:r>
      <w:r>
        <w:t xml:space="preserve"> </w:t>
      </w:r>
      <w:r>
        <w:t xml:space="preserve">PO2 and PO4 are estimated to result in net benefits for SMEs relative to the baseline. PO4 would lead</w:t>
      </w:r>
      <w:r>
        <w:t xml:space="preserve"> </w:t>
      </w:r>
      <w:r>
        <w:t xml:space="preserve">to the highest net benefits estimated at EUR 43.7 million in 2025, EUR 70 million in 2030 and EUR</w:t>
      </w:r>
      <w:r>
        <w:t xml:space="preserve"> </w:t>
      </w:r>
      <w:r>
        <w:t xml:space="preserve">28.1 million in 2050 relative to the baseline, while PO2 at net benefits of EUR 23.1 million in 2025,</w:t>
      </w:r>
      <w:r>
        <w:t xml:space="preserve"> </w:t>
      </w:r>
      <w:r>
        <w:t xml:space="preserve">EUR 46.7 million in 2030 and EUR 2.2 million in 2050. On the other hand, PO1, PO6, PO3 and PO5</w:t>
      </w:r>
      <w:r>
        <w:t xml:space="preserve"> </w:t>
      </w:r>
      <w:r>
        <w:t xml:space="preserve">are estimated to result in net costs (see Table 10 and Table 11). Annex 10 provides a detailed</w:t>
      </w:r>
      <w:r>
        <w:t xml:space="preserve"> </w:t>
      </w:r>
      <w:r>
        <w:t xml:space="preserve">presentation of the total costs and benefits for SMEs, including a breakdown of the costs between</w:t>
      </w:r>
      <w:r>
        <w:t xml:space="preserve"> </w:t>
      </w:r>
      <w:r>
        <w:t xml:space="preserve">adjustment and administrative costs132 and by policy measure (see Table 10Error! Reference source</w:t>
      </w:r>
      <w:r>
        <w:t xml:space="preserve"> </w:t>
      </w:r>
      <w:r>
        <w:t xml:space="preserve">not found. and in Annex 10). Expressed as present value over 2025-2050, the net benefits for PO2 and</w:t>
      </w:r>
      <w:r>
        <w:t xml:space="preserve"> </w:t>
      </w:r>
      <w:r>
        <w:t xml:space="preserve">PO4 are estimated at EUR 0.5 billion and EUR 0.9 billion, respectively, while the net costs in PO1 at</w:t>
      </w:r>
      <w:r>
        <w:t xml:space="preserve"> </w:t>
      </w:r>
      <w:r>
        <w:t xml:space="preserve">EUR 83.9 billion, in PO6 at EUR 66.6 billion, in PO5 at EUR 1.3 billion and in PO3 at EUR 0.4 billion</w:t>
      </w:r>
      <w:r>
        <w:t xml:space="preserve"> </w:t>
      </w:r>
      <w:r>
        <w:t xml:space="preserve">relative to the baseline. As explained in section 6.1.4, the benefits are related to energy savings driven</w:t>
      </w:r>
      <w:r>
        <w:t xml:space="preserve"> </w:t>
      </w:r>
      <w:r>
        <w:t xml:space="preserve">by behavioural change that leads to higher use of more sustainable transport options and optimised</w:t>
      </w:r>
      <w:r>
        <w:t xml:space="preserve"> </w:t>
      </w:r>
      <w:r>
        <w:t xml:space="preserve">trips.</w:t>
      </w:r>
      <w:r>
        <w:br/>
      </w:r>
      <w:r>
        <w:t xml:space="preserve">Table 10: Total costs and benefits for SMEs in PO1, PO2 and PO3 relative to the baseline scenario (EU27), in</w:t>
      </w:r>
      <w:r>
        <w:t xml:space="preserve"> </w:t>
      </w:r>
      <w:r>
        <w:t xml:space="preserve">million EUR (2022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Recurrent and one-off costs</w:t>
      </w:r>
      <w:r>
        <w:t xml:space="preserve"> </w:t>
      </w:r>
      <w:r>
        <w:t xml:space="preserve">490.8 3,866.2 6,288.2</w:t>
      </w:r>
      <w:r>
        <w:t xml:space="preserve"> </w:t>
      </w:r>
      <w:r>
        <w:t xml:space="preserve">50.9</w:t>
      </w:r>
      <w:r>
        <w:t xml:space="preserve"> </w:t>
      </w:r>
      <w:r>
        <w:t xml:space="preserve">93.9</w:t>
      </w:r>
      <w:r>
        <w:t xml:space="preserve"> </w:t>
      </w:r>
      <w:r>
        <w:t xml:space="preserve">4.7</w:t>
      </w:r>
      <w:r>
        <w:t xml:space="preserve"> </w:t>
      </w:r>
      <w:r>
        <w:t xml:space="preserve">57.9 103.8</w:t>
      </w:r>
      <w:r>
        <w:t xml:space="preserve"> </w:t>
      </w:r>
      <w:r>
        <w:t xml:space="preserve">11.9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490.8 3,866.2 6,288.2</w:t>
      </w:r>
      <w:r>
        <w:t xml:space="preserve"> </w:t>
      </w:r>
      <w:r>
        <w:t xml:space="preserve">50.9</w:t>
      </w:r>
      <w:r>
        <w:t xml:space="preserve"> </w:t>
      </w:r>
      <w:r>
        <w:t xml:space="preserve">93.9</w:t>
      </w:r>
      <w:r>
        <w:t xml:space="preserve"> </w:t>
      </w:r>
      <w:r>
        <w:t xml:space="preserve">4.7</w:t>
      </w:r>
      <w:r>
        <w:t xml:space="preserve"> </w:t>
      </w:r>
      <w:r>
        <w:t xml:space="preserve">57.8 103.8</w:t>
      </w:r>
      <w:r>
        <w:t xml:space="preserve"> </w:t>
      </w:r>
      <w:r>
        <w:t xml:space="preserve">11.9</w:t>
      </w:r>
      <w:r>
        <w:t xml:space="preserve"> </w:t>
      </w:r>
      <w:r>
        <w:t xml:space="preserve">Administrative costs</w:t>
      </w:r>
      <w:r>
        <w:br/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Benefits (energy costs savings)</w:t>
      </w:r>
      <w:r>
        <w:t xml:space="preserve"> </w:t>
      </w:r>
      <w:r>
        <w:t xml:space="preserve">51.7</w:t>
      </w:r>
      <w:r>
        <w:t xml:space="preserve"> </w:t>
      </w:r>
      <w:r>
        <w:t xml:space="preserve">390.7</w:t>
      </w:r>
      <w:r>
        <w:t xml:space="preserve"> </w:t>
      </w:r>
      <w:r>
        <w:t xml:space="preserve">775.1</w:t>
      </w:r>
      <w:r>
        <w:t xml:space="preserve"> </w:t>
      </w:r>
      <w:r>
        <w:t xml:space="preserve">74.0</w:t>
      </w:r>
      <w:r>
        <w:t xml:space="preserve"> </w:t>
      </w:r>
      <w:r>
        <w:t xml:space="preserve">140.6</w:t>
      </w:r>
      <w:r>
        <w:t xml:space="preserve"> </w:t>
      </w:r>
      <w:r>
        <w:t xml:space="preserve">6.9</w:t>
      </w:r>
      <w:r>
        <w:t xml:space="preserve"> </w:t>
      </w:r>
      <w:r>
        <w:t xml:space="preserve">37.2</w:t>
      </w:r>
      <w:r>
        <w:t xml:space="preserve"> </w:t>
      </w:r>
      <w:r>
        <w:t xml:space="preserve">83.6</w:t>
      </w:r>
      <w:r>
        <w:t xml:space="preserve"> </w:t>
      </w:r>
      <w:r>
        <w:t xml:space="preserve">2.4</w:t>
      </w:r>
      <w:r>
        <w:t xml:space="preserve"> </w:t>
      </w:r>
      <w:r>
        <w:t xml:space="preserve">Net costs/costs savings</w:t>
      </w:r>
      <w:r>
        <w:t xml:space="preserve"> </w:t>
      </w:r>
      <w:r>
        <w:t xml:space="preserve">439.1 3,475.5 5,513.1</w:t>
      </w:r>
      <w:r>
        <w:t xml:space="preserve"> </w:t>
      </w:r>
      <w:r>
        <w:t xml:space="preserve">-23.1</w:t>
      </w:r>
      <w:r>
        <w:t xml:space="preserve"> </w:t>
      </w:r>
      <w:r>
        <w:t xml:space="preserve">-46.7</w:t>
      </w:r>
      <w:r>
        <w:t xml:space="preserve"> </w:t>
      </w:r>
      <w:r>
        <w:t xml:space="preserve">-2.2</w:t>
      </w:r>
      <w:r>
        <w:t xml:space="preserve"> </w:t>
      </w:r>
      <w:r>
        <w:t xml:space="preserve">20.7</w:t>
      </w:r>
      <w:r>
        <w:t xml:space="preserve"> </w:t>
      </w:r>
      <w:r>
        <w:t xml:space="preserve">20.2</w:t>
      </w:r>
      <w:r>
        <w:t xml:space="preserve"> </w:t>
      </w:r>
      <w:r>
        <w:t xml:space="preserve">9.5</w:t>
      </w:r>
      <w:r>
        <w:t xml:space="preserve"> </w:t>
      </w:r>
      <w:r>
        <w:t xml:space="preserve">Source : Ecorys and CE Delft (2023), Impact assessment support study; Note: negative values reflect costs savings,</w:t>
      </w:r>
      <w:r>
        <w:t xml:space="preserve"> </w:t>
      </w:r>
      <w:r>
        <w:t xml:space="preserve">where relevant.</w:t>
      </w:r>
      <w:r>
        <w:br/>
      </w:r>
      <w:r>
        <w:t xml:space="preserve">Table 11: Total costs and benefits for SMEs in PO4, PO5 and PO6 relative to the baseline scenario (EU27), in</w:t>
      </w:r>
      <w:r>
        <w:t xml:space="preserve"> </w:t>
      </w:r>
      <w:r>
        <w:t xml:space="preserve">million EUR (2022 prices)</w:t>
      </w:r>
      <w:r>
        <w:br/>
      </w:r>
      <w:r>
        <w:t xml:space="preserve">Difference to the Baseline</w:t>
      </w:r>
      <w:r>
        <w:t xml:space="preserve"> </w:t>
      </w:r>
      <w:r>
        <w:t xml:space="preserve">PO4</w:t>
      </w:r>
      <w:r>
        <w:t xml:space="preserve"> </w:t>
      </w:r>
      <w:r>
        <w:t xml:space="preserve">PO5</w:t>
      </w:r>
      <w:r>
        <w:t xml:space="preserve"> </w:t>
      </w:r>
      <w:r>
        <w:t xml:space="preserve">PO6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Recurrent and one-off costs</w:t>
      </w:r>
      <w:r>
        <w:t xml:space="preserve"> </w:t>
      </w:r>
      <w:r>
        <w:t xml:space="preserve">68.0</w:t>
      </w:r>
      <w:r>
        <w:t xml:space="preserve"> </w:t>
      </w:r>
      <w:r>
        <w:t xml:space="preserve">115.4</w:t>
      </w:r>
      <w:r>
        <w:t xml:space="preserve"> </w:t>
      </w:r>
      <w:r>
        <w:t xml:space="preserve">19.9</w:t>
      </w:r>
      <w:r>
        <w:t xml:space="preserve"> </w:t>
      </w:r>
      <w:r>
        <w:t xml:space="preserve">101.2</w:t>
      </w:r>
      <w:r>
        <w:t xml:space="preserve"> </w:t>
      </w:r>
      <w:r>
        <w:t xml:space="preserve">156.4</w:t>
      </w:r>
      <w:r>
        <w:t xml:space="preserve"> </w:t>
      </w:r>
      <w:r>
        <w:t xml:space="preserve">37.4</w:t>
      </w:r>
      <w:r>
        <w:t xml:space="preserve"> </w:t>
      </w:r>
      <w:r>
        <w:t xml:space="preserve">344.7</w:t>
      </w:r>
      <w:r>
        <w:t xml:space="preserve"> </w:t>
      </w:r>
      <w:r>
        <w:t xml:space="preserve">2,767.6</w:t>
      </w:r>
      <w:r>
        <w:t xml:space="preserve"> </w:t>
      </w:r>
      <w:r>
        <w:t xml:space="preserve">4,501.4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68.0</w:t>
      </w:r>
      <w:r>
        <w:t xml:space="preserve"> </w:t>
      </w:r>
      <w:r>
        <w:t xml:space="preserve">115.4</w:t>
      </w:r>
      <w:r>
        <w:t xml:space="preserve"> </w:t>
      </w:r>
      <w:r>
        <w:t xml:space="preserve">19.9</w:t>
      </w:r>
      <w:r>
        <w:t xml:space="preserve"> </w:t>
      </w:r>
      <w:r>
        <w:t xml:space="preserve">101.2</w:t>
      </w:r>
      <w:r>
        <w:t xml:space="preserve"> </w:t>
      </w:r>
      <w:r>
        <w:t xml:space="preserve">156.4</w:t>
      </w:r>
      <w:r>
        <w:t xml:space="preserve"> </w:t>
      </w:r>
      <w:r>
        <w:t xml:space="preserve">37.3</w:t>
      </w:r>
      <w:r>
        <w:t xml:space="preserve"> </w:t>
      </w:r>
      <w:r>
        <w:t xml:space="preserve">344.7</w:t>
      </w:r>
      <w:r>
        <w:t xml:space="preserve"> </w:t>
      </w:r>
      <w:r>
        <w:t xml:space="preserve">2,767.5</w:t>
      </w:r>
      <w:r>
        <w:t xml:space="preserve"> </w:t>
      </w:r>
      <w:r>
        <w:t xml:space="preserve">4,501.4</w:t>
      </w:r>
      <w:r>
        <w:t xml:space="preserve"> </w:t>
      </w:r>
      <w:r>
        <w:t xml:space="preserve">Administrative costs</w:t>
      </w:r>
      <w:r>
        <w:br/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Benefits (energy costs savings)</w:t>
      </w:r>
      <w:r>
        <w:t xml:space="preserve"> </w:t>
      </w:r>
      <w:r>
        <w:t xml:space="preserve">111.7</w:t>
      </w:r>
      <w:r>
        <w:t xml:space="preserve"> </w:t>
      </w:r>
      <w:r>
        <w:t xml:space="preserve">185.4</w:t>
      </w:r>
      <w:r>
        <w:t xml:space="preserve"> </w:t>
      </w:r>
      <w:r>
        <w:t xml:space="preserve">48.0</w:t>
      </w:r>
      <w:r>
        <w:t xml:space="preserve"> </w:t>
      </w:r>
      <w:r>
        <w:t xml:space="preserve">33.6</w:t>
      </w:r>
      <w:r>
        <w:t xml:space="preserve"> </w:t>
      </w:r>
      <w:r>
        <w:t xml:space="preserve">77.0</w:t>
      </w:r>
      <w:r>
        <w:t xml:space="preserve"> </w:t>
      </w:r>
      <w:r>
        <w:t xml:space="preserve">2.2</w:t>
      </w:r>
      <w:r>
        <w:t xml:space="preserve"> </w:t>
      </w:r>
      <w:r>
        <w:t xml:space="preserve">51.7</w:t>
      </w:r>
      <w:r>
        <w:t xml:space="preserve"> </w:t>
      </w:r>
      <w:r>
        <w:t xml:space="preserve">390.7</w:t>
      </w:r>
      <w:r>
        <w:t xml:space="preserve"> </w:t>
      </w:r>
      <w:r>
        <w:t xml:space="preserve">775.1</w:t>
      </w:r>
      <w:r>
        <w:t xml:space="preserve"> </w:t>
      </w:r>
      <w:r>
        <w:t xml:space="preserve">Net costs/costs savings</w:t>
      </w:r>
      <w:r>
        <w:t xml:space="preserve"> </w:t>
      </w:r>
      <w:r>
        <w:t xml:space="preserve">-43.7</w:t>
      </w:r>
      <w:r>
        <w:t xml:space="preserve"> </w:t>
      </w:r>
      <w:r>
        <w:t xml:space="preserve">-70.0 -28.1</w:t>
      </w:r>
      <w:r>
        <w:t xml:space="preserve"> </w:t>
      </w:r>
      <w:r>
        <w:t xml:space="preserve">67.6</w:t>
      </w:r>
      <w:r>
        <w:t xml:space="preserve"> </w:t>
      </w:r>
      <w:r>
        <w:t xml:space="preserve">79.5</w:t>
      </w:r>
      <w:r>
        <w:t xml:space="preserve"> </w:t>
      </w:r>
      <w:r>
        <w:t xml:space="preserve">35.1</w:t>
      </w:r>
      <w:r>
        <w:t xml:space="preserve"> </w:t>
      </w:r>
      <w:r>
        <w:t xml:space="preserve">293.0</w:t>
      </w:r>
      <w:r>
        <w:t xml:space="preserve"> </w:t>
      </w:r>
      <w:r>
        <w:t xml:space="preserve">2,376.9</w:t>
      </w:r>
      <w:r>
        <w:t xml:space="preserve"> </w:t>
      </w:r>
      <w:r>
        <w:t xml:space="preserve">3,726.3</w:t>
      </w:r>
    </w:p>
    <w:p>
      <w:pPr>
        <w:pStyle w:val="BodyText"/>
      </w:pPr>
      <w:r>
        <w:t xml:space="preserve">132 In the assessment it has been assumed that the calculation tool developers are SME. Therefore, all the</w:t>
      </w:r>
      <w:r>
        <w:t xml:space="preserve"> </w:t>
      </w:r>
      <w:r>
        <w:t xml:space="preserve">administrative costs presented in section 6.1.4 are assumed to belong to SMEs.</w:t>
      </w:r>
    </w:p>
    <w:p>
      <w:pPr>
        <w:pStyle w:val="BodyText"/>
      </w:pPr>
      <w:r>
        <w:t xml:space="preserve">41</w:t>
      </w:r>
    </w:p>
    <w:p>
      <w:pPr>
        <w:pStyle w:val="BodyText"/>
      </w:pPr>
      <w:r>
        <w:t xml:space="preserve">Source : Ecorys and CE Delft (2023), Impact assessment support study; Note: negative values reflect costs savings,</w:t>
      </w:r>
      <w:r>
        <w:t xml:space="preserve"> </w:t>
      </w:r>
      <w:r>
        <w:t xml:space="preserve">where relevant.</w:t>
      </w:r>
      <w:r>
        <w:br/>
      </w:r>
      <w:r>
        <w:t xml:space="preserve">6.1.8 Impact on the functioning of the internal market and competition</w:t>
      </w:r>
      <w:r>
        <w:t xml:space="preserve"> </w:t>
      </w:r>
      <w:r>
        <w:t xml:space="preserve">All policy options are expected to improve the comparability of GHG emissions data and have a</w:t>
      </w:r>
      <w:r>
        <w:t xml:space="preserve"> </w:t>
      </w:r>
      <w:r>
        <w:t xml:space="preserve">positive impact on the functioning of the internal market. The companies providing services or</w:t>
      </w:r>
      <w:r>
        <w:t xml:space="preserve"> </w:t>
      </w:r>
      <w:r>
        <w:t xml:space="preserve">working with subcontractors in different EU Member States will have a common methodology</w:t>
      </w:r>
      <w:r>
        <w:t xml:space="preserve"> </w:t>
      </w:r>
      <w:r>
        <w:t xml:space="preserve">for measuring GHG emissions. In addition, according to stakeholders’ feedback, the alignment</w:t>
      </w:r>
      <w:r>
        <w:t xml:space="preserve"> </w:t>
      </w:r>
      <w:r>
        <w:t xml:space="preserve">with a global standard provided by ISO 14083 (in PO2, PO4 and PO6) would allow for better</w:t>
      </w:r>
      <w:r>
        <w:t xml:space="preserve"> </w:t>
      </w:r>
      <w:r>
        <w:t xml:space="preserve">comparability and usability of GHG emissions data by the businesses across the world. On the</w:t>
      </w:r>
      <w:r>
        <w:t xml:space="preserve"> </w:t>
      </w:r>
      <w:r>
        <w:t xml:space="preserve">other hand, ISO 14083 with additional elements and increased accuracy (in PO1 and PO3) and the</w:t>
      </w:r>
      <w:r>
        <w:t xml:space="preserve"> </w:t>
      </w:r>
      <w:r>
        <w:t xml:space="preserve">Product Environmental Footprint Category Rules (in PO5) will not ensure alignment to a global</w:t>
      </w:r>
      <w:r>
        <w:t xml:space="preserve"> </w:t>
      </w:r>
      <w:r>
        <w:t xml:space="preserve">standard and may lead to challenges for the aviation and the maritime transport sectors, as well as</w:t>
      </w:r>
      <w:r>
        <w:t xml:space="preserve"> </w:t>
      </w:r>
      <w:r>
        <w:t xml:space="preserve">large logistics and express companies, that are global in nature. The measures related to the</w:t>
      </w:r>
      <w:r>
        <w:t xml:space="preserve"> </w:t>
      </w:r>
      <w:r>
        <w:t xml:space="preserve">verification of processes and data (PM8 included in PO1, PM9 included in PO3, PO4, PO5 and PO6,</w:t>
      </w:r>
      <w:r>
        <w:t xml:space="preserve"> </w:t>
      </w:r>
      <w:r>
        <w:t xml:space="preserve">and PM10 included in PO2), are expected to have a positive impact on the fair competition between</w:t>
      </w:r>
      <w:r>
        <w:t xml:space="preserve"> </w:t>
      </w:r>
      <w:r>
        <w:t xml:space="preserve">transport service providers. This is because the verification avoids distorting competition by “cherry</w:t>
      </w:r>
      <w:r>
        <w:t xml:space="preserve"> </w:t>
      </w:r>
      <w:r>
        <w:t xml:space="preserve">picking” between the default values and primary data, to show lower emissions at transport service</w:t>
      </w:r>
      <w:r>
        <w:t xml:space="preserve"> </w:t>
      </w:r>
      <w:r>
        <w:t xml:space="preserve">level.</w:t>
      </w:r>
      <w:r>
        <w:br/>
      </w:r>
      <w:r>
        <w:t xml:space="preserve">6.1.9 Digital by default</w:t>
      </w:r>
      <w:r>
        <w:t xml:space="preserve"> </w:t>
      </w:r>
      <w:r>
        <w:t xml:space="preserve">All policy options are expected to have positive impacts on the application of the ‘digital-by-default’</w:t>
      </w:r>
      <w:r>
        <w:t xml:space="preserve"> </w:t>
      </w:r>
      <w:r>
        <w:t xml:space="preserve">principle, driven by the fact that the calculation and sharing of GHG emissions data in most cases will</w:t>
      </w:r>
      <w:r>
        <w:t xml:space="preserve"> </w:t>
      </w:r>
      <w:r>
        <w:t xml:space="preserve">be associated with using digital tools and systems, and the wider demand for data in general. The</w:t>
      </w:r>
      <w:r>
        <w:t xml:space="preserve"> </w:t>
      </w:r>
      <w:r>
        <w:t xml:space="preserve">demand may trigger further efforts by companies towards digital solutions, as reported in section 6.1.5</w:t>
      </w:r>
      <w:r>
        <w:t xml:space="preserve"> </w:t>
      </w:r>
      <w:r>
        <w:t xml:space="preserve">and Annex 5. Positive impacts on innovation (including process innovation) and faster technology</w:t>
      </w:r>
      <w:r>
        <w:t xml:space="preserve"> </w:t>
      </w:r>
      <w:r>
        <w:t xml:space="preserve">uptake by transport service organisers and hub operators may also be expected.</w:t>
      </w:r>
      <w:r>
        <w:br/>
      </w:r>
      <w:r>
        <w:t xml:space="preserve">The real magnitude of the impacts on the “digital-by-default” is however not directly quantifiable due</w:t>
      </w:r>
      <w:r>
        <w:t xml:space="preserve"> </w:t>
      </w:r>
      <w:r>
        <w:t xml:space="preserve">to the current lack of a harmonised framework driving the progress in data access, data reuse and data</w:t>
      </w:r>
      <w:r>
        <w:t xml:space="preserve"> </w:t>
      </w:r>
      <w:r>
        <w:t xml:space="preserve">interoperability at the level of the entire transport sector. This harmonisation process will largely</w:t>
      </w:r>
      <w:r>
        <w:t xml:space="preserve"> </w:t>
      </w:r>
      <w:r>
        <w:t xml:space="preserve">depend on the successful implementation of the European Strategy for Data133, including such</w:t>
      </w:r>
      <w:r>
        <w:t xml:space="preserve"> </w:t>
      </w:r>
      <w:r>
        <w:t xml:space="preserve">initiatives as the European Mobility Data Space134, Electronic Freight Transport Information</w:t>
      </w:r>
      <w:r>
        <w:t xml:space="preserve"> </w:t>
      </w:r>
      <w:r>
        <w:t xml:space="preserve">Regulation135, and activities of the Digital Transport and Logistics Forum136.</w:t>
      </w:r>
      <w:r>
        <w:t xml:space="preserve"> </w:t>
      </w:r>
      <w:r>
        <w:t xml:space="preserve">These considerations were duly taken into account when addressing learning effects for the</w:t>
      </w:r>
      <w:r>
        <w:t xml:space="preserve"> </w:t>
      </w:r>
      <w:r>
        <w:t xml:space="preserve">stakeholders affected by various policy options (see Annex 4 for more detail).</w:t>
      </w:r>
    </w:p>
    <w:p>
      <w:pPr>
        <w:pStyle w:val="BodyText"/>
      </w:pPr>
      <w:r>
        <w:t xml:space="preserve">133 https://digital-strategy.ec.europa.eu/en/policies/strategy-data</w:t>
      </w:r>
      <w:r>
        <w:br/>
      </w:r>
      <w:r>
        <w:t xml:space="preserve">134 https://transport.ec.europa.eu/news/share-your-views-common-european-mobility-data-space-2022-11-14_en</w:t>
      </w:r>
      <w:r>
        <w:br/>
      </w:r>
      <w:r>
        <w:t xml:space="preserve">135https://eur-lex.europa.eu/EN/legal-content/summary/electronic-freight-transport-</w:t>
      </w:r>
      <w:r>
        <w:t xml:space="preserve"> </w:t>
      </w:r>
      <w:r>
        <w:t xml:space="preserve">information.html#:~:text=Electronic%20freight%20transport%20information%20(eFTI)%20is%20a%20set%20of</w:t>
      </w:r>
      <w:r>
        <w:t xml:space="preserve"> </w:t>
      </w:r>
      <w:r>
        <w:t xml:space="preserve">%20data,between%20operators%20and%20competent%20authorities.</w:t>
      </w:r>
      <w:r>
        <w:br/>
      </w:r>
      <w:r>
        <w:t xml:space="preserve">136 https://transport.ec.europa.eu/transport-themes/digital-transport-and-logistics-forum-dtlf_en</w:t>
      </w:r>
    </w:p>
    <w:p>
      <w:pPr>
        <w:pStyle w:val="BodyText"/>
      </w:pPr>
      <w:r>
        <w:t xml:space="preserve">42</w:t>
      </w:r>
    </w:p>
    <w:p>
      <w:pPr>
        <w:pStyle w:val="BodyText"/>
      </w:pPr>
      <w:r>
        <w:t xml:space="preserve">1.15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This section assesses the impacts of the policy options on public health, road safety and fundamental</w:t>
      </w:r>
      <w:r>
        <w:t xml:space="preserve"> </w:t>
      </w:r>
      <w:r>
        <w:t xml:space="preserve">rights.</w:t>
      </w:r>
      <w:r>
        <w:br/>
      </w:r>
      <w:r>
        <w:t xml:space="preserve">6.2.1 Impacts on public health</w:t>
      </w:r>
      <w:r>
        <w:t xml:space="preserve"> </w:t>
      </w:r>
      <w:r>
        <w:t xml:space="preserve">The availability of comparable data across transport services will facilitate customer choices towards</w:t>
      </w:r>
      <w:r>
        <w:t xml:space="preserve"> </w:t>
      </w:r>
      <w:r>
        <w:t xml:space="preserve">higher use of more sustainable transport option for both passenger and freight, resulting in reduced air</w:t>
      </w:r>
      <w:r>
        <w:t xml:space="preserve"> </w:t>
      </w:r>
      <w:r>
        <w:t xml:space="preserve">pollutant emissions and subsequent positive impacts on public health. The savings in the external costs</w:t>
      </w:r>
      <w:r>
        <w:t xml:space="preserve"> </w:t>
      </w:r>
      <w:r>
        <w:t xml:space="preserve">of air pollutants, expressed as present value over 2025-2050 relative to the baseline, are estimated to</w:t>
      </w:r>
      <w:r>
        <w:t xml:space="preserve"> </w:t>
      </w:r>
      <w:r>
        <w:t xml:space="preserve">be the highest in PO1 and PO6 (EUR 600.6 million), followed by PO4 (EUR 163.5 million), PO2</w:t>
      </w:r>
      <w:r>
        <w:t xml:space="preserve"> </w:t>
      </w:r>
      <w:r>
        <w:t xml:space="preserve">(EUR 110.8 million), PO3 (EUR 53.1 million) and PO5 (EUR 47 million)137. The reason for the</w:t>
      </w:r>
      <w:r>
        <w:t xml:space="preserve"> </w:t>
      </w:r>
      <w:r>
        <w:t xml:space="preserve">significantly higher savings in the external costs of air pollutants in PO1 and PO6 is due to the</w:t>
      </w:r>
      <w:r>
        <w:t xml:space="preserve"> </w:t>
      </w:r>
      <w:r>
        <w:t xml:space="preserve">mandatory application of CountEmissions EU that will affect all businesses involved in transport</w:t>
      </w:r>
      <w:r>
        <w:t xml:space="preserve"> </w:t>
      </w:r>
      <w:r>
        <w:t xml:space="preserve">services in EU27.</w:t>
      </w:r>
      <w:r>
        <w:t xml:space="preserve"> </w:t>
      </w:r>
      <w:r>
        <w:t xml:space="preserve">6.2.2 Impacts on road safety</w:t>
      </w:r>
      <w:r>
        <w:t xml:space="preserve"> </w:t>
      </w:r>
      <w:r>
        <w:t xml:space="preserve">The reduction in the road transport activity in all policy options, induced by better data available to</w:t>
      </w:r>
      <w:r>
        <w:t xml:space="preserve"> </w:t>
      </w:r>
      <w:r>
        <w:t xml:space="preserve">customers to make more sustainable choices, is expected to result in a decrease in the number of</w:t>
      </w:r>
      <w:r>
        <w:t xml:space="preserve"> </w:t>
      </w:r>
      <w:r>
        <w:t xml:space="preserve">fatalities and injuries relative to the baseline. Cumulatively over 2025-2050, PO1 and PO6 are</w:t>
      </w:r>
      <w:r>
        <w:t xml:space="preserve"> </w:t>
      </w:r>
      <w:r>
        <w:t xml:space="preserve">estimated to lead to 510 lives saved and 2,732 serious injuries avoided, followed by PO4 (103 lives</w:t>
      </w:r>
      <w:r>
        <w:t xml:space="preserve"> </w:t>
      </w:r>
      <w:r>
        <w:t xml:space="preserve">saved and 558 serious injuries avoided), PO2 (68 lives saved and 353 serious injuries avoided), PO3</w:t>
      </w:r>
      <w:r>
        <w:t xml:space="preserve"> </w:t>
      </w:r>
      <w:r>
        <w:t xml:space="preserve">(28 lives saved and 151 serious injuries avoided) and PO5 (23 lives saved and 133 serious injuries</w:t>
      </w:r>
      <w:r>
        <w:t xml:space="preserve"> </w:t>
      </w:r>
      <w:r>
        <w:t xml:space="preserve">avoided). The reduction in the external costs of accidents is estimated to be the highest in PO1 and PO6</w:t>
      </w:r>
      <w:r>
        <w:t xml:space="preserve"> </w:t>
      </w:r>
      <w:r>
        <w:t xml:space="preserve">(EUR 2.8 billion), followed by PO4 (EUR 645.2 million), PO2 (EUR 424.4 million), PO3 (EUR 192.2</w:t>
      </w:r>
      <w:r>
        <w:t xml:space="preserve"> </w:t>
      </w:r>
      <w:r>
        <w:t xml:space="preserve">million) and PO5 (EUR 168.6 million), expressed as present value over 2025-2050 relative to the</w:t>
      </w:r>
      <w:r>
        <w:t xml:space="preserve"> </w:t>
      </w:r>
      <w:r>
        <w:t xml:space="preserve">baseline138.</w:t>
      </w:r>
      <w:r>
        <w:t xml:space="preserve"> </w:t>
      </w:r>
      <w:r>
        <w:t xml:space="preserve">6.2.3 Impacts on fundamental rights</w:t>
      </w:r>
      <w:r>
        <w:br/>
      </w:r>
      <w:r>
        <w:t xml:space="preserve">The policy options were assessed to determine if they have an impact on the fundamental rights and/or</w:t>
      </w:r>
      <w:r>
        <w:t xml:space="preserve"> </w:t>
      </w:r>
      <w:r>
        <w:t xml:space="preserve">equal treatment of EU citizens. The starting point for the assessment of the fundamental rights is the</w:t>
      </w:r>
      <w:r>
        <w:t xml:space="preserve"> </w:t>
      </w:r>
      <w:r>
        <w:t xml:space="preserve">Charter of Fundamental Rights of the European Union139. All six POs were assessed having regard to</w:t>
      </w:r>
      <w:r>
        <w:t xml:space="preserve"> </w:t>
      </w:r>
      <w:r>
        <w:t xml:space="preserve">the relevant EU instrument and it was concluded that they maintain full respect for human and</w:t>
      </w:r>
      <w:r>
        <w:t xml:space="preserve"> </w:t>
      </w:r>
      <w:r>
        <w:t xml:space="preserve">fundamental rights, and none will have any negative impact thereon.</w:t>
      </w:r>
      <w:r>
        <w:t xml:space="preserve"> </w:t>
      </w:r>
      <w:r>
        <w:t xml:space="preserve">1.16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The analysis of environmental impacts covers well-to-wheel GHG emissions and air pollutant</w:t>
      </w:r>
    </w:p>
    <w:p>
      <w:pPr>
        <w:pStyle w:val="BodyText"/>
      </w:pPr>
      <w:r>
        <w:t xml:space="preserve">137 The 2019 Handbook on the external costs of transport (Source: https://op.europa.eu/en/publication-detail/-</w:t>
      </w:r>
      <w:r>
        <w:t xml:space="preserve"> </w:t>
      </w:r>
      <w:r>
        <w:t xml:space="preserve">/publication/9781f65f-8448-11ea-bf12-01aa75ed71a1) has been used to monetise the costs.</w:t>
      </w:r>
      <w:r>
        <w:t xml:space="preserve"> </w:t>
      </w:r>
      <w:r>
        <w:t xml:space="preserve">138 The 2019 Handbook on the external costs of transport (Source: https://op.europa.eu/en/publication-detail/-</w:t>
      </w:r>
      <w:r>
        <w:t xml:space="preserve"> </w:t>
      </w:r>
      <w:r>
        <w:t xml:space="preserve">/publication/9781f65f-8448-11ea-bf12-01aa75ed71a1) has been used to monetise the costs. According to the</w:t>
      </w:r>
      <w:r>
        <w:t xml:space="preserve"> </w:t>
      </w:r>
      <w:r>
        <w:t xml:space="preserve">Handbook, the external cost of a fatality in 2022 prices is estimated at EUR 3.9 million and that of a serious</w:t>
      </w:r>
      <w:r>
        <w:t xml:space="preserve"> </w:t>
      </w:r>
      <w:r>
        <w:t xml:space="preserve">injury at EUR 0.6 million.</w:t>
      </w:r>
      <w:r>
        <w:t xml:space="preserve"> </w:t>
      </w:r>
      <w:r>
        <w:t xml:space="preserve">139 OJ C 326 of 26.10.2012 p.2</w:t>
      </w:r>
    </w:p>
    <w:p>
      <w:pPr>
        <w:pStyle w:val="BodyText"/>
      </w:pPr>
      <w:r>
        <w:t xml:space="preserve">43</w:t>
      </w:r>
    </w:p>
    <w:p>
      <w:pPr>
        <w:pStyle w:val="BodyText"/>
      </w:pPr>
      <w:r>
        <w:t xml:space="preserve">emissions.</w:t>
      </w:r>
      <w:r>
        <w:br/>
      </w:r>
      <w:r>
        <w:t xml:space="preserve">It should be acknowledged that the empirical evidence on the relation between the GHG emissions</w:t>
      </w:r>
      <w:r>
        <w:t xml:space="preserve"> </w:t>
      </w:r>
      <w:r>
        <w:t xml:space="preserve">accounting, changes in transport activity and the related reduction in the GHG emissions and air</w:t>
      </w:r>
      <w:r>
        <w:t xml:space="preserve"> </w:t>
      </w:r>
      <w:r>
        <w:t xml:space="preserve">pollutant emissions is scarce. The relevant assumptions and projections used in estimating the impacts</w:t>
      </w:r>
      <w:r>
        <w:t xml:space="preserve"> </w:t>
      </w:r>
      <w:r>
        <w:t xml:space="preserve">of the policy options are therefore based on the literature review, case studies/use cases140 and the</w:t>
      </w:r>
      <w:r>
        <w:t xml:space="preserve"> </w:t>
      </w:r>
      <w:r>
        <w:t xml:space="preserve">feedback from the stakeholders’ consultation. In relation to this point, a sensitivity analysis was also</w:t>
      </w:r>
      <w:r>
        <w:t xml:space="preserve"> </w:t>
      </w:r>
      <w:r>
        <w:t xml:space="preserve">performed to show the range of impacts. The sensitivity analysis presented in section 7.6 and</w:t>
      </w:r>
      <w:r>
        <w:t xml:space="preserve"> </w:t>
      </w:r>
      <w:r>
        <w:t xml:space="preserve">detailed in Annex 4, section 5, assumes a lower share of passengers making sustainable choices</w:t>
      </w:r>
      <w:r>
        <w:br/>
      </w:r>
      <w:r>
        <w:t xml:space="preserve">among the climate aware population(scenario A), and lower shares of activity shifted to more</w:t>
      </w:r>
      <w:r>
        <w:t xml:space="preserve"> </w:t>
      </w:r>
      <w:r>
        <w:t xml:space="preserve">sustainable transport modes and optimisation of trips.</w:t>
      </w:r>
      <w:r>
        <w:br/>
      </w:r>
      <w:r>
        <w:t xml:space="preserve">6.3.1 Impacts on well-to-wheel GHG emissions</w:t>
      </w:r>
      <w:r>
        <w:br/>
      </w:r>
      <w:r>
        <w:t xml:space="preserve">The reduction in the well-to-wheel GHG emissions is mainly driven by the behavioural effects</w:t>
      </w:r>
      <w:r>
        <w:t xml:space="preserve"> </w:t>
      </w:r>
      <w:r>
        <w:t xml:space="preserve">incentivising the higher use of more sustainable transport options and optimised trips. The highest</w:t>
      </w:r>
      <w:r>
        <w:t xml:space="preserve"> </w:t>
      </w:r>
      <w:r>
        <w:t xml:space="preserve">reduction in the well-to-wheel GHG emissions from the transport sector relative to the baseline is</w:t>
      </w:r>
      <w:r>
        <w:t xml:space="preserve"> </w:t>
      </w:r>
      <w:r>
        <w:t xml:space="preserve">projected for PO1 and PO6 (0.2% decrease in 2030 and 0.5% in 2050 or 904 thousand tonnes of</w:t>
      </w:r>
      <w:r>
        <w:t xml:space="preserve"> </w:t>
      </w:r>
      <w:r>
        <w:t xml:space="preserve">emissions saved in 2030 and 438 thousand tonnes saved in 2050) and PO4 (0.1% decrease in 2030 and</w:t>
      </w:r>
      <w:r>
        <w:t xml:space="preserve"> </w:t>
      </w:r>
      <w:r>
        <w:t xml:space="preserve">less than 0.1% decrease in 2050 or 432 thousand tonnes of GHG emissions saved in 2030 and 27</w:t>
      </w:r>
      <w:r>
        <w:t xml:space="preserve"> </w:t>
      </w:r>
      <w:r>
        <w:t xml:space="preserve">thousand tonnes saved in 2050). Cumulatively over 2025-2050, PO1 and PO6 result in 22.1 million of</w:t>
      </w:r>
      <w:r>
        <w:t xml:space="preserve"> </w:t>
      </w:r>
      <w:r>
        <w:t xml:space="preserve">tonnes of GHG emissions saved relative to the baseline, PO4 in 5.6 million of tonnes of GHG emissions</w:t>
      </w:r>
      <w:r>
        <w:t xml:space="preserve"> </w:t>
      </w:r>
      <w:r>
        <w:t xml:space="preserve">saved, PO2 in 3.7 million of tonnes of GHG emissions saved, PO3 in 1.7 million of tonnes of GHG</w:t>
      </w:r>
      <w:r>
        <w:t xml:space="preserve"> </w:t>
      </w:r>
      <w:r>
        <w:t xml:space="preserve">emissions saved and PO5 in 1.5 million of tonnes of GHG emissions saved. The reduction in the</w:t>
      </w:r>
      <w:r>
        <w:t xml:space="preserve"> </w:t>
      </w:r>
      <w:r>
        <w:t xml:space="preserve">external costs related to GHG emissions is estimated to be the highest in PO1 and PO6 (EUR 2.9</w:t>
      </w:r>
      <w:r>
        <w:t xml:space="preserve"> </w:t>
      </w:r>
      <w:r>
        <w:t xml:space="preserve">billion), followed by PO4 (EUR 0.7 billion), PO2 (EUR 0.4 billion), PO3 (EUR 0.2 billion) and PO5</w:t>
      </w:r>
      <w:r>
        <w:t xml:space="preserve"> </w:t>
      </w:r>
      <w:r>
        <w:t xml:space="preserve">(EUR 0.17 billion), expressed as present value over 2025-2050 relative to the baseline (in 2022</w:t>
      </w:r>
      <w:r>
        <w:t xml:space="preserve"> </w:t>
      </w:r>
      <w:r>
        <w:t xml:space="preserve">prices)141. Notwithstanding this result, indirect environmental benefits that PO5 would unlock from the</w:t>
      </w:r>
      <w:r>
        <w:t xml:space="preserve"> </w:t>
      </w:r>
      <w:r>
        <w:t xml:space="preserve">assessment of emissions in the full lifecycle perspective should also be considered. They may bring</w:t>
      </w:r>
      <w:r>
        <w:t xml:space="preserve"> </w:t>
      </w:r>
      <w:r>
        <w:t xml:space="preserve">along some accelerated greening of mobility, but due to lack of relevant data, these effects could not</w:t>
      </w:r>
      <w:r>
        <w:t xml:space="preserve"> </w:t>
      </w:r>
      <w:r>
        <w:t xml:space="preserve">be quantified.</w:t>
      </w:r>
      <w:r>
        <w:br/>
      </w:r>
      <w:r>
        <w:t xml:space="preserve">The improvements in the comparability of GHG emissions data is also expected to result in</w:t>
      </w:r>
      <w:r>
        <w:t xml:space="preserve"> </w:t>
      </w:r>
      <w:r>
        <w:t xml:space="preserve">increased transparency, credibility, positive effects on reputation and public image of transport service</w:t>
      </w:r>
      <w:r>
        <w:t xml:space="preserve"> </w:t>
      </w:r>
      <w:r>
        <w:t xml:space="preserve">providers and higher levels of trust in supply-chain partners.</w:t>
      </w:r>
      <w:r>
        <w:br/>
      </w:r>
      <w:r>
        <w:t xml:space="preserve">6.3.2 Impacts on air pollutant emissions</w:t>
      </w:r>
      <w:r>
        <w:t xml:space="preserve"> </w:t>
      </w:r>
      <w:r>
        <w:t xml:space="preserve">Similarly to well-to-wheel GHG emissions, the reduction in air pollution emissions is mainly driven</w:t>
      </w:r>
      <w:r>
        <w:t xml:space="preserve"> </w:t>
      </w:r>
      <w:r>
        <w:t xml:space="preserve">by the higher use of more sustainable transport options and optimised trips. Cumulatively over 2025-</w:t>
      </w:r>
      <w:r>
        <w:t xml:space="preserve"> </w:t>
      </w:r>
      <w:r>
        <w:t xml:space="preserve">2050, NOx emissions are estimated to reduce by 53.2 thousand tonnes in PO1 and PO6 relative to the</w:t>
      </w:r>
      <w:r>
        <w:t xml:space="preserve"> </w:t>
      </w:r>
      <w:r>
        <w:t xml:space="preserve">baseline, 12.7 thousand tonnes in PO4, 8.4 thousand tonnes in PO2, 3.9 thousand tonnes in PO3 and</w:t>
      </w:r>
      <w:r>
        <w:t xml:space="preserve"> </w:t>
      </w:r>
      <w:r>
        <w:t xml:space="preserve">3.4 thousand tonnes in PO5. The reduction in the particulate matter emissions would also be highest in</w:t>
      </w:r>
      <w:r>
        <w:t xml:space="preserve"> </w:t>
      </w:r>
      <w:r>
        <w:t xml:space="preserve">PO1 (0.9 thousand tonnes), followed by PO4 (0.2 thousand tonnes saved) and PO2, PO3 and PO4 (0.1</w:t>
      </w:r>
    </w:p>
    <w:p>
      <w:pPr>
        <w:pStyle w:val="BodyText"/>
      </w:pPr>
      <w:r>
        <w:t xml:space="preserve">140 See Annex 12</w:t>
      </w:r>
      <w:r>
        <w:t xml:space="preserve"> </w:t>
      </w:r>
      <w:r>
        <w:t xml:space="preserve">141 The 2019 Handbook on the external costs of transport (Source: https://op.europa.eu/en/publication-detail/-</w:t>
      </w:r>
      <w:r>
        <w:t xml:space="preserve"> </w:t>
      </w:r>
      <w:r>
        <w:t xml:space="preserve">/publication/9781f65f-8448-11ea-bf12-01aa75ed71a1) has been used to monetise the costs.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thousand tonnes saved) relative to the baseline.</w:t>
      </w:r>
      <w:r>
        <w:br/>
      </w:r>
      <w:r>
        <w:t xml:space="preserve">All policy options are consistent with the environmental objectives of the European Green Deal and</w:t>
      </w:r>
      <w:r>
        <w:t xml:space="preserve"> </w:t>
      </w:r>
      <w:r>
        <w:t xml:space="preserve">the European Climate Law142. All policy options contribute towards Sustainable Development Goal</w:t>
      </w:r>
      <w:r>
        <w:t xml:space="preserve"> </w:t>
      </w:r>
      <w:r>
        <w:t xml:space="preserve">13 (‘Take urgent action to combat climate change and its impacts’). No significant harm is expected</w:t>
      </w:r>
      <w:r>
        <w:t xml:space="preserve"> </w:t>
      </w:r>
      <w:r>
        <w:t xml:space="preserve">on the environment in any of the policy options.</w:t>
      </w:r>
      <w:r>
        <w:br/>
      </w:r>
      <w:r>
        <w:t xml:space="preserve">7.</w:t>
      </w:r>
      <w:r>
        <w:t xml:space="preserve"> </w:t>
      </w:r>
      <w:r>
        <w:t xml:space="preserve">HOW DO THE OPTIONS COMPARE?</w:t>
      </w:r>
      <w:r>
        <w:t xml:space="preserve"> </w:t>
      </w:r>
      <w:r>
        <w:t xml:space="preserve">1.17</w:t>
      </w:r>
      <w:r>
        <w:t xml:space="preserve"> </w:t>
      </w:r>
      <w:r>
        <w:t xml:space="preserve">Effectiveness</w:t>
      </w:r>
      <w:r>
        <w:t xml:space="preserve"> </w:t>
      </w:r>
      <w:r>
        <w:t xml:space="preserve">The assessment of effectiveness looks at the extent to which the general and specific objectives</w:t>
      </w:r>
      <w:r>
        <w:t xml:space="preserve"> </w:t>
      </w:r>
      <w:r>
        <w:t xml:space="preserve">(SO) of the intervention are met. Table 12 provides the link between policy objectives and</w:t>
      </w:r>
      <w:r>
        <w:t xml:space="preserve"> </w:t>
      </w:r>
      <w:r>
        <w:t xml:space="preserve">assessment criteria.</w:t>
      </w:r>
      <w:r>
        <w:t xml:space="preserve"> </w:t>
      </w:r>
      <w:r>
        <w:t xml:space="preserve">Table 12: Link between objectives and assessment criteria</w:t>
      </w:r>
      <w:r>
        <w:t xml:space="preserve"> </w:t>
      </w:r>
      <w:r>
        <w:t xml:space="preserve">General objective</w:t>
      </w:r>
      <w:r>
        <w:t xml:space="preserve"> </w:t>
      </w:r>
      <w:r>
        <w:t xml:space="preserve">Specific objective</w:t>
      </w:r>
      <w:r>
        <w:t xml:space="preserve"> </w:t>
      </w:r>
      <w:r>
        <w:t xml:space="preserve">Assessment criteria</w:t>
      </w:r>
      <w:r>
        <w:t xml:space="preserve"> </w:t>
      </w:r>
      <w:r>
        <w:t xml:space="preserve">Incentivise</w:t>
      </w:r>
      <w:r>
        <w:t xml:space="preserve"> </w:t>
      </w:r>
      <w:r>
        <w:t xml:space="preserve">behavioural</w:t>
      </w:r>
      <w:r>
        <w:t xml:space="preserve"> </w:t>
      </w:r>
      <w:r>
        <w:t xml:space="preserve">change among businesses</w:t>
      </w:r>
      <w:r>
        <w:t xml:space="preserve"> </w:t>
      </w:r>
      <w:r>
        <w:t xml:space="preserve">and customers to reduce</w:t>
      </w:r>
      <w:r>
        <w:t xml:space="preserve"> </w:t>
      </w:r>
      <w:r>
        <w:t xml:space="preserve">GHG</w:t>
      </w:r>
      <w:r>
        <w:t xml:space="preserve"> </w:t>
      </w:r>
      <w:r>
        <w:t xml:space="preserve">emissions</w:t>
      </w:r>
      <w:r>
        <w:t xml:space="preserve"> </w:t>
      </w:r>
      <w:r>
        <w:t xml:space="preserve">from</w:t>
      </w:r>
      <w:r>
        <w:t xml:space="preserve"> </w:t>
      </w:r>
      <w:r>
        <w:t xml:space="preserve">transport services through</w:t>
      </w:r>
      <w:r>
        <w:t xml:space="preserve"> </w:t>
      </w:r>
      <w:r>
        <w:t xml:space="preserve">the uptake and use of</w:t>
      </w:r>
      <w:r>
        <w:t xml:space="preserve"> </w:t>
      </w:r>
      <w:r>
        <w:t xml:space="preserve">comparable and reliable</w:t>
      </w:r>
      <w:r>
        <w:t xml:space="preserve"> </w:t>
      </w:r>
      <w:r>
        <w:t xml:space="preserve">GHG emissions data</w:t>
      </w:r>
      <w:r>
        <w:br/>
      </w:r>
      <w:r>
        <w:t xml:space="preserve">SO1</w:t>
      </w:r>
      <w:r>
        <w:t xml:space="preserve"> </w:t>
      </w:r>
      <w:r>
        <w:t xml:space="preserve">–</w:t>
      </w:r>
      <w:r>
        <w:t xml:space="preserve"> </w:t>
      </w:r>
      <w:r>
        <w:t xml:space="preserve">Ensure</w:t>
      </w:r>
      <w:r>
        <w:t xml:space="preserve"> </w:t>
      </w:r>
      <w:r>
        <w:t xml:space="preserve">the</w:t>
      </w:r>
      <w:r>
        <w:t xml:space="preserve"> </w:t>
      </w:r>
      <w:r>
        <w:t xml:space="preserve">comparability of results</w:t>
      </w:r>
      <w:r>
        <w:t xml:space="preserve"> </w:t>
      </w:r>
      <w:r>
        <w:t xml:space="preserve">from GHG emissions</w:t>
      </w:r>
      <w:r>
        <w:t xml:space="preserve"> </w:t>
      </w:r>
      <w:r>
        <w:t xml:space="preserve">accounting of transport</w:t>
      </w:r>
      <w:r>
        <w:t xml:space="preserve"> </w:t>
      </w:r>
      <w:r>
        <w:t xml:space="preserve">services</w:t>
      </w:r>
      <w:r>
        <w:t xml:space="preserve"> </w:t>
      </w:r>
      <w:r>
        <w:t xml:space="preserve">Expected improvement in the comparability of GHG emissions</w:t>
      </w:r>
      <w:r>
        <w:t xml:space="preserve"> </w:t>
      </w:r>
      <w:r>
        <w:t xml:space="preserve">data shared in the transport chain (based on the relevant</w:t>
      </w:r>
      <w:r>
        <w:t xml:space="preserve"> </w:t>
      </w:r>
      <w:r>
        <w:t xml:space="preserve">methodology, generated with accurate input data, and</w:t>
      </w:r>
      <w:r>
        <w:t xml:space="preserve"> </w:t>
      </w:r>
      <w:r>
        <w:t xml:space="preserve">communicated from trusted sources in unambiguous and clear</w:t>
      </w:r>
      <w:r>
        <w:t xml:space="preserve"> </w:t>
      </w:r>
      <w:r>
        <w:t xml:space="preserve">manner)</w:t>
      </w:r>
      <w:r>
        <w:t xml:space="preserve"> </w:t>
      </w:r>
      <w:r>
        <w:t xml:space="preserve">SO2 - Facilitate the</w:t>
      </w:r>
      <w:r>
        <w:t xml:space="preserve"> </w:t>
      </w:r>
      <w:r>
        <w:t xml:space="preserve">uptake</w:t>
      </w:r>
      <w:r>
        <w:t xml:space="preserve"> </w:t>
      </w:r>
      <w:r>
        <w:t xml:space="preserve">of</w:t>
      </w:r>
      <w:r>
        <w:t xml:space="preserve"> </w:t>
      </w:r>
      <w:r>
        <w:t xml:space="preserve">GHG</w:t>
      </w:r>
      <w:r>
        <w:t xml:space="preserve"> </w:t>
      </w:r>
      <w:r>
        <w:t xml:space="preserve">emissions accounting of</w:t>
      </w:r>
      <w:r>
        <w:t xml:space="preserve"> </w:t>
      </w:r>
      <w:r>
        <w:t xml:space="preserve">transport</w:t>
      </w:r>
      <w:r>
        <w:t xml:space="preserve"> </w:t>
      </w:r>
      <w:r>
        <w:t xml:space="preserve">services</w:t>
      </w:r>
      <w:r>
        <w:t xml:space="preserve"> </w:t>
      </w:r>
      <w:r>
        <w:t xml:space="preserve">in</w:t>
      </w:r>
      <w:r>
        <w:t xml:space="preserve"> </w:t>
      </w:r>
      <w:r>
        <w:t xml:space="preserve">business practice</w:t>
      </w:r>
      <w:r>
        <w:t xml:space="preserve"> </w:t>
      </w:r>
      <w:r>
        <w:t xml:space="preserve">Expected increase in the use of the common methodological</w:t>
      </w:r>
      <w:r>
        <w:t xml:space="preserve"> </w:t>
      </w:r>
      <w:r>
        <w:t xml:space="preserve">framework by economic operators and other relevant entities</w:t>
      </w:r>
      <w:r>
        <w:t xml:space="preserve"> </w:t>
      </w:r>
      <w:r>
        <w:t xml:space="preserve">Expected decrease in the well-to-wheel GHG emissions of</w:t>
      </w:r>
      <w:r>
        <w:t xml:space="preserve"> </w:t>
      </w:r>
      <w:r>
        <w:t xml:space="preserve">transport services</w:t>
      </w:r>
    </w:p>
    <w:p>
      <w:pPr>
        <w:pStyle w:val="BodyText"/>
      </w:pPr>
      <w:r>
        <w:t xml:space="preserve">Concerning SO1, all policy options will result in improved comparability of the GHG emission results,</w:t>
      </w:r>
      <w:r>
        <w:t xml:space="preserve"> </w:t>
      </w:r>
      <w:r>
        <w:t xml:space="preserve">although PO1, PO3, PO4, PO5 and PO6 are expected to be more effective than PO2.</w:t>
      </w:r>
      <w:r>
        <w:br/>
      </w:r>
      <w:r>
        <w:t xml:space="preserve">PO1 and PO3 both rely on a comprehensive GHG emissions accounting methodology based on</w:t>
      </w:r>
      <w:r>
        <w:t xml:space="preserve"> </w:t>
      </w:r>
      <w:r>
        <w:t xml:space="preserve">ISO 14083, but with additional elements143 and increased accuracy (PM3). PO1 envisages the</w:t>
      </w:r>
      <w:r>
        <w:t xml:space="preserve"> </w:t>
      </w:r>
      <w:r>
        <w:t xml:space="preserve">strongest regulatory intervention, including inter alia the development of centralised databases</w:t>
      </w:r>
      <w:r>
        <w:t xml:space="preserve"> </w:t>
      </w:r>
      <w:r>
        <w:t xml:space="preserve">for default values (PM4) and emissions calculation tools at EU level, thus ensuring the</w:t>
      </w:r>
      <w:r>
        <w:t xml:space="preserve"> </w:t>
      </w:r>
      <w:r>
        <w:t xml:space="preserve">comparability of the output data (PM11). In turn, PO3 enables, under specific conditions, the</w:t>
      </w:r>
      <w:r>
        <w:t xml:space="preserve"> </w:t>
      </w:r>
      <w:r>
        <w:t xml:space="preserve">provision of emissions intensity factors databases (PM5) and emissions calculation tools (PM12)</w:t>
      </w:r>
      <w:r>
        <w:t xml:space="preserve"> </w:t>
      </w:r>
      <w:r>
        <w:t xml:space="preserve">by the market. While these measures are expected to significantly contribute to improving</w:t>
      </w:r>
      <w:r>
        <w:t xml:space="preserve"> </w:t>
      </w:r>
      <w:r>
        <w:t xml:space="preserve">comparability, they may be less effective than the databases and calculations tools established at</w:t>
      </w:r>
      <w:r>
        <w:t xml:space="preserve"> </w:t>
      </w:r>
      <w:r>
        <w:t xml:space="preserve">the EU level. For both POs, ISO 14083 with additional elements and increased accuracy will ensure</w:t>
      </w:r>
      <w:r>
        <w:t xml:space="preserve"> </w:t>
      </w:r>
      <w:r>
        <w:t xml:space="preserve">appropriate comparability and reliability of the GHG emissions outputs, but it will also require</w:t>
      </w:r>
      <w:r>
        <w:t xml:space="preserve"> </w:t>
      </w:r>
      <w:r>
        <w:t xml:space="preserve">time and resources to develop the additional elements and to eventually offer the methodology</w:t>
      </w:r>
      <w:r>
        <w:t xml:space="preserve"> </w:t>
      </w:r>
      <w:r>
        <w:t xml:space="preserve">for the use to stakeholders (it should be noted for instance, that at the moment there is no</w:t>
      </w:r>
      <w:r>
        <w:t xml:space="preserve"> </w:t>
      </w:r>
      <w:r>
        <w:t xml:space="preserve">commonly accepted business practice to estimate emissions related to the production and end</w:t>
      </w:r>
      <w:r>
        <w:t xml:space="preserve"> </w:t>
      </w:r>
      <w:r>
        <w:t xml:space="preserve">life of batteries in the context of transport services, and which is envisaged to form part of this</w:t>
      </w:r>
      <w:r>
        <w:t xml:space="preserve"> </w:t>
      </w:r>
      <w:r>
        <w:t xml:space="preserve">methodology). Furthermore, given the inclusion of additional elements, this methodological</w:t>
      </w:r>
    </w:p>
    <w:p>
      <w:pPr>
        <w:pStyle w:val="BodyText"/>
      </w:pPr>
      <w:r>
        <w:t xml:space="preserve">142 Regulation(EU) 2021/1119</w:t>
      </w:r>
      <w:r>
        <w:t xml:space="preserve"> </w:t>
      </w:r>
      <w:r>
        <w:t xml:space="preserve">143 Such as emissions from the production of batteries; see details in Annex 8.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choice may lead to inconsistencies in terms of harmonised accounting of emissions for</w:t>
      </w:r>
      <w:r>
        <w:t xml:space="preserve"> </w:t>
      </w:r>
      <w:r>
        <w:t xml:space="preserve">international transport operations (mostly affecting maritime transport and aviation144 that are</w:t>
      </w:r>
      <w:r>
        <w:t xml:space="preserve"> </w:t>
      </w:r>
      <w:r>
        <w:t xml:space="preserve">global in nature). Given all the arguments above, PO1 is considered more effective than PO3.</w:t>
      </w:r>
      <w:r>
        <w:t xml:space="preserve"> </w:t>
      </w:r>
      <w:r>
        <w:t xml:space="preserve">PO4 includes the same policy measures as PO3, with the exception of the common reference</w:t>
      </w:r>
      <w:r>
        <w:t xml:space="preserve"> </w:t>
      </w:r>
      <w:r>
        <w:t xml:space="preserve">methodology. While the plain ISO standard 14083 (included in PO4) does not ensure the same</w:t>
      </w:r>
      <w:r>
        <w:t xml:space="preserve"> </w:t>
      </w:r>
      <w:r>
        <w:t xml:space="preserve">level of accuracy as the advanced methodology based on the ISO standard 14083 with additional</w:t>
      </w:r>
      <w:r>
        <w:t xml:space="preserve"> </w:t>
      </w:r>
      <w:r>
        <w:t xml:space="preserve">elements (included in PO3 and PO1), it has certain advantages over the latter one. First, it has</w:t>
      </w:r>
      <w:r>
        <w:t xml:space="preserve"> </w:t>
      </w:r>
      <w:r>
        <w:t xml:space="preserve">already been developed, based on a robust research process including public consultation.</w:t>
      </w:r>
      <w:r>
        <w:t xml:space="preserve"> </w:t>
      </w:r>
      <w:r>
        <w:t xml:space="preserve">Secondly, it also offers the opportunity to align emissions accounting for international transport.</w:t>
      </w:r>
      <w:r>
        <w:t xml:space="preserve"> </w:t>
      </w:r>
      <w:r>
        <w:t xml:space="preserve">Thus, PO4 is assessed to be equally effective as PO1, and more effective than PO3.</w:t>
      </w:r>
      <w:r>
        <w:br/>
      </w:r>
      <w:r>
        <w:t xml:space="preserve">As far as SO1 is concerned, PO6 includes the same policy measures as envisaged under PO4,</w:t>
      </w:r>
      <w:r>
        <w:t xml:space="preserve"> </w:t>
      </w:r>
      <w:r>
        <w:t xml:space="preserve">including the methodological choice (ISO 14083). Therefore, with respect to SO1, PO6 is</w:t>
      </w:r>
      <w:r>
        <w:t xml:space="preserve"> </w:t>
      </w:r>
      <w:r>
        <w:t xml:space="preserve">considered to be equally effective as PO4.</w:t>
      </w:r>
      <w:r>
        <w:br/>
      </w:r>
      <w:r>
        <w:t xml:space="preserve">The timescale and resources needed to develop the PEFCR (included in PO5), that addresses</w:t>
      </w:r>
      <w:r>
        <w:t xml:space="preserve"> </w:t>
      </w:r>
      <w:r>
        <w:t xml:space="preserve">emissions accounting in the most comprehensive way, based on the full lifecycle (from cradle to</w:t>
      </w:r>
      <w:r>
        <w:t xml:space="preserve"> </w:t>
      </w:r>
      <w:r>
        <w:t xml:space="preserve">grave), is expected to be even more substantial than for the methodology based on ISO standard</w:t>
      </w:r>
      <w:r>
        <w:t xml:space="preserve"> </w:t>
      </w:r>
      <w:r>
        <w:t xml:space="preserve">14083 with additional elements and increased accuracy. This is because the transport specific</w:t>
      </w:r>
      <w:r>
        <w:t xml:space="preserve"> </w:t>
      </w:r>
      <w:r>
        <w:t xml:space="preserve">PEFCRs do not exist yet. In addition, the use of this methodology will likely result in even larger</w:t>
      </w:r>
      <w:r>
        <w:t xml:space="preserve"> </w:t>
      </w:r>
      <w:r>
        <w:t xml:space="preserve">misalignment with emissions accounting approaches for transport services at the international</w:t>
      </w:r>
      <w:r>
        <w:t xml:space="preserve"> </w:t>
      </w:r>
      <w:r>
        <w:t xml:space="preserve">level. Otherwise, PO5 also foresees centralised databases for default values to be established at</w:t>
      </w:r>
      <w:r>
        <w:t xml:space="preserve"> </w:t>
      </w:r>
      <w:r>
        <w:t xml:space="preserve">the EU level (PM4). However, the accuracy, and thus reliability of the default values included</w:t>
      </w:r>
      <w:r>
        <w:t xml:space="preserve"> </w:t>
      </w:r>
      <w:r>
        <w:t xml:space="preserve">in the databases envisaged under PO5 may not be as high as those included in the other policy</w:t>
      </w:r>
      <w:r>
        <w:t xml:space="preserve"> </w:t>
      </w:r>
      <w:r>
        <w:t xml:space="preserve">options, given the significant degree of uncertainty related to the valuation of emission factors</w:t>
      </w:r>
      <w:r>
        <w:t xml:space="preserve"> </w:t>
      </w:r>
      <w:r>
        <w:t xml:space="preserve">in the LCA perspective. Therefore, PO5 is assessed to be less effective than PO3 in achieving</w:t>
      </w:r>
      <w:r>
        <w:t xml:space="preserve"> </w:t>
      </w:r>
      <w:r>
        <w:t xml:space="preserve">SO1.</w:t>
      </w:r>
      <w:r>
        <w:br/>
      </w:r>
      <w:r>
        <w:t xml:space="preserve">PO2 includes the ISO standard 14083 (PM1) methodology and a centralised approach for the</w:t>
      </w:r>
      <w:r>
        <w:t xml:space="preserve"> </w:t>
      </w:r>
      <w:r>
        <w:t xml:space="preserve">input data (PM4) that, once combined, may offer a high level of comparability of GHG emission</w:t>
      </w:r>
      <w:r>
        <w:t xml:space="preserve"> </w:t>
      </w:r>
      <w:r>
        <w:t xml:space="preserve">figures on the market. However, PO2 envisages a voluntary application of the common</w:t>
      </w:r>
      <w:r>
        <w:t xml:space="preserve"> </w:t>
      </w:r>
      <w:r>
        <w:t xml:space="preserve">methodological framework that leaves its use to the discretional decision of the concerned</w:t>
      </w:r>
      <w:r>
        <w:t xml:space="preserve"> </w:t>
      </w:r>
      <w:r>
        <w:t xml:space="preserve">entities (PM15). The latter feature may eventually result in the co-existence of various</w:t>
      </w:r>
      <w:r>
        <w:t xml:space="preserve"> </w:t>
      </w:r>
      <w:r>
        <w:t xml:space="preserve">approaches for accounting emissions, and lesser methodological alignment on the market in the</w:t>
      </w:r>
      <w:r>
        <w:t xml:space="preserve"> </w:t>
      </w:r>
      <w:r>
        <w:t xml:space="preserve">short and medium term. Thus, PO2 is assessed to be the least effective in achieving SO1 among</w:t>
      </w:r>
      <w:r>
        <w:t xml:space="preserve"> </w:t>
      </w:r>
      <w:r>
        <w:t xml:space="preserve">the policy options.</w:t>
      </w:r>
      <w:r>
        <w:br/>
      </w:r>
      <w:r>
        <w:t xml:space="preserve">Based on this analysis, PO1, PO4 and PO6 are equally effective in achieving SO1, followed by PO3,</w:t>
      </w:r>
      <w:r>
        <w:t xml:space="preserve"> </w:t>
      </w:r>
      <w:r>
        <w:t xml:space="preserve">PO5 and finally PO2.</w:t>
      </w:r>
      <w:r>
        <w:t xml:space="preserve"> </w:t>
      </w:r>
      <w:r>
        <w:t xml:space="preserve">Concerning SO2, the uptake of GHG emissions accounting in business practice, and the related</w:t>
      </w:r>
      <w:r>
        <w:t xml:space="preserve"> </w:t>
      </w:r>
      <w:r>
        <w:t xml:space="preserve">reduction of WTW emissions from transport, will be mostly determined by the choice related to</w:t>
      </w:r>
      <w:r>
        <w:t xml:space="preserve"> </w:t>
      </w:r>
      <w:r>
        <w:t xml:space="preserve">the application of the initiative on the market (PM13, PM14 and PM15). Especially for the policy</w:t>
      </w:r>
      <w:r>
        <w:t xml:space="preserve"> </w:t>
      </w:r>
      <w:r>
        <w:t xml:space="preserve">options envisaging the voluntary or quasi voluntary application (PM14 and PM15) the uptake</w:t>
      </w:r>
      <w:r>
        <w:t xml:space="preserve"> </w:t>
      </w:r>
      <w:r>
        <w:t xml:space="preserve">will also be driven by the choice of the methodology (PM1, PM2 and PM3), data and process</w:t>
      </w:r>
    </w:p>
    <w:p>
      <w:pPr>
        <w:pStyle w:val="BodyText"/>
      </w:pPr>
      <w:r>
        <w:t xml:space="preserve">144 Including with respect to existing and future requirements at IMO and ICAO level.</w:t>
      </w:r>
    </w:p>
    <w:p>
      <w:pPr>
        <w:pStyle w:val="BodyText"/>
      </w:pPr>
      <w:r>
        <w:t xml:space="preserve">46</w:t>
      </w:r>
    </w:p>
    <w:p>
      <w:pPr>
        <w:pStyle w:val="BodyText"/>
      </w:pPr>
      <w:r>
        <w:t xml:space="preserve">verification system (PM8, PM9 and PM10), as well as other measures that will facilitate the</w:t>
      </w:r>
      <w:r>
        <w:t xml:space="preserve"> </w:t>
      </w:r>
      <w:r>
        <w:t xml:space="preserve">implementation of the initiative on the market, including through the use of calculation tools</w:t>
      </w:r>
      <w:r>
        <w:t xml:space="preserve"> </w:t>
      </w:r>
      <w:r>
        <w:t xml:space="preserve">(PM11, PM12).</w:t>
      </w:r>
      <w:r>
        <w:br/>
      </w:r>
      <w:r>
        <w:t xml:space="preserve">PO1 and PO6 are assessed to be the most effective with respect to SO2 since they mandate the</w:t>
      </w:r>
      <w:r>
        <w:t xml:space="preserve"> </w:t>
      </w:r>
      <w:r>
        <w:t xml:space="preserve">application of CountEmissions EU (PM13) to all entities involved in transport service activities.</w:t>
      </w:r>
      <w:r>
        <w:t xml:space="preserve"> </w:t>
      </w:r>
      <w:r>
        <w:t xml:space="preserve">Both PO1 and PO6 are expected to result in 918,003 additional businesses performing GHG</w:t>
      </w:r>
      <w:r>
        <w:t xml:space="preserve"> </w:t>
      </w:r>
      <w:r>
        <w:t xml:space="preserve">emissions accounting in 2030 and 1,703,841 additional businesses in 2050, relative to the</w:t>
      </w:r>
      <w:r>
        <w:t xml:space="preserve"> </w:t>
      </w:r>
      <w:r>
        <w:t xml:space="preserve">baseline. In addition, they would result in 22.1 million tonnes of GHG emissions saved over the</w:t>
      </w:r>
      <w:r>
        <w:t xml:space="preserve"> </w:t>
      </w:r>
      <w:r>
        <w:t xml:space="preserve">2025-2050 period relative to the baseline.</w:t>
      </w:r>
      <w:r>
        <w:br/>
      </w:r>
      <w:r>
        <w:t xml:space="preserve">PO3, PO4 and PO5 will mandate the use of the CountEmissions EU framework only for those</w:t>
      </w:r>
      <w:r>
        <w:t xml:space="preserve"> </w:t>
      </w:r>
      <w:r>
        <w:t xml:space="preserve">companies that decide or are required by other means145 to quantify and disclose GHG emissions</w:t>
      </w:r>
      <w:r>
        <w:t xml:space="preserve"> </w:t>
      </w:r>
      <w:r>
        <w:t xml:space="preserve">data from their transport services (PM14), and therefore these policy options are assessed to be</w:t>
      </w:r>
      <w:r>
        <w:t xml:space="preserve"> </w:t>
      </w:r>
      <w:r>
        <w:t xml:space="preserve">less effective than PO1 and PO6 in achieving SO2. The approach on the verification (only for</w:t>
      </w:r>
      <w:r>
        <w:t xml:space="preserve"> </w:t>
      </w:r>
      <w:r>
        <w:t xml:space="preserve">large enterprises) and the provision of certified calculation tools is the same for PO3, PO4 and</w:t>
      </w:r>
      <w:r>
        <w:t xml:space="preserve"> </w:t>
      </w:r>
      <w:r>
        <w:t xml:space="preserve">PO5, thus not affecting their ranking in terms of effectiveness. However, between these options,</w:t>
      </w:r>
      <w:r>
        <w:t xml:space="preserve"> </w:t>
      </w:r>
      <w:r>
        <w:t xml:space="preserve">the use of the common methodological framework by economic operators will vary, subject to</w:t>
      </w:r>
      <w:r>
        <w:t xml:space="preserve"> </w:t>
      </w:r>
      <w:r>
        <w:t xml:space="preserve">the complexity and costs related to its implementation. Therefore, PO4, offering a conducive</w:t>
      </w:r>
      <w:r>
        <w:t xml:space="preserve"> </w:t>
      </w:r>
      <w:r>
        <w:t xml:space="preserve">methodology provided by the ISO standard 14083 (PM1), is assessed to be more effective than</w:t>
      </w:r>
      <w:r>
        <w:t xml:space="preserve"> </w:t>
      </w:r>
      <w:r>
        <w:t xml:space="preserve">PO3 and PO5 that envisage additional methodological elements, associated with increased</w:t>
      </w:r>
      <w:r>
        <w:t xml:space="preserve"> </w:t>
      </w:r>
      <w:r>
        <w:t xml:space="preserve">complexity of emissions accounting for users. PO4 would result in 39,358 additional businesses</w:t>
      </w:r>
      <w:r>
        <w:t xml:space="preserve"> </w:t>
      </w:r>
      <w:r>
        <w:t xml:space="preserve">performing GHG emissions accounting in 2030 and 9,139 additional businesses in 2050, relative</w:t>
      </w:r>
      <w:r>
        <w:t xml:space="preserve"> </w:t>
      </w:r>
      <w:r>
        <w:t xml:space="preserve">to the baseline, and 5.6 million tonnes of GHG emissions saved over the 2025-2050 period</w:t>
      </w:r>
      <w:r>
        <w:t xml:space="preserve"> </w:t>
      </w:r>
      <w:r>
        <w:t xml:space="preserve">(relative to the baseline). PO3, implementing the ISO standard 14083 with additional elements and</w:t>
      </w:r>
      <w:r>
        <w:t xml:space="preserve"> </w:t>
      </w:r>
      <w:r>
        <w:t xml:space="preserve">increased accuracy is expected to result in 26,745 additional businesses performing GHG</w:t>
      </w:r>
      <w:r>
        <w:t xml:space="preserve"> </w:t>
      </w:r>
      <w:r>
        <w:t xml:space="preserve">emissions accounting in 2030 and 3,640 additional businesses in 2050, relative to the baseline.</w:t>
      </w:r>
      <w:r>
        <w:t xml:space="preserve"> </w:t>
      </w:r>
      <w:r>
        <w:t xml:space="preserve">It would also result in 1.7 million tonnes of GHG emissions saved over the 2025-2050 period</w:t>
      </w:r>
      <w:r>
        <w:t xml:space="preserve"> </w:t>
      </w:r>
      <w:r>
        <w:t xml:space="preserve">relative to the baseline. PO5 is assessed to be almost equally effective to PO3, with 25,102</w:t>
      </w:r>
      <w:r>
        <w:t xml:space="preserve"> </w:t>
      </w:r>
      <w:r>
        <w:t xml:space="preserve">additional businesses performing GHG emissions accounting in 2030 and 2,783 additional</w:t>
      </w:r>
      <w:r>
        <w:t xml:space="preserve"> </w:t>
      </w:r>
      <w:r>
        <w:t xml:space="preserve">businesses in 2050, relative to the baseline, and 1.5 million tonnes of GHG emissions saved over</w:t>
      </w:r>
      <w:r>
        <w:t xml:space="preserve"> </w:t>
      </w:r>
      <w:r>
        <w:t xml:space="preserve">the 2025-2050.</w:t>
      </w:r>
      <w:r>
        <w:t xml:space="preserve"> </w:t>
      </w:r>
      <w:r>
        <w:t xml:space="preserve">PO2 is expected to be more effective in achieving SO2 than PO3 and PO5 but less effective than</w:t>
      </w:r>
      <w:r>
        <w:t xml:space="preserve"> </w:t>
      </w:r>
      <w:r>
        <w:t xml:space="preserve">PO4, given the lax application of CountEmissions EU on the EU market (PM15) and the fully</w:t>
      </w:r>
      <w:r>
        <w:t xml:space="preserve"> </w:t>
      </w:r>
      <w:r>
        <w:t xml:space="preserve">voluntary verification system for processes and data (PM10). This assessment is based on the</w:t>
      </w:r>
      <w:r>
        <w:t xml:space="preserve"> </w:t>
      </w:r>
      <w:r>
        <w:t xml:space="preserve">fact that PO2 includes a more conducive and user friendly methodology (PM1), recognises the</w:t>
      </w:r>
      <w:r>
        <w:t xml:space="preserve"> </w:t>
      </w:r>
      <w:r>
        <w:t xml:space="preserve">use of CountEmissions EU through a label (PM15), and offers dedicated emissions calculation</w:t>
      </w:r>
      <w:r>
        <w:t xml:space="preserve"> </w:t>
      </w:r>
      <w:r>
        <w:t xml:space="preserve">tools to be managed at the central EU level (PM11). These features may especially attract interest</w:t>
      </w:r>
      <w:r>
        <w:t xml:space="preserve"> </w:t>
      </w:r>
      <w:r>
        <w:t xml:space="preserve">of SMEs that represent the majority of entities operating on this market. PO2 is expected to result</w:t>
      </w:r>
      <w:r>
        <w:t xml:space="preserve"> </w:t>
      </w:r>
      <w:r>
        <w:t xml:space="preserve">in 30,219 additional businesses performing GHG emissions accounting in 2030 and 1,388</w:t>
      </w:r>
      <w:r>
        <w:t xml:space="preserve"> </w:t>
      </w:r>
      <w:r>
        <w:t xml:space="preserve">additional businesses in 2050, relative to the baseline, and 3.7 million tonnes of GHG emissions</w:t>
      </w:r>
      <w:r>
        <w:t xml:space="preserve"> </w:t>
      </w:r>
      <w:r>
        <w:t xml:space="preserve">saved over the 2025-2050 period.</w:t>
      </w:r>
      <w:r>
        <w:t xml:space="preserve"> </w:t>
      </w:r>
      <w:r>
        <w:t xml:space="preserve">Therefore, with respect to SO2, PO1 and PO6 are assessed to be the most effective options, followed</w:t>
      </w:r>
    </w:p>
    <w:p>
      <w:pPr>
        <w:pStyle w:val="BodyText"/>
      </w:pPr>
      <w:r>
        <w:t xml:space="preserve">145 For instance, based on a contractual relationship, or other legal requirements stemming from separate provisions.</w:t>
      </w:r>
    </w:p>
    <w:p>
      <w:pPr>
        <w:pStyle w:val="BodyText"/>
      </w:pPr>
      <w:r>
        <w:t xml:space="preserve">47</w:t>
      </w:r>
    </w:p>
    <w:p>
      <w:pPr>
        <w:pStyle w:val="BodyText"/>
      </w:pPr>
      <w:r>
        <w:t xml:space="preserve">by PO4, PO2, PO3 and PO5.</w:t>
      </w:r>
      <w:r>
        <w:br/>
      </w:r>
      <w:r>
        <w:t xml:space="preserve">1.18</w:t>
      </w:r>
      <w:r>
        <w:t xml:space="preserve"> </w:t>
      </w:r>
      <w:r>
        <w:t xml:space="preserve">Efficiency</w:t>
      </w:r>
      <w:r>
        <w:t xml:space="preserve"> </w:t>
      </w:r>
      <w:r>
        <w:t xml:space="preserve">Efficiency concerns the ‘extent to which objectives can be achieved for a given cost (cost</w:t>
      </w:r>
      <w:r>
        <w:t xml:space="preserve"> </w:t>
      </w:r>
      <w:r>
        <w:t xml:space="preserve">effectiveness)’. The estimates of costs and benefits are summarised in Table 13.</w:t>
      </w:r>
      <w:r>
        <w:t xml:space="preserve"> </w:t>
      </w:r>
      <w:r>
        <w:t xml:space="preserve">Table 13: Summary of costs and benefits of policy options – present value for 2025-2050 compared to the baseline</w:t>
      </w:r>
      <w:r>
        <w:t xml:space="preserve"> </w:t>
      </w:r>
      <w:r>
        <w:t xml:space="preserve">(in million EUR), in 2022 prices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PO5</w:t>
      </w:r>
      <w:r>
        <w:t xml:space="preserve"> </w:t>
      </w:r>
      <w:r>
        <w:t xml:space="preserve">PO6</w:t>
      </w:r>
      <w:r>
        <w:t xml:space="preserve"> </w:t>
      </w:r>
      <w:r>
        <w:t xml:space="preserve">National public authorities</w:t>
      </w:r>
      <w:r>
        <w:t xml:space="preserve"> </w:t>
      </w:r>
      <w:r>
        <w:t xml:space="preserve">(including NABs)</w:t>
      </w:r>
    </w:p>
    <w:p>
      <w:pPr>
        <w:pStyle w:val="BodyText"/>
      </w:pPr>
      <w:r>
        <w:t xml:space="preserve">Adjustment costs</w:t>
      </w:r>
      <w:r>
        <w:br/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EEA</w:t>
      </w:r>
    </w:p>
    <w:p>
      <w:pPr>
        <w:pStyle w:val="BodyText"/>
      </w:pPr>
      <w:r>
        <w:t xml:space="preserve">Adjustment costs</w:t>
      </w:r>
      <w:r>
        <w:br/>
      </w:r>
      <w:r>
        <w:t xml:space="preserve">3.6</w:t>
      </w:r>
      <w:r>
        <w:t xml:space="preserve"> </w:t>
      </w:r>
      <w:r>
        <w:t xml:space="preserve">3.6</w:t>
      </w:r>
      <w:r>
        <w:t xml:space="preserve"> </w:t>
      </w:r>
      <w:r>
        <w:t xml:space="preserve">3.9</w:t>
      </w:r>
      <w:r>
        <w:t xml:space="preserve"> </w:t>
      </w:r>
      <w:r>
        <w:t xml:space="preserve">3.9</w:t>
      </w:r>
      <w:r>
        <w:t xml:space="preserve"> </w:t>
      </w:r>
      <w:r>
        <w:t xml:space="preserve">3.6</w:t>
      </w:r>
      <w:r>
        <w:t xml:space="preserve"> </w:t>
      </w:r>
      <w:r>
        <w:t xml:space="preserve">3.9</w:t>
      </w:r>
      <w:r>
        <w:t xml:space="preserve"> </w:t>
      </w:r>
      <w:r>
        <w:t xml:space="preserve">European Commission</w:t>
      </w:r>
    </w:p>
    <w:p>
      <w:pPr>
        <w:pStyle w:val="BodyText"/>
      </w:pPr>
      <w:r>
        <w:t xml:space="preserve">Adjustment costs</w:t>
      </w:r>
      <w:r>
        <w:br/>
      </w:r>
      <w:r>
        <w:t xml:space="preserve">2.7</w:t>
      </w:r>
      <w:r>
        <w:t xml:space="preserve"> </w:t>
      </w:r>
      <w:r>
        <w:t xml:space="preserve">0.3</w:t>
      </w:r>
      <w:r>
        <w:t xml:space="preserve"> </w:t>
      </w:r>
      <w:r>
        <w:t xml:space="preserve">2.4</w:t>
      </w:r>
      <w:r>
        <w:t xml:space="preserve"> </w:t>
      </w:r>
      <w:r>
        <w:t xml:space="preserve">0.0</w:t>
      </w:r>
      <w:r>
        <w:t xml:space="preserve"> </w:t>
      </w:r>
      <w:r>
        <w:t xml:space="preserve">5.3</w:t>
      </w:r>
      <w:r>
        <w:t xml:space="preserve"> </w:t>
      </w:r>
      <w:r>
        <w:t xml:space="preserve">0.0</w:t>
      </w:r>
      <w:r>
        <w:t xml:space="preserve"> </w:t>
      </w:r>
      <w:r>
        <w:t xml:space="preserve">Businesses</w:t>
      </w:r>
    </w:p>
    <w:p>
      <w:pPr>
        <w:pStyle w:val="BodyText"/>
      </w:pPr>
      <w:r>
        <w:t xml:space="preserve">Adjustment costs</w:t>
      </w:r>
      <w:r>
        <w:br/>
      </w:r>
      <w:r>
        <w:t xml:space="preserve">95,010.8</w:t>
      </w:r>
      <w:r>
        <w:t xml:space="preserve"> </w:t>
      </w:r>
      <w:r>
        <w:t xml:space="preserve">1,084.6</w:t>
      </w:r>
      <w:r>
        <w:t xml:space="preserve"> </w:t>
      </w:r>
      <w:r>
        <w:t xml:space="preserve">1,374.4</w:t>
      </w:r>
      <w:r>
        <w:t xml:space="preserve"> </w:t>
      </w:r>
      <w:r>
        <w:t xml:space="preserve">1,542</w:t>
      </w:r>
      <w:r>
        <w:t xml:space="preserve"> </w:t>
      </w:r>
      <w:r>
        <w:t xml:space="preserve">2,283.7</w:t>
      </w:r>
      <w:r>
        <w:t xml:space="preserve"> </w:t>
      </w:r>
      <w:r>
        <w:t xml:space="preserve">67,927.7</w:t>
      </w:r>
      <w:r>
        <w:t xml:space="preserve"> </w:t>
      </w:r>
      <w:r>
        <w:t xml:space="preserve">Administrative costs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0.3</w:t>
      </w:r>
      <w:r>
        <w:t xml:space="preserve"> </w:t>
      </w:r>
      <w:r>
        <w:t xml:space="preserve">0.5</w:t>
      </w:r>
      <w:r>
        <w:t xml:space="preserve"> </w:t>
      </w:r>
      <w:r>
        <w:t xml:space="preserve">Benefits</w:t>
      </w:r>
    </w:p>
    <w:p>
      <w:pPr>
        <w:pStyle w:val="BodyText"/>
      </w:pPr>
      <w:r>
        <w:t xml:space="preserve">Avoided fuel used (operators and</w:t>
      </w:r>
      <w:r>
        <w:t xml:space="preserve"> </w:t>
      </w:r>
      <w:r>
        <w:t xml:space="preserve">passengers)</w:t>
      </w:r>
      <w:r>
        <w:t xml:space="preserve"> </w:t>
      </w:r>
      <w:r>
        <w:t xml:space="preserve">10,362.9</w:t>
      </w:r>
      <w:r>
        <w:t xml:space="preserve"> </w:t>
      </w:r>
      <w:r>
        <w:t xml:space="preserve">1,585.5</w:t>
      </w:r>
      <w:r>
        <w:t xml:space="preserve"> </w:t>
      </w:r>
      <w:r>
        <w:t xml:space="preserve">718.3</w:t>
      </w:r>
      <w:r>
        <w:t xml:space="preserve"> </w:t>
      </w:r>
      <w:r>
        <w:t xml:space="preserve">2,415.9</w:t>
      </w:r>
      <w:r>
        <w:t xml:space="preserve"> </w:t>
      </w:r>
      <w:r>
        <w:t xml:space="preserve">630.5</w:t>
      </w:r>
      <w:r>
        <w:t xml:space="preserve"> </w:t>
      </w:r>
      <w:r>
        <w:t xml:space="preserve">10,362.9</w:t>
      </w:r>
      <w:r>
        <w:t xml:space="preserve"> </w:t>
      </w:r>
      <w:r>
        <w:t xml:space="preserve">Reduction in external costs of</w:t>
      </w:r>
      <w:r>
        <w:t xml:space="preserve"> </w:t>
      </w:r>
      <w:r>
        <w:t xml:space="preserve">GHG emissions</w:t>
      </w:r>
      <w:r>
        <w:t xml:space="preserve"> </w:t>
      </w:r>
      <w:r>
        <w:t xml:space="preserve">2,878.9</w:t>
      </w:r>
      <w:r>
        <w:t xml:space="preserve"> </w:t>
      </w:r>
      <w:r>
        <w:t xml:space="preserve">445.4</w:t>
      </w:r>
      <w:r>
        <w:t xml:space="preserve"> </w:t>
      </w:r>
      <w:r>
        <w:t xml:space="preserve">200.0</w:t>
      </w:r>
      <w:r>
        <w:t xml:space="preserve"> </w:t>
      </w:r>
      <w:r>
        <w:t xml:space="preserve">674.1</w:t>
      </w:r>
      <w:r>
        <w:t xml:space="preserve"> </w:t>
      </w:r>
      <w:r>
        <w:t xml:space="preserve">174.9</w:t>
      </w:r>
      <w:r>
        <w:t xml:space="preserve"> </w:t>
      </w:r>
      <w:r>
        <w:t xml:space="preserve">2,878.9</w:t>
      </w:r>
      <w:r>
        <w:t xml:space="preserve"> </w:t>
      </w:r>
      <w:r>
        <w:t xml:space="preserve">Reduction in external costs of air</w:t>
      </w:r>
      <w:r>
        <w:t xml:space="preserve"> </w:t>
      </w:r>
      <w:r>
        <w:t xml:space="preserve">pollution emissions</w:t>
      </w:r>
      <w:r>
        <w:t xml:space="preserve"> </w:t>
      </w:r>
      <w:r>
        <w:t xml:space="preserve">600.6</w:t>
      </w:r>
      <w:r>
        <w:t xml:space="preserve"> </w:t>
      </w:r>
      <w:r>
        <w:t xml:space="preserve">110.8</w:t>
      </w:r>
      <w:r>
        <w:t xml:space="preserve"> </w:t>
      </w:r>
      <w:r>
        <w:t xml:space="preserve">53.1</w:t>
      </w:r>
      <w:r>
        <w:t xml:space="preserve"> </w:t>
      </w:r>
      <w:r>
        <w:t xml:space="preserve">163.5</w:t>
      </w:r>
      <w:r>
        <w:t xml:space="preserve"> </w:t>
      </w:r>
      <w:r>
        <w:t xml:space="preserve">47.0</w:t>
      </w:r>
      <w:r>
        <w:t xml:space="preserve"> </w:t>
      </w:r>
      <w:r>
        <w:t xml:space="preserve">600.6</w:t>
      </w:r>
      <w:r>
        <w:t xml:space="preserve"> </w:t>
      </w:r>
      <w:r>
        <w:t xml:space="preserve">Reduction in external costs of</w:t>
      </w:r>
      <w:r>
        <w:t xml:space="preserve"> </w:t>
      </w:r>
      <w:r>
        <w:t xml:space="preserve">accidents</w:t>
      </w:r>
      <w:r>
        <w:t xml:space="preserve"> </w:t>
      </w:r>
      <w:r>
        <w:t xml:space="preserve">2,760.5</w:t>
      </w:r>
      <w:r>
        <w:t xml:space="preserve"> </w:t>
      </w:r>
      <w:r>
        <w:t xml:space="preserve">424.4</w:t>
      </w:r>
      <w:r>
        <w:t xml:space="preserve"> </w:t>
      </w:r>
      <w:r>
        <w:t xml:space="preserve">192.2</w:t>
      </w:r>
      <w:r>
        <w:t xml:space="preserve"> </w:t>
      </w:r>
      <w:r>
        <w:t xml:space="preserve">645.2</w:t>
      </w:r>
      <w:r>
        <w:t xml:space="preserve"> </w:t>
      </w:r>
      <w:r>
        <w:t xml:space="preserve">168.6</w:t>
      </w:r>
      <w:r>
        <w:t xml:space="preserve"> </w:t>
      </w:r>
      <w:r>
        <w:t xml:space="preserve">2,760.5</w:t>
      </w:r>
      <w:r>
        <w:t xml:space="preserve"> </w:t>
      </w:r>
      <w:r>
        <w:t xml:space="preserve">Total costs</w:t>
      </w:r>
      <w:r>
        <w:t xml:space="preserve"> </w:t>
      </w:r>
      <w:r>
        <w:t xml:space="preserve">95,017</w:t>
      </w:r>
      <w:r>
        <w:t xml:space="preserve"> </w:t>
      </w:r>
      <w:r>
        <w:t xml:space="preserve">1,089</w:t>
      </w:r>
      <w:r>
        <w:t xml:space="preserve"> </w:t>
      </w:r>
      <w:r>
        <w:t xml:space="preserve">1,381</w:t>
      </w:r>
      <w:r>
        <w:t xml:space="preserve"> </w:t>
      </w:r>
      <w:r>
        <w:t xml:space="preserve">1,547</w:t>
      </w:r>
      <w:r>
        <w:t xml:space="preserve"> </w:t>
      </w:r>
      <w:r>
        <w:t xml:space="preserve">2,293</w:t>
      </w:r>
      <w:r>
        <w:t xml:space="preserve"> </w:t>
      </w:r>
      <w:r>
        <w:t xml:space="preserve">67,932</w:t>
      </w:r>
      <w:r>
        <w:t xml:space="preserve"> </w:t>
      </w:r>
      <w:r>
        <w:t xml:space="preserve">Total benefits</w:t>
      </w:r>
      <w:r>
        <w:t xml:space="preserve"> </w:t>
      </w:r>
      <w:r>
        <w:t xml:space="preserve">16,602.9</w:t>
      </w:r>
      <w:r>
        <w:t xml:space="preserve"> </w:t>
      </w:r>
      <w:r>
        <w:t xml:space="preserve">2,566.1</w:t>
      </w:r>
      <w:r>
        <w:t xml:space="preserve"> </w:t>
      </w:r>
      <w:r>
        <w:t xml:space="preserve">1,163.6</w:t>
      </w:r>
      <w:r>
        <w:t xml:space="preserve"> </w:t>
      </w:r>
      <w:r>
        <w:t xml:space="preserve">3,899</w:t>
      </w:r>
      <w:r>
        <w:t xml:space="preserve"> </w:t>
      </w:r>
      <w:r>
        <w:t xml:space="preserve">1,021.0</w:t>
      </w:r>
      <w:r>
        <w:t xml:space="preserve"> </w:t>
      </w:r>
      <w:r>
        <w:t xml:space="preserve">16,602.9</w:t>
      </w:r>
      <w:r>
        <w:t xml:space="preserve"> </w:t>
      </w:r>
      <w:r>
        <w:t xml:space="preserve">Net benefits</w:t>
      </w:r>
      <w:r>
        <w:t xml:space="preserve"> </w:t>
      </w:r>
      <w:r>
        <w:t xml:space="preserve">-78,414.4</w:t>
      </w:r>
      <w:r>
        <w:t xml:space="preserve"> </w:t>
      </w:r>
      <w:r>
        <w:t xml:space="preserve">1,477.3</w:t>
      </w:r>
      <w:r>
        <w:t xml:space="preserve"> </w:t>
      </w:r>
      <w:r>
        <w:t xml:space="preserve">-217.9</w:t>
      </w:r>
      <w:r>
        <w:t xml:space="preserve"> </w:t>
      </w:r>
      <w:r>
        <w:t xml:space="preserve">2,352.1</w:t>
      </w:r>
      <w:r>
        <w:t xml:space="preserve"> </w:t>
      </w:r>
      <w:r>
        <w:t xml:space="preserve">-1,272.1</w:t>
      </w:r>
      <w:r>
        <w:t xml:space="preserve"> </w:t>
      </w:r>
      <w:r>
        <w:t xml:space="preserve">-51,329.4</w:t>
      </w:r>
      <w:r>
        <w:t xml:space="preserve"> </w:t>
      </w:r>
      <w:r>
        <w:t xml:space="preserve">Benefits to costs ratio</w:t>
      </w:r>
      <w:r>
        <w:t xml:space="preserve"> </w:t>
      </w:r>
      <w:r>
        <w:t xml:space="preserve">0.2</w:t>
      </w:r>
      <w:r>
        <w:t xml:space="preserve"> </w:t>
      </w:r>
      <w:r>
        <w:t xml:space="preserve">2.4</w:t>
      </w:r>
      <w:r>
        <w:t xml:space="preserve"> </w:t>
      </w:r>
      <w:r>
        <w:t xml:space="preserve">0.8</w:t>
      </w:r>
      <w:r>
        <w:t xml:space="preserve"> </w:t>
      </w:r>
      <w:r>
        <w:t xml:space="preserve">2.5</w:t>
      </w:r>
      <w:r>
        <w:t xml:space="preserve"> </w:t>
      </w:r>
      <w:r>
        <w:t xml:space="preserve">0.4</w:t>
      </w:r>
      <w:r>
        <w:t xml:space="preserve"> </w:t>
      </w:r>
      <w:r>
        <w:t xml:space="preserve">0.2</w:t>
      </w:r>
      <w:r>
        <w:t xml:space="preserve"> </w:t>
      </w:r>
      <w:r>
        <w:t xml:space="preserve">Source: Ecorys and CE Delft (2023), Impact assessment support study; Note: negative values reflect net costs.</w:t>
      </w:r>
      <w:r>
        <w:t xml:space="preserve"> </w:t>
      </w:r>
      <w:r>
        <w:t xml:space="preserve">The major cost element of the policy options consists of adjustment costs for businesses for</w:t>
      </w:r>
      <w:r>
        <w:t xml:space="preserve"> </w:t>
      </w:r>
      <w:r>
        <w:t xml:space="preserve">implementing the new emissions quantification methodologies. Other significant groups of costs,</w:t>
      </w:r>
      <w:r>
        <w:t xml:space="preserve"> </w:t>
      </w:r>
      <w:r>
        <w:t xml:space="preserve">included in all POs, are adjustment costs related to the use of calculation tools and verification activities.</w:t>
      </w:r>
      <w:r>
        <w:br/>
      </w:r>
      <w:r>
        <w:t xml:space="preserve">Total costs. PO1 and PO6 set the mandatory application of CountEmissions EU to all business</w:t>
      </w:r>
      <w:r>
        <w:t xml:space="preserve"> </w:t>
      </w:r>
      <w:r>
        <w:t xml:space="preserve">performing transport on own account (around 1.8 million businesses) and are expected to result in the</w:t>
      </w:r>
      <w:r>
        <w:t xml:space="preserve"> </w:t>
      </w:r>
      <w:r>
        <w:t xml:space="preserve">highest total costs, estimated respectively at EUR 95 billion and EUR 67.9 billion, expressed as present</w:t>
      </w:r>
      <w:r>
        <w:t xml:space="preserve"> </w:t>
      </w:r>
      <w:r>
        <w:t xml:space="preserve">value over 2025-2050 relative to the baseline. The lower costs in PO6 compared to PO1 are mainly</w:t>
      </w:r>
      <w:r>
        <w:t xml:space="preserve"> </w:t>
      </w:r>
      <w:r>
        <w:t xml:space="preserve">due to the lower unit costs associated to PM3 (ISO 14083) and the use of calculation tools. PO3, PO4</w:t>
      </w:r>
      <w:r>
        <w:t xml:space="preserve"> </w:t>
      </w:r>
      <w:r>
        <w:t xml:space="preserve">and PO5, that envisage a binding opt-in application, show significantly lower costs estimated at</w:t>
      </w:r>
      <w:r>
        <w:t xml:space="preserve"> </w:t>
      </w:r>
      <w:r>
        <w:t xml:space="preserve">EUR 1.4 billion, EUR 1.5 billion and EUR 2.3 billion, respectively. The additional costs in PO5</w:t>
      </w:r>
      <w:r>
        <w:t xml:space="preserve"> </w:t>
      </w:r>
      <w:r>
        <w:t xml:space="preserve">compared to PO3 (EUR 912 million) and PO4 (EUR 747 million) are mainly associated to the</w:t>
      </w:r>
      <w:r>
        <w:t xml:space="preserve"> </w:t>
      </w:r>
      <w:r>
        <w:t xml:space="preserve">additional complexity for implementing the PEFCR and also the use of calculation tools and</w:t>
      </w:r>
      <w:r>
        <w:t xml:space="preserve"> </w:t>
      </w:r>
      <w:r>
        <w:t xml:space="preserve">verification activities. The additional costs in PO4 compared to PO3 (EUR 165 million) steam from</w:t>
      </w:r>
      <w:r>
        <w:t xml:space="preserve"> </w:t>
      </w:r>
      <w:r>
        <w:t xml:space="preserve">the higher share of companies expected to implement GHG emissions accounting at service level. PO2,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envisaging voluntary application, shows the lowest total costs, estimated at EUR 1.1 billion relative to</w:t>
      </w:r>
      <w:r>
        <w:t xml:space="preserve"> </w:t>
      </w:r>
      <w:r>
        <w:t xml:space="preserve">the baseline, expressed as present value over 2025-2050.</w:t>
      </w:r>
      <w:r>
        <w:br/>
      </w:r>
      <w:r>
        <w:t xml:space="preserve">The highest share of the total costs for each policy option relates to adjustment costs for businesses for</w:t>
      </w:r>
      <w:r>
        <w:t xml:space="preserve"> </w:t>
      </w:r>
      <w:r>
        <w:t xml:space="preserve">the setting of a common reference methodology at EU level (91% and 89% of the total costs in PO4</w:t>
      </w:r>
      <w:r>
        <w:t xml:space="preserve"> </w:t>
      </w:r>
      <w:r>
        <w:t xml:space="preserve">and PO6 respectively for ISO 14083, 88% in PO3 for ISO 14083 with additional elements and</w:t>
      </w:r>
      <w:r>
        <w:t xml:space="preserve"> </w:t>
      </w:r>
      <w:r>
        <w:t xml:space="preserve">increased accuracy, 87% in PO2 for ISO 14083, 84% in PO1 for ISO 14083 with additional elements</w:t>
      </w:r>
      <w:r>
        <w:t xml:space="preserve"> </w:t>
      </w:r>
      <w:r>
        <w:t xml:space="preserve">and increased accuracy and 72% in PO5 for PEFCR). The second category of costs in terms of share</w:t>
      </w:r>
      <w:r>
        <w:t xml:space="preserve"> </w:t>
      </w:r>
      <w:r>
        <w:t xml:space="preserve">of the total costs relates to adjustment costs for businesses for the use of the calculation tools (21% of</w:t>
      </w:r>
      <w:r>
        <w:t xml:space="preserve"> </w:t>
      </w:r>
      <w:r>
        <w:t xml:space="preserve">the total costs in PO5, 12% in PO3, 9% in PO4 and PO6, 8% in PO1 and 7% in PO2).</w:t>
      </w:r>
      <w:r>
        <w:br/>
      </w:r>
      <w:r>
        <w:t xml:space="preserve">Total benefits. All policy options result in better transparency and improved harmonisation of GHG</w:t>
      </w:r>
      <w:r>
        <w:t xml:space="preserve"> </w:t>
      </w:r>
      <w:r>
        <w:t xml:space="preserve">emissions data for transport services. This is expected to lead to higher use of more sustainable transport</w:t>
      </w:r>
      <w:r>
        <w:t xml:space="preserve"> </w:t>
      </w:r>
      <w:r>
        <w:t xml:space="preserve">options and optimised trips, resulting in energy costs savings for transport operators and consumers,</w:t>
      </w:r>
      <w:r>
        <w:t xml:space="preserve"> </w:t>
      </w:r>
      <w:r>
        <w:t xml:space="preserve">and a reduction in the external costs of transport. PO1 and PO6 show the highest total benefits estimated</w:t>
      </w:r>
      <w:r>
        <w:t xml:space="preserve"> </w:t>
      </w:r>
      <w:r>
        <w:t xml:space="preserve">at EUR 16.6 billion, due to the mandatory application of the CountEmissions EU146. The other policy</w:t>
      </w:r>
      <w:r>
        <w:t xml:space="preserve"> </w:t>
      </w:r>
      <w:r>
        <w:t xml:space="preserve">options show significantly lower benefits estimated at EUR 3.9 billion in PO4, followed by PO2 (EUR</w:t>
      </w:r>
      <w:r>
        <w:t xml:space="preserve"> </w:t>
      </w:r>
      <w:r>
        <w:t xml:space="preserve">2.6 billion), PO3 (EUR 1.2 billion) and PO5 (EUR 1 billion). It should however be noted that there is</w:t>
      </w:r>
      <w:r>
        <w:t xml:space="preserve"> </w:t>
      </w:r>
      <w:r>
        <w:t xml:space="preserve">large uncertainty related to these estimates, that depend on behavioural change towards more</w:t>
      </w:r>
      <w:r>
        <w:t xml:space="preserve"> </w:t>
      </w:r>
      <w:r>
        <w:t xml:space="preserve">sustainable solutions, as explained in Annex 4.</w:t>
      </w:r>
      <w:r>
        <w:t xml:space="preserve"> </w:t>
      </w:r>
      <w:r>
        <w:t xml:space="preserve">Overall, PO2 and PO4 are expected to result in net benefits relative to the baseline. PO4 shows the</w:t>
      </w:r>
      <w:r>
        <w:t xml:space="preserve"> </w:t>
      </w:r>
      <w:r>
        <w:t xml:space="preserve">highest net benefits, estimated at EUR 2.4 billion expressed as present value over 2025-2050 (relative</w:t>
      </w:r>
      <w:r>
        <w:t xml:space="preserve"> </w:t>
      </w:r>
      <w:r>
        <w:t xml:space="preserve">to the baseline), followed by PO2 (EUR 1.5 billion). On the other hand, PO1, PO6, PO3 and PO5 are</w:t>
      </w:r>
      <w:r>
        <w:t xml:space="preserve"> </w:t>
      </w:r>
      <w:r>
        <w:t xml:space="preserve">expected to result in net costs (EUR 78.4 billion in PO1, EUR 51.3 billion in PO6, EUR 0.2 billion in</w:t>
      </w:r>
      <w:r>
        <w:t xml:space="preserve"> </w:t>
      </w:r>
      <w:r>
        <w:t xml:space="preserve">PO3 and EUR 1.3 billion in PO5). PO4 also shows the highest benefit to cost ratio (2.5), followed by</w:t>
      </w:r>
      <w:r>
        <w:t xml:space="preserve"> </w:t>
      </w:r>
      <w:r>
        <w:t xml:space="preserve">PO2 (2.4), PO3 (0.8), PO5 (0.4), PO6 and PO1 (0.2).</w:t>
      </w:r>
      <w:r>
        <w:br/>
      </w:r>
      <w:r>
        <w:t xml:space="preserve">1.19</w:t>
      </w:r>
      <w:r>
        <w:t xml:space="preserve"> </w:t>
      </w:r>
      <w:r>
        <w:t xml:space="preserve">Coherence</w:t>
      </w:r>
      <w:r>
        <w:br/>
      </w:r>
      <w:r>
        <w:t xml:space="preserve">Internal coherence assesses how various elements of the new legal act function together to achieve</w:t>
      </w:r>
      <w:r>
        <w:t xml:space="preserve"> </w:t>
      </w:r>
      <w:r>
        <w:t xml:space="preserve">the objectives. It should be noted that this does not only concern the legal act itself, but also its</w:t>
      </w:r>
      <w:r>
        <w:t xml:space="preserve"> </w:t>
      </w:r>
      <w:r>
        <w:t xml:space="preserve">accompanying secondary legislation and rules, as well as guidelines. Although all five policy options</w:t>
      </w:r>
      <w:r>
        <w:t xml:space="preserve"> </w:t>
      </w:r>
      <w:r>
        <w:t xml:space="preserve">address the identified problems, they do so in different ways. PO1 proposes the strongest regulatory</w:t>
      </w:r>
      <w:r>
        <w:t xml:space="preserve"> </w:t>
      </w:r>
      <w:r>
        <w:t xml:space="preserve">approach including the mandatory application of a comprehensive methodology, mandatory</w:t>
      </w:r>
      <w:r>
        <w:t xml:space="preserve"> </w:t>
      </w:r>
      <w:r>
        <w:t xml:space="preserve">verification rules, as well as EU centralised default data databases and calculation tools. This</w:t>
      </w:r>
      <w:r>
        <w:t xml:space="preserve"> </w:t>
      </w:r>
      <w:r>
        <w:t xml:space="preserve">approach ensures that all the entities involved in transport services activities account emissions,</w:t>
      </w:r>
      <w:r>
        <w:t xml:space="preserve"> </w:t>
      </w:r>
      <w:r>
        <w:t xml:space="preserve">and they do so based on the same methodology and data. PO2, to the contrary, envisages a fully</w:t>
      </w:r>
      <w:r>
        <w:t xml:space="preserve"> </w:t>
      </w:r>
      <w:r>
        <w:t xml:space="preserve">voluntary framework, both in terms of the applicability and verification, based on a conducive</w:t>
      </w:r>
      <w:r>
        <w:t xml:space="preserve"> </w:t>
      </w:r>
      <w:r>
        <w:t xml:space="preserve">methodology, but supported with centralised databases and calculation tools. In this respect, PO2</w:t>
      </w:r>
      <w:r>
        <w:t xml:space="preserve"> </w:t>
      </w:r>
      <w:r>
        <w:t xml:space="preserve">aims to achieve the objectives with minimum burden and costs for the market. In turn, PO3, PO4</w:t>
      </w:r>
      <w:r>
        <w:t xml:space="preserve"> </w:t>
      </w:r>
      <w:r>
        <w:t xml:space="preserve">and PO5 offer a semi voluntary approach (binding-in) and lighter verification process, but they</w:t>
      </w:r>
      <w:r>
        <w:t xml:space="preserve"> </w:t>
      </w:r>
      <w:r>
        <w:t xml:space="preserve">differ in terms of the use of centralised or decentralised databases, and the type of an accounting</w:t>
      </w:r>
      <w:r>
        <w:t xml:space="preserve"> </w:t>
      </w:r>
      <w:r>
        <w:t xml:space="preserve">methodology referred to. PO6 proposes the mandatory application of the framework, but</w:t>
      </w:r>
      <w:r>
        <w:t xml:space="preserve"> </w:t>
      </w:r>
      <w:r>
        <w:t xml:space="preserve">combined with a more conducive methodology, lighter verification process and some flexibility</w:t>
      </w:r>
    </w:p>
    <w:p>
      <w:pPr>
        <w:pStyle w:val="BodyText"/>
      </w:pPr>
      <w:r>
        <w:t xml:space="preserve">146 Feedbacks from stakeholder consultation and literature review does not provide further evidence for a modal</w:t>
      </w:r>
      <w:r>
        <w:t xml:space="preserve"> </w:t>
      </w:r>
      <w:r>
        <w:t xml:space="preserve">shift in excess of 10% because of the harmonisation of GHG emissions methodology. Therefore, applying a</w:t>
      </w:r>
      <w:r>
        <w:t xml:space="preserve"> </w:t>
      </w:r>
      <w:r>
        <w:t xml:space="preserve">conservative approach, the modal shift has been capped at 10%.</w:t>
      </w:r>
    </w:p>
    <w:p>
      <w:pPr>
        <w:pStyle w:val="BodyText"/>
      </w:pPr>
      <w:r>
        <w:t xml:space="preserve">49</w:t>
      </w:r>
    </w:p>
    <w:p>
      <w:pPr>
        <w:pStyle w:val="BodyText"/>
      </w:pPr>
      <w:r>
        <w:t xml:space="preserve">related to the use of input data and calculation of emissions, as already envisaged under PO4.</w:t>
      </w:r>
      <w:r>
        <w:t xml:space="preserve"> </w:t>
      </w:r>
      <w:r>
        <w:t xml:space="preserve">Specific choices that are made for these options will determine the implementation modalities at</w:t>
      </w:r>
      <w:r>
        <w:t xml:space="preserve"> </w:t>
      </w:r>
      <w:r>
        <w:t xml:space="preserve">different effectiveness and costs. Finally, there are common measures (implementation</w:t>
      </w:r>
      <w:r>
        <w:t xml:space="preserve"> </w:t>
      </w:r>
      <w:r>
        <w:t xml:space="preserve">guidelines, harmonised rules for the output data) that aim to complement various policy</w:t>
      </w:r>
      <w:r>
        <w:t xml:space="preserve"> </w:t>
      </w:r>
      <w:r>
        <w:t xml:space="preserve">components within the respective options. In this context, all options ensure internal coherence.</w:t>
      </w:r>
      <w:r>
        <w:t xml:space="preserve"> </w:t>
      </w:r>
      <w:r>
        <w:t xml:space="preserve">External coherence concentrates on the compliance of the initiative with other EU instruments, and</w:t>
      </w:r>
      <w:r>
        <w:t xml:space="preserve"> </w:t>
      </w:r>
      <w:r>
        <w:t xml:space="preserve">also relevant international obligations. In this respect, all identified policy options were built in such</w:t>
      </w:r>
      <w:r>
        <w:t xml:space="preserve"> </w:t>
      </w:r>
      <w:r>
        <w:t xml:space="preserve">a way to ensure complementarity to several existing and emerging EU and international initiatives</w:t>
      </w:r>
      <w:r>
        <w:t xml:space="preserve"> </w:t>
      </w:r>
      <w:r>
        <w:t xml:space="preserve">dealing with emissions measurement and reporting and consumer protection, as presented in</w:t>
      </w:r>
      <w:r>
        <w:t xml:space="preserve"> </w:t>
      </w:r>
      <w:r>
        <w:t xml:space="preserve">sections 1.3 and 1.4. However, the coherence of respective policy options vary, especially with</w:t>
      </w:r>
      <w:r>
        <w:t xml:space="preserve"> </w:t>
      </w:r>
      <w:r>
        <w:t xml:space="preserve">respect to the choice of a reference GHG emissions accounting methodology, and the type of</w:t>
      </w:r>
      <w:r>
        <w:t xml:space="preserve"> </w:t>
      </w:r>
      <w:r>
        <w:t xml:space="preserve">input data framework. In this context PO2, PO4 and PO6 show a high level of external coherence,</w:t>
      </w:r>
      <w:r>
        <w:t xml:space="preserve"> </w:t>
      </w:r>
      <w:r>
        <w:t xml:space="preserve">being based on the existing (international) ISO standard 14083 and hence offering better</w:t>
      </w:r>
      <w:r>
        <w:t xml:space="preserve"> </w:t>
      </w:r>
      <w:r>
        <w:t xml:space="preserve">opportunity for a global methodological alignment. However, PO4 and PO6 allowing external</w:t>
      </w:r>
      <w:r>
        <w:t xml:space="preserve"> </w:t>
      </w:r>
      <w:r>
        <w:t xml:space="preserve">(international, national, sectorial) databases of default values (under certain conditions) are</w:t>
      </w:r>
      <w:r>
        <w:t xml:space="preserve"> </w:t>
      </w:r>
      <w:r>
        <w:t xml:space="preserve">slightly more coherent than PO2, offering a single, centralised EU default values dataset. The</w:t>
      </w:r>
      <w:r>
        <w:t xml:space="preserve"> </w:t>
      </w:r>
      <w:r>
        <w:t xml:space="preserve">coherence of PO1 and PO3 will be lower than PO4, PO2 and PO6, since both options are based</w:t>
      </w:r>
      <w:r>
        <w:t xml:space="preserve"> </w:t>
      </w:r>
      <w:r>
        <w:t xml:space="preserve">on the ISO standard 14083 with additional elements (such as LCA147 for batteries), that are not</w:t>
      </w:r>
      <w:r>
        <w:t xml:space="preserve"> </w:t>
      </w:r>
      <w:r>
        <w:t xml:space="preserve">yet taken up in the international emissions accounting approaches. PO3 will nevertheless feature</w:t>
      </w:r>
      <w:r>
        <w:t xml:space="preserve"> </w:t>
      </w:r>
      <w:r>
        <w:t xml:space="preserve">better than PO1, due to the decentralised system for default values, allowing the use of external</w:t>
      </w:r>
      <w:r>
        <w:t xml:space="preserve"> </w:t>
      </w:r>
      <w:r>
        <w:t xml:space="preserve">databases (under certain conditions). PO5 scores the lowest, given the most complex and specific</w:t>
      </w:r>
      <w:r>
        <w:t xml:space="preserve"> </w:t>
      </w:r>
      <w:r>
        <w:t xml:space="preserve">methodology provided through PEFCRs, that is not in use at the EU and international scale for</w:t>
      </w:r>
      <w:r>
        <w:t xml:space="preserve"> </w:t>
      </w:r>
      <w:r>
        <w:t xml:space="preserve">quantifying emissions of transport services (this is especially valid for aviation and maritime that</w:t>
      </w:r>
      <w:r>
        <w:t xml:space="preserve"> </w:t>
      </w:r>
      <w:r>
        <w:t xml:space="preserve">operate internationally). What is more, PO5 offers an EU centralised database of default values.</w:t>
      </w:r>
      <w:r>
        <w:br/>
      </w:r>
      <w:r>
        <w:t xml:space="preserve">1.20</w:t>
      </w:r>
      <w:r>
        <w:t xml:space="preserve"> </w:t>
      </w:r>
      <w:r>
        <w:t xml:space="preserve">Subsidiarity and proportionality</w:t>
      </w:r>
      <w:r>
        <w:t xml:space="preserve"> </w:t>
      </w:r>
      <w:r>
        <w:t xml:space="preserve">None of the options goes beyond what is necessary to achieve the objectives or causes</w:t>
      </w:r>
      <w:r>
        <w:t xml:space="preserve"> </w:t>
      </w:r>
      <w:r>
        <w:t xml:space="preserve">subsidiarity concerns. All policy options provide solutions towards a harmonised methodological</w:t>
      </w:r>
      <w:r>
        <w:t xml:space="preserve"> </w:t>
      </w:r>
      <w:r>
        <w:t xml:space="preserve">approach, data access and treatment, as well as specific implementation aspects. These solutions</w:t>
      </w:r>
      <w:r>
        <w:t xml:space="preserve"> </w:t>
      </w:r>
      <w:r>
        <w:t xml:space="preserve">constitute significant added value compared to the situation where this harmonisation process is</w:t>
      </w:r>
      <w:r>
        <w:t xml:space="preserve"> </w:t>
      </w:r>
      <w:r>
        <w:t xml:space="preserve">left to the market or Member States alone.</w:t>
      </w:r>
      <w:r>
        <w:br/>
      </w:r>
      <w:r>
        <w:t xml:space="preserve">In terms of proportionality, PO4 appears as the option providing the most balanced approach.</w:t>
      </w:r>
      <w:r>
        <w:t xml:space="preserve"> </w:t>
      </w:r>
      <w:r>
        <w:t xml:space="preserve">Specifically, it envisages the use of the already existing and widely recognised standard ISO</w:t>
      </w:r>
      <w:r>
        <w:t xml:space="preserve"> </w:t>
      </w:r>
      <w:r>
        <w:t xml:space="preserve">14083, it allows (under specific conditions) for the decentralised approaches for input data and</w:t>
      </w:r>
      <w:r>
        <w:t xml:space="preserve"> </w:t>
      </w:r>
      <w:r>
        <w:t xml:space="preserve">calculation tools, and sets rational requirements (excluding SMEs) for the verification. In</w:t>
      </w:r>
      <w:r>
        <w:t xml:space="preserve"> </w:t>
      </w:r>
      <w:r>
        <w:t xml:space="preserve">addition, by including the binding opt-in application of the harmonised framework, PO4 enables</w:t>
      </w:r>
      <w:r>
        <w:t xml:space="preserve"> </w:t>
      </w:r>
      <w:r>
        <w:t xml:space="preserve">a level playing field for emissions accounting across transport modes and segments, limiting the</w:t>
      </w:r>
      <w:r>
        <w:t xml:space="preserve"> </w:t>
      </w:r>
      <w:r>
        <w:t xml:space="preserve">requirements only to those entities that decide or are mandated to quantify and share GHG</w:t>
      </w:r>
      <w:r>
        <w:t xml:space="preserve"> </w:t>
      </w:r>
      <w:r>
        <w:t xml:space="preserve">emissions data. This aspect is important for stakeholders, in particular SMEs148, which very often</w:t>
      </w:r>
      <w:r>
        <w:t xml:space="preserve"> </w:t>
      </w:r>
      <w:r>
        <w:t xml:space="preserve">lack capacity and knowledge to effectively start accounting emissions in the short term, and</w:t>
      </w:r>
      <w:r>
        <w:t xml:space="preserve"> </w:t>
      </w:r>
      <w:r>
        <w:t xml:space="preserve">therefore expect a more gradual implementation approach addressing their specific situation.</w:t>
      </w:r>
    </w:p>
    <w:p>
      <w:pPr>
        <w:pStyle w:val="BodyText"/>
      </w:pPr>
      <w:r>
        <w:t xml:space="preserve">147 Feedback received from stakeholders and desk research showed that the LCA approach, while worth of gradually</w:t>
      </w:r>
      <w:r>
        <w:t xml:space="preserve"> </w:t>
      </w:r>
      <w:r>
        <w:t xml:space="preserve">pursuing in the long term, was not deemed fully feasible in the short term, especially in the context of the current</w:t>
      </w:r>
      <w:r>
        <w:t xml:space="preserve"> </w:t>
      </w:r>
      <w:r>
        <w:t xml:space="preserve">requirements and practice at international level.</w:t>
      </w:r>
      <w:r>
        <w:t xml:space="preserve"> </w:t>
      </w:r>
      <w:r>
        <w:t xml:space="preserve">148 See section 4.2.4 of Annex 2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t xml:space="preserve">PO2 ranks second mainly because of challenges associated with the achievement of the full</w:t>
      </w:r>
      <w:r>
        <w:t xml:space="preserve"> </w:t>
      </w:r>
      <w:r>
        <w:t xml:space="preserve">harmonisation of emissions accounting on the market. The other four policy options (PO1, PO3,</w:t>
      </w:r>
      <w:r>
        <w:t xml:space="preserve"> </w:t>
      </w:r>
      <w:r>
        <w:t xml:space="preserve">PO5 and PO6) are less proportionate, especially PO1 and PO6 with very burdensome and costly</w:t>
      </w:r>
      <w:r>
        <w:t xml:space="preserve"> </w:t>
      </w:r>
      <w:r>
        <w:t xml:space="preserve">approaches related to the mandatory application of the framework.</w:t>
      </w:r>
      <w:r>
        <w:br/>
      </w:r>
      <w:r>
        <w:t xml:space="preserve">1.21</w:t>
      </w:r>
      <w:r>
        <w:t xml:space="preserve"> </w:t>
      </w:r>
      <w:r>
        <w:t xml:space="preserve">Comparison of the options</w:t>
      </w:r>
      <w:r>
        <w:t xml:space="preserve"> </w:t>
      </w:r>
      <w:r>
        <w:t xml:space="preserve">Table 14 provides a summary of the comparison of the options against the baseline scenario in</w:t>
      </w:r>
      <w:r>
        <w:t xml:space="preserve"> </w:t>
      </w:r>
      <w:r>
        <w:t xml:space="preserve">terms of effectiveness, efficiency, coherence, subsidiarity and proportionality. The following</w:t>
      </w:r>
      <w:r>
        <w:t xml:space="preserve"> </w:t>
      </w:r>
      <w:r>
        <w:t xml:space="preserve">ranking symbols have been used: from</w:t>
      </w:r>
      <w:r>
        <w:t xml:space="preserve"> </w:t>
      </w:r>
      <w:r>
        <w:t xml:space="preserve">‘+’</w:t>
      </w:r>
      <w:r>
        <w:t xml:space="preserve"> </w:t>
      </w:r>
      <w:r>
        <w:t xml:space="preserve">(more effective/efficient/coherent/ proportionate than</w:t>
      </w:r>
      <w:r>
        <w:t xml:space="preserve"> </w:t>
      </w:r>
      <w:r>
        <w:t xml:space="preserve">the baseline) to</w:t>
      </w:r>
      <w:r>
        <w:t xml:space="preserve"> </w:t>
      </w:r>
      <w:r>
        <w:t xml:space="preserve">‘+++++’</w:t>
      </w:r>
      <w:r>
        <w:t xml:space="preserve"> </w:t>
      </w:r>
      <w:r>
        <w:t xml:space="preserve">(much more effective/efficient/coherent/proportionate than the</w:t>
      </w:r>
      <w:r>
        <w:t xml:space="preserve"> </w:t>
      </w:r>
      <w:r>
        <w:t xml:space="preserve">baseline); from</w:t>
      </w:r>
      <w:r>
        <w:t xml:space="preserve"> </w:t>
      </w:r>
      <w:r>
        <w:t xml:space="preserve">‘-’</w:t>
      </w:r>
      <w:r>
        <w:t xml:space="preserve"> </w:t>
      </w:r>
      <w:r>
        <w:t xml:space="preserve">(less effective/efficient/coherent/proportionate than the baseline) to</w:t>
      </w:r>
      <w:r>
        <w:t xml:space="preserve"> </w:t>
      </w:r>
      <w:r>
        <w:t xml:space="preserve">‘—–’</w:t>
      </w:r>
      <w:r>
        <w:t xml:space="preserve"> </w:t>
      </w:r>
      <w:r>
        <w:t xml:space="preserve">(much less effective/efficient/coherent/ proportionate than the baseline).149</w:t>
      </w:r>
      <w:r>
        <w:t xml:space="preserve"> </w:t>
      </w:r>
      <w:r>
        <w:t xml:space="preserve">Table 14: Comparison of options in terms of effectiveness, efficiency, coherence, subsidiarity and proportionality relative to the</w:t>
      </w:r>
      <w:r>
        <w:t xml:space="preserve"> </w:t>
      </w:r>
      <w:r>
        <w:t xml:space="preserve">baseline</w:t>
      </w:r>
      <w:r>
        <w:t xml:space="preserve"> </w:t>
      </w:r>
      <w:r>
        <w:t xml:space="preserve">Criteria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PO5</w:t>
      </w:r>
      <w:r>
        <w:t xml:space="preserve"> </w:t>
      </w:r>
      <w:r>
        <w:t xml:space="preserve">PO6</w:t>
      </w:r>
      <w:r>
        <w:t xml:space="preserve"> </w:t>
      </w:r>
      <w:r>
        <w:t xml:space="preserve">Effectiveness</w:t>
      </w:r>
      <w:r>
        <w:t xml:space="preserve"> </w:t>
      </w:r>
      <w:r>
        <w:t xml:space="preserve">+++++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</w:t>
      </w:r>
      <w:r>
        <w:t xml:space="preserve"> </w:t>
      </w:r>
      <w:r>
        <w:t xml:space="preserve">+++++</w:t>
      </w:r>
      <w:r>
        <w:t xml:space="preserve"> </w:t>
      </w:r>
      <w:r>
        <w:t xml:space="preserve">Efficiency</w:t>
      </w:r>
      <w:r>
        <w:t xml:space="preserve"> </w:t>
      </w:r>
      <w:r>
        <w:t xml:space="preserve">—–</w:t>
      </w:r>
      <w:r>
        <w:t xml:space="preserve"> </w:t>
      </w:r>
      <w:r>
        <w:t xml:space="preserve">++++</w:t>
      </w:r>
      <w:r>
        <w:t xml:space="preserve"> </w:t>
      </w:r>
      <w:r>
        <w:t xml:space="preserve">–</w:t>
      </w:r>
      <w:r>
        <w:t xml:space="preserve"> </w:t>
      </w:r>
      <w:r>
        <w:t xml:space="preserve">+++++</w:t>
      </w:r>
      <w:r>
        <w:t xml:space="preserve"> </w:t>
      </w:r>
      <w:r>
        <w:t xml:space="preserve">—</w:t>
      </w:r>
      <w:r>
        <w:t xml:space="preserve"> </w:t>
      </w:r>
      <w:r>
        <w:t xml:space="preserve">—–</w:t>
      </w:r>
      <w:r>
        <w:t xml:space="preserve"> </w:t>
      </w:r>
      <w:r>
        <w:t xml:space="preserve">Coherence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+</w:t>
      </w:r>
      <w:r>
        <w:t xml:space="preserve"> </w:t>
      </w:r>
      <w:r>
        <w:t xml:space="preserve">+++++</w:t>
      </w:r>
      <w:r>
        <w:t xml:space="preserve"> </w:t>
      </w:r>
      <w:r>
        <w:t xml:space="preserve">+</w:t>
      </w:r>
      <w:r>
        <w:t xml:space="preserve"> </w:t>
      </w:r>
      <w:r>
        <w:t xml:space="preserve">+++++</w:t>
      </w:r>
      <w:r>
        <w:t xml:space="preserve"> </w:t>
      </w:r>
      <w:r>
        <w:t xml:space="preserve">Subsidiarity and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–</w:t>
      </w:r>
      <w:r>
        <w:t xml:space="preserve"> </w:t>
      </w:r>
      <w:r>
        <w:t xml:space="preserve">++</w:t>
      </w:r>
      <w:r>
        <w:t xml:space="preserve"> </w:t>
      </w:r>
      <w:r>
        <w:t xml:space="preserve">-/+</w:t>
      </w:r>
      <w:r>
        <w:t xml:space="preserve"> </w:t>
      </w:r>
      <w:r>
        <w:t xml:space="preserve">+++++</w:t>
      </w:r>
      <w:r>
        <w:t xml:space="preserve"> </w:t>
      </w:r>
      <w:r>
        <w:t xml:space="preserve">-/+</w:t>
      </w:r>
      <w:r>
        <w:t xml:space="preserve"> </w:t>
      </w:r>
      <w:r>
        <w:t xml:space="preserve">–</w:t>
      </w:r>
    </w:p>
    <w:p>
      <w:pPr>
        <w:pStyle w:val="BodyText"/>
      </w:pPr>
      <w:r>
        <w:t xml:space="preserve">1.22</w:t>
      </w:r>
      <w:r>
        <w:t xml:space="preserve"> </w:t>
      </w:r>
      <w:r>
        <w:t xml:space="preserve">Sensitivity analysis</w:t>
      </w:r>
      <w:r>
        <w:t xml:space="preserve"> </w:t>
      </w:r>
      <w:r>
        <w:t xml:space="preserve">It should be noted that there is uncertainty regarding the estimates of the benefits identified in the</w:t>
      </w:r>
      <w:r>
        <w:t xml:space="preserve"> </w:t>
      </w:r>
      <w:r>
        <w:t xml:space="preserve">previous sections. CountEmissions EU is expected to contribute to the reduction of GHG emissions</w:t>
      </w:r>
      <w:r>
        <w:t xml:space="preserve"> </w:t>
      </w:r>
      <w:r>
        <w:t xml:space="preserve">from the transport and logistics sector in two ways: by providing more transparency with respect to the</w:t>
      </w:r>
      <w:r>
        <w:t xml:space="preserve"> </w:t>
      </w:r>
      <w:r>
        <w:t xml:space="preserve">emissions of different transport services and by its use by other decarbonisation initiatives. While the</w:t>
      </w:r>
      <w:r>
        <w:t xml:space="preserve"> </w:t>
      </w:r>
      <w:r>
        <w:t xml:space="preserve">first set of direct impacts can be estimated, those triggered by the development of new programs using</w:t>
      </w:r>
      <w:r>
        <w:t xml:space="preserve"> </w:t>
      </w:r>
      <w:r>
        <w:t xml:space="preserve">CountEmissions EU as their tool cannot be quantified but are probably much larger than direct savings.</w:t>
      </w:r>
      <w:r>
        <w:t xml:space="preserve"> </w:t>
      </w:r>
      <w:r>
        <w:t xml:space="preserve">The empirical evidence on the effects between the GHG emissions accounting, changes in transport</w:t>
      </w:r>
      <w:r>
        <w:t xml:space="preserve"> </w:t>
      </w:r>
      <w:r>
        <w:t xml:space="preserve">activity and the related reduction in the GHG emissions is scarce. For this reason, a sensitivity analysis</w:t>
      </w:r>
      <w:r>
        <w:t xml:space="preserve"> </w:t>
      </w:r>
      <w:r>
        <w:t xml:space="preserve">has been performed, assuming a decrease by 40% in the share of passengers making sustainable choices</w:t>
      </w:r>
      <w:r>
        <w:br/>
      </w:r>
      <w:r>
        <w:t xml:space="preserve">among the climate aware population(scenario A), and a decrease by 30% in the shares of activity shifted</w:t>
      </w:r>
      <w:r>
        <w:t xml:space="preserve"> </w:t>
      </w:r>
      <w:r>
        <w:t xml:space="preserve">to more sustainable transport modes and optimisation of trips (scenario B). Methodological details on</w:t>
      </w:r>
      <w:r>
        <w:t xml:space="preserve"> </w:t>
      </w:r>
      <w:r>
        <w:t xml:space="preserve">the sensitivity analysis are provided in Annex 4, section 5. Table 15 shows that even with lower shares</w:t>
      </w:r>
      <w:r>
        <w:t xml:space="preserve"> </w:t>
      </w:r>
      <w:r>
        <w:t xml:space="preserve">of passengers making sustainable choices because of increased transparency and data availability, the</w:t>
      </w:r>
      <w:r>
        <w:t xml:space="preserve"> </w:t>
      </w:r>
      <w:r>
        <w:t xml:space="preserve">benefits from GHG emissions and air pollutants emissions reduction, fuel saved and accident</w:t>
      </w:r>
      <w:r>
        <w:t xml:space="preserve"> </w:t>
      </w:r>
      <w:r>
        <w:t xml:space="preserve">reductions would realize, although the positive impacts would be limited. The same applies for the</w:t>
      </w:r>
      <w:r>
        <w:t xml:space="preserve"> </w:t>
      </w:r>
      <w:r>
        <w:t xml:space="preserve">scenario assuming reduction of the shares of activity shifted to more sustainable transport modes and</w:t>
      </w:r>
      <w:r>
        <w:t xml:space="preserve"> </w:t>
      </w:r>
      <w:r>
        <w:t xml:space="preserve">trips optimisation. Therefore, the ranking of the policy options would not change.</w:t>
      </w:r>
    </w:p>
    <w:p>
      <w:pPr>
        <w:pStyle w:val="BodyText"/>
      </w:pPr>
      <w:r>
        <w:t xml:space="preserve">149 This is a qualitative assessment and for presentational purpose, thus we decided to limit the number of + to</w:t>
      </w:r>
      <w:r>
        <w:t xml:space="preserve"> </w:t>
      </w:r>
      <w:r>
        <w:t xml:space="preserve">provide a clear overview of the ranking of the options. For instance, the effectiveness of PO1 and PO6, due to their</w:t>
      </w:r>
      <w:r>
        <w:t xml:space="preserve"> </w:t>
      </w:r>
      <w:r>
        <w:t xml:space="preserve">mandatory applicability, is 23 fold the number of companies estimated in PO4 in 2030. This is clarified in section</w:t>
      </w:r>
      <w:r>
        <w:t xml:space="preserve"> </w:t>
      </w:r>
      <w:r>
        <w:t xml:space="preserve">6 and Annex 4.</w:t>
      </w:r>
    </w:p>
    <w:p>
      <w:pPr>
        <w:pStyle w:val="BodyText"/>
      </w:pPr>
      <w:r>
        <w:t xml:space="preserve">51</w:t>
      </w:r>
    </w:p>
    <w:p>
      <w:pPr>
        <w:pStyle w:val="BodyText"/>
      </w:pPr>
      <w:r>
        <w:t xml:space="preserve">Table 15: Results of the sensitivity analysis on the net benefits and benefit to costs ratio, expressed as present value over 2025-</w:t>
      </w:r>
      <w:r>
        <w:t xml:space="preserve"> </w:t>
      </w:r>
      <w:r>
        <w:t xml:space="preserve">2050 (in million EUR) relative to the baseline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PO5</w:t>
      </w:r>
      <w:r>
        <w:t xml:space="preserve"> </w:t>
      </w:r>
      <w:r>
        <w:t xml:space="preserve">PO6</w:t>
      </w:r>
      <w:r>
        <w:t xml:space="preserve"> </w:t>
      </w:r>
      <w:r>
        <w:t xml:space="preserve">Net Benefits (in million EUR)</w:t>
      </w:r>
    </w:p>
    <w:p>
      <w:pPr>
        <w:pStyle w:val="BodyText"/>
      </w:pPr>
      <w:r>
        <w:t xml:space="preserve">Share of passengers and activity - central case -78,414.4 1,477.3 -217.9 2,352.1</w:t>
      </w:r>
      <w:r>
        <w:t xml:space="preserve"> </w:t>
      </w:r>
      <w:r>
        <w:t xml:space="preserve">-1,272.1</w:t>
      </w:r>
      <w:r>
        <w:t xml:space="preserve"> </w:t>
      </w:r>
      <w:r>
        <w:t xml:space="preserve">-51,329.4</w:t>
      </w:r>
      <w:r>
        <w:t xml:space="preserve"> </w:t>
      </w:r>
      <w:r>
        <w:t xml:space="preserve">Share of passengers (A) – 40% lower</w:t>
      </w:r>
      <w:r>
        <w:t xml:space="preserve"> </w:t>
      </w:r>
      <w:r>
        <w:t xml:space="preserve">-81,735.0</w:t>
      </w:r>
      <w:r>
        <w:t xml:space="preserve"> </w:t>
      </w:r>
      <w:r>
        <w:t xml:space="preserve">964.1</w:t>
      </w:r>
      <w:r>
        <w:t xml:space="preserve"> </w:t>
      </w:r>
      <w:r>
        <w:t xml:space="preserve">-450.6 1,572.4</w:t>
      </w:r>
      <w:r>
        <w:t xml:space="preserve"> </w:t>
      </w:r>
      <w:r>
        <w:t xml:space="preserve">-1,476.3</w:t>
      </w:r>
      <w:r>
        <w:t xml:space="preserve"> </w:t>
      </w:r>
      <w:r>
        <w:t xml:space="preserve">-54,650.0</w:t>
      </w:r>
      <w:r>
        <w:t xml:space="preserve"> </w:t>
      </w:r>
      <w:r>
        <w:t xml:space="preserve">Shares of activity (B) – 30% lower</w:t>
      </w:r>
      <w:r>
        <w:t xml:space="preserve"> </w:t>
      </w:r>
      <w:r>
        <w:t xml:space="preserve">-83,060.8</w:t>
      </w:r>
      <w:r>
        <w:t xml:space="preserve"> </w:t>
      </w:r>
      <w:r>
        <w:t xml:space="preserve">758.1</w:t>
      </w:r>
      <w:r>
        <w:t xml:space="preserve"> </w:t>
      </w:r>
      <w:r>
        <w:t xml:space="preserve">-544.1 1,259.7</w:t>
      </w:r>
      <w:r>
        <w:t xml:space="preserve"> </w:t>
      </w:r>
      <w:r>
        <w:t xml:space="preserve">-1,558.4</w:t>
      </w:r>
      <w:r>
        <w:t xml:space="preserve"> </w:t>
      </w:r>
      <w:r>
        <w:t xml:space="preserve">-55,975.7</w:t>
      </w:r>
      <w:r>
        <w:t xml:space="preserve"> </w:t>
      </w:r>
      <w:r>
        <w:t xml:space="preserve">Benefits to cost ratio</w:t>
      </w:r>
    </w:p>
    <w:p>
      <w:pPr>
        <w:pStyle w:val="BodyText"/>
      </w:pPr>
      <w:r>
        <w:t xml:space="preserve">Share of passengers and activity - central case</w:t>
      </w:r>
      <w:r>
        <w:t xml:space="preserve"> </w:t>
      </w:r>
      <w:r>
        <w:t xml:space="preserve">0.2</w:t>
      </w:r>
      <w:r>
        <w:t xml:space="preserve"> </w:t>
      </w:r>
      <w:r>
        <w:t xml:space="preserve">2.4</w:t>
      </w:r>
      <w:r>
        <w:t xml:space="preserve"> </w:t>
      </w:r>
      <w:r>
        <w:t xml:space="preserve">0.8</w:t>
      </w:r>
      <w:r>
        <w:t xml:space="preserve"> </w:t>
      </w:r>
      <w:r>
        <w:t xml:space="preserve">2.5</w:t>
      </w:r>
      <w:r>
        <w:t xml:space="preserve"> </w:t>
      </w:r>
      <w:r>
        <w:t xml:space="preserve">0.4</w:t>
      </w:r>
      <w:r>
        <w:t xml:space="preserve"> </w:t>
      </w:r>
      <w:r>
        <w:t xml:space="preserve">0.2</w:t>
      </w:r>
      <w:r>
        <w:t xml:space="preserve"> </w:t>
      </w:r>
      <w:r>
        <w:t xml:space="preserve">Share of passengers (A) – 40% lower</w:t>
      </w:r>
      <w:r>
        <w:t xml:space="preserve"> </w:t>
      </w:r>
      <w:r>
        <w:t xml:space="preserve">0.1</w:t>
      </w:r>
      <w:r>
        <w:t xml:space="preserve"> </w:t>
      </w:r>
      <w:r>
        <w:t xml:space="preserve">1.9</w:t>
      </w:r>
      <w:r>
        <w:t xml:space="preserve"> </w:t>
      </w:r>
      <w:r>
        <w:t xml:space="preserve">0.7</w:t>
      </w:r>
      <w:r>
        <w:t xml:space="preserve"> </w:t>
      </w:r>
      <w:r>
        <w:t xml:space="preserve">2.0</w:t>
      </w:r>
      <w:r>
        <w:t xml:space="preserve"> </w:t>
      </w:r>
      <w:r>
        <w:t xml:space="preserve">0.4</w:t>
      </w:r>
      <w:r>
        <w:t xml:space="preserve"> </w:t>
      </w:r>
      <w:r>
        <w:t xml:space="preserve">0.2</w:t>
      </w:r>
      <w:r>
        <w:t xml:space="preserve"> </w:t>
      </w:r>
      <w:r>
        <w:t xml:space="preserve">Shares of activity (B) – 30% lower</w:t>
      </w:r>
      <w:r>
        <w:t xml:space="preserve"> </w:t>
      </w:r>
      <w:r>
        <w:t xml:space="preserve">0.1</w:t>
      </w:r>
      <w:r>
        <w:t xml:space="preserve"> </w:t>
      </w:r>
      <w:r>
        <w:t xml:space="preserve">1.7</w:t>
      </w:r>
      <w:r>
        <w:t xml:space="preserve"> </w:t>
      </w:r>
      <w:r>
        <w:t xml:space="preserve">0.6</w:t>
      </w:r>
      <w:r>
        <w:t xml:space="preserve"> </w:t>
      </w:r>
      <w:r>
        <w:t xml:space="preserve">1.8</w:t>
      </w:r>
      <w:r>
        <w:t xml:space="preserve"> </w:t>
      </w:r>
      <w:r>
        <w:t xml:space="preserve">0.3</w:t>
      </w:r>
      <w:r>
        <w:t xml:space="preserve"> </w:t>
      </w:r>
      <w:r>
        <w:t xml:space="preserve">0.2</w:t>
      </w:r>
    </w:p>
    <w:p>
      <w:pPr>
        <w:pStyle w:val="Compact"/>
        <w:numPr>
          <w:ilvl w:val="0"/>
          <w:numId w:val="1005"/>
        </w:numPr>
      </w:pPr>
      <w:r>
        <w:t xml:space="preserve">PREFERRED OPTION</w:t>
      </w:r>
      <w:r>
        <w:t xml:space="preserve"> </w:t>
      </w:r>
      <w:r>
        <w:t xml:space="preserve">1.23</w:t>
      </w:r>
      <w:r>
        <w:t xml:space="preserve"> </w:t>
      </w:r>
      <w:r>
        <w:t xml:space="preserve">Identification of the preferred policy option</w:t>
      </w:r>
      <w:r>
        <w:t xml:space="preserve"> </w:t>
      </w:r>
      <w:r>
        <w:t xml:space="preserve">Even though all policy options are in line with the general objective and include measures that</w:t>
      </w:r>
      <w:r>
        <w:t xml:space="preserve"> </w:t>
      </w:r>
      <w:r>
        <w:t xml:space="preserve">address all specific objectives and problem drivers, they vary when assessed on different criteria.</w:t>
      </w:r>
      <w:r>
        <w:t xml:space="preserve"> </w:t>
      </w:r>
      <w:r>
        <w:t xml:space="preserve">First, there is a clear difference in their effectiveness. As explained in section 7.1 and shown in</w:t>
      </w:r>
      <w:r>
        <w:t xml:space="preserve"> </w:t>
      </w:r>
      <w:r>
        <w:t xml:space="preserve">Table 14, PO1 and PO6 are considered by far to be the most effective, followed by PO4, by</w:t>
      </w:r>
      <w:r>
        <w:t xml:space="preserve"> </w:t>
      </w:r>
      <w:r>
        <w:t xml:space="preserve">contributing substantially to the harmonisation of GHG emissions data from transport services</w:t>
      </w:r>
      <w:r>
        <w:t xml:space="preserve"> </w:t>
      </w:r>
      <w:r>
        <w:t xml:space="preserve">(SO1) and the uptake of GHG emissions accounting on the market (SO2). On the other hand,</w:t>
      </w:r>
      <w:r>
        <w:t xml:space="preserve"> </w:t>
      </w:r>
      <w:r>
        <w:t xml:space="preserve">PO1 and PO6 score lowest on efficiency, given the very high costs (and very low benefit to cost</w:t>
      </w:r>
      <w:r>
        <w:t xml:space="preserve"> </w:t>
      </w:r>
      <w:r>
        <w:t xml:space="preserve">ratio, 0.2) associated with the mandatory application and implementation of the harmonised</w:t>
      </w:r>
      <w:r>
        <w:t xml:space="preserve"> </w:t>
      </w:r>
      <w:r>
        <w:t xml:space="preserve">framework by all entities involved in transport service activities. PO4 is assessed to be the most</w:t>
      </w:r>
      <w:r>
        <w:t xml:space="preserve"> </w:t>
      </w:r>
      <w:r>
        <w:t xml:space="preserve">efficient, with the highest benefit to cost ratio (2.5).</w:t>
      </w:r>
      <w:r>
        <w:t xml:space="preserve"> </w:t>
      </w:r>
      <w:r>
        <w:t xml:space="preserve">In relation to internal coherence all policy options perform broadly the same. However, in</w:t>
      </w:r>
      <w:r>
        <w:t xml:space="preserve"> </w:t>
      </w:r>
      <w:r>
        <w:t xml:space="preserve">relation to the external coherence with other instruments and policies, as shown in section 7.3</w:t>
      </w:r>
      <w:r>
        <w:t xml:space="preserve"> </w:t>
      </w:r>
      <w:r>
        <w:t xml:space="preserve">and in Table 14, PO4 and PO6 perform better than PO2, relative to the baseline, and much better</w:t>
      </w:r>
      <w:r>
        <w:t xml:space="preserve"> </w:t>
      </w:r>
      <w:r>
        <w:t xml:space="preserve">than PO1, PO3 and PO5.</w:t>
      </w:r>
      <w:r>
        <w:t xml:space="preserve"> </w:t>
      </w:r>
      <w:r>
        <w:t xml:space="preserve">All policy options are in line with the principle of subsidiarity, addressing issues that cannot be</w:t>
      </w:r>
      <w:r>
        <w:t xml:space="preserve"> </w:t>
      </w:r>
      <w:r>
        <w:t xml:space="preserve">solved by interventions at national level. In terms of proportionality, PO4 is deemed to be the</w:t>
      </w:r>
      <w:r>
        <w:t xml:space="preserve"> </w:t>
      </w:r>
      <w:r>
        <w:t xml:space="preserve">most proportionate, as shown in section 7.4 and Table 14. PO2 ranks second mainly because of</w:t>
      </w:r>
      <w:r>
        <w:t xml:space="preserve"> </w:t>
      </w:r>
      <w:r>
        <w:t xml:space="preserve">challenges associated with the achievement of the full harmonisation of emissions accounting</w:t>
      </w:r>
      <w:r>
        <w:t xml:space="preserve"> </w:t>
      </w:r>
      <w:r>
        <w:t xml:space="preserve">on the market. The other four policy options (PO1, PO3, PO5 and PO6) are less proportionate,</w:t>
      </w:r>
      <w:r>
        <w:t xml:space="preserve"> </w:t>
      </w:r>
      <w:r>
        <w:t xml:space="preserve">especially PO1 and PO6 with very burdensome and costly approaches related to the mandatory</w:t>
      </w:r>
      <w:r>
        <w:t xml:space="preserve"> </w:t>
      </w:r>
      <w:r>
        <w:t xml:space="preserve">application of the framework.</w:t>
      </w:r>
      <w:r>
        <w:t xml:space="preserve"> </w:t>
      </w:r>
      <w:r>
        <w:t xml:space="preserve">In conclusion the analysis points at PO4 as the preferred policy option.</w:t>
      </w:r>
      <w:r>
        <w:br/>
      </w:r>
      <w:r>
        <w:t xml:space="preserve">This option is supported by the stakeholders. As regards the methodological choice, one should</w:t>
      </w:r>
      <w:r>
        <w:t xml:space="preserve"> </w:t>
      </w:r>
      <w:r>
        <w:t xml:space="preserve">note a strong support across all the consultation activities for an approach that considers already</w:t>
      </w:r>
      <w:r>
        <w:t xml:space="preserve"> </w:t>
      </w:r>
      <w:r>
        <w:t xml:space="preserve">existing or emerging emissions accounting harmonisation efforts. In this respect, there was a</w:t>
      </w:r>
      <w:r>
        <w:t xml:space="preserve"> </w:t>
      </w:r>
      <w:r>
        <w:t xml:space="preserve">clear preference in favour of the Well-to-Wheel, GHG perspective, with the new ISO standard</w:t>
      </w:r>
    </w:p>
    <w:p>
      <w:pPr>
        <w:pStyle w:val="FirstParagraph"/>
      </w:pPr>
      <w:r>
        <w:t xml:space="preserve">52</w:t>
      </w:r>
    </w:p>
    <w:p>
      <w:pPr>
        <w:pStyle w:val="BodyText"/>
      </w:pPr>
      <w:r>
        <w:t xml:space="preserve">14083 as a relevant reference methodology150. When it comes to the input data, stakeholders</w:t>
      </w:r>
      <w:r>
        <w:t xml:space="preserve"> </w:t>
      </w:r>
      <w:r>
        <w:t xml:space="preserve">strongly favoured the use of primary data for accounting emissions in the transport sector.</w:t>
      </w:r>
      <w:r>
        <w:t xml:space="preserve"> </w:t>
      </w:r>
      <w:r>
        <w:t xml:space="preserve">However, they indicated that the use of primary data is not always possible in the business</w:t>
      </w:r>
      <w:r>
        <w:t xml:space="preserve"> </w:t>
      </w:r>
      <w:r>
        <w:t xml:space="preserve">practice, and therefore default values should also be allowed, provided they are of a suitable</w:t>
      </w:r>
      <w:r>
        <w:t xml:space="preserve"> </w:t>
      </w:r>
      <w:r>
        <w:t xml:space="preserve">quality. In terms of applicability, whereas most respondents advocated for certain mandatory</w:t>
      </w:r>
      <w:r>
        <w:t xml:space="preserve"> </w:t>
      </w:r>
      <w:r>
        <w:t xml:space="preserve">components, SMEs preferred rather optional approaches, or possible derogations from a</w:t>
      </w:r>
      <w:r>
        <w:t xml:space="preserve"> </w:t>
      </w:r>
      <w:r>
        <w:t xml:space="preserve">mandatory instrument. Similarly, regarding the verification of compliance of GHG emissions</w:t>
      </w:r>
      <w:r>
        <w:t xml:space="preserve"> </w:t>
      </w:r>
      <w:r>
        <w:t xml:space="preserve">data and processes, stakeholders were in favour of such a system to be established, but called for</w:t>
      </w:r>
      <w:r>
        <w:t xml:space="preserve"> </w:t>
      </w:r>
      <w:r>
        <w:t xml:space="preserve">specific exemptions in case it proves to be burdensome and costly. Finally, the majority of</w:t>
      </w:r>
      <w:r>
        <w:t xml:space="preserve"> </w:t>
      </w:r>
      <w:r>
        <w:t xml:space="preserve">respondents believed specific implementation guidelines for market players to be necessary,</w:t>
      </w:r>
      <w:r>
        <w:t xml:space="preserve"> </w:t>
      </w:r>
      <w:r>
        <w:t xml:space="preserve">however they were not fully clear on how these should be addressed in the context of</w:t>
      </w:r>
      <w:r>
        <w:t xml:space="preserve"> </w:t>
      </w:r>
      <w:r>
        <w:t xml:space="preserve">CountEmissions EU. It should be noted therefore, that the set of policy measures included in the</w:t>
      </w:r>
      <w:r>
        <w:t xml:space="preserve"> </w:t>
      </w:r>
      <w:r>
        <w:t xml:space="preserve">preferred policy option address these opinions in the most comprehensive way.</w:t>
      </w:r>
      <w:r>
        <w:br/>
      </w:r>
      <w:r>
        <w:t xml:space="preserve">The transport services ecosystem and interactions between different types of stakeholders under</w:t>
      </w:r>
      <w:r>
        <w:t xml:space="preserve"> </w:t>
      </w:r>
      <w:r>
        <w:t xml:space="preserve">PO4 is illustrated in Figure 3 below.</w:t>
      </w:r>
      <w:r>
        <w:t xml:space="preserve"> </w:t>
      </w:r>
      <w:r>
        <w:t xml:space="preserve">Figure 3: Transport service ecosystem and actors involved in a harmonised emissions accounting framework</w:t>
      </w:r>
    </w:p>
    <w:p>
      <w:pPr>
        <w:pStyle w:val="BodyText"/>
      </w:pPr>
      <w:r>
        <w:t xml:space="preserve">1.24</w:t>
      </w:r>
      <w:r>
        <w:t xml:space="preserve"> </w:t>
      </w:r>
      <w:r>
        <w:t xml:space="preserve">Application of the ‘one in, one out’ approach</w:t>
      </w:r>
      <w:r>
        <w:br/>
      </w:r>
      <w:r>
        <w:t xml:space="preserve">PO4 will result in a limited increase in the administrative costs for businesses (business sector</w:t>
      </w:r>
      <w:r>
        <w:t xml:space="preserve"> </w:t>
      </w:r>
      <w:r>
        <w:t xml:space="preserve">associations and calculation tools developers), estimated at EUR 26,419 per year relative to the</w:t>
      </w:r>
      <w:r>
        <w:t xml:space="preserve"> </w:t>
      </w:r>
      <w:r>
        <w:t xml:space="preserve">baseline151. These costs are composed of annual labour costs for the submission by the business</w:t>
      </w:r>
      <w:r>
        <w:t xml:space="preserve"> </w:t>
      </w:r>
      <w:r>
        <w:t xml:space="preserve">sector associations of the databases to be quality checked by EEA (PM5, EUR 8,343) and the</w:t>
      </w:r>
    </w:p>
    <w:p>
      <w:pPr>
        <w:pStyle w:val="BodyText"/>
      </w:pPr>
      <w:r>
        <w:t xml:space="preserve">150 The LCA approach emerged as important in many stakeholders’ responses too, especially in the context of the</w:t>
      </w:r>
      <w:r>
        <w:t xml:space="preserve"> </w:t>
      </w:r>
      <w:r>
        <w:t xml:space="preserve">open public consultation.</w:t>
      </w:r>
      <w:r>
        <w:br/>
      </w:r>
      <w:r>
        <w:t xml:space="preserve">151 As explained in Annex 4, estimations about costs and cost savings for business associations and calculation tools</w:t>
      </w:r>
      <w:r>
        <w:t xml:space="preserve"> </w:t>
      </w:r>
      <w:r>
        <w:t xml:space="preserve">developers are made on the basis of the assumption that 17 databases will be submitted to EEA for quality check,</w:t>
      </w:r>
      <w:r>
        <w:t xml:space="preserve"> </w:t>
      </w:r>
      <w:r>
        <w:t xml:space="preserve">and 34 tools will be certified every year by the verification bodies. The costs for preparing the submission of</w:t>
      </w:r>
      <w:r>
        <w:t xml:space="preserve"> </w:t>
      </w:r>
      <w:r>
        <w:t xml:space="preserve">databases and tools for submission is estimated at EUR 490.76 per database and EUR 531.65 per tool respectively.</w:t>
      </w:r>
    </w:p>
    <w:p>
      <w:pPr>
        <w:pStyle w:val="BodyText"/>
      </w:pPr>
      <w:r>
        <w:t xml:space="preserve">53</w:t>
      </w:r>
    </w:p>
    <w:p>
      <w:pPr>
        <w:pStyle w:val="BodyText"/>
      </w:pPr>
      <w:r>
        <w:t xml:space="preserve">certification of calculation tools by tools developer (PM12, EUR 18,076). Expressed as present</w:t>
      </w:r>
      <w:r>
        <w:t xml:space="preserve"> </w:t>
      </w:r>
      <w:r>
        <w:t xml:space="preserve">value over 2025-2050, relative to the baseline, the total administrative costs for businesses are</w:t>
      </w:r>
      <w:r>
        <w:t xml:space="preserve"> </w:t>
      </w:r>
      <w:r>
        <w:t xml:space="preserve">estimated at EUR 0.5 million.</w:t>
      </w:r>
      <w:r>
        <w:t xml:space="preserve"> </w:t>
      </w:r>
      <w:r>
        <w:t xml:space="preserve">In addition, total adjustment costs for businesses in PO4 are estimated at EUR 1.5 billion</w:t>
      </w:r>
      <w:r>
        <w:t xml:space="preserve"> </w:t>
      </w:r>
      <w:r>
        <w:t xml:space="preserve">expressed as present value over 2025-2050, relative to the baseline. These will however be over</w:t>
      </w:r>
      <w:r>
        <w:t xml:space="preserve"> </w:t>
      </w:r>
      <w:r>
        <w:t xml:space="preserve">compensated by energy costs savings for transport service providers, estimated at EUR 2.3 billion in</w:t>
      </w:r>
      <w:r>
        <w:t xml:space="preserve"> </w:t>
      </w:r>
      <w:r>
        <w:t xml:space="preserve">PO4. Thus, the net benefits for businesses are estimated at EUR 0.8 billion expressed as present</w:t>
      </w:r>
      <w:r>
        <w:t xml:space="preserve"> </w:t>
      </w:r>
      <w:r>
        <w:t xml:space="preserve">value over 2025-2050, relative to the baseline.</w:t>
      </w:r>
    </w:p>
    <w:p>
      <w:pPr>
        <w:pStyle w:val="Compact"/>
        <w:numPr>
          <w:ilvl w:val="0"/>
          <w:numId w:val="1006"/>
        </w:numPr>
      </w:pPr>
      <w:r>
        <w:t xml:space="preserve">HOW WILL ACTUAL IMPACTS BE MONITORED AND EVALUATED?</w:t>
      </w:r>
      <w:r>
        <w:t xml:space="preserve"> </w:t>
      </w:r>
      <w:r>
        <w:t xml:space="preserve">The Commission services will monitor the implementation and effectiveness of this initiative</w:t>
      </w:r>
      <w:r>
        <w:t xml:space="preserve"> </w:t>
      </w:r>
      <w:r>
        <w:t xml:space="preserve">through a number of actions and a set of core indicators that will measure progress towards</w:t>
      </w:r>
      <w:r>
        <w:t xml:space="preserve"> </w:t>
      </w:r>
      <w:r>
        <w:t xml:space="preserve">achieving the objectives. Five years after the implementation date of the legislation, the</w:t>
      </w:r>
      <w:r>
        <w:t xml:space="preserve"> </w:t>
      </w:r>
      <w:r>
        <w:t xml:space="preserve">Commission services should carry out an evaluation to verify to what extent the objectives of</w:t>
      </w:r>
      <w:r>
        <w:t xml:space="preserve"> </w:t>
      </w:r>
      <w:r>
        <w:t xml:space="preserve">the initiative have been reached.</w:t>
      </w:r>
      <w:r>
        <w:br/>
      </w:r>
      <w:r>
        <w:t xml:space="preserve">As regards Specific Objective 1 (Ensure the comparability of results from GHG emissions</w:t>
      </w:r>
      <w:r>
        <w:t xml:space="preserve"> </w:t>
      </w:r>
      <w:r>
        <w:t xml:space="preserve">accounting of transport services) the main milestones to achieve this objective are the provision</w:t>
      </w:r>
      <w:r>
        <w:t xml:space="preserve"> </w:t>
      </w:r>
      <w:r>
        <w:t xml:space="preserve">of a common GHG emissions calculation methodology, the central database of energy emission</w:t>
      </w:r>
      <w:r>
        <w:t xml:space="preserve"> </w:t>
      </w:r>
      <w:r>
        <w:t xml:space="preserve">factors and the core database of emission intensity factors. The method will be established</w:t>
      </w:r>
      <w:r>
        <w:t xml:space="preserve"> </w:t>
      </w:r>
      <w:r>
        <w:t xml:space="preserve">already in the basic act, and the databases will be provided in the implementation phase.</w:t>
      </w:r>
      <w:r>
        <w:t xml:space="preserve"> </w:t>
      </w:r>
      <w:r>
        <w:t xml:space="preserve">Therefore, the main indicators that may be derived for the remaining aspects related to the</w:t>
      </w:r>
      <w:r>
        <w:t xml:space="preserve"> </w:t>
      </w:r>
      <w:r>
        <w:t xml:space="preserve">comparability of GHG emissions data, would refer to the use of accurate default values offered</w:t>
      </w:r>
      <w:r>
        <w:t xml:space="preserve"> </w:t>
      </w:r>
      <w:r>
        <w:t xml:space="preserve">by third party database developers and the level of correctness of the calculations undertaken by</w:t>
      </w:r>
      <w:r>
        <w:t xml:space="preserve"> </w:t>
      </w:r>
      <w:r>
        <w:t xml:space="preserve">concerned entities, namely:</w:t>
      </w:r>
      <w:r>
        <w:t xml:space="preserve"> </w:t>
      </w:r>
      <w:r>
        <w:t xml:space="preserve"> number of external default values databases having undergone the quality check,</w:t>
      </w:r>
      <w:r>
        <w:t xml:space="preserve"> </w:t>
      </w:r>
      <w:r>
        <w:t xml:space="preserve"> number of entities having undergone the verification of the calculated GHG emissions data</w:t>
      </w:r>
      <w:r>
        <w:t xml:space="preserve"> </w:t>
      </w:r>
      <w:r>
        <w:t xml:space="preserve">and related processes.</w:t>
      </w:r>
    </w:p>
    <w:p>
      <w:pPr>
        <w:pStyle w:val="FirstParagraph"/>
      </w:pPr>
      <w:r>
        <w:t xml:space="preserve">Monitoring of the achievement of Specific Objective 2 (Facilitate the uptake of GHG emissions</w:t>
      </w:r>
      <w:r>
        <w:t xml:space="preserve"> </w:t>
      </w:r>
      <w:r>
        <w:t xml:space="preserve">accounting of transport services in business practice) is expected to be more straightforward. It</w:t>
      </w:r>
      <w:r>
        <w:t xml:space="preserve"> </w:t>
      </w:r>
      <w:r>
        <w:t xml:space="preserve">may embrace in particular:</w:t>
      </w:r>
      <w:r>
        <w:t xml:space="preserve"> </w:t>
      </w:r>
      <w:r>
        <w:t xml:space="preserve"> number of companies accounting GHG emissions from transport services using</w:t>
      </w:r>
      <w:r>
        <w:t xml:space="preserve"> </w:t>
      </w:r>
      <w:r>
        <w:t xml:space="preserve">CountEmissions EU,</w:t>
      </w:r>
      <w:r>
        <w:br/>
      </w:r>
      <w:r>
        <w:t xml:space="preserve"> number of certified technical calculation tools,</w:t>
      </w:r>
      <w:r>
        <w:br/>
      </w:r>
      <w:r>
        <w:t xml:space="preserve"> number of conformity assessment bodies being accredited under CountEmissions EU.</w:t>
      </w:r>
    </w:p>
    <w:p>
      <w:pPr>
        <w:pStyle w:val="BodyText"/>
      </w:pPr>
      <w:r>
        <w:t xml:space="preserve">However, it would not be possible to directly derive information feeding the indicator that refers</w:t>
      </w:r>
      <w:r>
        <w:t xml:space="preserve"> </w:t>
      </w:r>
      <w:r>
        <w:t xml:space="preserve">to the number of companies accounting GHG emissions of transport services using</w:t>
      </w:r>
      <w:r>
        <w:t xml:space="preserve"> </w:t>
      </w:r>
      <w:r>
        <w:t xml:space="preserve">CountEmissions EU. The majority of interactions related to disclosing GHG emissions data will</w:t>
      </w:r>
      <w:r>
        <w:t xml:space="preserve"> </w:t>
      </w:r>
      <w:r>
        <w:t xml:space="preserve">take place in a Business-to-Business or Business-to-Customer perspective, and this information</w:t>
      </w:r>
      <w:r>
        <w:t xml:space="preserve"> </w:t>
      </w:r>
      <w:r>
        <w:t xml:space="preserve">will not be available to public authorities. Since imposing such reporting requirements on the</w:t>
      </w:r>
      <w:r>
        <w:t xml:space="preserve"> </w:t>
      </w:r>
      <w:r>
        <w:t xml:space="preserve">businesses would create additional burden, the only solution to generate this type of information</w:t>
      </w:r>
      <w:r>
        <w:t xml:space="preserve"> </w:t>
      </w:r>
      <w:r>
        <w:t xml:space="preserve">would be a dedicated survey, for instance in the context of the future evaluation of the initiative.</w:t>
      </w:r>
    </w:p>
    <w:p>
      <w:pPr>
        <w:pStyle w:val="BodyText"/>
      </w:pPr>
      <w:r>
        <w:t xml:space="preserve">54</w:t>
      </w:r>
    </w:p>
    <w:p>
      <w:pPr>
        <w:pStyle w:val="BodyText"/>
      </w:pPr>
      <w:r>
        <w:t xml:space="preserve">In this context, the following information needs to be collected:</w:t>
      </w:r>
      <w:r>
        <w:t xml:space="preserve"> </w:t>
      </w:r>
      <w:r>
        <w:t xml:space="preserve"> A conformity assessment body concerned should maintain an up-to-date list of the calculation</w:t>
      </w:r>
      <w:r>
        <w:t xml:space="preserve"> </w:t>
      </w:r>
      <w:r>
        <w:t xml:space="preserve">tools that it has certified and for which it has withdrawn or suspended certification. It shall</w:t>
      </w:r>
      <w:r>
        <w:t xml:space="preserve"> </w:t>
      </w:r>
      <w:r>
        <w:t xml:space="preserve">make that list publicly available on its website and shall communicate the address of that</w:t>
      </w:r>
      <w:r>
        <w:t xml:space="preserve"> </w:t>
      </w:r>
      <w:r>
        <w:t xml:space="preserve">website to the Commission;</w:t>
      </w:r>
      <w:r>
        <w:t xml:space="preserve"> </w:t>
      </w:r>
      <w:r>
        <w:t xml:space="preserve"> A conformity assessment body concerned should draw up and maintain an up-to-date list of</w:t>
      </w:r>
      <w:r>
        <w:t xml:space="preserve"> </w:t>
      </w:r>
      <w:r>
        <w:t xml:space="preserve">the entities that have undergone the verification and notify this list to the Commission on</w:t>
      </w:r>
      <w:r>
        <w:t xml:space="preserve"> </w:t>
      </w:r>
      <w:r>
        <w:t xml:space="preserve">annual basis;</w:t>
      </w:r>
      <w:r>
        <w:t xml:space="preserve"> </w:t>
      </w:r>
      <w:r>
        <w:t xml:space="preserve"> A Member State should designate an authority maintaining an up-to-date list of the accredited</w:t>
      </w:r>
      <w:r>
        <w:t xml:space="preserve"> </w:t>
      </w:r>
      <w:r>
        <w:t xml:space="preserve">conformity assessment bodies. The designated national authority should notify this list to the</w:t>
      </w:r>
      <w:r>
        <w:t xml:space="preserve"> </w:t>
      </w:r>
      <w:r>
        <w:t xml:space="preserve">Commission on annual basis;</w:t>
      </w:r>
      <w:r>
        <w:t xml:space="preserve"> </w:t>
      </w:r>
      <w:r>
        <w:t xml:space="preserve"> Commission assisted by the European Environmental Agency (EEA) should monitor the</w:t>
      </w:r>
      <w:r>
        <w:t xml:space="preserve"> </w:t>
      </w:r>
      <w:r>
        <w:t xml:space="preserve">status of the quality assessment activities performed with respect to the external default values</w:t>
      </w:r>
      <w:r>
        <w:t xml:space="preserve"> </w:t>
      </w:r>
      <w:r>
        <w:t xml:space="preserve">databases.</w:t>
      </w:r>
      <w:r>
        <w:t xml:space="preserve"> </w:t>
      </w:r>
      <w:r>
        <w:t xml:space="preserve"> Upon request, horizontal analysis and technical assistance on specific implementation aspects</w:t>
      </w:r>
      <w:r>
        <w:t xml:space="preserve"> </w:t>
      </w:r>
      <w:r>
        <w:t xml:space="preserve">should be provided by the EEA.</w:t>
      </w:r>
    </w:p>
    <w:p>
      <w:pPr>
        <w:pStyle w:val="BodyText"/>
      </w:pPr>
      <w:r>
        <w:t xml:space="preserve">EEA will be instrumental in assisting the evaluation and monitoring of the initiative in the part</w:t>
      </w:r>
      <w:r>
        <w:t xml:space="preserve"> </w:t>
      </w:r>
      <w:r>
        <w:t xml:space="preserve">related to the development and management of databases. The role of EEA is described in Table</w:t>
      </w:r>
      <w:r>
        <w:t xml:space="preserve"> </w:t>
      </w:r>
      <w:r>
        <w:t xml:space="preserve">16.</w:t>
      </w:r>
      <w:r>
        <w:t xml:space="preserve"> </w:t>
      </w:r>
      <w:r>
        <w:t xml:space="preserve">Table 16: Role of EEA</w:t>
      </w:r>
      <w:r>
        <w:t xml:space="preserve"> </w:t>
      </w:r>
      <w:r>
        <w:t xml:space="preserve">Role of EEA</w:t>
      </w:r>
      <w:r>
        <w:t xml:space="preserve"> </w:t>
      </w:r>
      <w:r>
        <w:t xml:space="preserve">Stakeholders involved</w:t>
      </w:r>
      <w:r>
        <w:t xml:space="preserve"> </w:t>
      </w:r>
      <w:r>
        <w:t xml:space="preserve"> Development and maintenance of</w:t>
      </w:r>
      <w:r>
        <w:t xml:space="preserve"> </w:t>
      </w:r>
      <w:r>
        <w:t xml:space="preserve">core database of emission intensity</w:t>
      </w:r>
      <w:r>
        <w:t xml:space="preserve"> </w:t>
      </w:r>
      <w:r>
        <w:t xml:space="preserve">factors</w:t>
      </w:r>
      <w:r>
        <w:t xml:space="preserve"> </w:t>
      </w:r>
      <w:r>
        <w:t xml:space="preserve"> EEA (developments and management of the</w:t>
      </w:r>
      <w:r>
        <w:t xml:space="preserve"> </w:t>
      </w:r>
      <w:r>
        <w:t xml:space="preserve">database)</w:t>
      </w:r>
      <w:r>
        <w:t xml:space="preserve"> </w:t>
      </w:r>
      <w:r>
        <w:t xml:space="preserve"> Entities calculating GHG emissions, mainly TSO</w:t>
      </w:r>
      <w:r>
        <w:t xml:space="preserve"> </w:t>
      </w:r>
      <w:r>
        <w:t xml:space="preserve">and HU (as data users)</w:t>
      </w:r>
      <w:r>
        <w:t xml:space="preserve"> </w:t>
      </w:r>
      <w:r>
        <w:t xml:space="preserve"> Emissions calculation tools providers (as data</w:t>
      </w:r>
      <w:r>
        <w:t xml:space="preserve"> </w:t>
      </w:r>
      <w:r>
        <w:t xml:space="preserve">users)</w:t>
      </w:r>
      <w:r>
        <w:t xml:space="preserve"> </w:t>
      </w:r>
      <w:r>
        <w:t xml:space="preserve"> Establishment of a database of the</w:t>
      </w:r>
      <w:r>
        <w:t xml:space="preserve"> </w:t>
      </w:r>
      <w:r>
        <w:t xml:space="preserve">energy emission factors</w:t>
      </w:r>
      <w:r>
        <w:t xml:space="preserve"> </w:t>
      </w:r>
      <w:r>
        <w:t xml:space="preserve"> EEA (management of the database)</w:t>
      </w:r>
      <w:r>
        <w:t xml:space="preserve"> </w:t>
      </w:r>
      <w:r>
        <w:t xml:space="preserve"> Entities calculating GHG emissions, mainly TSO</w:t>
      </w:r>
      <w:r>
        <w:t xml:space="preserve"> </w:t>
      </w:r>
      <w:r>
        <w:t xml:space="preserve">and HU (as data users)</w:t>
      </w:r>
      <w:r>
        <w:t xml:space="preserve"> </w:t>
      </w:r>
      <w:r>
        <w:t xml:space="preserve"> Emissions calculation tools providers (as data</w:t>
      </w:r>
      <w:r>
        <w:t xml:space="preserve"> </w:t>
      </w:r>
      <w:r>
        <w:t xml:space="preserve">users)</w:t>
      </w:r>
      <w:r>
        <w:t xml:space="preserve"> </w:t>
      </w:r>
      <w:r>
        <w:t xml:space="preserve"> Quality check of third party</w:t>
      </w:r>
      <w:r>
        <w:t xml:space="preserve"> </w:t>
      </w:r>
      <w:r>
        <w:t xml:space="preserve">emission intensity factor databases</w:t>
      </w:r>
      <w:r>
        <w:t xml:space="preserve"> </w:t>
      </w:r>
      <w:r>
        <w:t xml:space="preserve"> EEA (performing quality check)</w:t>
      </w:r>
    </w:p>
    <w:p>
      <w:pPr>
        <w:pStyle w:val="BodyText"/>
      </w:pPr>
      <w:r>
        <w:t xml:space="preserve">55</w:t>
      </w:r>
    </w:p>
    <w:p>
      <w:pPr>
        <w:pStyle w:val="BodyText"/>
      </w:pPr>
      <w:r>
        <w:t xml:space="preserve">Role of EEA</w:t>
      </w:r>
      <w:r>
        <w:t xml:space="preserve"> </w:t>
      </w:r>
      <w:r>
        <w:t xml:space="preserve">Stakeholders involved</w:t>
      </w:r>
      <w:r>
        <w:t xml:space="preserve"> </w:t>
      </w:r>
      <w:r>
        <w:t xml:space="preserve"> Entities – database developers (public, private)</w:t>
      </w:r>
      <w:r>
        <w:t xml:space="preserve"> </w:t>
      </w:r>
      <w:r>
        <w:t xml:space="preserve">submitting databases for the quality check (as data</w:t>
      </w:r>
      <w:r>
        <w:t xml:space="preserve"> </w:t>
      </w:r>
      <w:r>
        <w:t xml:space="preserve">users and providers)</w:t>
      </w:r>
    </w:p>
    <w:p>
      <w:pPr>
        <w:pStyle w:val="BodyText"/>
      </w:pPr>
      <w:r>
        <w:t xml:space="preserve">56</w:t>
      </w:r>
    </w:p>
    <w:p>
      <w:pPr>
        <w:pStyle w:val="BodyText"/>
      </w:pPr>
      <w:r>
        <w:t xml:space="preserve">ANNEX 1: PROCEDURAL INFORMATION</w:t>
      </w:r>
      <w:r>
        <w:t xml:space="preserve"> </w:t>
      </w:r>
      <w:r>
        <w:t xml:space="preserve">1.</w:t>
      </w:r>
      <w:r>
        <w:t xml:space="preserve"> </w:t>
      </w:r>
      <w:r>
        <w:t xml:space="preserve">LEAD DG, DECIDE PLANNING/CWP REFERENCES</w:t>
      </w:r>
      <w:r>
        <w:t xml:space="preserve"> </w:t>
      </w:r>
      <w:r>
        <w:t xml:space="preserve">The lead DG is DG MOVE, Unit D1: Maritime Transport &amp; Logistics.</w:t>
      </w:r>
      <w:r>
        <w:t xml:space="preserve"> </w:t>
      </w:r>
      <w:r>
        <w:t xml:space="preserve">DECIDE reference number: PLAN/2021/11499.</w:t>
      </w:r>
      <w:r>
        <w:t xml:space="preserve"> </w:t>
      </w:r>
      <w:r>
        <w:t xml:space="preserve">Item 2 in Annex I to Commission Work Programme 2022.</w:t>
      </w:r>
      <w:r>
        <w:br/>
      </w:r>
      <w:r>
        <w:t xml:space="preserve">2.</w:t>
      </w:r>
      <w:r>
        <w:t xml:space="preserve"> </w:t>
      </w:r>
      <w:r>
        <w:t xml:space="preserve">ORGANISATION AND TIMING</w:t>
      </w:r>
      <w:r>
        <w:t xml:space="preserve"> </w:t>
      </w:r>
      <w:r>
        <w:t xml:space="preserve">The impact assessment started in 2021, with the call for evidence published on 19 November</w:t>
      </w:r>
      <w:r>
        <w:t xml:space="preserve"> </w:t>
      </w:r>
      <w:r>
        <w:t xml:space="preserve">2021.</w:t>
      </w:r>
      <w:r>
        <w:br/>
      </w:r>
      <w:r>
        <w:t xml:space="preserve">The impact assessment on CountEmissions EU was coordinated by an Inter-Service Steering</w:t>
      </w:r>
      <w:r>
        <w:t xml:space="preserve"> </w:t>
      </w:r>
      <w:r>
        <w:t xml:space="preserve">Group (ISSG). The Commission Services participating in the ISSG were: Secretariat-General,</w:t>
      </w:r>
      <w:r>
        <w:t xml:space="preserve"> </w:t>
      </w:r>
      <w:r>
        <w:t xml:space="preserve">Legal Service, DG Justice and Consumers, DG Climate Action, DG for Energy, DG</w:t>
      </w:r>
      <w:r>
        <w:t xml:space="preserve"> </w:t>
      </w:r>
      <w:r>
        <w:t xml:space="preserve">Environment, DG for Financial Stability and Capital Markets, DG Industry, Entrepreneurship</w:t>
      </w:r>
      <w:r>
        <w:t xml:space="preserve"> </w:t>
      </w:r>
      <w:r>
        <w:t xml:space="preserve">and SMEs, DG Research and Innovation. The Inter-Service Steering Group met 6 times: on 27</w:t>
      </w:r>
      <w:r>
        <w:t xml:space="preserve"> </w:t>
      </w:r>
      <w:r>
        <w:t xml:space="preserve">October 2021, 12 April 2022, 1 July 2022, 27 October 2022, 2 February 2023 and 23 February</w:t>
      </w:r>
      <w:r>
        <w:t xml:space="preserve"> </w:t>
      </w:r>
      <w:r>
        <w:t xml:space="preserve">2023. It was consulted throughout the different steps of the impact assessment process: notably</w:t>
      </w:r>
      <w:r>
        <w:t xml:space="preserve"> </w:t>
      </w:r>
      <w:r>
        <w:t xml:space="preserve">on all the stakeholder consultation material, the deliverables from the external contractor, and on</w:t>
      </w:r>
      <w:r>
        <w:t xml:space="preserve"> </w:t>
      </w:r>
      <w:r>
        <w:t xml:space="preserve">the draft Staff Working Document.</w:t>
      </w:r>
      <w:r>
        <w:t xml:space="preserve"> </w:t>
      </w:r>
      <w:r>
        <w:t xml:space="preserve">3.</w:t>
      </w:r>
      <w:r>
        <w:t xml:space="preserve"> </w:t>
      </w:r>
      <w:r>
        <w:t xml:space="preserve">CONSULTATION OF THE RSB</w:t>
      </w:r>
      <w:r>
        <w:t xml:space="preserve"> </w:t>
      </w:r>
      <w:r>
        <w:t xml:space="preserve">The draft report was submitted to the RSB on 1 March 2023 and was discussed by the Board on</w:t>
      </w:r>
      <w:r>
        <w:t xml:space="preserve"> </w:t>
      </w:r>
      <w:r>
        <w:t xml:space="preserve">29 March 2023. RSB issued a positive opinion with reservations, that is attached to this report.</w:t>
      </w:r>
      <w:r>
        <w:t xml:space="preserve"> </w:t>
      </w:r>
      <w:r>
        <w:t xml:space="preserve">Recommendations from the Board have been addressed in this final version of the Impact</w:t>
      </w:r>
      <w:r>
        <w:t xml:space="preserve"> </w:t>
      </w:r>
      <w:r>
        <w:t xml:space="preserve">Assessment report as detailed in the table below.</w:t>
      </w:r>
      <w:r>
        <w:t xml:space="preserve"> </w:t>
      </w:r>
      <w:r>
        <w:t xml:space="preserve">Table 17: Modifications of the IA report in response to RSB recommendations</w:t>
      </w:r>
      <w:r>
        <w:t xml:space="preserve"> </w:t>
      </w:r>
      <w:r>
        <w:t xml:space="preserve">RSB recommendations</w:t>
      </w:r>
      <w:r>
        <w:t xml:space="preserve"> </w:t>
      </w:r>
      <w:r>
        <w:t xml:space="preserve">Modifications to the IA report</w:t>
      </w:r>
      <w:r>
        <w:t xml:space="preserve"> </w:t>
      </w:r>
      <w:r>
        <w:t xml:space="preserve">Main considerations</w:t>
      </w:r>
      <w:r>
        <w:t xml:space="preserve"> </w:t>
      </w:r>
      <w:r>
        <w:t xml:space="preserve">(1) The report does not explain clearly how a</w:t>
      </w:r>
      <w:r>
        <w:t xml:space="preserve"> </w:t>
      </w:r>
      <w:r>
        <w:t xml:space="preserve">harmonised methodological framework is</w:t>
      </w:r>
      <w:r>
        <w:t xml:space="preserve"> </w:t>
      </w:r>
      <w:r>
        <w:t xml:space="preserve">coherent with existing reporting regimes and</w:t>
      </w:r>
      <w:r>
        <w:t xml:space="preserve"> </w:t>
      </w:r>
      <w:r>
        <w:t xml:space="preserve">methodologies and will enable the reduction</w:t>
      </w:r>
      <w:r>
        <w:t xml:space="preserve"> </w:t>
      </w:r>
      <w:r>
        <w:t xml:space="preserve">of GHG emissions of the transport sector.</w:t>
      </w:r>
      <w:r>
        <w:t xml:space="preserve"> </w:t>
      </w:r>
      <w:r>
        <w:t xml:space="preserve">Additional information on existing reporting</w:t>
      </w:r>
      <w:r>
        <w:t xml:space="preserve"> </w:t>
      </w:r>
      <w:r>
        <w:t xml:space="preserve">regimes has been included and discussed in</w:t>
      </w:r>
      <w:r>
        <w:t xml:space="preserve"> </w:t>
      </w:r>
      <w:r>
        <w:t xml:space="preserve">section 1.4 of the revised report. This</w:t>
      </w:r>
      <w:r>
        <w:t xml:space="preserve"> </w:t>
      </w:r>
      <w:r>
        <w:t xml:space="preserve">information</w:t>
      </w:r>
      <w:r>
        <w:t xml:space="preserve"> </w:t>
      </w:r>
      <w:r>
        <w:t xml:space="preserve">addresses</w:t>
      </w:r>
      <w:r>
        <w:t xml:space="preserve"> </w:t>
      </w:r>
      <w:r>
        <w:t xml:space="preserve">coherence</w:t>
      </w:r>
      <w:r>
        <w:t xml:space="preserve"> </w:t>
      </w:r>
      <w:r>
        <w:t xml:space="preserve">and</w:t>
      </w:r>
      <w:r>
        <w:t xml:space="preserve"> </w:t>
      </w:r>
      <w:r>
        <w:t xml:space="preserve">complementarity of these regimes with the</w:t>
      </w:r>
      <w:r>
        <w:t xml:space="preserve"> </w:t>
      </w:r>
      <w:r>
        <w:t xml:space="preserve">proposed harmonised framework.</w:t>
      </w:r>
      <w:r>
        <w:t xml:space="preserve"> </w:t>
      </w:r>
      <w:r>
        <w:t xml:space="preserve">Further evidence supporting the assumptions</w:t>
      </w:r>
      <w:r>
        <w:t xml:space="preserve"> </w:t>
      </w:r>
      <w:r>
        <w:t xml:space="preserve">related to the reduction of GHG emissions</w:t>
      </w:r>
      <w:r>
        <w:br/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literature</w:t>
      </w:r>
      <w:r>
        <w:t xml:space="preserve"> </w:t>
      </w:r>
      <w:r>
        <w:t xml:space="preserve">review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57</w:t>
      </w:r>
    </w:p>
    <w:p>
      <w:pPr>
        <w:pStyle w:val="BodyText"/>
      </w:pPr>
      <w:r>
        <w:t xml:space="preserve">stakeholders’</w:t>
      </w:r>
      <w:r>
        <w:t xml:space="preserve"> </w:t>
      </w:r>
      <w:r>
        <w:t xml:space="preserve">consultations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addressed in section 6 and Annex 4.</w:t>
      </w:r>
      <w:r>
        <w:t xml:space="preserve"> </w:t>
      </w:r>
      <w:r>
        <w:t xml:space="preserve">(2) The report does not provide a complete</w:t>
      </w:r>
      <w:r>
        <w:t xml:space="preserve"> </w:t>
      </w:r>
      <w:r>
        <w:t xml:space="preserve">and realistic set of options.</w:t>
      </w:r>
      <w:r>
        <w:t xml:space="preserve"> </w:t>
      </w:r>
      <w:r>
        <w:t xml:space="preserve">A new policy option 6 (PO6), mandating the</w:t>
      </w:r>
      <w:r>
        <w:t xml:space="preserve"> </w:t>
      </w:r>
      <w:r>
        <w:t xml:space="preserve">use of a conducive metholdogy (ISO 14083)</w:t>
      </w:r>
      <w:r>
        <w:t xml:space="preserve"> </w:t>
      </w:r>
      <w:r>
        <w:t xml:space="preserve">but with a more decentralised approach, has</w:t>
      </w:r>
      <w:r>
        <w:t xml:space="preserve"> </w:t>
      </w:r>
      <w:r>
        <w:t xml:space="preserve">been added to the assessment. This option is</w:t>
      </w:r>
      <w:r>
        <w:t xml:space="preserve"> </w:t>
      </w:r>
      <w:r>
        <w:t xml:space="preserve">reflected in sections 6 and 7, and Annexes 4,</w:t>
      </w:r>
      <w:r>
        <w:t xml:space="preserve"> </w:t>
      </w:r>
      <w:r>
        <w:t xml:space="preserve">5, 9 and 10 of the revised report.</w:t>
      </w:r>
      <w:r>
        <w:t xml:space="preserve"> </w:t>
      </w:r>
      <w:r>
        <w:t xml:space="preserve">(3) The report does not sufficiently analyse</w:t>
      </w:r>
      <w:r>
        <w:t xml:space="preserve"> </w:t>
      </w:r>
      <w:r>
        <w:t xml:space="preserve">the intended versus unintended consequences</w:t>
      </w:r>
      <w:r>
        <w:t xml:space="preserve"> </w:t>
      </w:r>
      <w:r>
        <w:t xml:space="preserve">of the options, including as regards SMEs. It</w:t>
      </w:r>
      <w:r>
        <w:t xml:space="preserve"> </w:t>
      </w:r>
      <w:r>
        <w:t xml:space="preserve">is not sufficiently clear to what extent the</w:t>
      </w:r>
      <w:r>
        <w:t xml:space="preserve"> </w:t>
      </w:r>
      <w:r>
        <w:t xml:space="preserve">options will achieve behavioural changes</w:t>
      </w:r>
      <w:r>
        <w:t xml:space="preserve"> </w:t>
      </w:r>
      <w:r>
        <w:t xml:space="preserve">among transport service providers and users.</w:t>
      </w:r>
      <w:r>
        <w:t xml:space="preserve"> </w:t>
      </w:r>
      <w:r>
        <w:t xml:space="preserve">The revised version of the Annex 4 includes:</w:t>
      </w:r>
      <w:r>
        <w:br/>
      </w:r>
      <w:r>
        <w:t xml:space="preserve"> new tables showing the relative (%)</w:t>
      </w:r>
      <w:r>
        <w:t xml:space="preserve"> </w:t>
      </w:r>
      <w:r>
        <w:t xml:space="preserve">impacts</w:t>
      </w:r>
      <w:r>
        <w:t xml:space="preserve"> </w:t>
      </w:r>
      <w:r>
        <w:t xml:space="preserve">on</w:t>
      </w:r>
      <w:r>
        <w:t xml:space="preserve"> </w:t>
      </w:r>
      <w:r>
        <w:t xml:space="preserve">SMEs</w:t>
      </w:r>
      <w:r>
        <w:t xml:space="preserve"> </w:t>
      </w:r>
      <w:r>
        <w:t xml:space="preserve">and</w:t>
      </w:r>
      <w:r>
        <w:t xml:space="preserve"> </w:t>
      </w:r>
      <w:r>
        <w:t xml:space="preserve">larger</w:t>
      </w:r>
      <w:r>
        <w:t xml:space="preserve"> </w:t>
      </w:r>
      <w:r>
        <w:t xml:space="preserve">companies, together with necessary</w:t>
      </w:r>
      <w:r>
        <w:t xml:space="preserve"> </w:t>
      </w:r>
      <w:r>
        <w:t xml:space="preserve">explanations;</w:t>
      </w:r>
      <w:r>
        <w:br/>
      </w:r>
      <w:r>
        <w:t xml:space="preserve"> complementary</w:t>
      </w:r>
      <w:r>
        <w:t xml:space="preserve"> </w:t>
      </w:r>
      <w:r>
        <w:t xml:space="preserve">information</w:t>
      </w:r>
      <w:r>
        <w:t xml:space="preserve"> </w:t>
      </w:r>
      <w:r>
        <w:t xml:space="preserve">on</w:t>
      </w:r>
      <w:r>
        <w:t xml:space="preserve"> </w:t>
      </w:r>
      <w:r>
        <w:t xml:space="preserve">benefits and costs impacting both</w:t>
      </w:r>
      <w:r>
        <w:t xml:space="preserve"> </w:t>
      </w:r>
      <w:r>
        <w:t xml:space="preserve">SMEs and larger companies, broken</w:t>
      </w:r>
      <w:r>
        <w:t xml:space="preserve"> </w:t>
      </w:r>
      <w:r>
        <w:t xml:space="preserve">down per specific qualifier (fuel</w:t>
      </w:r>
      <w:r>
        <w:t xml:space="preserve"> </w:t>
      </w:r>
      <w:r>
        <w:t xml:space="preserve">saved,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costs,</w:t>
      </w:r>
      <w:r>
        <w:t xml:space="preserve"> </w:t>
      </w:r>
      <w:r>
        <w:t xml:space="preserve">administrative costs, etc.);</w:t>
      </w:r>
      <w:r>
        <w:t xml:space="preserve"> </w:t>
      </w:r>
      <w:r>
        <w:t xml:space="preserve"> additional</w:t>
      </w:r>
      <w:r>
        <w:t xml:space="preserve"> </w:t>
      </w:r>
      <w:r>
        <w:t xml:space="preserve">details</w:t>
      </w:r>
      <w:r>
        <w:t xml:space="preserve"> </w:t>
      </w:r>
      <w:r>
        <w:t xml:space="preserve">on</w:t>
      </w:r>
      <w:r>
        <w:t xml:space="preserve"> </w:t>
      </w:r>
      <w:r>
        <w:t xml:space="preserve">impacts</w:t>
      </w:r>
      <w:r>
        <w:t xml:space="preserve"> </w:t>
      </w:r>
      <w:r>
        <w:t xml:space="preserve">stemming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behavioural</w:t>
      </w:r>
      <w:r>
        <w:t xml:space="preserve"> </w:t>
      </w:r>
      <w:r>
        <w:t xml:space="preserve">change to support the evidence</w:t>
      </w:r>
      <w:r>
        <w:t xml:space="preserve"> </w:t>
      </w:r>
      <w:r>
        <w:t xml:space="preserve">underpinning the calculations.</w:t>
      </w:r>
      <w:r>
        <w:t xml:space="preserve"> </w:t>
      </w:r>
      <w:r>
        <w:t xml:space="preserve">(4) The report does not well explain the</w:t>
      </w:r>
      <w:r>
        <w:t xml:space="preserve"> </w:t>
      </w:r>
      <w:r>
        <w:t xml:space="preserve">scoring methodology used when comparing</w:t>
      </w:r>
      <w:r>
        <w:t xml:space="preserve"> </w:t>
      </w:r>
      <w:r>
        <w:t xml:space="preserve">the options.</w:t>
      </w:r>
      <w:r>
        <w:t xml:space="preserve"> </w:t>
      </w:r>
      <w:r>
        <w:t xml:space="preserve">A new section 7.5 (Comparison of the</w:t>
      </w:r>
      <w:r>
        <w:t xml:space="preserve"> </w:t>
      </w:r>
      <w:r>
        <w:t xml:space="preserve">options)</w:t>
      </w:r>
      <w:r>
        <w:t xml:space="preserve"> </w:t>
      </w:r>
      <w:r>
        <w:t xml:space="preserve">including</w:t>
      </w:r>
      <w:r>
        <w:t xml:space="preserve"> </w:t>
      </w:r>
      <w:r>
        <w:t xml:space="preserve">clearer</w:t>
      </w:r>
      <w:r>
        <w:t xml:space="preserve"> </w:t>
      </w:r>
      <w:r>
        <w:t xml:space="preserve">scoring</w:t>
      </w:r>
      <w:r>
        <w:t xml:space="preserve"> </w:t>
      </w:r>
      <w:r>
        <w:t xml:space="preserve">methodology,</w:t>
      </w:r>
      <w:r>
        <w:t xml:space="preserve"> </w:t>
      </w:r>
      <w:r>
        <w:t xml:space="preserve">together</w:t>
      </w:r>
      <w:r>
        <w:t xml:space="preserve"> </w:t>
      </w:r>
      <w:r>
        <w:t xml:space="preserve">with</w:t>
      </w:r>
      <w:r>
        <w:t xml:space="preserve"> </w:t>
      </w:r>
      <w:r>
        <w:t xml:space="preserve">necessary</w:t>
      </w:r>
      <w:r>
        <w:t xml:space="preserve"> </w:t>
      </w:r>
      <w:r>
        <w:t xml:space="preserve">clarifications has been added to the revised</w:t>
      </w:r>
      <w:r>
        <w:t xml:space="preserve"> </w:t>
      </w:r>
      <w:r>
        <w:t xml:space="preserve">report.</w:t>
      </w:r>
      <w:r>
        <w:t xml:space="preserve"> </w:t>
      </w:r>
      <w:r>
        <w:t xml:space="preserve">Adjustment requirements</w:t>
      </w:r>
      <w:r>
        <w:t xml:space="preserve"> </w:t>
      </w:r>
      <w:r>
        <w:t xml:space="preserve">(1) The report should explain more clearly in</w:t>
      </w:r>
      <w:r>
        <w:t xml:space="preserve"> </w:t>
      </w:r>
      <w:r>
        <w:t xml:space="preserve">its problem definition and intervention logic</w:t>
      </w:r>
      <w:r>
        <w:t xml:space="preserve"> </w:t>
      </w:r>
      <w:r>
        <w:t xml:space="preserve">how a harmonised methodological framework</w:t>
      </w:r>
      <w:r>
        <w:t xml:space="preserve"> </w:t>
      </w:r>
      <w:r>
        <w:t xml:space="preserve">will enable the reduction of the GHG</w:t>
      </w:r>
      <w:r>
        <w:t xml:space="preserve"> </w:t>
      </w:r>
      <w:r>
        <w:t xml:space="preserve">emissions of the transport sector. The problem</w:t>
      </w:r>
      <w:r>
        <w:t xml:space="preserve"> </w:t>
      </w:r>
      <w:r>
        <w:t xml:space="preserve">drivers behind a limited uptake of GHG</w:t>
      </w:r>
      <w:r>
        <w:t xml:space="preserve"> </w:t>
      </w:r>
      <w:r>
        <w:t xml:space="preserve">emissions accounting in business practice are</w:t>
      </w:r>
      <w:r>
        <w:t xml:space="preserve"> </w:t>
      </w:r>
      <w:r>
        <w:t xml:space="preserve">of a different nature than the problem drivers</w:t>
      </w:r>
      <w:r>
        <w:t xml:space="preserve"> </w:t>
      </w:r>
      <w:r>
        <w:t xml:space="preserve">behind the limited comparability of GHG</w:t>
      </w:r>
      <w:r>
        <w:t xml:space="preserve"> </w:t>
      </w:r>
      <w:r>
        <w:t xml:space="preserve">emissions accounting results. The report</w:t>
      </w:r>
      <w:r>
        <w:t xml:space="preserve"> </w:t>
      </w:r>
      <w:r>
        <w:t xml:space="preserve">should</w:t>
      </w:r>
      <w:r>
        <w:t xml:space="preserve"> </w:t>
      </w:r>
      <w:r>
        <w:t xml:space="preserve">make</w:t>
      </w:r>
      <w:r>
        <w:t xml:space="preserve"> </w:t>
      </w:r>
      <w:r>
        <w:t xml:space="preserve">more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evidence</w:t>
      </w:r>
      <w:r>
        <w:t xml:space="preserve"> </w:t>
      </w:r>
      <w:r>
        <w:t xml:space="preserve">underpinning the assumed changes in the</w:t>
      </w:r>
      <w:r>
        <w:t xml:space="preserve"> </w:t>
      </w:r>
      <w:r>
        <w:t xml:space="preserve">transport activity under each option. Given</w:t>
      </w:r>
      <w:r>
        <w:t xml:space="preserve"> </w:t>
      </w:r>
      <w:r>
        <w:t xml:space="preserve">that rules on emissions reporting exist also</w:t>
      </w:r>
      <w:r>
        <w:t xml:space="preserve"> </w:t>
      </w:r>
      <w:r>
        <w:t xml:space="preserve">Additional details clarifying interactions with</w:t>
      </w:r>
      <w:r>
        <w:t xml:space="preserve"> </w:t>
      </w:r>
      <w:r>
        <w:t xml:space="preserve">other relevant regulatory regimes have been</w:t>
      </w:r>
      <w:r>
        <w:t xml:space="preserve"> </w:t>
      </w:r>
      <w:r>
        <w:t xml:space="preserve">incorporated in section 1.4. New sections 2.3</w:t>
      </w:r>
      <w:r>
        <w:t xml:space="preserve"> </w:t>
      </w:r>
      <w:r>
        <w:t xml:space="preserve">(Interlinkages between the problem drivers)</w:t>
      </w:r>
      <w:r>
        <w:t xml:space="preserve"> </w:t>
      </w:r>
      <w:r>
        <w:t xml:space="preserve">and 2.4 (Affected stakeholders) have been</w:t>
      </w:r>
      <w:r>
        <w:t xml:space="preserve"> </w:t>
      </w:r>
      <w:r>
        <w:t xml:space="preserve">added to the revised report. Additional</w:t>
      </w:r>
      <w:r>
        <w:t xml:space="preserve"> </w:t>
      </w:r>
      <w:r>
        <w:t xml:space="preserve">references regarding the limited uptake of the</w:t>
      </w:r>
      <w:r>
        <w:t xml:space="preserve"> </w:t>
      </w:r>
      <w:r>
        <w:t xml:space="preserve">GHG emissions accounting of transport</w:t>
      </w:r>
      <w:r>
        <w:t xml:space="preserve"> </w:t>
      </w:r>
      <w:r>
        <w:t xml:space="preserve">services have been included in section 2.5.</w:t>
      </w:r>
      <w:r>
        <w:t xml:space="preserve"> </w:t>
      </w:r>
      <w:r>
        <w:t xml:space="preserve">Complementary clarification for the evidence</w:t>
      </w:r>
      <w:r>
        <w:t xml:space="preserve"> </w:t>
      </w:r>
      <w:r>
        <w:t xml:space="preserve">underpinning the assumed changes in the</w:t>
      </w:r>
      <w:r>
        <w:t xml:space="preserve"> </w:t>
      </w:r>
      <w:r>
        <w:t xml:space="preserve">transport activity has been included in</w:t>
      </w:r>
      <w:r>
        <w:t xml:space="preserve"> </w:t>
      </w:r>
      <w:r>
        <w:t xml:space="preserve">sections 6, 8.1, and Annex 4.</w:t>
      </w:r>
    </w:p>
    <w:p>
      <w:pPr>
        <w:pStyle w:val="BodyText"/>
      </w:pPr>
      <w:r>
        <w:t xml:space="preserve">58</w:t>
      </w:r>
    </w:p>
    <w:p>
      <w:pPr>
        <w:pStyle w:val="BodyText"/>
      </w:pPr>
      <w:r>
        <w:t xml:space="preserve">elsewhere in EU law and exist through other</w:t>
      </w:r>
      <w:r>
        <w:t xml:space="preserve"> </w:t>
      </w:r>
      <w:r>
        <w:t xml:space="preserve">methodologies in areas such as Emission</w:t>
      </w:r>
      <w:r>
        <w:t xml:space="preserve"> </w:t>
      </w:r>
      <w:r>
        <w:t xml:space="preserve">Trading System and corporate sustainability</w:t>
      </w:r>
      <w:r>
        <w:t xml:space="preserve"> </w:t>
      </w:r>
      <w:r>
        <w:t xml:space="preserve">reporting, the report should better assess the</w:t>
      </w:r>
      <w:r>
        <w:t xml:space="preserve"> </w:t>
      </w:r>
      <w:r>
        <w:t xml:space="preserve">coherence of the initiative (and later the</w:t>
      </w:r>
      <w:r>
        <w:t xml:space="preserve"> </w:t>
      </w:r>
      <w:r>
        <w:t xml:space="preserve">options) with existing instruments.</w:t>
      </w:r>
      <w:r>
        <w:t xml:space="preserve"> </w:t>
      </w:r>
      <w:r>
        <w:t xml:space="preserve">(2) The report should provide a complete and</w:t>
      </w:r>
      <w:r>
        <w:t xml:space="preserve"> </w:t>
      </w:r>
      <w:r>
        <w:t xml:space="preserve">realistic set of options. While it presents an</w:t>
      </w:r>
      <w:r>
        <w:t xml:space="preserve"> </w:t>
      </w:r>
      <w:r>
        <w:t xml:space="preserve">ambitious option which requires mandatory</w:t>
      </w:r>
      <w:r>
        <w:t xml:space="preserve"> </w:t>
      </w:r>
      <w:r>
        <w:t xml:space="preserve">emissions counting for all entities, this option</w:t>
      </w:r>
      <w:r>
        <w:t xml:space="preserve"> </w:t>
      </w:r>
      <w:r>
        <w:t xml:space="preserve">comes with additional requirements with less</w:t>
      </w:r>
      <w:r>
        <w:t xml:space="preserve"> </w:t>
      </w:r>
      <w:r>
        <w:t xml:space="preserve">flexibility and raises short-term feasibility and</w:t>
      </w:r>
      <w:r>
        <w:t xml:space="preserve"> </w:t>
      </w:r>
      <w:r>
        <w:t xml:space="preserve">coherence issues. To present a more credible</w:t>
      </w:r>
      <w:r>
        <w:t xml:space="preserve"> </w:t>
      </w:r>
      <w:r>
        <w:t xml:space="preserve">and ambitious option, the report should</w:t>
      </w:r>
      <w:r>
        <w:t xml:space="preserve"> </w:t>
      </w:r>
      <w:r>
        <w:t xml:space="preserve">consider presenting an option based on ISO</w:t>
      </w:r>
      <w:r>
        <w:t xml:space="preserve"> </w:t>
      </w:r>
      <w:r>
        <w:t xml:space="preserve">14083 while designing the other measures in</w:t>
      </w:r>
      <w:r>
        <w:t xml:space="preserve"> </w:t>
      </w:r>
      <w:r>
        <w:t xml:space="preserve">a more SME friendly manner.</w:t>
      </w:r>
      <w:r>
        <w:t xml:space="preserve"> </w:t>
      </w:r>
      <w:r>
        <w:t xml:space="preserve">A new policy option 6 (PO6) has been added</w:t>
      </w:r>
      <w:r>
        <w:t xml:space="preserve"> </w:t>
      </w:r>
      <w:r>
        <w:t xml:space="preserve">to the report. This option tests a fully</w:t>
      </w:r>
      <w:r>
        <w:t xml:space="preserve"> </w:t>
      </w:r>
      <w:r>
        <w:t xml:space="preserve">mandatory application of the common GHG</w:t>
      </w:r>
      <w:r>
        <w:t xml:space="preserve"> </w:t>
      </w:r>
      <w:r>
        <w:t xml:space="preserve">emissions accounting framework with a</w:t>
      </w:r>
      <w:r>
        <w:t xml:space="preserve"> </w:t>
      </w:r>
      <w:r>
        <w:t xml:space="preserve">similar set of policy measures with respect to</w:t>
      </w:r>
      <w:r>
        <w:t xml:space="preserve"> </w:t>
      </w:r>
      <w:r>
        <w:t xml:space="preserve">the preferred policy option (PO4). Based on</w:t>
      </w:r>
      <w:r>
        <w:t xml:space="preserve"> </w:t>
      </w:r>
      <w:r>
        <w:t xml:space="preserve">the assessment performed, the choice of the</w:t>
      </w:r>
      <w:r>
        <w:t xml:space="preserve"> </w:t>
      </w:r>
      <w:r>
        <w:t xml:space="preserve">preferred policy option has not changed.</w:t>
      </w:r>
      <w:r>
        <w:t xml:space="preserve"> </w:t>
      </w:r>
      <w:r>
        <w:t xml:space="preserve">(3) The report should analyse more deeply</w:t>
      </w:r>
      <w:r>
        <w:t xml:space="preserve"> </w:t>
      </w:r>
      <w:r>
        <w:t xml:space="preserve">what the intended as well as unintended</w:t>
      </w:r>
      <w:r>
        <w:t xml:space="preserve"> </w:t>
      </w:r>
      <w:r>
        <w:t xml:space="preserve">consequences would be of the options.</w:t>
      </w:r>
      <w:r>
        <w:t xml:space="preserve"> </w:t>
      </w:r>
      <w:r>
        <w:t xml:space="preserve">Although the preferred option is quasi-</w:t>
      </w:r>
      <w:r>
        <w:t xml:space="preserve"> </w:t>
      </w:r>
      <w:r>
        <w:t xml:space="preserve">voluntary, there seems to be a likelihood that</w:t>
      </w:r>
      <w:r>
        <w:t xml:space="preserve"> </w:t>
      </w:r>
      <w:r>
        <w:t xml:space="preserve">transport actors will impose emissions</w:t>
      </w:r>
      <w:r>
        <w:t xml:space="preserve"> </w:t>
      </w:r>
      <w:r>
        <w:t xml:space="preserve">accounting on their subcontractors, often</w:t>
      </w:r>
      <w:r>
        <w:t xml:space="preserve"> </w:t>
      </w:r>
      <w:r>
        <w:t xml:space="preserve">SMEs, to meet the sustainability expectations</w:t>
      </w:r>
      <w:r>
        <w:t xml:space="preserve"> </w:t>
      </w:r>
      <w:r>
        <w:t xml:space="preserve">of the transport demand side. Consequently, a</w:t>
      </w:r>
      <w:r>
        <w:t xml:space="preserve"> </w:t>
      </w:r>
      <w:r>
        <w:t xml:space="preserve">quasi-voluntary approach for enterprises</w:t>
      </w:r>
      <w:r>
        <w:t xml:space="preserve"> </w:t>
      </w:r>
      <w:r>
        <w:t xml:space="preserve">below a certain threshold might then become</w:t>
      </w:r>
      <w:r>
        <w:t xml:space="preserve"> </w:t>
      </w:r>
      <w:r>
        <w:t xml:space="preserve">a de facto standard. The report should</w:t>
      </w:r>
      <w:r>
        <w:t xml:space="preserve"> </w:t>
      </w:r>
      <w:r>
        <w:t xml:space="preserve">elaborate on the likelihood of this happening</w:t>
      </w:r>
      <w:r>
        <w:t xml:space="preserve"> </w:t>
      </w:r>
      <w:r>
        <w:t xml:space="preserve">and on what the main implications for the key</w:t>
      </w:r>
      <w:r>
        <w:t xml:space="preserve"> </w:t>
      </w:r>
      <w:r>
        <w:t xml:space="preserve">actors in terms of costs and benefits would be.</w:t>
      </w:r>
      <w:r>
        <w:t xml:space="preserve"> </w:t>
      </w:r>
      <w:r>
        <w:t xml:space="preserve">The report should also clarify whether the</w:t>
      </w:r>
      <w:r>
        <w:t xml:space="preserve"> </w:t>
      </w:r>
      <w:r>
        <w:t xml:space="preserve">adoption of the specific methodology and</w:t>
      </w:r>
      <w:r>
        <w:t xml:space="preserve"> </w:t>
      </w:r>
      <w:r>
        <w:t xml:space="preserve">related reporting would be expected to</w:t>
      </w:r>
      <w:r>
        <w:t xml:space="preserve"> </w:t>
      </w:r>
      <w:r>
        <w:t xml:space="preserve">influence other reporting regimes or become</w:t>
      </w:r>
      <w:r>
        <w:t xml:space="preserve"> </w:t>
      </w:r>
      <w:r>
        <w:t xml:space="preserve">obligatory under current or future initiatives,</w:t>
      </w:r>
      <w:r>
        <w:t xml:space="preserve"> </w:t>
      </w:r>
      <w:r>
        <w:t xml:space="preserve">and if so, what would be the consequences, in</w:t>
      </w:r>
      <w:r>
        <w:t xml:space="preserve"> </w:t>
      </w:r>
      <w:r>
        <w:t xml:space="preserve">particular on SMEs, including for areas such</w:t>
      </w:r>
      <w:r>
        <w:t xml:space="preserve"> </w:t>
      </w:r>
      <w:r>
        <w:t xml:space="preserve">as financing.</w:t>
      </w:r>
      <w:r>
        <w:t xml:space="preserve"> </w:t>
      </w:r>
      <w:r>
        <w:t xml:space="preserve">The consequences of various policy options</w:t>
      </w:r>
      <w:r>
        <w:t xml:space="preserve"> </w:t>
      </w:r>
      <w:r>
        <w:t xml:space="preserve">have been clarified in revised sections 1.4, 6,</w:t>
      </w:r>
      <w:r>
        <w:t xml:space="preserve"> </w:t>
      </w:r>
      <w:r>
        <w:t xml:space="preserve">and 8, and Annex 4. Additional implications</w:t>
      </w:r>
      <w:r>
        <w:t xml:space="preserve"> </w:t>
      </w:r>
      <w:r>
        <w:t xml:space="preserve">of quasi-voluntary policy options (binding</w:t>
      </w:r>
      <w:r>
        <w:t xml:space="preserve"> </w:t>
      </w:r>
      <w:r>
        <w:t xml:space="preserve">opt-in</w:t>
      </w:r>
      <w:r>
        <w:t xml:space="preserve"> </w:t>
      </w:r>
      <w:r>
        <w:t xml:space="preserve">approaches)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further</w:t>
      </w:r>
      <w:r>
        <w:t xml:space="preserve"> </w:t>
      </w:r>
      <w:r>
        <w:t xml:space="preserve">explained in Annex 4.</w:t>
      </w:r>
      <w:r>
        <w:br/>
      </w:r>
      <w:r>
        <w:t xml:space="preserve">(4) The report should better explain how the</w:t>
      </w:r>
      <w:r>
        <w:t xml:space="preserve"> </w:t>
      </w:r>
      <w:r>
        <w:t xml:space="preserve">options will incentivise behavioural change,</w:t>
      </w:r>
      <w:r>
        <w:t xml:space="preserve"> </w:t>
      </w:r>
      <w:r>
        <w:t xml:space="preserve">made both on the supply and demand sides of</w:t>
      </w:r>
      <w:r>
        <w:t xml:space="preserve"> </w:t>
      </w:r>
      <w:r>
        <w:t xml:space="preserve">the transport market, towards their choice of</w:t>
      </w:r>
      <w:r>
        <w:t xml:space="preserve"> </w:t>
      </w:r>
      <w:r>
        <w:t xml:space="preserve">transport services. It should provide evidence</w:t>
      </w:r>
      <w:r>
        <w:t xml:space="preserve"> </w:t>
      </w:r>
      <w:r>
        <w:t xml:space="preserve">on the causality effect between the GHG</w:t>
      </w:r>
      <w:r>
        <w:t xml:space="preserve"> </w:t>
      </w:r>
      <w:r>
        <w:t xml:space="preserve">Clarifications have been added to Section 6</w:t>
      </w:r>
      <w:r>
        <w:t xml:space="preserve"> </w:t>
      </w:r>
      <w:r>
        <w:t xml:space="preserve">and Annex 4 (including sensitivity analysis).</w:t>
      </w:r>
      <w:r>
        <w:t xml:space="preserve"> </w:t>
      </w:r>
      <w:r>
        <w:t xml:space="preserve">The results of the sensitivity analysis on the</w:t>
      </w:r>
      <w:r>
        <w:t xml:space="preserve"> </w:t>
      </w:r>
      <w:r>
        <w:t xml:space="preserve">net benefits and the benefits to costs ratio, for</w:t>
      </w:r>
      <w:r>
        <w:t xml:space="preserve"> </w:t>
      </w:r>
      <w:r>
        <w:t xml:space="preserve">each policy option, have been added in</w:t>
      </w:r>
      <w:r>
        <w:t xml:space="preserve"> </w:t>
      </w:r>
      <w:r>
        <w:t xml:space="preserve">section 7.6. The impact on modal shift,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emissions accounting, changes in transport</w:t>
      </w:r>
      <w:r>
        <w:t xml:space="preserve"> </w:t>
      </w:r>
      <w:r>
        <w:t xml:space="preserve">activity and the related reduction in the GHG</w:t>
      </w:r>
      <w:r>
        <w:t xml:space="preserve"> </w:t>
      </w:r>
      <w:r>
        <w:t xml:space="preserve">emissions. If empirical evidence is limited or</w:t>
      </w:r>
      <w:r>
        <w:t xml:space="preserve"> </w:t>
      </w:r>
      <w:r>
        <w:t xml:space="preserve">unavailable, it should present use cases and</w:t>
      </w:r>
      <w:r>
        <w:t xml:space="preserve"> </w:t>
      </w:r>
      <w:r>
        <w:t xml:space="preserve">case studies used to support the assumptions</w:t>
      </w:r>
      <w:r>
        <w:t xml:space="preserve"> </w:t>
      </w:r>
      <w:r>
        <w:t xml:space="preserve">made in the modelling of changes to transport</w:t>
      </w:r>
      <w:r>
        <w:t xml:space="preserve"> </w:t>
      </w:r>
      <w:r>
        <w:t xml:space="preserve">activity due to this initiative. The report</w:t>
      </w:r>
      <w:r>
        <w:t xml:space="preserve"> </w:t>
      </w:r>
      <w:r>
        <w:t xml:space="preserve">should be clearer on how the different</w:t>
      </w:r>
      <w:r>
        <w:t xml:space="preserve"> </w:t>
      </w:r>
      <w:r>
        <w:t xml:space="preserve">transport modes will be affected by the</w:t>
      </w:r>
      <w:r>
        <w:t xml:space="preserve"> </w:t>
      </w:r>
      <w:r>
        <w:t xml:space="preserve">options. Given the high uncertainty related to</w:t>
      </w:r>
      <w:r>
        <w:t xml:space="preserve"> </w:t>
      </w:r>
      <w:r>
        <w:t xml:space="preserve">the estimates, the report should undertake a</w:t>
      </w:r>
      <w:r>
        <w:t xml:space="preserve"> </w:t>
      </w:r>
      <w:r>
        <w:t xml:space="preserve">sensitivity analysis on the key assumptions</w:t>
      </w:r>
      <w:r>
        <w:t xml:space="preserve"> </w:t>
      </w:r>
      <w:r>
        <w:t xml:space="preserve">driving the results.</w:t>
      </w:r>
      <w:r>
        <w:t xml:space="preserve"> </w:t>
      </w:r>
      <w:r>
        <w:t xml:space="preserve">underpinning the environmental impacts, has</w:t>
      </w:r>
      <w:r>
        <w:t xml:space="preserve"> </w:t>
      </w:r>
      <w:r>
        <w:t xml:space="preserve">been further explained in Annex 4. A new</w:t>
      </w:r>
      <w:r>
        <w:t xml:space="preserve"> </w:t>
      </w:r>
      <w:r>
        <w:t xml:space="preserve">annex (Annex 11) with illustrative case</w:t>
      </w:r>
      <w:r>
        <w:t xml:space="preserve"> </w:t>
      </w:r>
      <w:r>
        <w:t xml:space="preserve">studies and use cases has been added to the</w:t>
      </w:r>
      <w:r>
        <w:t xml:space="preserve"> </w:t>
      </w:r>
      <w:r>
        <w:t xml:space="preserve">report.</w:t>
      </w:r>
      <w:r>
        <w:br/>
      </w:r>
      <w:r>
        <w:t xml:space="preserve">(5) The report should explain better the</w:t>
      </w:r>
      <w:r>
        <w:t xml:space="preserve"> </w:t>
      </w:r>
      <w:r>
        <w:t xml:space="preserve">scoring methodology used when comparing</w:t>
      </w:r>
      <w:r>
        <w:t xml:space="preserve"> </w:t>
      </w:r>
      <w:r>
        <w:t xml:space="preserve">the options. The scores attributed per criteria</w:t>
      </w:r>
      <w:r>
        <w:t xml:space="preserve"> </w:t>
      </w:r>
      <w:r>
        <w:t xml:space="preserve">for the options should be consistent with the</w:t>
      </w:r>
      <w:r>
        <w:t xml:space="preserve"> </w:t>
      </w:r>
      <w:r>
        <w:t xml:space="preserve">preceding analysis and adequately reflect the</w:t>
      </w:r>
      <w:r>
        <w:t xml:space="preserve"> </w:t>
      </w:r>
      <w:r>
        <w:t xml:space="preserve">differences in observed impacts. If, for</w:t>
      </w:r>
      <w:r>
        <w:t xml:space="preserve"> </w:t>
      </w:r>
      <w:r>
        <w:t xml:space="preserve">example, there are large differences in the</w:t>
      </w:r>
      <w:r>
        <w:t xml:space="preserve"> </w:t>
      </w:r>
      <w:r>
        <w:t xml:space="preserve">effectiveness or coherence of options, this</w:t>
      </w:r>
      <w:r>
        <w:t xml:space="preserve"> </w:t>
      </w:r>
      <w:r>
        <w:t xml:space="preserve">should be clearly explained and adequately</w:t>
      </w:r>
      <w:r>
        <w:t xml:space="preserve"> </w:t>
      </w:r>
      <w:r>
        <w:t xml:space="preserve">reflected in the scoring. The report should</w:t>
      </w:r>
      <w:r>
        <w:t xml:space="preserve"> </w:t>
      </w:r>
      <w:r>
        <w:t xml:space="preserve">clarify if factors outside the initiative’scope</w:t>
      </w:r>
      <w:r>
        <w:t xml:space="preserve"> </w:t>
      </w:r>
      <w:r>
        <w:t xml:space="preserve">have been factored in or out in the</w:t>
      </w:r>
      <w:r>
        <w:t xml:space="preserve"> </w:t>
      </w:r>
      <w:r>
        <w:t xml:space="preserve">effectiveness</w:t>
      </w:r>
      <w:r>
        <w:t xml:space="preserve"> </w:t>
      </w:r>
      <w:r>
        <w:t xml:space="preserve">scoring,</w:t>
      </w:r>
      <w:r>
        <w:t xml:space="preserve"> </w:t>
      </w:r>
      <w:r>
        <w:t xml:space="preserve">including</w:t>
      </w:r>
      <w:r>
        <w:t xml:space="preserve"> </w:t>
      </w:r>
      <w:r>
        <w:t xml:space="preserve">acknowledging limits to the analytical work</w:t>
      </w:r>
      <w:r>
        <w:t xml:space="preserve"> </w:t>
      </w:r>
      <w:r>
        <w:t xml:space="preserve">itself.</w:t>
      </w:r>
      <w:r>
        <w:t xml:space="preserve"> </w:t>
      </w:r>
      <w:r>
        <w:t xml:space="preserve">Section 7.5 has been added to the revised</w:t>
      </w:r>
      <w:r>
        <w:t xml:space="preserve"> </w:t>
      </w:r>
      <w:r>
        <w:t xml:space="preserve">report. This section further details the</w:t>
      </w:r>
      <w:r>
        <w:t xml:space="preserve"> </w:t>
      </w:r>
      <w:r>
        <w:t xml:space="preserve">effectiveness,</w:t>
      </w:r>
      <w:r>
        <w:t xml:space="preserve"> </w:t>
      </w:r>
      <w:r>
        <w:t xml:space="preserve">efficiency,</w:t>
      </w:r>
      <w:r>
        <w:t xml:space="preserve"> </w:t>
      </w:r>
      <w:r>
        <w:t xml:space="preserve">coherence,</w:t>
      </w:r>
      <w:r>
        <w:t xml:space="preserve"> </w:t>
      </w:r>
      <w:r>
        <w:t xml:space="preserve">subsidiarity and proportionality of the policy</w:t>
      </w:r>
      <w:r>
        <w:t xml:space="preserve"> </w:t>
      </w:r>
      <w:r>
        <w:t xml:space="preserve">options with a clearer scoring methodology</w:t>
      </w:r>
      <w:r>
        <w:t xml:space="preserve"> </w:t>
      </w:r>
      <w:r>
        <w:t xml:space="preserve">embedded.</w:t>
      </w:r>
      <w:r>
        <w:t xml:space="preserve"> </w:t>
      </w:r>
      <w:r>
        <w:t xml:space="preserve">Respective</w:t>
      </w:r>
      <w:r>
        <w:t xml:space="preserve"> </w:t>
      </w:r>
      <w:r>
        <w:t xml:space="preserve">corrections</w:t>
      </w:r>
      <w:r>
        <w:t xml:space="preserve"> </w:t>
      </w:r>
      <w:r>
        <w:t xml:space="preserve">and</w:t>
      </w:r>
      <w:r>
        <w:t xml:space="preserve"> </w:t>
      </w:r>
      <w:r>
        <w:t xml:space="preserve">clarifications have also been included in</w:t>
      </w:r>
      <w:r>
        <w:t xml:space="preserve"> </w:t>
      </w:r>
      <w:r>
        <w:t xml:space="preserve">Annex 9.</w:t>
      </w:r>
      <w:r>
        <w:t xml:space="preserve"> </w:t>
      </w:r>
      <w:r>
        <w:t xml:space="preserve">(6) The report should ensure analytical</w:t>
      </w:r>
      <w:r>
        <w:t xml:space="preserve"> </w:t>
      </w:r>
      <w:r>
        <w:t xml:space="preserve">consistency throughout. Costs related to the</w:t>
      </w:r>
      <w:r>
        <w:t xml:space="preserve"> </w:t>
      </w:r>
      <w:r>
        <w:t xml:space="preserve">One In, One Out approach should be</w:t>
      </w:r>
      <w:r>
        <w:t xml:space="preserve"> </w:t>
      </w:r>
      <w:r>
        <w:t xml:space="preserve">presented in the aggregated format.</w:t>
      </w:r>
      <w:r>
        <w:br/>
      </w:r>
      <w:r>
        <w:t xml:space="preserve">The analytical consistency has been checked</w:t>
      </w:r>
      <w:r>
        <w:t xml:space="preserve"> </w:t>
      </w:r>
      <w:r>
        <w:t xml:space="preserve">across the report and its annexes. Costs</w:t>
      </w:r>
      <w:r>
        <w:t xml:space="preserve"> </w:t>
      </w:r>
      <w:r>
        <w:t xml:space="preserve">related to the One In, One Out approach are</w:t>
      </w:r>
      <w:r>
        <w:t xml:space="preserve"> </w:t>
      </w:r>
      <w:r>
        <w:t xml:space="preserve">now presented in the aggregated format in</w:t>
      </w:r>
      <w:r>
        <w:t xml:space="preserve"> </w:t>
      </w:r>
      <w:r>
        <w:t xml:space="preserve">Annex 3.</w:t>
      </w:r>
    </w:p>
    <w:p>
      <w:pPr>
        <w:pStyle w:val="Compact"/>
        <w:numPr>
          <w:ilvl w:val="0"/>
          <w:numId w:val="1007"/>
        </w:numPr>
      </w:pPr>
      <w:r>
        <w:t xml:space="preserve">EVIDENCE, SOURCES AND QUALITY</w:t>
      </w:r>
      <w:r>
        <w:t xml:space="preserve"> </w:t>
      </w:r>
      <w:r>
        <w:t xml:space="preserve">The impact assessment is based on several sources, using both quantitative and qualitative data.</w:t>
      </w:r>
      <w:r>
        <w:t xml:space="preserve"> </w:t>
      </w:r>
      <w:r>
        <w:t xml:space="preserve">These include:</w:t>
      </w:r>
      <w:r>
        <w:t xml:space="preserve"> </w:t>
      </w:r>
      <w:r>
        <w:t xml:space="preserve"> Stakeholder consultation activities (see Annex 2);</w:t>
      </w:r>
      <w:r>
        <w:t xml:space="preserve"> </w:t>
      </w:r>
      <w:r>
        <w:t xml:space="preserve"> External support study carried out by an independent consortium (led by Ecorys Nederland</w:t>
      </w:r>
      <w:r>
        <w:t xml:space="preserve"> </w:t>
      </w:r>
      <w:r>
        <w:t xml:space="preserve">B.V);</w:t>
      </w:r>
      <w:r>
        <w:t xml:space="preserve"> </w:t>
      </w:r>
      <w:r>
        <w:t xml:space="preserve"> Commission experience in standardisation activities and quantification of emissions in</w:t>
      </w:r>
      <w:r>
        <w:t xml:space="preserve"> </w:t>
      </w:r>
      <w:r>
        <w:t xml:space="preserve">transport.</w:t>
      </w:r>
    </w:p>
    <w:p>
      <w:pPr>
        <w:pStyle w:val="FirstParagraph"/>
      </w:pPr>
      <w:r>
        <w:t xml:space="preserve">60</w:t>
      </w:r>
    </w:p>
    <w:p>
      <w:pPr>
        <w:pStyle w:val="BodyText"/>
      </w:pPr>
      <w:r>
        <w:t xml:space="preserve">61</w:t>
      </w:r>
    </w:p>
    <w:p>
      <w:pPr>
        <w:pStyle w:val="BodyText"/>
      </w:pPr>
      <w:r>
        <w:t xml:space="preserve">ANNEX 2: STAKEHOLDER CONSULTATION (SYNOPSIS REPORT)</w:t>
      </w:r>
      <w:r>
        <w:t xml:space="preserve"> </w:t>
      </w:r>
      <w:r>
        <w:t xml:space="preserve">This annex provides a summary of the outcomes of the stakeholders’ consultation activities</w:t>
      </w:r>
      <w:r>
        <w:t xml:space="preserve"> </w:t>
      </w:r>
      <w:r>
        <w:t xml:space="preserve">carried out for the CountEmissions EU initiative, including in the context of the technical support</w:t>
      </w:r>
      <w:r>
        <w:t xml:space="preserve"> </w:t>
      </w:r>
      <w:r>
        <w:t xml:space="preserve">study. It illustrates the main consultation activities, depicts the range of stakeholders consulted,</w:t>
      </w:r>
      <w:r>
        <w:t xml:space="preserve"> </w:t>
      </w:r>
      <w:r>
        <w:t xml:space="preserve">and presents a succinct analysis of their views and the main issues raised. The full analysis of</w:t>
      </w:r>
      <w:r>
        <w:t xml:space="preserve"> </w:t>
      </w:r>
      <w:r>
        <w:t xml:space="preserve">the consultation results is presented in the stakeholder consultation report annexed to the</w:t>
      </w:r>
      <w:r>
        <w:t xml:space="preserve"> </w:t>
      </w:r>
      <w:r>
        <w:t xml:space="preserve">technical support study.</w:t>
      </w:r>
      <w:r>
        <w:br/>
      </w:r>
      <w:r>
        <w:t xml:space="preserve">The objectives of the consultation activities were the following:</w:t>
      </w:r>
      <w:r>
        <w:t xml:space="preserve"> </w:t>
      </w:r>
      <w:r>
        <w:t xml:space="preserve"> to collect information and opinions of stakeholders on the key problems and associated</w:t>
      </w:r>
      <w:r>
        <w:t xml:space="preserve"> </w:t>
      </w:r>
      <w:r>
        <w:t xml:space="preserve">drivers, the definition of relevant policy objectives linked to those problems, and the</w:t>
      </w:r>
      <w:r>
        <w:t xml:space="preserve"> </w:t>
      </w:r>
      <w:r>
        <w:t xml:space="preserve">identification and screening of policy measures that could be considered in this Impact</w:t>
      </w:r>
      <w:r>
        <w:t xml:space="preserve"> </w:t>
      </w:r>
      <w:r>
        <w:t xml:space="preserve">Assessment;</w:t>
      </w:r>
      <w:r>
        <w:t xml:space="preserve"> </w:t>
      </w:r>
      <w:r>
        <w:t xml:space="preserve"> to gather information and opinions on likely impacts of the policy measures and options.</w:t>
      </w:r>
      <w:r>
        <w:t xml:space="preserve"> </w:t>
      </w:r>
      <w:r>
        <w:t xml:space="preserve">OVERVIEW OF CONSULTATION ACTIVITIES</w:t>
      </w:r>
      <w:r>
        <w:t xml:space="preserve"> </w:t>
      </w:r>
      <w:r>
        <w:t xml:space="preserve">The consultation strategy was developed from the start of the project and included as key</w:t>
      </w:r>
      <w:r>
        <w:t xml:space="preserve"> </w:t>
      </w:r>
      <w:r>
        <w:t xml:space="preserve">stakeholders the following groups: citizens, companies, business associations, public authorities,</w:t>
      </w:r>
      <w:r>
        <w:t xml:space="preserve"> </w:t>
      </w:r>
      <w:r>
        <w:t xml:space="preserve">NGOs, consumer organisations, academia, trade unions, environmental organisations. The</w:t>
      </w:r>
      <w:r>
        <w:t xml:space="preserve"> </w:t>
      </w:r>
      <w:r>
        <w:t xml:space="preserve">consultation tools were placed in sequence to ensure appropriate feedback during the</w:t>
      </w:r>
      <w:r>
        <w:t xml:space="preserve"> </w:t>
      </w:r>
      <w:r>
        <w:t xml:space="preserve">development of the respective stages of the Impact Assessment.</w:t>
      </w:r>
      <w:r>
        <w:br/>
      </w:r>
      <w:r>
        <w:t xml:space="preserve">Consultation activities took place in 2021 and 2022, and specifically included:</w:t>
      </w:r>
      <w:r>
        <w:t xml:space="preserve"> </w:t>
      </w:r>
      <w:r>
        <w:t xml:space="preserve">Feedback on the Call for Evidence</w:t>
      </w:r>
      <w:r>
        <w:t xml:space="preserve"> </w:t>
      </w:r>
      <w:r>
        <w:t xml:space="preserve">As part of the initial feedback mechanism, interested parties had the possibility to provide</w:t>
      </w:r>
      <w:r>
        <w:t xml:space="preserve"> </w:t>
      </w:r>
      <w:r>
        <w:t xml:space="preserve">feedback on the Call for Evidence published on the “Have your say” webpage152 on 19 November</w:t>
      </w:r>
      <w:r>
        <w:t xml:space="preserve"> </w:t>
      </w:r>
      <w:r>
        <w:t xml:space="preserve">2021 and open until 17 December 2021. In principle, the Call for Evidence collected feedback</w:t>
      </w:r>
      <w:r>
        <w:t xml:space="preserve"> </w:t>
      </w:r>
      <w:r>
        <w:t xml:space="preserve">regarding the Commission’s plans concerning the CountEmissions EU initiative, and general</w:t>
      </w:r>
      <w:r>
        <w:t xml:space="preserve"> </w:t>
      </w:r>
      <w:r>
        <w:t xml:space="preserve">opinions on the issues related to accounting emissions in the transport sector.</w:t>
      </w:r>
      <w:r>
        <w:t xml:space="preserve"> </w:t>
      </w:r>
      <w:r>
        <w:t xml:space="preserve">Open Public Consultation</w:t>
      </w:r>
      <w:r>
        <w:t xml:space="preserve"> </w:t>
      </w:r>
      <w:r>
        <w:t xml:space="preserve">The Open Public Consultation (OPC) questionnaire was accessible on “Have Your Say”</w:t>
      </w:r>
      <w:r>
        <w:t xml:space="preserve"> </w:t>
      </w:r>
      <w:r>
        <w:t xml:space="preserve">webpage from 25 July to 20 October 2022. The OPC specifically inquired about the current</w:t>
      </w:r>
      <w:r>
        <w:t xml:space="preserve"> </w:t>
      </w:r>
      <w:r>
        <w:t xml:space="preserve">situation and motivations for emissions accounting in transport, related problems and problem</w:t>
      </w:r>
      <w:r>
        <w:t xml:space="preserve"> </w:t>
      </w:r>
      <w:r>
        <w:t xml:space="preserve">drivers, and measures to address these on the EU market.</w:t>
      </w:r>
      <w:r>
        <w:t xml:space="preserve"> </w:t>
      </w:r>
      <w:r>
        <w:t xml:space="preserve">Targeted consultation</w:t>
      </w:r>
      <w:r>
        <w:t xml:space="preserve"> </w:t>
      </w:r>
      <w:r>
        <w:t xml:space="preserve">Two rounds of interviews were held:</w:t>
      </w:r>
    </w:p>
    <w:p>
      <w:pPr>
        <w:pStyle w:val="BodyText"/>
      </w:pPr>
      <w:r>
        <w:t xml:space="preserve">152 Count your transport emissions – ‘CountEmissions EU’ (europa.eu)</w:t>
      </w:r>
    </w:p>
    <w:p>
      <w:pPr>
        <w:pStyle w:val="BodyText"/>
      </w:pPr>
      <w:r>
        <w:t xml:space="preserve">62</w:t>
      </w:r>
    </w:p>
    <w:p>
      <w:pPr>
        <w:pStyle w:val="BodyText"/>
      </w:pPr>
      <w:r>
        <w:t xml:space="preserve"> Exploratory interviews during the technical support study inception phase, aimed at</w:t>
      </w:r>
      <w:r>
        <w:t xml:space="preserve"> </w:t>
      </w:r>
      <w:r>
        <w:t xml:space="preserve">tackling general issues from different user perspectives and targeting subsequent</w:t>
      </w:r>
      <w:r>
        <w:t xml:space="preserve"> </w:t>
      </w:r>
      <w:r>
        <w:t xml:space="preserve">engagement with a broader group of stakeholders (Q2 2022).</w:t>
      </w:r>
      <w:r>
        <w:t xml:space="preserve"> </w:t>
      </w:r>
      <w:r>
        <w:t xml:space="preserve"> In-depth interviews to plug information gaps and assess the expected impacts of policy</w:t>
      </w:r>
      <w:r>
        <w:t xml:space="preserve"> </w:t>
      </w:r>
      <w:r>
        <w:t xml:space="preserve">measures (Q2, Q3 and Q4 2022).</w:t>
      </w:r>
      <w:r>
        <w:t xml:space="preserve"> </w:t>
      </w:r>
      <w:r>
        <w:t xml:space="preserve">Two rounds of surveys were carried out:</w:t>
      </w:r>
      <w:r>
        <w:t xml:space="preserve"> </w:t>
      </w:r>
      <w:r>
        <w:t xml:space="preserve"> A survey questionnaire to substantiate the problem analysis and to assess the impacts of</w:t>
      </w:r>
      <w:r>
        <w:t xml:space="preserve"> </w:t>
      </w:r>
      <w:r>
        <w:t xml:space="preserve">policy measures (Q3 and Q4 2022).</w:t>
      </w:r>
      <w:r>
        <w:t xml:space="preserve"> </w:t>
      </w:r>
      <w:r>
        <w:t xml:space="preserve"> A short follow-up survey questionnaire targeting selected Member States (Q4 2022);</w:t>
      </w:r>
      <w:r>
        <w:t xml:space="preserve"> </w:t>
      </w:r>
      <w:r>
        <w:t xml:space="preserve">One expert workshop was held, focusing on the problem tree and proposed measures (on</w:t>
      </w:r>
      <w:r>
        <w:t xml:space="preserve"> </w:t>
      </w:r>
      <w:r>
        <w:t xml:space="preserve">27 October 2022).</w:t>
      </w:r>
      <w:r>
        <w:t xml:space="preserve"> </w:t>
      </w:r>
      <w:r>
        <w:t xml:space="preserve">STAKEHOLDER GROUPS CONSULTED</w:t>
      </w:r>
      <w:r>
        <w:t xml:space="preserve"> </w:t>
      </w:r>
      <w:r>
        <w:t xml:space="preserve">This section provides a short overview of the main types of stakeholders identified and targeted</w:t>
      </w:r>
      <w:r>
        <w:t xml:space="preserve"> </w:t>
      </w:r>
      <w:r>
        <w:t xml:space="preserve">as part of the stakeholders’ consultation.</w:t>
      </w:r>
      <w:r>
        <w:br/>
      </w:r>
      <w:r>
        <w:t xml:space="preserve">Overall, the consultation activities attracted interest from various types of stakeholders, which</w:t>
      </w:r>
      <w:r>
        <w:t xml:space="preserve"> </w:t>
      </w:r>
      <w:r>
        <w:t xml:space="preserve">resulted in a good participation level and numerous contributions received. The participation in</w:t>
      </w:r>
      <w:r>
        <w:t xml:space="preserve"> </w:t>
      </w:r>
      <w:r>
        <w:t xml:space="preserve">all consultation activities is shown in the table below.</w:t>
      </w:r>
      <w:r>
        <w:br/>
      </w:r>
      <w:r>
        <w:t xml:space="preserve">Table 18: Overview of stakeholder consultation results</w:t>
      </w:r>
      <w:r>
        <w:t xml:space="preserve"> </w:t>
      </w:r>
      <w:r>
        <w:t xml:space="preserve">Consultation activity</w:t>
      </w:r>
      <w:r>
        <w:t xml:space="preserve"> </w:t>
      </w:r>
      <w:r>
        <w:t xml:space="preserve">Number of</w:t>
      </w:r>
      <w:r>
        <w:t xml:space="preserve"> </w:t>
      </w:r>
      <w:r>
        <w:t xml:space="preserve">stakeholders invited</w:t>
      </w:r>
      <w:r>
        <w:t xml:space="preserve"> </w:t>
      </w:r>
      <w:r>
        <w:t xml:space="preserve">Number of responses</w:t>
      </w:r>
      <w:r>
        <w:t xml:space="preserve"> </w:t>
      </w:r>
      <w:r>
        <w:t xml:space="preserve">Number of</w:t>
      </w:r>
      <w:r>
        <w:t xml:space="preserve"> </w:t>
      </w:r>
      <w:r>
        <w:t xml:space="preserve">documents</w:t>
      </w:r>
      <w:r>
        <w:t xml:space="preserve"> </w:t>
      </w:r>
      <w:r>
        <w:t xml:space="preserve">provided153</w:t>
      </w:r>
      <w:r>
        <w:t xml:space="preserve"> </w:t>
      </w:r>
      <w:r>
        <w:t xml:space="preserve">‘Have your say’ Call</w:t>
      </w:r>
      <w:r>
        <w:t xml:space="preserve"> </w:t>
      </w:r>
      <w:r>
        <w:t xml:space="preserve">for Evidence</w:t>
      </w:r>
      <w:r>
        <w:t xml:space="preserve"> </w:t>
      </w:r>
      <w:r>
        <w:t xml:space="preserve">Not applicable</w:t>
      </w:r>
      <w:r>
        <w:t xml:space="preserve"> </w:t>
      </w:r>
      <w:r>
        <w:t xml:space="preserve">64</w:t>
      </w:r>
      <w:r>
        <w:t xml:space="preserve"> </w:t>
      </w:r>
      <w:r>
        <w:t xml:space="preserve">60 154</w:t>
      </w:r>
      <w:r>
        <w:t xml:space="preserve"> </w:t>
      </w:r>
      <w:r>
        <w:t xml:space="preserve">Open Public</w:t>
      </w:r>
      <w:r>
        <w:t xml:space="preserve"> </w:t>
      </w:r>
      <w:r>
        <w:t xml:space="preserve">Consultation</w:t>
      </w:r>
      <w:r>
        <w:t xml:space="preserve"> </w:t>
      </w:r>
      <w:r>
        <w:t xml:space="preserve">Not applicable</w:t>
      </w:r>
      <w:r>
        <w:t xml:space="preserve"> </w:t>
      </w:r>
      <w:r>
        <w:t xml:space="preserve">After analysing the data, 188 non-</w:t>
      </w:r>
      <w:r>
        <w:t xml:space="preserve"> </w:t>
      </w:r>
      <w:r>
        <w:t xml:space="preserve">duplicates, of which 184155 contain</w:t>
      </w:r>
      <w:r>
        <w:t xml:space="preserve"> </w:t>
      </w:r>
      <w:r>
        <w:t xml:space="preserve">answers to the questionnaire and not just</w:t>
      </w:r>
      <w:r>
        <w:t xml:space="preserve"> </w:t>
      </w:r>
      <w:r>
        <w:t xml:space="preserve">a document (position paper) attached.</w:t>
      </w:r>
      <w:r>
        <w:t xml:space="preserve"> </w:t>
      </w:r>
      <w:r>
        <w:t xml:space="preserve">SMEs are 100 of the responses.</w:t>
      </w:r>
      <w:r>
        <w:t xml:space="preserve"> </w:t>
      </w:r>
      <w:r>
        <w:t xml:space="preserve">27156</w:t>
      </w:r>
      <w:r>
        <w:t xml:space="preserve"> </w:t>
      </w:r>
      <w:r>
        <w:t xml:space="preserve">Exploratory interviews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153 Position papers or other contributions in addition to the responses to the questions</w:t>
      </w:r>
      <w:r>
        <w:t xml:space="preserve"> </w:t>
      </w:r>
      <w:r>
        <w:t xml:space="preserve">154 The total number of written contributions was 64, but taking into account duplications, the number of unique</w:t>
      </w:r>
      <w:r>
        <w:t xml:space="preserve"> </w:t>
      </w:r>
      <w:r>
        <w:t xml:space="preserve">written contributions that have been reviewed is equal to 60.</w:t>
      </w:r>
      <w:r>
        <w:t xml:space="preserve"> </w:t>
      </w:r>
      <w:r>
        <w:t xml:space="preserve">155 It is possible that 6 out of the 184 answers to the Open Public Consultation questionnaire are part of a coordinated</w:t>
      </w:r>
      <w:r>
        <w:t xml:space="preserve"> </w:t>
      </w:r>
      <w:r>
        <w:t xml:space="preserve">campaign.</w:t>
      </w:r>
      <w:r>
        <w:t xml:space="preserve"> </w:t>
      </w:r>
      <w:r>
        <w:t xml:space="preserve">156 A total of 31 submissions were obtained, of which 4 were duplicate entries and were removed. From the</w:t>
      </w:r>
      <w:r>
        <w:t xml:space="preserve"> </w:t>
      </w:r>
      <w:r>
        <w:t xml:space="preserve">remaining 27, 22 contain information related to the scope of this initiative, 3 contain information about related</w:t>
      </w:r>
      <w:r>
        <w:t xml:space="preserve"> </w:t>
      </w:r>
      <w:r>
        <w:t xml:space="preserve">topics, and 2 do not contain information related to the scope of this initiative.</w:t>
      </w:r>
    </w:p>
    <w:p>
      <w:pPr>
        <w:pStyle w:val="BodyText"/>
      </w:pPr>
      <w:r>
        <w:t xml:space="preserve">63</w:t>
      </w:r>
    </w:p>
    <w:p>
      <w:pPr>
        <w:pStyle w:val="BodyText"/>
      </w:pPr>
      <w:r>
        <w:t xml:space="preserve">Targeted survey</w:t>
      </w:r>
      <w:r>
        <w:br/>
      </w:r>
      <w:r>
        <w:t xml:space="preserve">70</w:t>
      </w:r>
      <w:r>
        <w:t xml:space="preserve"> </w:t>
      </w:r>
      <w:r>
        <w:t xml:space="preserve">After analysing and filtering the data, 38</w:t>
      </w:r>
      <w:r>
        <w:t xml:space="preserve"> </w:t>
      </w:r>
      <w:r>
        <w:t xml:space="preserve">questionnaires, of which 26 were fully</w:t>
      </w:r>
      <w:r>
        <w:t xml:space="preserve"> </w:t>
      </w:r>
      <w:r>
        <w:t xml:space="preserve">completed. SMEs are 8 of the responses.</w:t>
      </w:r>
      <w:r>
        <w:t xml:space="preserve"> </w:t>
      </w:r>
      <w:r>
        <w:t xml:space="preserve">22157</w:t>
      </w:r>
      <w:r>
        <w:t xml:space="preserve"> </w:t>
      </w:r>
      <w:r>
        <w:t xml:space="preserve">Targeted interviews</w:t>
      </w:r>
      <w:r>
        <w:t xml:space="preserve"> </w:t>
      </w:r>
      <w:r>
        <w:t xml:space="preserve">44</w:t>
      </w:r>
      <w:r>
        <w:t xml:space="preserve"> </w:t>
      </w:r>
      <w:r>
        <w:t xml:space="preserve">32</w:t>
      </w:r>
      <w:r>
        <w:t xml:space="preserve"> </w:t>
      </w:r>
      <w:r>
        <w:t xml:space="preserve">0158</w:t>
      </w:r>
      <w:r>
        <w:t xml:space="preserve"> </w:t>
      </w:r>
      <w:r>
        <w:t xml:space="preserve">Short survey</w:t>
      </w:r>
      <w:r>
        <w:t xml:space="preserve"> </w:t>
      </w:r>
      <w:r>
        <w:t xml:space="preserve">questionnaire</w:t>
      </w:r>
      <w:r>
        <w:t xml:space="preserve"> </w:t>
      </w:r>
      <w:r>
        <w:t xml:space="preserve">4</w:t>
      </w:r>
      <w:r>
        <w:t xml:space="preserve"> </w:t>
      </w:r>
      <w:r>
        <w:t xml:space="preserve">1</w:t>
      </w:r>
      <w:r>
        <w:t xml:space="preserve"> </w:t>
      </w:r>
      <w:r>
        <w:t xml:space="preserve">3159</w:t>
      </w:r>
      <w:r>
        <w:t xml:space="preserve"> </w:t>
      </w:r>
      <w:r>
        <w:t xml:space="preserve">Stakeholder workshop</w:t>
      </w:r>
      <w:r>
        <w:t xml:space="preserve"> </w:t>
      </w:r>
      <w:r>
        <w:t xml:space="preserve">43160</w:t>
      </w:r>
      <w:r>
        <w:t xml:space="preserve"> </w:t>
      </w:r>
      <w:r>
        <w:t xml:space="preserve">33161</w:t>
      </w:r>
      <w:r>
        <w:t xml:space="preserve"> </w:t>
      </w:r>
      <w:r>
        <w:t xml:space="preserve">0162</w:t>
      </w:r>
      <w:r>
        <w:t xml:space="preserve"> </w:t>
      </w:r>
      <w:r>
        <w:t xml:space="preserve">Source: Ecorys and CE Delft (2023), Impact assessment support study</w:t>
      </w:r>
      <w:r>
        <w:t xml:space="preserve"> </w:t>
      </w:r>
      <w:r>
        <w:t xml:space="preserve">It should be noted that given the concurrent engagement mechanisms, most stakeholders have</w:t>
      </w:r>
      <w:r>
        <w:t xml:space="preserve"> </w:t>
      </w:r>
      <w:r>
        <w:t xml:space="preserve">chosen not to participate in all opportunities that were made available to them. For example,</w:t>
      </w:r>
      <w:r>
        <w:t xml:space="preserve"> </w:t>
      </w:r>
      <w:r>
        <w:t xml:space="preserve">some stakeholders had contributed to the OPC or had undertaken targeted interviews and</w:t>
      </w:r>
      <w:r>
        <w:t xml:space="preserve"> </w:t>
      </w:r>
      <w:r>
        <w:t xml:space="preserve">therefore did not feel the need to participate in the targeted survey.</w:t>
      </w:r>
      <w:r>
        <w:t xml:space="preserve"> </w:t>
      </w:r>
      <w:r>
        <w:t xml:space="preserve">Call for Evidence</w:t>
      </w:r>
      <w:r>
        <w:t xml:space="preserve"> </w:t>
      </w:r>
      <w:r>
        <w:t xml:space="preserve">60 unique contributions were received, with a large majority of respondents belonging to</w:t>
      </w:r>
      <w:r>
        <w:t xml:space="preserve"> </w:t>
      </w:r>
      <w:r>
        <w:t xml:space="preserve">categories described as company/business organisations and business associations (25 and 24</w:t>
      </w:r>
      <w:r>
        <w:t xml:space="preserve"> </w:t>
      </w:r>
      <w:r>
        <w:t xml:space="preserve">out of 60, or 42% and 40%, respectively). With respect to the place of origin of the participating</w:t>
      </w:r>
      <w:r>
        <w:t xml:space="preserve"> </w:t>
      </w:r>
      <w:r>
        <w:t xml:space="preserve">respondents, 24 out of 60 (or 40%) of the responses came from Belgium, where business</w:t>
      </w:r>
      <w:r>
        <w:t xml:space="preserve"> </w:t>
      </w:r>
      <w:r>
        <w:t xml:space="preserve">associations usually establish head offices and act as umbrella organisations on behalf of</w:t>
      </w:r>
      <w:r>
        <w:t xml:space="preserve"> </w:t>
      </w:r>
      <w:r>
        <w:t xml:space="preserve">associated national or industrial members. Other opinions derive mostly from western and</w:t>
      </w:r>
      <w:r>
        <w:t xml:space="preserve"> </w:t>
      </w:r>
      <w:r>
        <w:t xml:space="preserve">northern EU Member States. Two contributions were also submitted from non-EU countries (the</w:t>
      </w:r>
      <w:r>
        <w:t xml:space="preserve"> </w:t>
      </w:r>
      <w:r>
        <w:t xml:space="preserve">UK and the US).</w:t>
      </w:r>
      <w:r>
        <w:t xml:space="preserve"> </w:t>
      </w:r>
      <w:r>
        <w:t xml:space="preserve">Open Public Consultation</w:t>
      </w:r>
      <w:r>
        <w:t xml:space="preserve"> </w:t>
      </w:r>
      <w:r>
        <w:t xml:space="preserve">The OPC was open to the general public, with 184 stakeholders participating. The responses to</w:t>
      </w:r>
      <w:r>
        <w:t xml:space="preserve"> </w:t>
      </w:r>
      <w:r>
        <w:t xml:space="preserve">the OPC were mostly populated by respondents representing company/business organisations</w:t>
      </w:r>
      <w:r>
        <w:t xml:space="preserve"> </w:t>
      </w:r>
      <w:r>
        <w:t xml:space="preserve">and business associations, followed by individual citizens (34%, 32% and 15%, respectively).</w:t>
      </w:r>
    </w:p>
    <w:p>
      <w:pPr>
        <w:pStyle w:val="BodyText"/>
      </w:pPr>
      <w:r>
        <w:t xml:space="preserve">157 A total of 27 written contributions from 14 different stakeholders were received as part of this process in addition</w:t>
      </w:r>
      <w:r>
        <w:t xml:space="preserve"> </w:t>
      </w:r>
      <w:r>
        <w:t xml:space="preserve">to the responses to the questionnaire, of which 4 are duplicates, and 1 more was already submitted as a contribution</w:t>
      </w:r>
      <w:r>
        <w:t xml:space="preserve"> </w:t>
      </w:r>
      <w:r>
        <w:t xml:space="preserve">to the Open Public Consultation.</w:t>
      </w:r>
      <w:r>
        <w:t xml:space="preserve"> </w:t>
      </w:r>
      <w:r>
        <w:t xml:space="preserve">158 A number of written contributions were received from a limited number of stakeholders, but they are duplicates</w:t>
      </w:r>
      <w:r>
        <w:t xml:space="preserve"> </w:t>
      </w:r>
      <w:r>
        <w:t xml:space="preserve">of other submissions that have been received in other stakeholder engagement tools.</w:t>
      </w:r>
      <w:r>
        <w:t xml:space="preserve"> </w:t>
      </w:r>
      <w:r>
        <w:t xml:space="preserve">159 The only Member State to respond provided 2 links to websites and 1 link to an online-hosted document.</w:t>
      </w:r>
      <w:r>
        <w:t xml:space="preserve"> </w:t>
      </w:r>
      <w:r>
        <w:t xml:space="preserve">160 A total of 60 individual representatives were invited, representing 43 different stakeholder organisations.</w:t>
      </w:r>
      <w:r>
        <w:t xml:space="preserve"> </w:t>
      </w:r>
      <w:r>
        <w:t xml:space="preserve">161 In total there were 43 representatives attending the workshop, representing 33 different stakeholders.</w:t>
      </w:r>
      <w:r>
        <w:t xml:space="preserve"> </w:t>
      </w:r>
      <w:r>
        <w:t xml:space="preserve">162 One stakeholder sent a position paper as follow-up to the workshop, however it is a duplicate of documents</w:t>
      </w:r>
      <w:r>
        <w:t xml:space="preserve"> </w:t>
      </w:r>
      <w:r>
        <w:t xml:space="preserve">received as attachments to the Open Public Consultation.</w:t>
      </w:r>
    </w:p>
    <w:p>
      <w:pPr>
        <w:pStyle w:val="BodyText"/>
      </w:pPr>
      <w:r>
        <w:t xml:space="preserve">64</w:t>
      </w:r>
    </w:p>
    <w:p>
      <w:pPr>
        <w:pStyle w:val="BodyText"/>
      </w:pPr>
      <w:r>
        <w:t xml:space="preserve">Figure 4: Number of Open Public Consultation respondents by type of respondent</w:t>
      </w:r>
    </w:p>
    <w:p>
      <w:pPr>
        <w:pStyle w:val="BodyText"/>
      </w:pPr>
      <w:r>
        <w:t xml:space="preserve">Source: Ecorys and CE Delft (2023), Impact assessment support study</w:t>
      </w:r>
      <w:r>
        <w:t xml:space="preserve"> </w:t>
      </w:r>
      <w:r>
        <w:t xml:space="preserve">In terms of the geographical representation, the respondents originated from across the EU,</w:t>
      </w:r>
      <w:r>
        <w:t xml:space="preserve"> </w:t>
      </w:r>
      <w:r>
        <w:t xml:space="preserve">mostly from the western and northern Member States, and in particular from Belgium. A number</w:t>
      </w:r>
      <w:r>
        <w:t xml:space="preserve"> </w:t>
      </w:r>
      <w:r>
        <w:t xml:space="preserve">of responses were also submitted from non-EU countries, namely the US, Switzerland, the UK,</w:t>
      </w:r>
      <w:r>
        <w:t xml:space="preserve"> </w:t>
      </w:r>
      <w:r>
        <w:t xml:space="preserve">Serbia, Canada and Brazil.</w:t>
      </w:r>
      <w:r>
        <w:t xml:space="preserve"> </w:t>
      </w:r>
      <w:r>
        <w:t xml:space="preserve">Figure 5: Participating stakeholders: countries of origin</w:t>
      </w:r>
    </w:p>
    <w:p>
      <w:pPr>
        <w:pStyle w:val="BodyText"/>
      </w:pPr>
      <w:r>
        <w:t xml:space="preserve">Source: Ecorys and CE Delft (2023), Impact assessment support study</w:t>
      </w:r>
    </w:p>
    <w:p>
      <w:pPr>
        <w:pStyle w:val="BodyText"/>
      </w:pPr>
      <w:r>
        <w:t xml:space="preserve">65</w:t>
      </w:r>
    </w:p>
    <w:p>
      <w:pPr>
        <w:pStyle w:val="BodyText"/>
      </w:pPr>
      <w:r>
        <w:t xml:space="preserve">Targeted consultation</w:t>
      </w:r>
      <w:r>
        <w:t xml:space="preserve"> </w:t>
      </w:r>
      <w:r>
        <w:t xml:space="preserve">Exploratory interviews</w:t>
      </w:r>
      <w:r>
        <w:t xml:space="preserve"> </w:t>
      </w:r>
      <w:r>
        <w:t xml:space="preserve">4 stakeholders were interviewed in exploratory interviews The represented specifically: a</w:t>
      </w:r>
      <w:r>
        <w:t xml:space="preserve"> </w:t>
      </w:r>
      <w:r>
        <w:t xml:space="preserve">passenger transport association, a shippers’ association, a non-profit environmentally oriented</w:t>
      </w:r>
      <w:r>
        <w:t xml:space="preserve"> </w:t>
      </w:r>
      <w:r>
        <w:t xml:space="preserve">organisation and a green transport programme.</w:t>
      </w:r>
      <w:r>
        <w:br/>
      </w:r>
      <w:r>
        <w:t xml:space="preserve">Targeted interviews</w:t>
      </w:r>
      <w:r>
        <w:t xml:space="preserve"> </w:t>
      </w:r>
      <w:r>
        <w:t xml:space="preserve">32 stakeholders responded positively to the invitation to participate in targeted interviews,</w:t>
      </w:r>
      <w:r>
        <w:t xml:space="preserve"> </w:t>
      </w:r>
      <w:r>
        <w:t xml:space="preserve">representing 12 individual companies, 9 transport associations, 4 public authorities, 2 consumer</w:t>
      </w:r>
      <w:r>
        <w:t xml:space="preserve"> </w:t>
      </w:r>
      <w:r>
        <w:t xml:space="preserve">and passenger associations, 1 academia/research institution and 4 other types of stakeholders.</w:t>
      </w:r>
      <w:r>
        <w:br/>
      </w:r>
      <w:r>
        <w:t xml:space="preserve">Targeted survey</w:t>
      </w:r>
      <w:r>
        <w:br/>
      </w:r>
      <w:r>
        <w:t xml:space="preserve">Questionnaires were sent to 70 addressees across the identified groups. Eventually 38 responses</w:t>
      </w:r>
      <w:r>
        <w:t xml:space="preserve"> </w:t>
      </w:r>
      <w:r>
        <w:t xml:space="preserve">were collected from stakeholders, 26 of which had completed the survey in full.</w:t>
      </w:r>
      <w:r>
        <w:t xml:space="preserve"> </w:t>
      </w:r>
      <w:r>
        <w:t xml:space="preserve">Figure 6: Number of targeted survey respondents by type of respondent</w:t>
      </w:r>
    </w:p>
    <w:p>
      <w:pPr>
        <w:pStyle w:val="BodyText"/>
      </w:pPr>
      <w:r>
        <w:t xml:space="preserve">Source: Ecorys and CE Delft (2023), Impact assessment support study</w:t>
      </w:r>
      <w:r>
        <w:t xml:space="preserve"> </w:t>
      </w:r>
      <w:r>
        <w:t xml:space="preserve">As shown in Figure 7, the majority of the respondents operate in EU-27 countries.</w:t>
      </w:r>
    </w:p>
    <w:p>
      <w:pPr>
        <w:pStyle w:val="BodyText"/>
      </w:pPr>
      <w:r>
        <w:t xml:space="preserve">66</w:t>
      </w:r>
    </w:p>
    <w:p>
      <w:pPr>
        <w:pStyle w:val="BodyText"/>
      </w:pPr>
      <w:r>
        <w:t xml:space="preserve">Figure 7: Participating stakeholders: countries of origin or respondents</w:t>
      </w:r>
    </w:p>
    <w:p>
      <w:pPr>
        <w:pStyle w:val="BodyText"/>
      </w:pPr>
      <w:r>
        <w:t xml:space="preserve">Source: Ecorys and CE Delft (2023), Impact assessment support study</w:t>
      </w:r>
      <w:r>
        <w:t xml:space="preserve"> </w:t>
      </w:r>
      <w:r>
        <w:t xml:space="preserve">Workshop</w:t>
      </w:r>
      <w:r>
        <w:t xml:space="preserve"> </w:t>
      </w:r>
      <w:r>
        <w:t xml:space="preserve">A workshop was organised on 27 October 2022 upon direct invitation, with 43 participants</w:t>
      </w:r>
      <w:r>
        <w:t xml:space="preserve"> </w:t>
      </w:r>
      <w:r>
        <w:t xml:space="preserve">representing 33 different stakeholders participating online: Airbus, Alliance for Logistics</w:t>
      </w:r>
      <w:r>
        <w:t xml:space="preserve"> </w:t>
      </w:r>
      <w:r>
        <w:t xml:space="preserve">Innovation through Colaboration in Europe (ALICE), Aerospace, Security, and Defense</w:t>
      </w:r>
      <w:r>
        <w:t xml:space="preserve"> </w:t>
      </w:r>
      <w:r>
        <w:t xml:space="preserve">Industries Association of Europe (ASD), Federation of German Industries (BDI), European</w:t>
      </w:r>
      <w:r>
        <w:t xml:space="preserve"> </w:t>
      </w:r>
      <w:r>
        <w:t xml:space="preserve">Chemical Industry Council (CEFIC), Community of European Railway and Infrastructure</w:t>
      </w:r>
      <w:r>
        <w:t xml:space="preserve"> </w:t>
      </w:r>
      <w:r>
        <w:t xml:space="preserve">Companies (CER), CLECAT (European Association for Forwarding, Transport, Logistics and</w:t>
      </w:r>
      <w:r>
        <w:t xml:space="preserve"> </w:t>
      </w:r>
      <w:r>
        <w:t xml:space="preserve">Customs Services), Deutsche Bahn (DB), Deutsche Post DHL Group (DPDHL), Danish</w:t>
      </w:r>
      <w:r>
        <w:t xml:space="preserve"> </w:t>
      </w:r>
      <w:r>
        <w:t xml:space="preserve">Transport and Logistics Association (DTL), European Union Aviation Safety Agency (EASA),</w:t>
      </w:r>
      <w:r>
        <w:t xml:space="preserve"> </w:t>
      </w:r>
      <w:r>
        <w:t xml:space="preserve">European Environment Agency (EEA), Erste Group Services, European Freight and Logistics</w:t>
      </w:r>
      <w:r>
        <w:t xml:space="preserve"> </w:t>
      </w:r>
      <w:r>
        <w:t xml:space="preserve">Leaders’ Forum, European Shippers’ Council, Federation of European Private Port Operators</w:t>
      </w:r>
      <w:r>
        <w:t xml:space="preserve"> </w:t>
      </w:r>
      <w:r>
        <w:t xml:space="preserve">(FEPORT), Global Business Travel Association (GBTA), HAROPA Port, International Air</w:t>
      </w:r>
      <w:r>
        <w:t xml:space="preserve"> </w:t>
      </w:r>
      <w:r>
        <w:t xml:space="preserve">Transport Association (IATA), International Road Transport Union (IRU), ISO workgroup,</w:t>
      </w:r>
      <w:r>
        <w:t xml:space="preserve"> </w:t>
      </w:r>
      <w:r>
        <w:t xml:space="preserve">Kaufland, Lidl/Schwarz group, Lufthansa, Nordic Logistics Association, Norwegian Truck</w:t>
      </w:r>
      <w:r>
        <w:t xml:space="preserve"> </w:t>
      </w:r>
      <w:r>
        <w:t xml:space="preserve">Owners Association, Swedish Association of Road Transport Companies - Sveriges</w:t>
      </w:r>
      <w:r>
        <w:t xml:space="preserve"> </w:t>
      </w:r>
      <w:r>
        <w:t xml:space="preserve">Akeriforetag, Topsector Logistiek, Transporeon, International Union of Wagon Keepers (UIP),</w:t>
      </w:r>
      <w:r>
        <w:t xml:space="preserve"> </w:t>
      </w:r>
      <w:r>
        <w:t xml:space="preserve">Vendelbo Spedition, World Shipping Council, ZF group.</w:t>
      </w:r>
      <w:r>
        <w:t xml:space="preserve"> </w:t>
      </w:r>
      <w:r>
        <w:t xml:space="preserve">Short survey questionnaire</w:t>
      </w:r>
      <w:r>
        <w:br/>
      </w:r>
      <w:r>
        <w:t xml:space="preserve">Short written questionnaires were sent to selected Member States to complement the</w:t>
      </w:r>
      <w:r>
        <w:t xml:space="preserve"> </w:t>
      </w:r>
      <w:r>
        <w:t xml:space="preserve">stakeholders’ consultation analysis. Only one Member State (France) provided a response to the</w:t>
      </w:r>
      <w:r>
        <w:t xml:space="preserve"> </w:t>
      </w:r>
      <w:r>
        <w:t xml:space="preserve">questionnaire.</w:t>
      </w:r>
    </w:p>
    <w:p>
      <w:pPr>
        <w:pStyle w:val="BodyText"/>
      </w:pPr>
      <w:r>
        <w:t xml:space="preserve">67</w:t>
      </w:r>
    </w:p>
    <w:p>
      <w:pPr>
        <w:pStyle w:val="BodyText"/>
      </w:pPr>
      <w:r>
        <w:t xml:space="preserve">LIMITATIONS OF THE STAKEHOLDER CONSULTATION</w:t>
      </w:r>
      <w:r>
        <w:t xml:space="preserve"> </w:t>
      </w:r>
      <w:r>
        <w:t xml:space="preserve">Some consultation activities (especially targeted) spread over the European summer period. This</w:t>
      </w:r>
      <w:r>
        <w:t xml:space="preserve"> </w:t>
      </w:r>
      <w:r>
        <w:t xml:space="preserve">resulted in partial review of the original list of stakeholders. The stakeholders that were not</w:t>
      </w:r>
      <w:r>
        <w:t xml:space="preserve"> </w:t>
      </w:r>
      <w:r>
        <w:t xml:space="preserve">available for the interview were in almost all cases replaced with similar organisations. The</w:t>
      </w:r>
      <w:r>
        <w:t xml:space="preserve"> </w:t>
      </w:r>
      <w:r>
        <w:t xml:space="preserve">exception was the e-commerce sector, where despite repeated invites there was limited feedback,</w:t>
      </w:r>
      <w:r>
        <w:t xml:space="preserve"> </w:t>
      </w:r>
      <w:r>
        <w:t xml:space="preserve">resulting in little direct representation in the interview process.</w:t>
      </w:r>
      <w:r>
        <w:br/>
      </w:r>
      <w:r>
        <w:t xml:space="preserve">In addition, due to time constraints and limitations in the availability of the Member States</w:t>
      </w:r>
      <w:r>
        <w:t xml:space="preserve"> </w:t>
      </w:r>
      <w:r>
        <w:t xml:space="preserve">stakeholders to participate in the interviews, these were substituted with short written</w:t>
      </w:r>
      <w:r>
        <w:t xml:space="preserve"> </w:t>
      </w:r>
      <w:r>
        <w:t xml:space="preserve">questionnaires sent to Denmark, Estonia, France, and Italy. Only one Member State (France)</w:t>
      </w:r>
      <w:r>
        <w:t xml:space="preserve"> </w:t>
      </w:r>
      <w:r>
        <w:t xml:space="preserve">provided a response to the questionnaire. However, other input from public authorities, including</w:t>
      </w:r>
      <w:r>
        <w:t xml:space="preserve"> </w:t>
      </w:r>
      <w:r>
        <w:t xml:space="preserve">Member States, was also collected though the general consultation tools.</w:t>
      </w:r>
      <w:r>
        <w:t xml:space="preserve"> </w:t>
      </w:r>
      <w:r>
        <w:t xml:space="preserve">Time constraints during the stakeholder workshop meant that not all policy measures were</w:t>
      </w:r>
      <w:r>
        <w:t xml:space="preserve"> </w:t>
      </w:r>
      <w:r>
        <w:t xml:space="preserve">individually discussed with the same rigour. Stakeholders had a lot to say on the debate around</w:t>
      </w:r>
      <w:r>
        <w:t xml:space="preserve"> </w:t>
      </w:r>
      <w:r>
        <w:t xml:space="preserve">input and output data, which led to the situation where other policy measures were only briefly</w:t>
      </w:r>
      <w:r>
        <w:t xml:space="preserve"> </w:t>
      </w:r>
      <w:r>
        <w:t xml:space="preserve">discussed, sometimes as a group of measures only, instead of individual ones. While this reflects</w:t>
      </w:r>
      <w:r>
        <w:t xml:space="preserve"> </w:t>
      </w:r>
      <w:r>
        <w:t xml:space="preserve">the issues that stakeholders consider the most important, it limited the quality of the input on the</w:t>
      </w:r>
      <w:r>
        <w:t xml:space="preserve"> </w:t>
      </w:r>
      <w:r>
        <w:t xml:space="preserve">other aspects, not related to the data.</w:t>
      </w:r>
      <w:r>
        <w:t xml:space="preserve"> </w:t>
      </w:r>
      <w:r>
        <w:t xml:space="preserve">ANALYSIS OF THE KEY RESULTS OF THE STAKEHOLDER CONSULTATION</w:t>
      </w:r>
      <w:r>
        <w:br/>
      </w:r>
      <w:r>
        <w:t xml:space="preserve">The remainder of this annex presents key findings from the analysis of stakeholder contributions</w:t>
      </w:r>
      <w:r>
        <w:t xml:space="preserve"> </w:t>
      </w:r>
      <w:r>
        <w:t xml:space="preserve">to the consultation process.</w:t>
      </w:r>
      <w:r>
        <w:br/>
      </w:r>
      <w:r>
        <w:t xml:space="preserve">Feedback received on the problem definition</w:t>
      </w:r>
      <w:r>
        <w:t xml:space="preserve"> </w:t>
      </w:r>
      <w:r>
        <w:t xml:space="preserve">This section provides an overall view of the stakeholders’ inputs on the proposed definition of</w:t>
      </w:r>
      <w:r>
        <w:t xml:space="preserve"> </w:t>
      </w:r>
      <w:r>
        <w:t xml:space="preserve">the problem and its underlying drivers.</w:t>
      </w:r>
      <w:r>
        <w:t xml:space="preserve"> </w:t>
      </w:r>
      <w:r>
        <w:t xml:space="preserve">Figure 8: Extent to which the stakeholders agree with the overall problem diagram</w:t>
      </w:r>
    </w:p>
    <w:p>
      <w:pPr>
        <w:pStyle w:val="BodyText"/>
      </w:pPr>
      <w:r>
        <w:t xml:space="preserve">Source: Ecorys and CE Delft (2023), Impact assessment support study</w:t>
      </w:r>
    </w:p>
    <w:p>
      <w:pPr>
        <w:pStyle w:val="BodyText"/>
      </w:pPr>
      <w:r>
        <w:t xml:space="preserve">68</w:t>
      </w:r>
    </w:p>
    <w:p>
      <w:pPr>
        <w:pStyle w:val="BodyText"/>
      </w:pPr>
      <w:r>
        <w:t xml:space="preserve">It should be acknowledged however, that the public consultation also revealed a clear need for</w:t>
      </w:r>
      <w:r>
        <w:t xml:space="preserve"> </w:t>
      </w:r>
      <w:r>
        <w:t xml:space="preserve">shifting some elements in the initial problem definition, especially to recognise particular</w:t>
      </w:r>
      <w:r>
        <w:t xml:space="preserve"> </w:t>
      </w:r>
      <w:r>
        <w:t xml:space="preserve">importance of input data while accounting emissions. Consequently, the problem tree was</w:t>
      </w:r>
      <w:r>
        <w:t xml:space="preserve"> </w:t>
      </w:r>
      <w:r>
        <w:t xml:space="preserve">reshaped and updated, and its final version is shown in section 2 of this report.</w:t>
      </w:r>
      <w:r>
        <w:t xml:space="preserve"> </w:t>
      </w:r>
      <w:r>
        <w:t xml:space="preserve">Current situation and motivations</w:t>
      </w:r>
      <w:r>
        <w:t xml:space="preserve"> </w:t>
      </w:r>
      <w:r>
        <w:t xml:space="preserve">The initiative received an overwhelming support from almost all stakeholders in the Call for</w:t>
      </w:r>
      <w:r>
        <w:t xml:space="preserve"> </w:t>
      </w:r>
      <w:r>
        <w:t xml:space="preserve">Evidence (57 out of 60, or 95%) and the targeted survey (28 out of 31, or 90%). While the OPC</w:t>
      </w:r>
      <w:r>
        <w:t xml:space="preserve"> </w:t>
      </w:r>
      <w:r>
        <w:t xml:space="preserve">did not explicitly include this type of question, the received responses indirectly point to a similar</w:t>
      </w:r>
      <w:r>
        <w:t xml:space="preserve"> </w:t>
      </w:r>
      <w:r>
        <w:t xml:space="preserve">conclusion. This view was also notably expressed in the targeted interviews and was confirmed</w:t>
      </w:r>
      <w:r>
        <w:t xml:space="preserve"> </w:t>
      </w:r>
      <w:r>
        <w:t xml:space="preserve">during the stakeholders’ workshop.</w:t>
      </w:r>
      <w:r>
        <w:br/>
      </w:r>
      <w:r>
        <w:t xml:space="preserve">Figure 9: Summary of the overall support of stakeholders for the initiative, expressed in the Call for Evidence</w:t>
      </w:r>
    </w:p>
    <w:p>
      <w:pPr>
        <w:pStyle w:val="BodyText"/>
      </w:pPr>
      <w:r>
        <w:t xml:space="preserve">Source: Ecorys and CE Delft (2023), Impact assessment support study</w:t>
      </w:r>
      <w:r>
        <w:t xml:space="preserve"> </w:t>
      </w:r>
      <w:r>
        <w:t xml:space="preserve">Stakeholders generally recognised that a harmonised measurement and calculation framework is</w:t>
      </w:r>
      <w:r>
        <w:t xml:space="preserve"> </w:t>
      </w:r>
      <w:r>
        <w:t xml:space="preserve">needed as emissions accounting becomes increasingly embedded in the broader policy</w:t>
      </w:r>
      <w:r>
        <w:t xml:space="preserve"> </w:t>
      </w:r>
      <w:r>
        <w:t xml:space="preserve">ecosystem and the decision-making processes of transport services users. Better measurement of</w:t>
      </w:r>
      <w:r>
        <w:t xml:space="preserve"> </w:t>
      </w:r>
      <w:r>
        <w:t xml:space="preserve">emissions is also considered by many as a way to establish and monitor specific sustainability</w:t>
      </w:r>
      <w:r>
        <w:t xml:space="preserve"> </w:t>
      </w:r>
      <w:r>
        <w:t xml:space="preserve">targets.</w:t>
      </w:r>
      <w:r>
        <w:br/>
      </w:r>
      <w:r>
        <w:t xml:space="preserve">In the Call for Evidence, targeted survey and interviews, stakeholders pointed to the on-going</w:t>
      </w:r>
      <w:r>
        <w:t xml:space="preserve"> </w:t>
      </w:r>
      <w:r>
        <w:t xml:space="preserve">harmonisation efforts concerning emissions accounting in transport (such as ISO 14083, GLEC,</w:t>
      </w:r>
      <w:r>
        <w:t xml:space="preserve"> </w:t>
      </w:r>
      <w:r>
        <w:t xml:space="preserve">Green Freight Europe, COFRET, CEN EN 16258), although they also admitted the lack of the</w:t>
      </w:r>
      <w:r>
        <w:t xml:space="preserve"> </w:t>
      </w:r>
      <w:r>
        <w:t xml:space="preserve">necessary implementation regimes. This finding was also confirmed during the stakeholders’</w:t>
      </w:r>
      <w:r>
        <w:t xml:space="preserve"> </w:t>
      </w:r>
      <w:r>
        <w:t xml:space="preserve">workshop.</w:t>
      </w:r>
      <w:r>
        <w:br/>
      </w:r>
      <w:r>
        <w:t xml:space="preserve">The consultation also showed that emissions measurement and calculation is more mature and</w:t>
      </w:r>
      <w:r>
        <w:t xml:space="preserve"> </w:t>
      </w:r>
      <w:r>
        <w:t xml:space="preserve">harmonised in the freight transport segment. However, as evidenced during the targeted</w:t>
      </w:r>
      <w:r>
        <w:t xml:space="preserve"> </w:t>
      </w:r>
      <w:r>
        <w:t xml:space="preserve">interviews, passenger transport operators do acknowledge that emissions data is a factor that is</w:t>
      </w:r>
      <w:r>
        <w:t xml:space="preserve"> </w:t>
      </w:r>
      <w:r>
        <w:t xml:space="preserve">increasingly looked into, especially during transport procurement processes.</w:t>
      </w:r>
      <w:r>
        <w:t xml:space="preserve"> </w:t>
      </w:r>
      <w:r>
        <w:t xml:space="preserve">When asked about their motivation to measure emissions, the respondents to the targeted survey</w:t>
      </w:r>
      <w:r>
        <w:t xml:space="preserve"> </w:t>
      </w:r>
      <w:r>
        <w:t xml:space="preserve">indicated without exception their environmental awareness and willingness to contribute to</w:t>
      </w:r>
      <w:r>
        <w:t xml:space="preserve"> </w:t>
      </w:r>
      <w:r>
        <w:t xml:space="preserve">meeting emissions reduction targets (22 out of 22 consider it important or very important).</w:t>
      </w:r>
      <w:r>
        <w:t xml:space="preserve"> </w:t>
      </w:r>
      <w:r>
        <w:t xml:space="preserve">Targeted interviews further suggested that emissions accounting is also perceived as an element</w:t>
      </w:r>
      <w:r>
        <w:t xml:space="preserve"> </w:t>
      </w:r>
      <w:r>
        <w:t xml:space="preserve">of risk management for private sector organisations. They are aware that emissions data would</w:t>
      </w:r>
      <w:r>
        <w:t xml:space="preserve"> </w:t>
      </w:r>
      <w:r>
        <w:t xml:space="preserve">be increasingly important for preserving their competitiveness (or investor relations) and are</w:t>
      </w:r>
    </w:p>
    <w:p>
      <w:pPr>
        <w:pStyle w:val="BodyText"/>
      </w:pPr>
      <w:r>
        <w:t xml:space="preserve">69</w:t>
      </w:r>
    </w:p>
    <w:p>
      <w:pPr>
        <w:pStyle w:val="BodyText"/>
      </w:pPr>
      <w:r>
        <w:t xml:space="preserve">therefore investing in systems to both measure or calculate emissions and communicate them</w:t>
      </w:r>
      <w:r>
        <w:t xml:space="preserve"> </w:t>
      </w:r>
      <w:r>
        <w:t xml:space="preserve">effectively.</w:t>
      </w:r>
      <w:r>
        <w:br/>
      </w:r>
      <w:r>
        <w:t xml:space="preserve">All consultation activities, however, consistently revealed that information on emissions is not</w:t>
      </w:r>
      <w:r>
        <w:t xml:space="preserve"> </w:t>
      </w:r>
      <w:r>
        <w:t xml:space="preserve">yet a primary factor in decision-making for acquiring products and services. From the targeted</w:t>
      </w:r>
      <w:r>
        <w:t xml:space="preserve"> </w:t>
      </w:r>
      <w:r>
        <w:t xml:space="preserve">survey, it is clear that price, time and reliability (quality) remain the primary motivators, with</w:t>
      </w:r>
      <w:r>
        <w:t xml:space="preserve"> </w:t>
      </w:r>
      <w:r>
        <w:t xml:space="preserve">environmental aspects amongst the secondary considerations (12 out of 32, or 38%). SMEs are</w:t>
      </w:r>
      <w:r>
        <w:t xml:space="preserve"> </w:t>
      </w:r>
      <w:r>
        <w:t xml:space="preserve">even less likely to consider the environmental dimension in their business practice than large</w:t>
      </w:r>
      <w:r>
        <w:t xml:space="preserve"> </w:t>
      </w:r>
      <w:r>
        <w:t xml:space="preserve">companies (only 1 out of 7 SMEs, or 14%). On the other hand, the targeted interviews and the</w:t>
      </w:r>
      <w:r>
        <w:t xml:space="preserve"> </w:t>
      </w:r>
      <w:r>
        <w:t xml:space="preserve">workshop showed that currently it is difficult to consider these aspects during the decision-</w:t>
      </w:r>
      <w:r>
        <w:t xml:space="preserve"> </w:t>
      </w:r>
      <w:r>
        <w:t xml:space="preserve">making process, since information on emissions is hardly available at a point of sale, either for</w:t>
      </w:r>
      <w:r>
        <w:t xml:space="preserve"> </w:t>
      </w:r>
      <w:r>
        <w:t xml:space="preserve">freight or passenger transport.</w:t>
      </w:r>
      <w:r>
        <w:br/>
      </w:r>
      <w:r>
        <w:t xml:space="preserve">Views on problems</w:t>
      </w:r>
      <w:r>
        <w:t xml:space="preserve"> </w:t>
      </w:r>
      <w:r>
        <w:t xml:space="preserve">– Problem 1: Limited comparability of results of GHG emissions accounting in transport</w:t>
      </w:r>
      <w:r>
        <w:t xml:space="preserve"> </w:t>
      </w:r>
      <w:r>
        <w:t xml:space="preserve">and logistics</w:t>
      </w:r>
      <w:r>
        <w:t xml:space="preserve"> </w:t>
      </w:r>
      <w:r>
        <w:t xml:space="preserve">The vast majority of the consulted stakeholders see the lack of reliable and comparable</w:t>
      </w:r>
      <w:r>
        <w:t xml:space="preserve"> </w:t>
      </w:r>
      <w:r>
        <w:t xml:space="preserve">information on GHG emissions data as a relevant issue. These findings were in principle</w:t>
      </w:r>
      <w:r>
        <w:t xml:space="preserve"> </w:t>
      </w:r>
      <w:r>
        <w:t xml:space="preserve">confirmed by the results of the OPC, with 136 out of 169, or 80% respondents reiterating the</w:t>
      </w:r>
      <w:r>
        <w:t xml:space="preserve"> </w:t>
      </w:r>
      <w:r>
        <w:t xml:space="preserve">prevalence of this problem and considering it significant or very significant. What is more, 103</w:t>
      </w:r>
      <w:r>
        <w:t xml:space="preserve"> </w:t>
      </w:r>
      <w:r>
        <w:t xml:space="preserve">out of 157 (66%) indicate it as a real concern for their professional or private activities.</w:t>
      </w:r>
      <w:r>
        <w:br/>
      </w:r>
      <w:r>
        <w:t xml:space="preserve">In addition, the respondents to the Call for Evidence point to substantial divergences in emission</w:t>
      </w:r>
      <w:r>
        <w:t xml:space="preserve"> </w:t>
      </w:r>
      <w:r>
        <w:t xml:space="preserve">data calculation results and to the lack of comparability, which ultimately diminishes the</w:t>
      </w:r>
      <w:r>
        <w:t xml:space="preserve"> </w:t>
      </w:r>
      <w:r>
        <w:t xml:space="preserve">usefulness of GHG measurement and calculation, when it comes to taking informed travel and</w:t>
      </w:r>
      <w:r>
        <w:t xml:space="preserve"> </w:t>
      </w:r>
      <w:r>
        <w:t xml:space="preserve">transport decisions. The respondents also emphasised that the status quo does not allow</w:t>
      </w:r>
      <w:r>
        <w:t xml:space="preserve"> </w:t>
      </w:r>
      <w:r>
        <w:t xml:space="preserve">providing the end users with clear price signals and acknowledged that this situation hinders the</w:t>
      </w:r>
      <w:r>
        <w:t xml:space="preserve"> </w:t>
      </w:r>
      <w:r>
        <w:t xml:space="preserve">effectiveness of GHG measurement and calculation as a policy measure to incentivise</w:t>
      </w:r>
      <w:r>
        <w:t xml:space="preserve"> </w:t>
      </w:r>
      <w:r>
        <w:t xml:space="preserve">environmentally friendly transport and mobility choices.</w:t>
      </w:r>
      <w:r>
        <w:t xml:space="preserve"> </w:t>
      </w:r>
      <w:r>
        <w:t xml:space="preserve">Also, the stakeholders joining the workshop acknowledged large differences between emissions</w:t>
      </w:r>
      <w:r>
        <w:t xml:space="preserve"> </w:t>
      </w:r>
      <w:r>
        <w:t xml:space="preserve">data calculated for transport services and shared in the transport chain, recognising the</w:t>
      </w:r>
      <w:r>
        <w:t xml:space="preserve"> </w:t>
      </w:r>
      <w:r>
        <w:t xml:space="preserve">proliferation of methodological choices, and large variability in the input data.</w:t>
      </w:r>
      <w:r>
        <w:br/>
      </w:r>
      <w:r>
        <w:t xml:space="preserve">Finally, 22 out of 31 respondents to the targeted survey pointed to better comparison of GHG</w:t>
      </w:r>
      <w:r>
        <w:t xml:space="preserve"> </w:t>
      </w:r>
      <w:r>
        <w:t xml:space="preserve">emissions data as a key feature describing the added value of CountEmissions EU.</w:t>
      </w:r>
      <w:r>
        <w:t xml:space="preserve"> </w:t>
      </w:r>
      <w:r>
        <w:t xml:space="preserve">– Problem 2: Limited uptake of emission accounting in usual business practice</w:t>
      </w:r>
      <w:r>
        <w:t xml:space="preserve"> </w:t>
      </w:r>
      <w:r>
        <w:t xml:space="preserve">Respondents of the OPC agree that while obtaining information on GHG emissions of transport</w:t>
      </w:r>
      <w:r>
        <w:t xml:space="preserve"> </w:t>
      </w:r>
      <w:r>
        <w:t xml:space="preserve">services is important or very important (145 out of 175, or 83%), and they are not given enough</w:t>
      </w:r>
      <w:r>
        <w:t xml:space="preserve"> </w:t>
      </w:r>
      <w:r>
        <w:t xml:space="preserve">information when planning a journey or transport of goods (45 out of 56 organisations, or 80%;</w:t>
      </w:r>
      <w:r>
        <w:t xml:space="preserve"> </w:t>
      </w:r>
      <w:r>
        <w:t xml:space="preserve">61 out of 70 individuals, or 87%; and 60 out of 65 online customers, or 92%), which seems to</w:t>
      </w:r>
      <w:r>
        <w:t xml:space="preserve"> </w:t>
      </w:r>
      <w:r>
        <w:t xml:space="preserve">confirm this problem. Respondents to the targeted survey also estimated the current uptake of</w:t>
      </w:r>
      <w:r>
        <w:t xml:space="preserve"> </w:t>
      </w:r>
      <w:r>
        <w:t xml:space="preserve">emissions accounting as low or very low (26 out of 31, or 84%) and interviewees agreed, adding</w:t>
      </w:r>
      <w:r>
        <w:t xml:space="preserve"> </w:t>
      </w:r>
      <w:r>
        <w:t xml:space="preserve">that while companies are starting to take up emissions accounting, this is not yet a commonplace,</w:t>
      </w:r>
      <w:r>
        <w:t xml:space="preserve"> </w:t>
      </w:r>
      <w:r>
        <w:t xml:space="preserve">a notion that was also mentioned by the stakeholders that participated in the workshop.</w:t>
      </w:r>
      <w:r>
        <w:br/>
      </w:r>
      <w:r>
        <w:t xml:space="preserve">On the other hand, the outcomes of various consultation activities show that many stakeholders</w:t>
      </w:r>
      <w:r>
        <w:t xml:space="preserve"> </w:t>
      </w:r>
      <w:r>
        <w:t xml:space="preserve">already perform some form of emissions measurement and calculation. The results of the</w:t>
      </w:r>
      <w:r>
        <w:t xml:space="preserve"> </w:t>
      </w:r>
      <w:r>
        <w:t xml:space="preserve">targeted survey suggest that 29 out of 37, or 78% measure emissions, but in most cases this is</w:t>
      </w:r>
      <w:r>
        <w:t xml:space="preserve"> </w:t>
      </w:r>
      <w:r>
        <w:t xml:space="preserve">done only for certain activities, and not necessarily frequently. It is also not a common practice</w:t>
      </w:r>
    </w:p>
    <w:p>
      <w:pPr>
        <w:pStyle w:val="BodyText"/>
      </w:pPr>
      <w:r>
        <w:t xml:space="preserve">70</w:t>
      </w:r>
    </w:p>
    <w:p>
      <w:pPr>
        <w:pStyle w:val="BodyText"/>
      </w:pPr>
      <w:r>
        <w:t xml:space="preserve">to measure, calculate or communicate transport emissions at the service or trip level (only by 9</w:t>
      </w:r>
      <w:r>
        <w:t xml:space="preserve"> </w:t>
      </w:r>
      <w:r>
        <w:t xml:space="preserve">out of 26, or 35% of the respondents who declared to measure their transport emissions), which</w:t>
      </w:r>
      <w:r>
        <w:t xml:space="preserve"> </w:t>
      </w:r>
      <w:r>
        <w:t xml:space="preserve">is necessary to influence transport choices of operators and users.</w:t>
      </w:r>
      <w:r>
        <w:br/>
      </w:r>
      <w:r>
        <w:t xml:space="preserve">These factors together confirm that emissions accounting in business practice is very limited at</w:t>
      </w:r>
      <w:r>
        <w:t xml:space="preserve"> </w:t>
      </w:r>
      <w:r>
        <w:t xml:space="preserve">least in uptake, completeness, frequency, and precision. The targeted survey showed that the</w:t>
      </w:r>
      <w:r>
        <w:t xml:space="preserve"> </w:t>
      </w:r>
      <w:r>
        <w:t xml:space="preserve">majority of respondents (30 out of 31) would adopt a harmonised emissions measurement</w:t>
      </w:r>
      <w:r>
        <w:t xml:space="preserve"> </w:t>
      </w:r>
      <w:r>
        <w:t xml:space="preserve">framework if established at EU level.</w:t>
      </w:r>
      <w:r>
        <w:t xml:space="preserve"> </w:t>
      </w:r>
      <w:r>
        <w:t xml:space="preserve">Feedback received on problem drivers</w:t>
      </w:r>
      <w:r>
        <w:t xml:space="preserve"> </w:t>
      </w:r>
      <w:r>
        <w:t xml:space="preserve">– No set of common methodological principles to apply GHG emissions accounting</w:t>
      </w:r>
      <w:r>
        <w:t xml:space="preserve"> </w:t>
      </w:r>
      <w:r>
        <w:t xml:space="preserve">The lack of a harmonised method appeared as a major problem driver across various consultation</w:t>
      </w:r>
      <w:r>
        <w:t xml:space="preserve"> </w:t>
      </w:r>
      <w:r>
        <w:t xml:space="preserve">activities.</w:t>
      </w:r>
      <w:r>
        <w:br/>
      </w:r>
      <w:r>
        <w:t xml:space="preserve">The respondents to the Call for Evidence recognised it as an important factor hampering the</w:t>
      </w:r>
      <w:r>
        <w:t xml:space="preserve"> </w:t>
      </w:r>
      <w:r>
        <w:t xml:space="preserve">ability to accurately measure and compare the environmental impact of various transport</w:t>
      </w:r>
      <w:r>
        <w:t xml:space="preserve"> </w:t>
      </w:r>
      <w:r>
        <w:t xml:space="preserve">activities. In this context, a number of contributions pointed to the harmonisation efforts being</w:t>
      </w:r>
      <w:r>
        <w:t xml:space="preserve"> </w:t>
      </w:r>
      <w:r>
        <w:t xml:space="preserve">undertaken at various levels, however without having significantly improved the situation on the</w:t>
      </w:r>
      <w:r>
        <w:t xml:space="preserve"> </w:t>
      </w:r>
      <w:r>
        <w:t xml:space="preserve">market.</w:t>
      </w:r>
      <w:r>
        <w:t xml:space="preserve"> </w:t>
      </w:r>
      <w:r>
        <w:t xml:space="preserve">In the OPC, 90% (157 out of 174) of the respondents replied that the existence of various GHG</w:t>
      </w:r>
      <w:r>
        <w:t xml:space="preserve"> </w:t>
      </w:r>
      <w:r>
        <w:t xml:space="preserve">accounting methods and calculations leading to the provision of incomparable GHG emissions</w:t>
      </w:r>
      <w:r>
        <w:t xml:space="preserve"> </w:t>
      </w:r>
      <w:r>
        <w:t xml:space="preserve">data poses a significant or very significant problem. When asked if this problem was affecting</w:t>
      </w:r>
      <w:r>
        <w:t xml:space="preserve"> </w:t>
      </w:r>
      <w:r>
        <w:t xml:space="preserve">their private or professional activities, 69% (113 out of 163) replied affirmatively, while 20%</w:t>
      </w:r>
      <w:r>
        <w:t xml:space="preserve"> </w:t>
      </w:r>
      <w:r>
        <w:t xml:space="preserve">(33 out of 163) considered this phenomenon to affect them only to a limited extent.</w:t>
      </w:r>
      <w:r>
        <w:t xml:space="preserve"> </w:t>
      </w:r>
      <w:r>
        <w:t xml:space="preserve">– No set of harmonised input data to apply GHG emissions accounting</w:t>
      </w:r>
      <w:r>
        <w:t xml:space="preserve"> </w:t>
      </w:r>
      <w:r>
        <w:t xml:space="preserve">In the initial problem definition presented to the stakeholders, this driver was integrated with</w:t>
      </w:r>
      <w:r>
        <w:t xml:space="preserve"> </w:t>
      </w:r>
      <w:r>
        <w:t xml:space="preserve">another one addressing the lack of common methodological principles. However, based on the</w:t>
      </w:r>
      <w:r>
        <w:t xml:space="preserve"> </w:t>
      </w:r>
      <w:r>
        <w:t xml:space="preserve">feedback from the stakeholders suggesting that the issues associated with input data (i.e. primary</w:t>
      </w:r>
      <w:r>
        <w:t xml:space="preserve"> </w:t>
      </w:r>
      <w:r>
        <w:t xml:space="preserve">data and default values) need a more prominent place in the problem definition, ‘No set of</w:t>
      </w:r>
      <w:r>
        <w:t xml:space="preserve"> </w:t>
      </w:r>
      <w:r>
        <w:t xml:space="preserve">harmonised input data to apply GHG emissions accounting’ was included in the problem tree as</w:t>
      </w:r>
      <w:r>
        <w:t xml:space="preserve"> </w:t>
      </w:r>
      <w:r>
        <w:t xml:space="preserve">a separate problem driver.</w:t>
      </w:r>
      <w:r>
        <w:t xml:space="preserve"> </w:t>
      </w:r>
      <w:r>
        <w:t xml:space="preserve">In this context, looking at the results of the targeted survey, the vast majority of the respondents</w:t>
      </w:r>
      <w:r>
        <w:t xml:space="preserve"> </w:t>
      </w:r>
      <w:r>
        <w:t xml:space="preserve">replied that the issue of various methodological principles and input data together, is either</w:t>
      </w:r>
      <w:r>
        <w:t xml:space="preserve"> </w:t>
      </w:r>
      <w:r>
        <w:t xml:space="preserve">relevant or highly relevant (77%, 24 out of 31).</w:t>
      </w:r>
      <w:r>
        <w:br/>
      </w:r>
      <w:r>
        <w:t xml:space="preserve">The Call for Evidence, the targeted interviews and especially the stakeholders’ workshop clearly</w:t>
      </w:r>
      <w:r>
        <w:t xml:space="preserve"> </w:t>
      </w:r>
      <w:r>
        <w:t xml:space="preserve">demonstrated that there is large variance in the accounting results depending on the input data</w:t>
      </w:r>
      <w:r>
        <w:t xml:space="preserve"> </w:t>
      </w:r>
      <w:r>
        <w:t xml:space="preserve">used, even when using some already established methodologies. Especially debates at the</w:t>
      </w:r>
      <w:r>
        <w:t xml:space="preserve"> </w:t>
      </w:r>
      <w:r>
        <w:t xml:space="preserve">workshop focused on the importance of this problem driver and suggested an EU action may be</w:t>
      </w:r>
      <w:r>
        <w:t xml:space="preserve"> </w:t>
      </w:r>
      <w:r>
        <w:t xml:space="preserve">needed, for instance to incentivise the use of primary data.</w:t>
      </w:r>
      <w:r>
        <w:br/>
      </w:r>
      <w:r>
        <w:t xml:space="preserve">– Reluctance to share (sensitive) data</w:t>
      </w:r>
      <w:r>
        <w:t xml:space="preserve"> </w:t>
      </w:r>
      <w:r>
        <w:t xml:space="preserve">The reluctance to share data that is necessary for emissions accounting and decision-making</w:t>
      </w:r>
      <w:r>
        <w:t xml:space="preserve"> </w:t>
      </w:r>
      <w:r>
        <w:t xml:space="preserve">processes was strongly discussed during interviews, mainly with transport service providers and</w:t>
      </w:r>
      <w:r>
        <w:t xml:space="preserve"> </w:t>
      </w:r>
      <w:r>
        <w:t xml:space="preserve">their associations. Reasons given included the need to preserve sensitive information on costs</w:t>
      </w:r>
      <w:r>
        <w:t xml:space="preserve"> </w:t>
      </w:r>
      <w:r>
        <w:t xml:space="preserve">and operations, especially among SMEs. The contributions in the stakeholders’ workshop, as</w:t>
      </w:r>
      <w:r>
        <w:t xml:space="preserve"> </w:t>
      </w:r>
      <w:r>
        <w:t xml:space="preserve">well as the replies to the survey questionnaire (19 out of 31 respondents, or 61% rank it as</w:t>
      </w:r>
      <w:r>
        <w:t xml:space="preserve"> </w:t>
      </w:r>
      <w:r>
        <w:t xml:space="preserve">relevant or highly relevant) and the questionnaire sent to Member States further reiterated the</w:t>
      </w:r>
    </w:p>
    <w:p>
      <w:pPr>
        <w:pStyle w:val="BodyText"/>
      </w:pPr>
      <w:r>
        <w:t xml:space="preserve">71</w:t>
      </w:r>
    </w:p>
    <w:p>
      <w:pPr>
        <w:pStyle w:val="BodyText"/>
      </w:pPr>
      <w:r>
        <w:t xml:space="preserve">importance of this driver in the problem definition. Specifically, France clearly indicated that</w:t>
      </w:r>
      <w:r>
        <w:t xml:space="preserve"> </w:t>
      </w:r>
      <w:r>
        <w:t xml:space="preserve">CountEmissions EU should provide rules addressing the exchange of information on GHG</w:t>
      </w:r>
      <w:r>
        <w:t xml:space="preserve"> </w:t>
      </w:r>
      <w:r>
        <w:t xml:space="preserve">emissions with an appropriate level of security and privacy.</w:t>
      </w:r>
      <w:r>
        <w:br/>
      </w:r>
      <w:r>
        <w:t xml:space="preserve">– Lack of trust concerning GHG emissions output data</w:t>
      </w:r>
      <w:r>
        <w:t xml:space="preserve"> </w:t>
      </w:r>
      <w:r>
        <w:t xml:space="preserve">This driver was not initially provided in the first set of targeted interviews, targeted survey and</w:t>
      </w:r>
      <w:r>
        <w:t xml:space="preserve"> </w:t>
      </w:r>
      <w:r>
        <w:t xml:space="preserve">the OPC, but it was included in the workshop discussion, because feedback obtained from</w:t>
      </w:r>
      <w:r>
        <w:t xml:space="preserve"> </w:t>
      </w:r>
      <w:r>
        <w:t xml:space="preserve">stakeholders at previous stages of the consultation process pointed to the consistent lack of trust</w:t>
      </w:r>
      <w:r>
        <w:t xml:space="preserve"> </w:t>
      </w:r>
      <w:r>
        <w:t xml:space="preserve">concerning GHG emissions output data as an important issue to be tackled. For instance, OPC</w:t>
      </w:r>
      <w:r>
        <w:t xml:space="preserve"> </w:t>
      </w:r>
      <w:r>
        <w:t xml:space="preserve">respondents (145 out of 175, or 84%) acknowledged that access to reliable and accurate GHG</w:t>
      </w:r>
      <w:r>
        <w:t xml:space="preserve"> </w:t>
      </w:r>
      <w:r>
        <w:t xml:space="preserve">emissions data is important or very important.</w:t>
      </w:r>
      <w:r>
        <w:t xml:space="preserve"> </w:t>
      </w:r>
      <w:r>
        <w:t xml:space="preserve">During the workshop, a number of stakeholders contributing to the discussion mentioned the</w:t>
      </w:r>
      <w:r>
        <w:t xml:space="preserve"> </w:t>
      </w:r>
      <w:r>
        <w:t xml:space="preserve">need for more reliable emissions accounting results as a relevant factor. The lack of trust in</w:t>
      </w:r>
      <w:r>
        <w:t xml:space="preserve"> </w:t>
      </w:r>
      <w:r>
        <w:t xml:space="preserve">reliability and comparability of the GHG emissions figures was commonly considered a reason</w:t>
      </w:r>
      <w:r>
        <w:t xml:space="preserve"> </w:t>
      </w:r>
      <w:r>
        <w:t xml:space="preserve">for lower demand for such figures and hence lower uptake of GHG emissions accounting. In this</w:t>
      </w:r>
      <w:r>
        <w:t xml:space="preserve"> </w:t>
      </w:r>
      <w:r>
        <w:t xml:space="preserve">context, the need for a credible and harmonised verification mechanism for the output shared or</w:t>
      </w:r>
      <w:r>
        <w:t xml:space="preserve"> </w:t>
      </w:r>
      <w:r>
        <w:t xml:space="preserve">published has been constantly raised as an issue by many stakeholders.</w:t>
      </w:r>
      <w:r>
        <w:t xml:space="preserve"> </w:t>
      </w:r>
      <w:r>
        <w:t xml:space="preserve">– Complexity and high costs of GHG emissions accounting</w:t>
      </w:r>
      <w:r>
        <w:t xml:space="preserve"> </w:t>
      </w:r>
      <w:r>
        <w:t xml:space="preserve">In general, stakeholders regarded complexity and high costs of GHG emissions accounting as</w:t>
      </w:r>
      <w:r>
        <w:t xml:space="preserve"> </w:t>
      </w:r>
      <w:r>
        <w:t xml:space="preserve">strongly associated with calculation processes, and sharing of GHG emissions figures in the</w:t>
      </w:r>
      <w:r>
        <w:t xml:space="preserve"> </w:t>
      </w:r>
      <w:r>
        <w:t xml:space="preserve">transport networks. The majority of the respondents (20 out of 31, or 64%) that replied to the</w:t>
      </w:r>
      <w:r>
        <w:t xml:space="preserve"> </w:t>
      </w:r>
      <w:r>
        <w:t xml:space="preserve">targeted survey, consider this problem driver relevant or highly relevant. Respondents to the</w:t>
      </w:r>
      <w:r>
        <w:t xml:space="preserve"> </w:t>
      </w:r>
      <w:r>
        <w:t xml:space="preserve">OPC also ranked this as the third most relevant driver, only after the limited availability of data</w:t>
      </w:r>
      <w:r>
        <w:t xml:space="preserve"> </w:t>
      </w:r>
      <w:r>
        <w:t xml:space="preserve">within organisations and along the supply chain. These findings were also broadly confirmed by</w:t>
      </w:r>
      <w:r>
        <w:t xml:space="preserve"> </w:t>
      </w:r>
      <w:r>
        <w:t xml:space="preserve">the stakeholders participating in the targeted interviews.</w:t>
      </w:r>
      <w:r>
        <w:br/>
      </w:r>
      <w:r>
        <w:t xml:space="preserve">Feedback received on possible solutions</w:t>
      </w:r>
      <w:r>
        <w:t xml:space="preserve"> </w:t>
      </w:r>
      <w:r>
        <w:t xml:space="preserve">General expectations from a harmonised emissions measurement framework</w:t>
      </w:r>
      <w:r>
        <w:t xml:space="preserve"> </w:t>
      </w:r>
      <w:r>
        <w:t xml:space="preserve">When asked to rank specific criteria relevant for the harmonised GHG emissions measurement</w:t>
      </w:r>
      <w:r>
        <w:t xml:space="preserve"> </w:t>
      </w:r>
      <w:r>
        <w:t xml:space="preserve">method (from 1 - most important to 5 - least important), respondents to the targeted survey</w:t>
      </w:r>
      <w:r>
        <w:t xml:space="preserve"> </w:t>
      </w:r>
      <w:r>
        <w:t xml:space="preserve">pointed to the comparability of results over time as their first or second choice (16 out of 26, or</w:t>
      </w:r>
      <w:r>
        <w:t xml:space="preserve"> </w:t>
      </w:r>
      <w:r>
        <w:t xml:space="preserve">61%). This aspect was followed by the choices related to the consistency/reproducibility of the</w:t>
      </w:r>
      <w:r>
        <w:t xml:space="preserve"> </w:t>
      </w:r>
      <w:r>
        <w:t xml:space="preserve">measurement method (12 out of 27, or 44%) and its relevance (11 out of 27, or 41%).</w:t>
      </w:r>
    </w:p>
    <w:p>
      <w:pPr>
        <w:pStyle w:val="BodyText"/>
      </w:pPr>
      <w:r>
        <w:t xml:space="preserve">72</w:t>
      </w:r>
    </w:p>
    <w:p>
      <w:pPr>
        <w:pStyle w:val="BodyText"/>
      </w:pPr>
      <w:r>
        <w:t xml:space="preserve">Figure 10: Summary of the views of stakeholders in regards to their ranking of importance of different criteria for a</w:t>
      </w:r>
      <w:r>
        <w:t xml:space="preserve"> </w:t>
      </w:r>
      <w:r>
        <w:t xml:space="preserve">harmonised emissions measurement method.</w:t>
      </w:r>
    </w:p>
    <w:p>
      <w:pPr>
        <w:pStyle w:val="BodyText"/>
      </w:pPr>
      <w:r>
        <w:t xml:space="preserve">Source: Ecorys and CE Delft (2023), Impact assessment support study</w:t>
      </w:r>
      <w:r>
        <w:t xml:space="preserve"> </w:t>
      </w:r>
      <w:r>
        <w:t xml:space="preserve">The need for a consistent approach to measuring GHG emissions was also raised by the</w:t>
      </w:r>
      <w:r>
        <w:t xml:space="preserve"> </w:t>
      </w:r>
      <w:r>
        <w:t xml:space="preserve">respondents to the OPC (167 out of 178, or 94%).</w:t>
      </w:r>
      <w:r>
        <w:t xml:space="preserve"> </w:t>
      </w:r>
      <w:r>
        <w:t xml:space="preserve">Interaction of the common emissions accounting method with currently existing</w:t>
      </w:r>
      <w:r>
        <w:t xml:space="preserve"> </w:t>
      </w:r>
      <w:r>
        <w:t xml:space="preserve">methods</w:t>
      </w:r>
      <w:r>
        <w:t xml:space="preserve"> </w:t>
      </w:r>
      <w:r>
        <w:t xml:space="preserve">Regarding the design of the initiative, there is strong support across all the consultation activities</w:t>
      </w:r>
      <w:r>
        <w:t xml:space="preserve"> </w:t>
      </w:r>
      <w:r>
        <w:t xml:space="preserve">for an approach that considers already existing or emerging emissions accounting harmonisation</w:t>
      </w:r>
      <w:r>
        <w:t xml:space="preserve"> </w:t>
      </w:r>
      <w:r>
        <w:t xml:space="preserve">efforts. In this regard, the response obtained from the Member State questionnaire suggests that</w:t>
      </w:r>
      <w:r>
        <w:t xml:space="preserve"> </w:t>
      </w:r>
      <w:r>
        <w:t xml:space="preserve">the success of the measure can be highly dependent on being based on well-established and</w:t>
      </w:r>
      <w:r>
        <w:br/>
      </w:r>
      <w:r>
        <w:t xml:space="preserve">robust methodologies, especially those with global scope, as otherwise it could open the way for</w:t>
      </w:r>
      <w:r>
        <w:t xml:space="preserve"> </w:t>
      </w:r>
      <w:r>
        <w:t xml:space="preserve">a dispute.</w:t>
      </w:r>
      <w:r>
        <w:br/>
      </w:r>
      <w:r>
        <w:t xml:space="preserve">According to the Call for Evidence, interviews, and workshop, it was highlighted that it is also</w:t>
      </w:r>
      <w:r>
        <w:t xml:space="preserve"> </w:t>
      </w:r>
      <w:r>
        <w:t xml:space="preserve">important that organisations are not subjected to diverging requirements, either across countries</w:t>
      </w:r>
      <w:r>
        <w:t xml:space="preserve"> </w:t>
      </w:r>
      <w:r>
        <w:t xml:space="preserve">or regions, as that would greatly increase complexity of emissions accounting and the associated</w:t>
      </w:r>
      <w:r>
        <w:t xml:space="preserve"> </w:t>
      </w:r>
      <w:r>
        <w:t xml:space="preserve">costs.</w:t>
      </w:r>
      <w:r>
        <w:t xml:space="preserve"> </w:t>
      </w:r>
      <w:r>
        <w:t xml:space="preserve">Inclusion of sector specificities in the common emissions accounting method</w:t>
      </w:r>
      <w:r>
        <w:t xml:space="preserve"> </w:t>
      </w:r>
      <w:r>
        <w:t xml:space="preserve">The targeted survey (23 out of 28, or 82%), interviews and workshop revealed that the majority</w:t>
      </w:r>
      <w:r>
        <w:t xml:space="preserve"> </w:t>
      </w:r>
      <w:r>
        <w:t xml:space="preserve">of stakeholders believe sector specific guidelines based on common rules are necessary, with a</w:t>
      </w:r>
      <w:r>
        <w:t xml:space="preserve"> </w:t>
      </w:r>
      <w:r>
        <w:t xml:space="preserve">possible role for each sector in collaboratively developing and implementing them in its</w:t>
      </w:r>
      <w:r>
        <w:t xml:space="preserve"> </w:t>
      </w:r>
      <w:r>
        <w:t xml:space="preserve">respective networks. However, the interviews and workshop did show that some stakeholders</w:t>
      </w:r>
      <w:r>
        <w:t xml:space="preserve"> </w:t>
      </w:r>
      <w:r>
        <w:t xml:space="preserve">also see these decentralised developments as a risk leading to uncontrolled divergences between</w:t>
      </w:r>
      <w:r>
        <w:t xml:space="preserve"> </w:t>
      </w:r>
      <w:r>
        <w:t xml:space="preserve">the quantification processes in various sectors and resulting in producing inconsistent emissions</w:t>
      </w:r>
      <w:r>
        <w:t xml:space="preserve"> </w:t>
      </w:r>
      <w:r>
        <w:t xml:space="preserve">output data. According to discussions with stakeholders, this phenomenon may be mitigated by</w:t>
      </w:r>
    </w:p>
    <w:p>
      <w:pPr>
        <w:pStyle w:val="BodyText"/>
      </w:pPr>
      <w:r>
        <w:t xml:space="preserve">73</w:t>
      </w:r>
    </w:p>
    <w:p>
      <w:pPr>
        <w:pStyle w:val="BodyText"/>
      </w:pPr>
      <w:r>
        <w:t xml:space="preserve">specific measures, such as a centralised approval of sectorial guidelines, or harmonised</w:t>
      </w:r>
      <w:r>
        <w:t xml:space="preserve"> </w:t>
      </w:r>
      <w:r>
        <w:t xml:space="preserve">implementation rules applicable across the board. Moreover, during the workshop some parties</w:t>
      </w:r>
      <w:r>
        <w:t xml:space="preserve"> </w:t>
      </w:r>
      <w:r>
        <w:t xml:space="preserve">mentioned that the uptake of primary input data could minimise the need for these guidelines in</w:t>
      </w:r>
      <w:r>
        <w:t xml:space="preserve"> </w:t>
      </w:r>
      <w:r>
        <w:t xml:space="preserve">general.</w:t>
      </w:r>
      <w:r>
        <w:t xml:space="preserve"> </w:t>
      </w:r>
      <w:r>
        <w:t xml:space="preserve">Mandating the use of the common emissions accounting method</w:t>
      </w:r>
      <w:r>
        <w:t xml:space="preserve"> </w:t>
      </w:r>
      <w:r>
        <w:t xml:space="preserve">According to the results obtained across the various consultation tools, there is a significant</w:t>
      </w:r>
      <w:r>
        <w:t xml:space="preserve"> </w:t>
      </w:r>
      <w:r>
        <w:t xml:space="preserve">preference of stakeholders for an instrument including certain mandatory components. This may</w:t>
      </w:r>
      <w:r>
        <w:t xml:space="preserve"> </w:t>
      </w:r>
      <w:r>
        <w:t xml:space="preserve">be especially demonstrated by the results of the targeted survey, where 26 out of 28 respondents</w:t>
      </w:r>
      <w:r>
        <w:t xml:space="preserve"> </w:t>
      </w:r>
      <w:r>
        <w:t xml:space="preserve">(93%) indicated this preference, with the majority of them (17 out of 28, or 61%) suggesting</w:t>
      </w:r>
      <w:r>
        <w:t xml:space="preserve"> </w:t>
      </w:r>
      <w:r>
        <w:t xml:space="preserve">mandatory calculation and reporting of emissions for at least some classes of organisations in</w:t>
      </w:r>
      <w:r>
        <w:t xml:space="preserve"> </w:t>
      </w:r>
      <w:r>
        <w:t xml:space="preserve">the transport system. The survey also shows that the participating SMEs have a bigger propensity</w:t>
      </w:r>
      <w:r>
        <w:t xml:space="preserve"> </w:t>
      </w:r>
      <w:r>
        <w:t xml:space="preserve">to prefer optional approaches, or, alternatively, derogations in the mandatory instrument (4 out</w:t>
      </w:r>
      <w:r>
        <w:t xml:space="preserve"> </w:t>
      </w:r>
      <w:r>
        <w:t xml:space="preserve">of 7, or 57%, compared to 9 out of 28 or 32% overall). This could be due to disproportionate</w:t>
      </w:r>
      <w:r>
        <w:t xml:space="preserve"> </w:t>
      </w:r>
      <w:r>
        <w:t xml:space="preserve">impact of the mandatory instrument on SMEs, a comment that appeared during interviews and</w:t>
      </w:r>
      <w:r>
        <w:t xml:space="preserve"> </w:t>
      </w:r>
      <w:r>
        <w:t xml:space="preserve">workshops. Some transport associations that participated in the interviews in particular suggested</w:t>
      </w:r>
      <w:r>
        <w:t xml:space="preserve"> </w:t>
      </w:r>
      <w:r>
        <w:t xml:space="preserve">large businesses should take on more of the early costs associated with CountEmissions EU, and</w:t>
      </w:r>
      <w:r>
        <w:t xml:space="preserve"> </w:t>
      </w:r>
      <w:r>
        <w:t xml:space="preserve">then gradually involve the SMEs in their ecosystems to facilitate the knowledge and process</w:t>
      </w:r>
      <w:r>
        <w:t xml:space="preserve"> </w:t>
      </w:r>
      <w:r>
        <w:t xml:space="preserve">transfer.</w:t>
      </w:r>
      <w:r>
        <w:t xml:space="preserve"> </w:t>
      </w:r>
      <w:r>
        <w:t xml:space="preserve">Unsurprisingly, the survey also revealed that stakeholders believe that the initiative will be more</w:t>
      </w:r>
      <w:r>
        <w:t xml:space="preserve"> </w:t>
      </w:r>
      <w:r>
        <w:t xml:space="preserve">impactful if a mandatory instrument is used. Respondents felt that in this case positive effects</w:t>
      </w:r>
      <w:r>
        <w:t xml:space="preserve"> </w:t>
      </w:r>
      <w:r>
        <w:t xml:space="preserve">for the transport system would substantially increase (respondents were asked to rank the</w:t>
      </w:r>
      <w:r>
        <w:t xml:space="preserve"> </w:t>
      </w:r>
      <w:r>
        <w:t xml:space="preserve">magnitude of a number of potential impacts and the large majority foresaw an increase in positive</w:t>
      </w:r>
      <w:r>
        <w:t xml:space="preserve"> </w:t>
      </w:r>
      <w:r>
        <w:t xml:space="preserve">impacts). However, they did not expect large emissions reductions from the accounting</w:t>
      </w:r>
      <w:r>
        <w:t xml:space="preserve"> </w:t>
      </w:r>
      <w:r>
        <w:t xml:space="preserve">emissions alone (only 10 out of 23, or 43% foresaw emissions reductions), since CountEmissions</w:t>
      </w:r>
      <w:r>
        <w:t xml:space="preserve"> </w:t>
      </w:r>
      <w:r>
        <w:t xml:space="preserve">EU should be seen rather as an enabler for more efficient transport options, and not a measure</w:t>
      </w:r>
      <w:r>
        <w:t xml:space="preserve"> </w:t>
      </w:r>
      <w:r>
        <w:t xml:space="preserve">that can make the change directly. The insights from the interviews and the workshop broadly</w:t>
      </w:r>
      <w:r>
        <w:t xml:space="preserve"> </w:t>
      </w:r>
      <w:r>
        <w:t xml:space="preserve">confirmed this finding.</w:t>
      </w:r>
      <w:r>
        <w:br/>
      </w:r>
      <w:r>
        <w:t xml:space="preserve">Scoping and boundaries of the common emissions accounting method</w:t>
      </w:r>
      <w:r>
        <w:t xml:space="preserve"> </w:t>
      </w:r>
      <w:r>
        <w:t xml:space="preserve">The stakeholders’ consultation provided useful input to the analysis of various design</w:t>
      </w:r>
      <w:r>
        <w:t xml:space="preserve"> </w:t>
      </w:r>
      <w:r>
        <w:t xml:space="preserve">alternatives when discussing methodological choices for CountEmissions EU163.</w:t>
      </w:r>
      <w:r>
        <w:br/>
      </w:r>
      <w:r>
        <w:t xml:space="preserve">In principle, the Call for Evidence, survey and interviews clearly demonstrated that GHG (CO2</w:t>
      </w:r>
      <w:r>
        <w:t xml:space="preserve"> </w:t>
      </w:r>
      <w:r>
        <w:t xml:space="preserve">equivalents) are the preferred emissions scope for the common method. The interviews and the</w:t>
      </w:r>
      <w:r>
        <w:t xml:space="preserve"> </w:t>
      </w:r>
      <w:r>
        <w:t xml:space="preserve">survey (16 out of 28, or 57%) also showed that the transport service level accounting is the one</w:t>
      </w:r>
      <w:r>
        <w:t xml:space="preserve"> </w:t>
      </w:r>
      <w:r>
        <w:t xml:space="preserve">most favoured by the stakeholders (which is also the case for the Member State questionnaire</w:t>
      </w:r>
      <w:r>
        <w:t xml:space="preserve"> </w:t>
      </w:r>
      <w:r>
        <w:t xml:space="preserve">response), followed by the product-level approach. In all consultation activities, as already</w:t>
      </w:r>
      <w:r>
        <w:t xml:space="preserve"> </w:t>
      </w:r>
      <w:r>
        <w:t xml:space="preserve">mentioned above, there was a strong preference for a methodology that would have a global</w:t>
      </w:r>
      <w:r>
        <w:t xml:space="preserve"> </w:t>
      </w:r>
      <w:r>
        <w:t xml:space="preserve">scope, facilitating emissions accounting in the international transport chains.</w:t>
      </w:r>
      <w:r>
        <w:t xml:space="preserve"> </w:t>
      </w:r>
      <w:r>
        <w:t xml:space="preserve">In terms of the activity boundaries, the Well-to-Wheel (WTW) approach was the most preferred</w:t>
      </w:r>
      <w:r>
        <w:t xml:space="preserve"> </w:t>
      </w:r>
      <w:r>
        <w:t xml:space="preserve">by stakeholders across various consultation activities. However, the full lifecycle assessment</w:t>
      </w:r>
      <w:r>
        <w:t xml:space="preserve"> </w:t>
      </w:r>
      <w:r>
        <w:t xml:space="preserve">(LCA) was equally strongly supported in the OPC (i.e. 75 out of 164 respondents or 46% each),</w:t>
      </w:r>
      <w:r>
        <w:t xml:space="preserve"> </w:t>
      </w:r>
      <w:r>
        <w:t xml:space="preserve">especially among citizens. In this context, there appears a division among beneficiaries of</w:t>
      </w:r>
      <w:r>
        <w:t xml:space="preserve"> </w:t>
      </w:r>
      <w:r>
        <w:t xml:space="preserve">transport services (individuals and businesses not directly participating in transport activities)</w:t>
      </w:r>
      <w:r>
        <w:t xml:space="preserve"> </w:t>
      </w:r>
      <w:r>
        <w:t xml:space="preserve">more inclined towards the LCA approach, and stakeholders that are a more integral part of the</w:t>
      </w:r>
    </w:p>
    <w:p>
      <w:pPr>
        <w:pStyle w:val="BodyText"/>
      </w:pPr>
      <w:r>
        <w:t xml:space="preserve">163 See Annex 8 for more technical details.</w:t>
      </w:r>
    </w:p>
    <w:p>
      <w:pPr>
        <w:pStyle w:val="BodyText"/>
      </w:pPr>
      <w:r>
        <w:t xml:space="preserve">74</w:t>
      </w:r>
    </w:p>
    <w:p>
      <w:pPr>
        <w:pStyle w:val="BodyText"/>
      </w:pPr>
      <w:r>
        <w:t xml:space="preserve">transport system expressing their favour towards the WTW. From the regulatory side, a response</w:t>
      </w:r>
      <w:r>
        <w:t xml:space="preserve"> </w:t>
      </w:r>
      <w:r>
        <w:t xml:space="preserve">from France, benefitting from long experience in emissions accounting in transport, revealed a</w:t>
      </w:r>
      <w:r>
        <w:t xml:space="preserve"> </w:t>
      </w:r>
      <w:r>
        <w:t xml:space="preserve">preference for the WTW boundaries as well.</w:t>
      </w:r>
      <w:r>
        <w:t xml:space="preserve"> </w:t>
      </w:r>
      <w:r>
        <w:t xml:space="preserve">Verification of the emissions data</w:t>
      </w:r>
      <w:r>
        <w:t xml:space="preserve"> </w:t>
      </w:r>
      <w:r>
        <w:t xml:space="preserve">A dedicated system for verification of the emissions data and calculation processes featured</w:t>
      </w:r>
      <w:r>
        <w:t xml:space="preserve"> </w:t>
      </w:r>
      <w:r>
        <w:t xml:space="preserve">prominently across all the consultation activities. In the targeted survey, for instance, out of 28</w:t>
      </w:r>
      <w:r>
        <w:t xml:space="preserve"> </w:t>
      </w:r>
      <w:r>
        <w:t xml:space="preserve">responses received, there was no opinion against the verification system to be implemented. This</w:t>
      </w:r>
      <w:r>
        <w:t xml:space="preserve"> </w:t>
      </w:r>
      <w:r>
        <w:t xml:space="preserve">finding can be confirmed by the results of the OPC with 158 out of 178 (89%) respondents</w:t>
      </w:r>
      <w:r>
        <w:t xml:space="preserve"> </w:t>
      </w:r>
      <w:r>
        <w:t xml:space="preserve">suggesting this measure should be tackled by CountEmissions EU. Also the participants of the</w:t>
      </w:r>
      <w:r>
        <w:t xml:space="preserve"> </w:t>
      </w:r>
      <w:r>
        <w:t xml:space="preserve">stakeholders’ workshop suggested a system where the emissions calculation methods and GHG</w:t>
      </w:r>
      <w:r>
        <w:t xml:space="preserve"> </w:t>
      </w:r>
      <w:r>
        <w:t xml:space="preserve">data can be verified, expressing at the same time their strong preference towards using primary</w:t>
      </w:r>
      <w:r>
        <w:t xml:space="preserve"> </w:t>
      </w:r>
      <w:r>
        <w:t xml:space="preserve">information.</w:t>
      </w:r>
      <w:r>
        <w:br/>
      </w:r>
      <w:r>
        <w:t xml:space="preserve">On the other hand, the consulted stakeholders were not clear on how this verification system</w:t>
      </w:r>
      <w:r>
        <w:t xml:space="preserve"> </w:t>
      </w:r>
      <w:r>
        <w:t xml:space="preserve">should be designed and which functionalities it should bear. In the OPC, an important share of</w:t>
      </w:r>
      <w:r>
        <w:t xml:space="preserve"> </w:t>
      </w:r>
      <w:r>
        <w:t xml:space="preserve">answers (43 out of 178, or 24%) indicated that specific exemptions to the verification could be</w:t>
      </w:r>
      <w:r>
        <w:t xml:space="preserve"> </w:t>
      </w:r>
      <w:r>
        <w:t xml:space="preserve">possible if it would prove to be too burdensome and costly.</w:t>
      </w:r>
      <w:r>
        <w:br/>
      </w:r>
      <w:r>
        <w:t xml:space="preserve">Provision of the technical support tools and data sharing</w:t>
      </w:r>
      <w:r>
        <w:t xml:space="preserve"> </w:t>
      </w:r>
      <w:r>
        <w:t xml:space="preserve">Stakeholders see the provision of technical support tools (such as calculators and specific</w:t>
      </w:r>
      <w:r>
        <w:t xml:space="preserve"> </w:t>
      </w:r>
      <w:r>
        <w:t xml:space="preserve">software) as useful enablers to facilitate the uptake of the common emissions accounting</w:t>
      </w:r>
      <w:r>
        <w:t xml:space="preserve"> </w:t>
      </w:r>
      <w:r>
        <w:t xml:space="preserve">methodology. Based on the targeted survey, 18 out of 28, or 64% of the respondents would likely</w:t>
      </w:r>
      <w:r>
        <w:t xml:space="preserve"> </w:t>
      </w:r>
      <w:r>
        <w:t xml:space="preserve">or very likely use these tools in their business practice, a result that should be corroborated with</w:t>
      </w:r>
      <w:r>
        <w:t xml:space="preserve"> </w:t>
      </w:r>
      <w:r>
        <w:t xml:space="preserve">the outcome of the OPC (123 out of 175, or 70% of the respondents pointed to the need for</w:t>
      </w:r>
      <w:r>
        <w:t xml:space="preserve"> </w:t>
      </w:r>
      <w:r>
        <w:t xml:space="preserve">additional support tools under CountEmissions EU). This OPC finding is particularly strong</w:t>
      </w:r>
      <w:r>
        <w:t xml:space="preserve"> </w:t>
      </w:r>
      <w:r>
        <w:t xml:space="preserve">among business associations (46 out of 57, or 81%) and NGOs (5 out of 6, or 83%). Comments</w:t>
      </w:r>
      <w:r>
        <w:t xml:space="preserve"> </w:t>
      </w:r>
      <w:r>
        <w:t xml:space="preserve">in this regard highlighted that these tools could be most beneficial to lighten the administrative</w:t>
      </w:r>
      <w:r>
        <w:t xml:space="preserve"> </w:t>
      </w:r>
      <w:r>
        <w:t xml:space="preserve">burden of SMEs.</w:t>
      </w:r>
      <w:r>
        <w:t xml:space="preserve"> </w:t>
      </w:r>
      <w:r>
        <w:t xml:space="preserve">On the other hand, there was no consensus on where these technical support tools should be</w:t>
      </w:r>
      <w:r>
        <w:t xml:space="preserve"> </w:t>
      </w:r>
      <w:r>
        <w:t xml:space="preserve">developed or provided from. In particular, the respondents to the OPC and targeted survey were</w:t>
      </w:r>
      <w:r>
        <w:t xml:space="preserve"> </w:t>
      </w:r>
      <w:r>
        <w:t xml:space="preserve">not clear on the potential role of the public and private sectors in developing and providing these</w:t>
      </w:r>
      <w:r>
        <w:t xml:space="preserve"> </w:t>
      </w:r>
      <w:r>
        <w:t xml:space="preserve">tools to organisations that need/want to calculate their GHG emissions from transport services.</w:t>
      </w:r>
      <w:r>
        <w:t xml:space="preserve"> </w:t>
      </w:r>
      <w:r>
        <w:t xml:space="preserve">Otherwise, stakeholders participating in the interviews and the workshop suggested that the</w:t>
      </w:r>
      <w:r>
        <w:t xml:space="preserve"> </w:t>
      </w:r>
      <w:r>
        <w:t xml:space="preserve">private sector is better positioned to provide specific tools for businesses, while these should</w:t>
      </w:r>
      <w:r>
        <w:t xml:space="preserve"> </w:t>
      </w:r>
      <w:r>
        <w:t xml:space="preserve">undergo some form of a public sector verification. The latter finding broadly aligns with the</w:t>
      </w:r>
      <w:r>
        <w:t xml:space="preserve"> </w:t>
      </w:r>
      <w:r>
        <w:t xml:space="preserve">views expressed in the targeted survey (by 23 out of 28, or 82% of the respondents), that the</w:t>
      </w:r>
      <w:r>
        <w:t xml:space="preserve"> </w:t>
      </w:r>
      <w:r>
        <w:t xml:space="preserve">technical support tools, regardless where they come from, should be certified by an independent</w:t>
      </w:r>
      <w:r>
        <w:t xml:space="preserve"> </w:t>
      </w:r>
      <w:r>
        <w:t xml:space="preserve">entity.</w:t>
      </w:r>
      <w:r>
        <w:t xml:space="preserve"> </w:t>
      </w:r>
      <w:r>
        <w:t xml:space="preserve">In addition, during various consultation activities, stakeholders also raised the topic of sharing</w:t>
      </w:r>
      <w:r>
        <w:t xml:space="preserve"> </w:t>
      </w:r>
      <w:r>
        <w:t xml:space="preserve">emissions data between various entities in the transport chain. According to these stakeholders,</w:t>
      </w:r>
      <w:r>
        <w:t xml:space="preserve"> </w:t>
      </w:r>
      <w:r>
        <w:t xml:space="preserve">some actions would be necessary to ensure an appropriate level of security and confidentiality</w:t>
      </w:r>
      <w:r>
        <w:t xml:space="preserve"> </w:t>
      </w:r>
      <w:r>
        <w:t xml:space="preserve">of these data (for instance by appointing neutral third parties or establishing/allowing for</w:t>
      </w:r>
      <w:r>
        <w:t xml:space="preserve"> </w:t>
      </w:r>
      <w:r>
        <w:t xml:space="preserve">dedicated emissions data sharing platforms). During the workshop, an idea was also brought up</w:t>
      </w:r>
      <w:r>
        <w:t xml:space="preserve"> </w:t>
      </w:r>
      <w:r>
        <w:t xml:space="preserve">for the EU to define clear rules on handling these data by businesses in a proper manner.</w:t>
      </w:r>
    </w:p>
    <w:p>
      <w:pPr>
        <w:pStyle w:val="BodyText"/>
      </w:pPr>
      <w:r>
        <w:t xml:space="preserve">75</w:t>
      </w:r>
    </w:p>
    <w:p>
      <w:pPr>
        <w:pStyle w:val="BodyText"/>
      </w:pPr>
      <w:r>
        <w:t xml:space="preserve">ANNEX 3: WHO IS AFFECTED AND HOW?</w:t>
      </w:r>
      <w:r>
        <w:t xml:space="preserve"> </w:t>
      </w:r>
      <w:r>
        <w:t xml:space="preserve">1.</w:t>
      </w:r>
      <w:r>
        <w:t xml:space="preserve"> </w:t>
      </w:r>
      <w:r>
        <w:t xml:space="preserve">PRACTICAL IMPLICATIONS OF THE INITIATIVE</w:t>
      </w:r>
      <w:r>
        <w:t xml:space="preserve"> </w:t>
      </w:r>
      <w:r>
        <w:t xml:space="preserve">Summary of the implementation of the preferred policy option</w:t>
      </w:r>
      <w:r>
        <w:br/>
      </w:r>
      <w:r>
        <w:t xml:space="preserve">The focus of the initiative is to provide a harmonised framework for accounting GHG emissions</w:t>
      </w:r>
      <w:r>
        <w:t xml:space="preserve"> </w:t>
      </w:r>
      <w:r>
        <w:t xml:space="preserve">of transport services, and to incentivise its uptake on the transport market.</w:t>
      </w:r>
      <w:r>
        <w:br/>
      </w:r>
      <w:r>
        <w:t xml:space="preserve">The framework is conceived to stimulate the behavioural change among businesses and</w:t>
      </w:r>
      <w:r>
        <w:t xml:space="preserve"> </w:t>
      </w:r>
      <w:r>
        <w:t xml:space="preserve">customers to effectively lower GHG emissions of transport. The preferred policy option (PO4)</w:t>
      </w:r>
      <w:r>
        <w:t xml:space="preserve"> </w:t>
      </w:r>
      <w:r>
        <w:t xml:space="preserve">establishes the binding opt-in application of CountEmissions EU, accompanied by a set of</w:t>
      </w:r>
      <w:r>
        <w:t xml:space="preserve"> </w:t>
      </w:r>
      <w:r>
        <w:t xml:space="preserve">provisions ensuring a high level of harmonisation of the GHG emissions data, and facilitating</w:t>
      </w:r>
      <w:r>
        <w:t xml:space="preserve"> </w:t>
      </w:r>
      <w:r>
        <w:t xml:space="preserve">the use of the framework for various groups of stakeholders. According to the analysis performed</w:t>
      </w:r>
      <w:r>
        <w:t xml:space="preserve"> </w:t>
      </w:r>
      <w:r>
        <w:t xml:space="preserve">in the Impact Assessment, PO4 provides a structure for the efficient implementation of the</w:t>
      </w:r>
      <w:r>
        <w:t xml:space="preserve"> </w:t>
      </w:r>
      <w:r>
        <w:t xml:space="preserve">framework without creating a disproportionate burden and costs for the stakeholders concerned.</w:t>
      </w:r>
      <w:r>
        <w:t xml:space="preserve"> </w:t>
      </w:r>
      <w:r>
        <w:t xml:space="preserve">Specifically, the impacts of the measures included in the preferred policy option are expected to</w:t>
      </w:r>
      <w:r>
        <w:t xml:space="preserve"> </w:t>
      </w:r>
      <w:r>
        <w:t xml:space="preserve">fall on different stakeholder groups:</w:t>
      </w:r>
      <w:r>
        <w:br/>
      </w:r>
      <w:r>
        <w:t xml:space="preserve"> Stakeholders involved in transport services activities;</w:t>
      </w:r>
      <w:r>
        <w:t xml:space="preserve"> </w:t>
      </w:r>
      <w:r>
        <w:t xml:space="preserve">o transport service organisers and hub operators;</w:t>
      </w:r>
      <w:r>
        <w:t xml:space="preserve"> </w:t>
      </w:r>
      <w:r>
        <w:t xml:space="preserve">o transport service users;</w:t>
      </w:r>
      <w:r>
        <w:br/>
      </w:r>
      <w:r>
        <w:t xml:space="preserve">o other entities involved in accounting of GHG emissions of transport services;</w:t>
      </w:r>
      <w:r>
        <w:t xml:space="preserve"> </w:t>
      </w:r>
      <w:r>
        <w:t xml:space="preserve"> National public authorities responsible for transport statistics;</w:t>
      </w:r>
      <w:r>
        <w:br/>
      </w:r>
      <w:r>
        <w:t xml:space="preserve"> National Accreditation Bodies (NABs);</w:t>
      </w:r>
      <w:r>
        <w:t xml:space="preserve"> </w:t>
      </w:r>
      <w:r>
        <w:t xml:space="preserve"> Society as a whole.</w:t>
      </w:r>
      <w:r>
        <w:t xml:space="preserve"> </w:t>
      </w:r>
      <w:r>
        <w:t xml:space="preserve">Stakeholders involved in transport services activities</w:t>
      </w:r>
      <w:r>
        <w:t xml:space="preserve"> </w:t>
      </w:r>
      <w:r>
        <w:t xml:space="preserve">Transport service organisers and hub operators164, including transport operators, transport</w:t>
      </w:r>
      <w:r>
        <w:t xml:space="preserve"> </w:t>
      </w:r>
      <w:r>
        <w:t xml:space="preserve">intermediaries165 (e.g. travel agencies, freight forwarders, logistics service providers) and</w:t>
      </w:r>
      <w:r>
        <w:t xml:space="preserve"> </w:t>
      </w:r>
      <w:r>
        <w:t xml:space="preserve">operators of freight and passengers hubs (e.g. terminals, logistics platforms, ports, airports) will</w:t>
      </w:r>
      <w:r>
        <w:t xml:space="preserve"> </w:t>
      </w:r>
      <w:r>
        <w:t xml:space="preserve">bear the major share of the costs estimated for the preferred policy option. The costs will in</w:t>
      </w:r>
      <w:r>
        <w:t xml:space="preserve"> </w:t>
      </w:r>
      <w:r>
        <w:t xml:space="preserve">particular be associated with the implementation of the methodological requirements based on</w:t>
      </w:r>
      <w:r>
        <w:t xml:space="preserve"> </w:t>
      </w:r>
      <w:r>
        <w:t xml:space="preserve">the new ISO standard 14083 (adjustment costs). However, given that these requirements will</w:t>
      </w:r>
      <w:r>
        <w:t xml:space="preserve"> </w:t>
      </w:r>
      <w:r>
        <w:t xml:space="preserve">apply only to entities that decide to quantify and share their GHG emissions data, this cost</w:t>
      </w:r>
      <w:r>
        <w:t xml:space="preserve"> </w:t>
      </w:r>
      <w:r>
        <w:t xml:space="preserve">category is estimated to remain at a relatively moderate level. Other costs for transport service</w:t>
      </w:r>
      <w:r>
        <w:t xml:space="preserve"> </w:t>
      </w:r>
      <w:r>
        <w:t xml:space="preserve">organisers and hub operators will mostly relate to the verification of the GHG emissions data</w:t>
      </w:r>
      <w:r>
        <w:t xml:space="preserve"> </w:t>
      </w:r>
      <w:r>
        <w:t xml:space="preserve">generated under CountEmissions EU and the processes used for their quantification.</w:t>
      </w:r>
      <w:r>
        <w:t xml:space="preserve"> </w:t>
      </w:r>
      <w:r>
        <w:t xml:space="preserve">Nonetheless, these costs will be borne mainly by large enterprises, since the SMEs are exempted</w:t>
      </w:r>
      <w:r>
        <w:t xml:space="preserve"> </w:t>
      </w:r>
      <w:r>
        <w:t xml:space="preserve">from this provision, unless they decide to undergo this verification voluntarily.</w:t>
      </w:r>
    </w:p>
    <w:p>
      <w:pPr>
        <w:pStyle w:val="BodyText"/>
      </w:pPr>
      <w:r>
        <w:t xml:space="preserve">164 To simplify the reading they are referred throughout the document as transport service organisers</w:t>
      </w:r>
      <w:r>
        <w:br/>
      </w:r>
      <w:r>
        <w:t xml:space="preserve">165 Transport intermediaries might take the role of transport service users, depending on the type of activity</w:t>
      </w:r>
      <w:r>
        <w:t xml:space="preserve"> </w:t>
      </w:r>
      <w:r>
        <w:t xml:space="preserve">performed in the transport chain. For instance, a freight forwarding company may serve as a transport service</w:t>
      </w:r>
      <w:r>
        <w:t xml:space="preserve"> </w:t>
      </w:r>
      <w:r>
        <w:t xml:space="preserve">organiser in relation to a manufacturer/shipper and as a transport service user for a transport operator.</w:t>
      </w:r>
    </w:p>
    <w:p>
      <w:pPr>
        <w:pStyle w:val="BodyText"/>
      </w:pPr>
      <w:r>
        <w:t xml:space="preserve">76</w:t>
      </w:r>
    </w:p>
    <w:p>
      <w:pPr>
        <w:pStyle w:val="BodyText"/>
      </w:pPr>
      <w:r>
        <w:t xml:space="preserve">On the other hand, transport service organisers will benefit from a unique and harmonised</w:t>
      </w:r>
      <w:r>
        <w:t xml:space="preserve"> </w:t>
      </w:r>
      <w:r>
        <w:t xml:space="preserve">framework for emissions accounting, including clear instructions and specific provisions</w:t>
      </w:r>
      <w:r>
        <w:t xml:space="preserve"> </w:t>
      </w:r>
      <w:r>
        <w:t xml:space="preserve">facilitating its implementation in business practice (such as certified emissions calculation tools,</w:t>
      </w:r>
      <w:r>
        <w:t xml:space="preserve"> </w:t>
      </w:r>
      <w:r>
        <w:t xml:space="preserve">recognised databases of emission factors, implementation guidelines and harmonised rules for</w:t>
      </w:r>
      <w:r>
        <w:t xml:space="preserve"> </w:t>
      </w:r>
      <w:r>
        <w:t xml:space="preserve">GHG emissions output data). The comparability and reproducibility of GHG emissions figures</w:t>
      </w:r>
      <w:r>
        <w:t xml:space="preserve"> </w:t>
      </w:r>
      <w:r>
        <w:t xml:space="preserve">accounted by using CountEmissions EU will allow for better transparency as regards the</w:t>
      </w:r>
      <w:r>
        <w:t xml:space="preserve"> </w:t>
      </w:r>
      <w:r>
        <w:t xml:space="preserve">performance of various transport services, and will lead to more informed business decisions,</w:t>
      </w:r>
      <w:r>
        <w:t xml:space="preserve"> </w:t>
      </w:r>
      <w:r>
        <w:t xml:space="preserve">reduced fuel/energy consumption, lower operational costs and intangible reputational benefits</w:t>
      </w:r>
      <w:r>
        <w:t xml:space="preserve"> </w:t>
      </w:r>
      <w:r>
        <w:t xml:space="preserve">vis a vis transport service users and society in general. Overall, it is estimated that for this</w:t>
      </w:r>
      <w:r>
        <w:t xml:space="preserve"> </w:t>
      </w:r>
      <w:r>
        <w:t xml:space="preserve">category of stakeholders the initiative will lead to net benefits, as demonstrated in Annex 4</w:t>
      </w:r>
      <w:r>
        <w:t xml:space="preserve"> </w:t>
      </w:r>
      <w:r>
        <w:t xml:space="preserve">below.</w:t>
      </w:r>
      <w:r>
        <w:t xml:space="preserve"> </w:t>
      </w:r>
      <w:r>
        <w:t xml:space="preserve">Transport</w:t>
      </w:r>
      <w:r>
        <w:t xml:space="preserve"> </w:t>
      </w:r>
      <w:r>
        <w:t xml:space="preserve">service</w:t>
      </w:r>
      <w:r>
        <w:t xml:space="preserve"> </w:t>
      </w:r>
      <w:r>
        <w:t xml:space="preserve">users,</w:t>
      </w:r>
      <w:r>
        <w:t xml:space="preserve"> </w:t>
      </w:r>
      <w:r>
        <w:t xml:space="preserve">be</w:t>
      </w:r>
      <w:r>
        <w:t xml:space="preserve"> </w:t>
      </w:r>
      <w:r>
        <w:t xml:space="preserve">them</w:t>
      </w:r>
      <w:r>
        <w:t xml:space="preserve"> </w:t>
      </w:r>
      <w:r>
        <w:t xml:space="preserve">passengers,</w:t>
      </w:r>
      <w:r>
        <w:t xml:space="preserve"> </w:t>
      </w:r>
      <w:r>
        <w:t xml:space="preserve">customers,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authorities,</w:t>
      </w:r>
      <w:r>
        <w:t xml:space="preserve"> </w:t>
      </w:r>
      <w:r>
        <w:t xml:space="preserve">manufacturers/shippers, wholesalers, retailers, transport service intermediaries166 or data</w:t>
      </w:r>
      <w:r>
        <w:t xml:space="preserve"> </w:t>
      </w:r>
      <w:r>
        <w:t xml:space="preserve">intermediaries167 will mostly benefit from the clear, comparable and correct information on GHG</w:t>
      </w:r>
      <w:r>
        <w:t xml:space="preserve"> </w:t>
      </w:r>
      <w:r>
        <w:t xml:space="preserve">emissions offered by the harmonised emissions accounting framework. This transparency will</w:t>
      </w:r>
      <w:r>
        <w:t xml:space="preserve"> </w:t>
      </w:r>
      <w:r>
        <w:t xml:space="preserve">allow users for making informed choices as regards specific transport options, thus incentivising</w:t>
      </w:r>
      <w:r>
        <w:t xml:space="preserve"> </w:t>
      </w:r>
      <w:r>
        <w:t xml:space="preserve">the behavioural change towards sustainable transport options and emissions reduction. However,</w:t>
      </w:r>
      <w:r>
        <w:t xml:space="preserve"> </w:t>
      </w:r>
      <w:r>
        <w:t xml:space="preserve">the impact of these benefits, potentially large, cannot be directly quantified.</w:t>
      </w:r>
      <w:r>
        <w:br/>
      </w:r>
      <w:r>
        <w:t xml:space="preserve">On the other hand, additional costs may arise for some users, especially those accounting</w:t>
      </w:r>
      <w:r>
        <w:t xml:space="preserve"> </w:t>
      </w:r>
      <w:r>
        <w:t xml:space="preserve">emissions from their transport chains (e.g. shippers, logistic service providers, freight</w:t>
      </w:r>
      <w:r>
        <w:t xml:space="preserve"> </w:t>
      </w:r>
      <w:r>
        <w:t xml:space="preserve">forwarders, travel agencies etc.). However, these costs are expected to be offset by the clear</w:t>
      </w:r>
      <w:r>
        <w:t xml:space="preserve"> </w:t>
      </w:r>
      <w:r>
        <w:t xml:space="preserve">accounting rules, harmonised data and implementation support.Other entities involved in</w:t>
      </w:r>
      <w:r>
        <w:t xml:space="preserve"> </w:t>
      </w:r>
      <w:r>
        <w:t xml:space="preserve">accounting of GHG emissions of transport services, include notably the providers of GHG</w:t>
      </w:r>
      <w:r>
        <w:t xml:space="preserve"> </w:t>
      </w:r>
      <w:r>
        <w:t xml:space="preserve">emission calculators and other tools facilitating emissions accounting, such as business sector</w:t>
      </w:r>
      <w:r>
        <w:t xml:space="preserve"> </w:t>
      </w:r>
      <w:r>
        <w:t xml:space="preserve">associations. This group of stakeholders will be mostly concerned by the requirements and costs</w:t>
      </w:r>
      <w:r>
        <w:t xml:space="preserve"> </w:t>
      </w:r>
      <w:r>
        <w:t xml:space="preserve">related to the certification of tools they offer on the market and the quality check of</w:t>
      </w:r>
      <w:r>
        <w:t xml:space="preserve"> </w:t>
      </w:r>
      <w:r>
        <w:t xml:space="preserve">sectorial/national default values databases. However, these additional costs will be outweighed</w:t>
      </w:r>
      <w:r>
        <w:t xml:space="preserve"> </w:t>
      </w:r>
      <w:r>
        <w:t xml:space="preserve">by the benefits from the increased demand for these tools and databases.</w:t>
      </w:r>
      <w:r>
        <w:br/>
      </w:r>
      <w:r>
        <w:t xml:space="preserve">National public authorities responsible for transport statistics are not expected to change</w:t>
      </w:r>
      <w:r>
        <w:t xml:space="preserve"> </w:t>
      </w:r>
      <w:r>
        <w:t xml:space="preserve">their reporting and enforcement modalities, but the necessary adjustments to the GHG emissions</w:t>
      </w:r>
      <w:r>
        <w:t xml:space="preserve"> </w:t>
      </w:r>
      <w:r>
        <w:t xml:space="preserve">data output formats, and efforts related to the acknowledgment of the new emissions accounting</w:t>
      </w:r>
      <w:r>
        <w:t xml:space="preserve"> </w:t>
      </w:r>
      <w:r>
        <w:t xml:space="preserve">rules will result in additional costs of a limited scale.</w:t>
      </w:r>
      <w:r>
        <w:br/>
      </w:r>
      <w:r>
        <w:t xml:space="preserve">National Accreditation Bodies (NABs), would incur some minor costs for getting familiar with</w:t>
      </w:r>
      <w:r>
        <w:t xml:space="preserve"> </w:t>
      </w:r>
      <w:r>
        <w:t xml:space="preserve">relevant provisions of CountEmissions EU, as well as for additional efforts related to the</w:t>
      </w:r>
      <w:r>
        <w:t xml:space="preserve"> </w:t>
      </w:r>
      <w:r>
        <w:t xml:space="preserve">accreditation of bodies that will perform the verification and certification activities foreseen</w:t>
      </w:r>
      <w:r>
        <w:t xml:space="preserve"> </w:t>
      </w:r>
      <w:r>
        <w:t xml:space="preserve">under CountEmissions EU.</w:t>
      </w:r>
    </w:p>
    <w:p>
      <w:pPr>
        <w:pStyle w:val="BodyText"/>
      </w:pPr>
      <w:r>
        <w:t xml:space="preserve">166 Certain categories of users, like manufacturers/shippers, wholesalers, retailers may to some extent execute</w:t>
      </w:r>
      <w:r>
        <w:t xml:space="preserve"> </w:t>
      </w:r>
      <w:r>
        <w:t xml:space="preserve">transport services with using their internal resources. This has been accounted in the assessment</w:t>
      </w:r>
    </w:p>
    <w:p>
      <w:pPr>
        <w:pStyle w:val="BodyText"/>
      </w:pPr>
      <w:r>
        <w:t xml:space="preserve">167 A data intermediary may be considered as a specific category of a user that collects information on a transport</w:t>
      </w:r>
      <w:r>
        <w:t xml:space="preserve"> </w:t>
      </w:r>
      <w:r>
        <w:t xml:space="preserve">services from transport organisers and operators and discloses it further on the market.</w:t>
      </w:r>
    </w:p>
    <w:p>
      <w:pPr>
        <w:pStyle w:val="BodyText"/>
      </w:pPr>
      <w:r>
        <w:t xml:space="preserve">77</w:t>
      </w:r>
    </w:p>
    <w:p>
      <w:pPr>
        <w:pStyle w:val="BodyText"/>
      </w:pPr>
      <w:r>
        <w:t xml:space="preserve">Implications for society as a whole will include the improved transparency of information on</w:t>
      </w:r>
      <w:r>
        <w:t xml:space="preserve"> </w:t>
      </w:r>
      <w:r>
        <w:t xml:space="preserve">the performance of transport services, implying the behavioural changes towards more</w:t>
      </w:r>
      <w:r>
        <w:t xml:space="preserve"> </w:t>
      </w:r>
      <w:r>
        <w:t xml:space="preserve">sustainable transport choices and the related reduction of the GHG emissions, associated with</w:t>
      </w:r>
      <w:r>
        <w:t xml:space="preserve"> </w:t>
      </w:r>
      <w:r>
        <w:t xml:space="preserve">positive impact on human’s health.</w:t>
      </w:r>
      <w:r>
        <w:t xml:space="preserve"> </w:t>
      </w:r>
      <w:r>
        <w:t xml:space="preserve">SUMMARY OF COSTS AND BENEFITS</w:t>
      </w:r>
      <w:r>
        <w:t xml:space="preserve"> </w:t>
      </w:r>
      <w:r>
        <w:t xml:space="preserve">I. Overview of Benefits (total for all provisions) – Preferred Option (Policy option 4)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Benefits for passengers from</w:t>
      </w:r>
      <w:r>
        <w:t xml:space="preserve"> </w:t>
      </w:r>
      <w:r>
        <w:t xml:space="preserve">avoided fuel used, expressed</w:t>
      </w:r>
      <w:r>
        <w:t xml:space="preserve"> </w:t>
      </w:r>
      <w:r>
        <w:t xml:space="preserve">as present value over 2025-</w:t>
      </w:r>
      <w:r>
        <w:t xml:space="preserve"> </w:t>
      </w:r>
      <w:r>
        <w:t xml:space="preserve">2050 relative to the baseline</w:t>
      </w:r>
      <w:r>
        <w:t xml:space="preserve"> </w:t>
      </w:r>
      <w:r>
        <w:t xml:space="preserve">EUR 108.1 million</w:t>
      </w:r>
      <w:r>
        <w:t xml:space="preserve"> </w:t>
      </w:r>
      <w:r>
        <w:t xml:space="preserve">Benefits to passengers due to more sustainable</w:t>
      </w:r>
      <w:r>
        <w:t xml:space="preserve"> </w:t>
      </w:r>
      <w:r>
        <w:t xml:space="preserve">transport choices leading to energy costs savings,</w:t>
      </w:r>
      <w:r>
        <w:t xml:space="preserve"> </w:t>
      </w:r>
      <w:r>
        <w:t xml:space="preserve">estimated at EUR 108.1 million, expressed as</w:t>
      </w:r>
      <w:r>
        <w:t xml:space="preserve"> </w:t>
      </w:r>
      <w:r>
        <w:t xml:space="preserve">present value over 2025-2050 relative to the</w:t>
      </w:r>
      <w:r>
        <w:t xml:space="preserve"> </w:t>
      </w:r>
      <w:r>
        <w:t xml:space="preserve">baseline. This is mostly due to the improved</w:t>
      </w:r>
      <w:r>
        <w:t xml:space="preserve"> </w:t>
      </w:r>
      <w:r>
        <w:t xml:space="preserve">comparability of the data on which passengers</w:t>
      </w:r>
      <w:r>
        <w:t xml:space="preserve"> </w:t>
      </w:r>
      <w:r>
        <w:t xml:space="preserve">can make informed decisions.</w:t>
      </w:r>
      <w:r>
        <w:t xml:space="preserve"> </w:t>
      </w:r>
      <w:r>
        <w:t xml:space="preserve">Benefits</w:t>
      </w:r>
      <w:r>
        <w:t xml:space="preserve"> </w:t>
      </w:r>
      <w:r>
        <w:t xml:space="preserve">for</w:t>
      </w:r>
      <w:r>
        <w:br/>
      </w:r>
      <w:r>
        <w:t xml:space="preserve">transport</w:t>
      </w:r>
      <w:r>
        <w:t xml:space="preserve"> </w:t>
      </w:r>
      <w:r>
        <w:t xml:space="preserve">service</w:t>
      </w:r>
      <w:r>
        <w:t xml:space="preserve"> </w:t>
      </w:r>
      <w:r>
        <w:t xml:space="preserve">providers</w:t>
      </w:r>
      <w:r>
        <w:t xml:space="preserve"> </w:t>
      </w:r>
      <w:r>
        <w:t xml:space="preserve">from</w:t>
      </w:r>
      <w:r>
        <w:t xml:space="preserve"> </w:t>
      </w:r>
      <w:r>
        <w:t xml:space="preserve">avoided fuel used, expressed</w:t>
      </w:r>
      <w:r>
        <w:t xml:space="preserve"> </w:t>
      </w:r>
      <w:r>
        <w:t xml:space="preserve">as present value over 2025-</w:t>
      </w:r>
      <w:r>
        <w:t xml:space="preserve"> </w:t>
      </w:r>
      <w:r>
        <w:t xml:space="preserve">2050 relative to the baseline</w:t>
      </w:r>
      <w:r>
        <w:t xml:space="preserve"> </w:t>
      </w:r>
      <w:r>
        <w:t xml:space="preserve">EUR 2.3 billion</w:t>
      </w:r>
      <w:r>
        <w:t xml:space="preserve"> </w:t>
      </w:r>
      <w:r>
        <w:t xml:space="preserve">Benefits to transport service providers due to</w:t>
      </w:r>
      <w:r>
        <w:t xml:space="preserve"> </w:t>
      </w:r>
      <w:r>
        <w:t xml:space="preserve">more sustainable transport choices leading to</w:t>
      </w:r>
      <w:r>
        <w:t xml:space="preserve"> </w:t>
      </w:r>
      <w:r>
        <w:t xml:space="preserve">energy costs savings, estimated at EUR 2.3</w:t>
      </w:r>
      <w:r>
        <w:t xml:space="preserve"> </w:t>
      </w:r>
      <w:r>
        <w:t xml:space="preserve">billion, expressed as present value over 2025-</w:t>
      </w:r>
      <w:r>
        <w:t xml:space="preserve"> </w:t>
      </w:r>
      <w:r>
        <w:t xml:space="preserve">2050 relative to the baseline. This is mostly due</w:t>
      </w:r>
      <w:r>
        <w:t xml:space="preserve"> </w:t>
      </w:r>
      <w:r>
        <w:t xml:space="preserve">to the improved comparability of the data on</w:t>
      </w:r>
      <w:r>
        <w:t xml:space="preserve"> </w:t>
      </w:r>
      <w:r>
        <w:t xml:space="preserve">which passengers can make informed decisions.</w:t>
      </w:r>
      <w:r>
        <w:t xml:space="preserve"> </w:t>
      </w:r>
      <w:r>
        <w:t xml:space="preserve">Indirect benefits</w:t>
      </w:r>
      <w:r>
        <w:t xml:space="preserve"> </w:t>
      </w:r>
      <w:r>
        <w:t xml:space="preserve">Reduction in external costs</w:t>
      </w:r>
      <w:r>
        <w:t xml:space="preserve"> </w:t>
      </w:r>
      <w:r>
        <w:t xml:space="preserve">of</w:t>
      </w:r>
      <w:r>
        <w:t xml:space="preserve"> </w:t>
      </w:r>
      <w:r>
        <w:t xml:space="preserve">GHG</w:t>
      </w:r>
      <w:r>
        <w:t xml:space="preserve"> </w:t>
      </w:r>
      <w:r>
        <w:t xml:space="preserve">emissions,</w:t>
      </w:r>
      <w:r>
        <w:t xml:space="preserve"> </w:t>
      </w:r>
      <w:r>
        <w:t xml:space="preserve">expressed as present value</w:t>
      </w:r>
      <w:r>
        <w:t xml:space="preserve"> </w:t>
      </w:r>
      <w:r>
        <w:t xml:space="preserve">over 2025 2050, relative to</w:t>
      </w:r>
      <w:r>
        <w:t xml:space="preserve"> </w:t>
      </w:r>
      <w:r>
        <w:t xml:space="preserve">the baseline</w:t>
      </w:r>
      <w:r>
        <w:t xml:space="preserve"> </w:t>
      </w:r>
      <w:r>
        <w:t xml:space="preserve">EUR 674.1 million</w:t>
      </w:r>
      <w:r>
        <w:t xml:space="preserve"> </w:t>
      </w:r>
      <w:r>
        <w:t xml:space="preserve">Indirect benefit to society at large, due to the</w:t>
      </w:r>
      <w:r>
        <w:t xml:space="preserve"> </w:t>
      </w:r>
      <w:r>
        <w:t xml:space="preserve">tonnes of GHG emissions saved, enabled by more</w:t>
      </w:r>
      <w:r>
        <w:t xml:space="preserve"> </w:t>
      </w:r>
      <w:r>
        <w:t xml:space="preserve">sustainable transport choices by passengers and</w:t>
      </w:r>
      <w:r>
        <w:t xml:space="preserve"> </w:t>
      </w:r>
      <w:r>
        <w:t xml:space="preserve">transport service providers. The reduction in the</w:t>
      </w:r>
      <w:r>
        <w:t xml:space="preserve"> </w:t>
      </w:r>
      <w:r>
        <w:t xml:space="preserve">external costs of GHG emissions is estimated at</w:t>
      </w:r>
      <w:r>
        <w:t xml:space="preserve"> </w:t>
      </w:r>
      <w:r>
        <w:t xml:space="preserve">EUR 674.1 million, expressed as present value</w:t>
      </w:r>
      <w:r>
        <w:t xml:space="preserve"> </w:t>
      </w:r>
      <w:r>
        <w:t xml:space="preserve">over the 2025-2050 horizon relative to the</w:t>
      </w:r>
      <w:r>
        <w:t xml:space="preserve"> </w:t>
      </w:r>
      <w:r>
        <w:t xml:space="preserve">baseline.</w:t>
      </w:r>
      <w:r>
        <w:t xml:space="preserve"> </w:t>
      </w:r>
      <w:r>
        <w:t xml:space="preserve">Reduction in external costs</w:t>
      </w:r>
      <w:r>
        <w:t xml:space="preserve"> </w:t>
      </w:r>
      <w:r>
        <w:t xml:space="preserve">of air pollutant emissions,</w:t>
      </w:r>
      <w:r>
        <w:t xml:space="preserve"> </w:t>
      </w:r>
      <w:r>
        <w:t xml:space="preserve">expressed as present value</w:t>
      </w:r>
      <w:r>
        <w:t xml:space="preserve"> </w:t>
      </w:r>
      <w:r>
        <w:t xml:space="preserve">over 2025 2050, relative to</w:t>
      </w:r>
      <w:r>
        <w:t xml:space="preserve"> </w:t>
      </w:r>
      <w:r>
        <w:t xml:space="preserve">the baseline</w:t>
      </w:r>
      <w:r>
        <w:t xml:space="preserve"> </w:t>
      </w:r>
      <w:r>
        <w:t xml:space="preserve">EUR 163.5 million</w:t>
      </w:r>
      <w:r>
        <w:t xml:space="preserve"> </w:t>
      </w:r>
      <w:r>
        <w:t xml:space="preserve">Indirect benefit to society at large, due to the</w:t>
      </w:r>
      <w:r>
        <w:t xml:space="preserve"> </w:t>
      </w:r>
      <w:r>
        <w:t xml:space="preserve">tonnes of air pollutant emissions saved, enabled</w:t>
      </w:r>
      <w:r>
        <w:t xml:space="preserve"> </w:t>
      </w:r>
      <w:r>
        <w:t xml:space="preserve">by more sustainable transport choices by</w:t>
      </w:r>
      <w:r>
        <w:t xml:space="preserve"> </w:t>
      </w:r>
      <w:r>
        <w:t xml:space="preserve">passengers and transport service providers. The</w:t>
      </w:r>
      <w:r>
        <w:t xml:space="preserve"> </w:t>
      </w:r>
      <w:r>
        <w:t xml:space="preserve">reduction in the external costs of GHG emissions</w:t>
      </w:r>
      <w:r>
        <w:t xml:space="preserve"> </w:t>
      </w:r>
      <w:r>
        <w:t xml:space="preserve">is estimated at EUR 163.5 million, expressed as</w:t>
      </w:r>
      <w:r>
        <w:t xml:space="preserve"> </w:t>
      </w:r>
      <w:r>
        <w:t xml:space="preserve">present value over the 2025-2050 horizon relative</w:t>
      </w:r>
      <w:r>
        <w:t xml:space="preserve"> </w:t>
      </w:r>
      <w:r>
        <w:t xml:space="preserve">to the baseline.</w:t>
      </w:r>
      <w:r>
        <w:t xml:space="preserve"> </w:t>
      </w:r>
      <w:r>
        <w:t xml:space="preserve">Reduction in external costs</w:t>
      </w:r>
      <w:r>
        <w:t xml:space="preserve"> </w:t>
      </w:r>
      <w:r>
        <w:t xml:space="preserve">of road accidents (fatalities</w:t>
      </w:r>
      <w:r>
        <w:t xml:space="preserve"> </w:t>
      </w:r>
      <w:r>
        <w:t xml:space="preserve">and injuries), expressed as</w:t>
      </w:r>
      <w:r>
        <w:t xml:space="preserve"> </w:t>
      </w:r>
      <w:r>
        <w:t xml:space="preserve">present value over 2025</w:t>
      </w:r>
      <w:r>
        <w:t xml:space="preserve"> </w:t>
      </w:r>
      <w:r>
        <w:t xml:space="preserve">2050, relative to the baseline</w:t>
      </w:r>
      <w:r>
        <w:t xml:space="preserve"> </w:t>
      </w:r>
      <w:r>
        <w:t xml:space="preserve">EUR 645.2 million</w:t>
      </w:r>
      <w:r>
        <w:t xml:space="preserve"> </w:t>
      </w:r>
      <w:r>
        <w:t xml:space="preserve">Indirect benefit to society at large, due to the lives</w:t>
      </w:r>
      <w:r>
        <w:t xml:space="preserve"> </w:t>
      </w:r>
      <w:r>
        <w:t xml:space="preserve">saved and injuries avoided, enabled by more</w:t>
      </w:r>
      <w:r>
        <w:t xml:space="preserve"> </w:t>
      </w:r>
      <w:r>
        <w:t xml:space="preserve">sustainable transport choices by passengers and</w:t>
      </w:r>
      <w:r>
        <w:t xml:space="preserve"> </w:t>
      </w:r>
      <w:r>
        <w:t xml:space="preserve">transport service providers and thus a reduction</w:t>
      </w:r>
      <w:r>
        <w:t xml:space="preserve"> </w:t>
      </w:r>
      <w:r>
        <w:t xml:space="preserve">in the road transport activity relative to the</w:t>
      </w:r>
      <w:r>
        <w:t xml:space="preserve"> </w:t>
      </w:r>
      <w:r>
        <w:t xml:space="preserve">baseline. The reduction in the external costs of</w:t>
      </w:r>
      <w:r>
        <w:t xml:space="preserve"> </w:t>
      </w:r>
      <w:r>
        <w:t xml:space="preserve">road accidents is estimated at EUR 645.2 million,</w:t>
      </w:r>
      <w:r>
        <w:t xml:space="preserve"> </w:t>
      </w:r>
      <w:r>
        <w:t xml:space="preserve">expressed as present value over the 2025-2050</w:t>
      </w:r>
      <w:r>
        <w:t xml:space="preserve"> </w:t>
      </w:r>
      <w:r>
        <w:t xml:space="preserve">horizon relative to the baseline.</w:t>
      </w:r>
      <w:r>
        <w:t xml:space="preserve"> </w:t>
      </w:r>
      <w:r>
        <w:t xml:space="preserve">Administrative cost savings related to the ‘one in, one out’ approach*</w:t>
      </w:r>
      <w:r>
        <w:t xml:space="preserve"> </w:t>
      </w:r>
      <w:r>
        <w:t xml:space="preserve">-</w:t>
      </w:r>
      <w:r>
        <w:br/>
      </w:r>
      <w:r>
        <w:t xml:space="preserve">-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78</w:t>
      </w:r>
    </w:p>
    <w:p>
      <w:pPr>
        <w:pStyle w:val="Compact"/>
        <w:numPr>
          <w:ilvl w:val="0"/>
          <w:numId w:val="1008"/>
        </w:numPr>
      </w:pPr>
      <w:r>
        <w:t xml:space="preserve">Overview of costs – Preferred option (Policy option 4)</w:t>
      </w:r>
    </w:p>
    <w:p>
      <w:pPr>
        <w:pStyle w:val="FirstParagraph"/>
      </w:pPr>
      <w:r>
        <w:t xml:space="preserve">Citizens/Consumers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costs,</w:t>
      </w:r>
      <w:r>
        <w:t xml:space="preserve"> </w:t>
      </w:r>
      <w:r>
        <w:t xml:space="preserve">expressed as present value</w:t>
      </w:r>
      <w:r>
        <w:t xml:space="preserve"> </w:t>
      </w:r>
      <w:r>
        <w:t xml:space="preserve">over 2025-2050, relative to</w:t>
      </w:r>
      <w:r>
        <w:t xml:space="preserve"> </w:t>
      </w:r>
      <w:r>
        <w:t xml:space="preserve">the baseline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For transport</w:t>
      </w:r>
      <w:r>
        <w:t xml:space="preserve"> </w:t>
      </w:r>
      <w:r>
        <w:t xml:space="preserve">service</w:t>
      </w:r>
      <w:r>
        <w:t xml:space="preserve"> </w:t>
      </w:r>
      <w:r>
        <w:t xml:space="preserve">organisers</w:t>
      </w:r>
      <w:r>
        <w:t xml:space="preserve"> </w:t>
      </w:r>
      <w:r>
        <w:t xml:space="preserve">(TSO), transport</w:t>
      </w:r>
      <w:r>
        <w:t xml:space="preserve"> </w:t>
      </w:r>
      <w:r>
        <w:t xml:space="preserve">service users</w:t>
      </w:r>
      <w:r>
        <w:t xml:space="preserve"> </w:t>
      </w:r>
      <w:r>
        <w:t xml:space="preserve">(TSU) and hub</w:t>
      </w:r>
      <w:r>
        <w:t xml:space="preserve"> </w:t>
      </w:r>
      <w:r>
        <w:t xml:space="preserve">operators (HO):</w:t>
      </w:r>
      <w:r>
        <w:t xml:space="preserve"> </w:t>
      </w:r>
      <w:r>
        <w:t xml:space="preserve">EUR 0.9 billion</w:t>
      </w:r>
      <w:r>
        <w:t xml:space="preserve"> </w:t>
      </w:r>
      <w:r>
        <w:t xml:space="preserve">For other entities</w:t>
      </w:r>
      <w:r>
        <w:t xml:space="preserve"> </w:t>
      </w:r>
      <w:r>
        <w:t xml:space="preserve">involved in</w:t>
      </w:r>
      <w:r>
        <w:t xml:space="preserve"> </w:t>
      </w:r>
      <w:r>
        <w:t xml:space="preserve">accounting of</w:t>
      </w:r>
      <w:r>
        <w:t xml:space="preserve"> </w:t>
      </w:r>
      <w:r>
        <w:t xml:space="preserve">GHG emissions</w:t>
      </w:r>
      <w:r>
        <w:t xml:space="preserve"> </w:t>
      </w:r>
      <w:r>
        <w:t xml:space="preserve">of transport</w:t>
      </w:r>
      <w:r>
        <w:t xml:space="preserve"> </w:t>
      </w:r>
      <w:r>
        <w:t xml:space="preserve">services</w:t>
      </w:r>
      <w:r>
        <w:t xml:space="preserve"> </w:t>
      </w:r>
      <w:r>
        <w:t xml:space="preserve">(business sector</w:t>
      </w:r>
      <w:r>
        <w:t xml:space="preserve"> </w:t>
      </w:r>
      <w:r>
        <w:t xml:space="preserve">associations):</w:t>
      </w:r>
      <w:r>
        <w:t xml:space="preserve"> </w:t>
      </w:r>
      <w:r>
        <w:t xml:space="preserve">EUR 0.1 million</w:t>
      </w:r>
    </w:p>
    <w:p>
      <w:pPr>
        <w:pStyle w:val="BodyText"/>
      </w:pPr>
      <w:r>
        <w:t xml:space="preserve">For transport</w:t>
      </w:r>
      <w:r>
        <w:t xml:space="preserve"> </w:t>
      </w:r>
      <w:r>
        <w:t xml:space="preserve">service</w:t>
      </w:r>
      <w:r>
        <w:t xml:space="preserve"> </w:t>
      </w:r>
      <w:r>
        <w:t xml:space="preserve">organisers</w:t>
      </w:r>
      <w:r>
        <w:t xml:space="preserve"> </w:t>
      </w:r>
      <w:r>
        <w:t xml:space="preserve">(TSO),</w:t>
      </w:r>
      <w:r>
        <w:t xml:space="preserve"> </w:t>
      </w:r>
      <w:r>
        <w:t xml:space="preserve">transport</w:t>
      </w:r>
      <w:r>
        <w:t xml:space="preserve"> </w:t>
      </w:r>
      <w:r>
        <w:t xml:space="preserve">service users</w:t>
      </w:r>
      <w:r>
        <w:t xml:space="preserve"> </w:t>
      </w:r>
      <w:r>
        <w:t xml:space="preserve">(TSU) and hub</w:t>
      </w:r>
      <w:r>
        <w:t xml:space="preserve"> </w:t>
      </w:r>
      <w:r>
        <w:t xml:space="preserve">operators (HO):</w:t>
      </w:r>
      <w:r>
        <w:t xml:space="preserve"> </w:t>
      </w:r>
      <w:r>
        <w:t xml:space="preserve">EUR 0.6 billion</w:t>
      </w:r>
    </w:p>
    <w:p>
      <w:pPr>
        <w:pStyle w:val="BodyText"/>
      </w:pPr>
      <w:r>
        <w:t xml:space="preserve">For</w:t>
      </w:r>
      <w:r>
        <w:t xml:space="preserve"> </w:t>
      </w:r>
      <w:r>
        <w:t xml:space="preserve">national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authorities:</w:t>
      </w:r>
      <w:r>
        <w:t xml:space="preserve"> </w:t>
      </w:r>
      <w:r>
        <w:t xml:space="preserve">EUR 0.1</w:t>
      </w:r>
      <w:r>
        <w:t xml:space="preserve"> </w:t>
      </w:r>
      <w:r>
        <w:t xml:space="preserve">million</w:t>
      </w:r>
      <w:r>
        <w:t xml:space="preserve"> </w:t>
      </w:r>
      <w:r>
        <w:t xml:space="preserve">For EEA:</w:t>
      </w:r>
      <w:r>
        <w:t xml:space="preserve"> </w:t>
      </w:r>
      <w:r>
        <w:t xml:space="preserve">EUR 0.7</w:t>
      </w:r>
      <w:r>
        <w:t xml:space="preserve"> </w:t>
      </w:r>
      <w:r>
        <w:t xml:space="preserve">million</w:t>
      </w:r>
    </w:p>
    <w:p>
      <w:pPr>
        <w:pStyle w:val="BodyText"/>
      </w:pPr>
      <w:r>
        <w:t xml:space="preserve">For EEA: EUR 3.2</w:t>
      </w:r>
      <w:r>
        <w:t xml:space="preserve"> </w:t>
      </w:r>
      <w:r>
        <w:t xml:space="preserve">million</w:t>
      </w:r>
    </w:p>
    <w:p>
      <w:pPr>
        <w:pStyle w:val="BodyText"/>
      </w:pPr>
      <w:r>
        <w:t xml:space="preserve">Direct administrative costs,</w:t>
      </w:r>
      <w:r>
        <w:t xml:space="preserve"> </w:t>
      </w:r>
      <w:r>
        <w:t xml:space="preserve">expressed as present value</w:t>
      </w:r>
      <w:r>
        <w:t xml:space="preserve"> </w:t>
      </w:r>
      <w:r>
        <w:t xml:space="preserve">over 2025-2050, relative to</w:t>
      </w:r>
      <w:r>
        <w:t xml:space="preserve"> </w:t>
      </w:r>
      <w:r>
        <w:t xml:space="preserve">the baseline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For other</w:t>
      </w:r>
      <w:r>
        <w:t xml:space="preserve"> </w:t>
      </w:r>
      <w:r>
        <w:t xml:space="preserve">entities</w:t>
      </w:r>
      <w:r>
        <w:t xml:space="preserve"> </w:t>
      </w:r>
      <w:r>
        <w:t xml:space="preserve">involved in</w:t>
      </w:r>
      <w:r>
        <w:t xml:space="preserve"> </w:t>
      </w:r>
      <w:r>
        <w:t xml:space="preserve">accounting of</w:t>
      </w:r>
      <w:r>
        <w:t xml:space="preserve"> </w:t>
      </w:r>
      <w:r>
        <w:t xml:space="preserve">GHG emissions</w:t>
      </w:r>
      <w:r>
        <w:t xml:space="preserve"> </w:t>
      </w:r>
      <w:r>
        <w:t xml:space="preserve">of transport</w:t>
      </w:r>
      <w:r>
        <w:t xml:space="preserve"> </w:t>
      </w:r>
      <w:r>
        <w:t xml:space="preserve">services</w:t>
      </w:r>
      <w:r>
        <w:t xml:space="preserve"> </w:t>
      </w:r>
      <w:r>
        <w:t xml:space="preserve">(business sector</w:t>
      </w:r>
      <w:r>
        <w:t xml:space="preserve"> </w:t>
      </w:r>
      <w:r>
        <w:t xml:space="preserve">associations):</w:t>
      </w:r>
      <w:r>
        <w:t xml:space="preserve"> </w:t>
      </w:r>
      <w:r>
        <w:t xml:space="preserve">EUR 0.2</w:t>
      </w:r>
      <w:r>
        <w:t xml:space="preserve"> </w:t>
      </w:r>
      <w:r>
        <w:t xml:space="preserve">million</w:t>
      </w:r>
      <w:r>
        <w:t xml:space="preserve"> </w:t>
      </w:r>
      <w:r>
        <w:t xml:space="preserve">For other</w:t>
      </w:r>
      <w:r>
        <w:t xml:space="preserve"> </w:t>
      </w:r>
      <w:r>
        <w:t xml:space="preserve">entities</w:t>
      </w:r>
      <w:r>
        <w:t xml:space="preserve"> </w:t>
      </w:r>
      <w:r>
        <w:t xml:space="preserve">involved in</w:t>
      </w:r>
      <w:r>
        <w:t xml:space="preserve"> </w:t>
      </w:r>
      <w:r>
        <w:t xml:space="preserve">accounting of</w:t>
      </w:r>
      <w:r>
        <w:t xml:space="preserve"> </w:t>
      </w:r>
      <w:r>
        <w:t xml:space="preserve">GHG emissions</w:t>
      </w:r>
      <w:r>
        <w:t xml:space="preserve"> </w:t>
      </w:r>
      <w:r>
        <w:t xml:space="preserve">of transport</w:t>
      </w:r>
      <w:r>
        <w:t xml:space="preserve"> </w:t>
      </w:r>
      <w:r>
        <w:t xml:space="preserve">services</w:t>
      </w:r>
      <w:r>
        <w:t xml:space="preserve"> </w:t>
      </w:r>
      <w:r>
        <w:t xml:space="preserve">(calculation</w:t>
      </w:r>
      <w:r>
        <w:t xml:space="preserve"> </w:t>
      </w:r>
      <w:r>
        <w:t xml:space="preserve">tool</w:t>
      </w:r>
      <w:r>
        <w:t xml:space="preserve"> </w:t>
      </w:r>
      <w:r>
        <w:t xml:space="preserve">developers):</w:t>
      </w:r>
      <w:r>
        <w:t xml:space="preserve"> </w:t>
      </w:r>
      <w:r>
        <w:t xml:space="preserve">EUR 0.3</w:t>
      </w:r>
      <w:r>
        <w:t xml:space="preserve"> </w:t>
      </w:r>
      <w:r>
        <w:t xml:space="preserve">million</w:t>
      </w:r>
      <w:r>
        <w:t xml:space="preserve"> </w:t>
      </w:r>
      <w:r>
        <w:t xml:space="preserve">For</w:t>
      </w:r>
      <w:r>
        <w:t xml:space="preserve"> </w:t>
      </w:r>
      <w:r>
        <w:t xml:space="preserve">National</w:t>
      </w:r>
      <w:r>
        <w:t xml:space="preserve"> </w:t>
      </w:r>
      <w:r>
        <w:t xml:space="preserve">Accreditati</w:t>
      </w:r>
      <w:r>
        <w:t xml:space="preserve"> </w:t>
      </w:r>
      <w:r>
        <w:t xml:space="preserve">on Bodies</w:t>
      </w:r>
      <w:r>
        <w:t xml:space="preserve"> </w:t>
      </w:r>
      <w:r>
        <w:t xml:space="preserve">(NABs):</w:t>
      </w:r>
      <w:r>
        <w:t xml:space="preserve"> </w:t>
      </w:r>
      <w:r>
        <w:t xml:space="preserve">EUR 0.1</w:t>
      </w:r>
      <w:r>
        <w:t xml:space="preserve"> </w:t>
      </w:r>
      <w:r>
        <w:t xml:space="preserve">million</w:t>
      </w:r>
      <w:r>
        <w:br/>
      </w:r>
      <w:r>
        <w:t xml:space="preserve">-</w:t>
      </w:r>
    </w:p>
    <w:p>
      <w:pPr>
        <w:pStyle w:val="BodyText"/>
      </w:pPr>
      <w:r>
        <w:t xml:space="preserve">79</w:t>
      </w:r>
    </w:p>
    <w:p>
      <w:pPr>
        <w:pStyle w:val="Compact"/>
        <w:numPr>
          <w:ilvl w:val="0"/>
          <w:numId w:val="1009"/>
        </w:numPr>
      </w:pPr>
      <w:r>
        <w:t xml:space="preserve">Overview of costs – Preferred option (Policy option 4)</w:t>
      </w:r>
    </w:p>
    <w:p>
      <w:pPr>
        <w:pStyle w:val="FirstParagraph"/>
      </w:pPr>
      <w:r>
        <w:t xml:space="preserve">Citizens/Consumers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Costs related to the ‘one in, one out’ approach</w:t>
      </w:r>
      <w:r>
        <w:t xml:space="preserve"> </w:t>
      </w:r>
      <w:r>
        <w:t xml:space="preserve">Total</w:t>
      </w:r>
      <w:r>
        <w:br/>
      </w:r>
      <w:r>
        <w:t xml:space="preserve">Direct</w:t>
      </w:r>
      <w:r>
        <w:t xml:space="preserve"> </w:t>
      </w:r>
      <w:r>
        <w:t xml:space="preserve">adjustment costs,</w:t>
      </w:r>
      <w:r>
        <w:t xml:space="preserve"> </w:t>
      </w:r>
      <w:r>
        <w:t xml:space="preserve">expressed</w:t>
      </w:r>
      <w:r>
        <w:t xml:space="preserve"> </w:t>
      </w:r>
      <w:r>
        <w:t xml:space="preserve">as</w:t>
      </w:r>
      <w:r>
        <w:t xml:space="preserve"> </w:t>
      </w:r>
      <w:r>
        <w:t xml:space="preserve">present</w:t>
      </w:r>
      <w:r>
        <w:t xml:space="preserve"> </w:t>
      </w:r>
      <w:r>
        <w:t xml:space="preserve">value</w:t>
      </w:r>
      <w:r>
        <w:t xml:space="preserve"> </w:t>
      </w:r>
      <w:r>
        <w:t xml:space="preserve">over 2025-2050,</w:t>
      </w:r>
      <w:r>
        <w:t xml:space="preserve"> </w:t>
      </w:r>
      <w:r>
        <w:t xml:space="preserve">relative to the</w:t>
      </w:r>
      <w:r>
        <w:t xml:space="preserve"> </w:t>
      </w:r>
      <w:r>
        <w:t xml:space="preserve">baseline</w:t>
      </w:r>
      <w:r>
        <w:br/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For transport</w:t>
      </w:r>
      <w:r>
        <w:t xml:space="preserve"> </w:t>
      </w:r>
      <w:r>
        <w:t xml:space="preserve">service</w:t>
      </w:r>
      <w:r>
        <w:t xml:space="preserve"> </w:t>
      </w:r>
      <w:r>
        <w:t xml:space="preserve">organisers</w:t>
      </w:r>
      <w:r>
        <w:t xml:space="preserve"> </w:t>
      </w:r>
      <w:r>
        <w:t xml:space="preserve">(TSO), transport</w:t>
      </w:r>
      <w:r>
        <w:t xml:space="preserve"> </w:t>
      </w:r>
      <w:r>
        <w:t xml:space="preserve">service users</w:t>
      </w:r>
      <w:r>
        <w:t xml:space="preserve"> </w:t>
      </w:r>
      <w:r>
        <w:t xml:space="preserve">(TSU) and hub</w:t>
      </w:r>
      <w:r>
        <w:t xml:space="preserve"> </w:t>
      </w:r>
      <w:r>
        <w:t xml:space="preserve">operators (HO):</w:t>
      </w:r>
      <w:r>
        <w:t xml:space="preserve"> </w:t>
      </w:r>
      <w:r>
        <w:t xml:space="preserve">EUR 0.9 billion</w:t>
      </w:r>
      <w:r>
        <w:t xml:space="preserve"> </w:t>
      </w:r>
      <w:r>
        <w:t xml:space="preserve">For other entities</w:t>
      </w:r>
      <w:r>
        <w:t xml:space="preserve"> </w:t>
      </w:r>
      <w:r>
        <w:t xml:space="preserve">involved in</w:t>
      </w:r>
      <w:r>
        <w:t xml:space="preserve"> </w:t>
      </w:r>
      <w:r>
        <w:t xml:space="preserve">accounting of</w:t>
      </w:r>
      <w:r>
        <w:t xml:space="preserve"> </w:t>
      </w:r>
      <w:r>
        <w:t xml:space="preserve">GHG emissions</w:t>
      </w:r>
      <w:r>
        <w:t xml:space="preserve"> </w:t>
      </w:r>
      <w:r>
        <w:t xml:space="preserve">of transport</w:t>
      </w:r>
      <w:r>
        <w:t xml:space="preserve"> </w:t>
      </w:r>
      <w:r>
        <w:t xml:space="preserve">services</w:t>
      </w:r>
      <w:r>
        <w:t xml:space="preserve"> </w:t>
      </w:r>
      <w:r>
        <w:t xml:space="preserve">(business sector</w:t>
      </w:r>
      <w:r>
        <w:t xml:space="preserve"> </w:t>
      </w:r>
      <w:r>
        <w:t xml:space="preserve">associations):</w:t>
      </w:r>
      <w:r>
        <w:t xml:space="preserve"> </w:t>
      </w:r>
      <w:r>
        <w:t xml:space="preserve">EUR 0.1 million</w:t>
      </w:r>
    </w:p>
    <w:p>
      <w:pPr>
        <w:pStyle w:val="BodyText"/>
      </w:pPr>
      <w:r>
        <w:t xml:space="preserve">For transport</w:t>
      </w:r>
      <w:r>
        <w:t xml:space="preserve"> </w:t>
      </w:r>
      <w:r>
        <w:t xml:space="preserve">service</w:t>
      </w:r>
      <w:r>
        <w:t xml:space="preserve"> </w:t>
      </w:r>
      <w:r>
        <w:t xml:space="preserve">organisers</w:t>
      </w:r>
      <w:r>
        <w:t xml:space="preserve"> </w:t>
      </w:r>
      <w:r>
        <w:t xml:space="preserve">(TSO),</w:t>
      </w:r>
      <w:r>
        <w:t xml:space="preserve"> </w:t>
      </w:r>
      <w:r>
        <w:t xml:space="preserve">transport</w:t>
      </w:r>
      <w:r>
        <w:t xml:space="preserve"> </w:t>
      </w:r>
      <w:r>
        <w:t xml:space="preserve">service users</w:t>
      </w:r>
      <w:r>
        <w:t xml:space="preserve"> </w:t>
      </w:r>
      <w:r>
        <w:t xml:space="preserve">(TSU) and hub</w:t>
      </w:r>
      <w:r>
        <w:t xml:space="preserve"> </w:t>
      </w:r>
      <w:r>
        <w:t xml:space="preserve">operators (HO):</w:t>
      </w:r>
      <w:r>
        <w:t xml:space="preserve"> </w:t>
      </w:r>
      <w:r>
        <w:t xml:space="preserve">EUR 0.6 billion</w:t>
      </w:r>
    </w:p>
    <w:p>
      <w:pPr>
        <w:pStyle w:val="BodyText"/>
      </w:pPr>
      <w:r>
        <w:t xml:space="preserve">Indirect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costs (for</w:t>
      </w:r>
      <w:r>
        <w:t xml:space="preserve"> </w:t>
      </w:r>
      <w:r>
        <w:t xml:space="preserve">offsetting),</w:t>
      </w:r>
      <w:r>
        <w:t xml:space="preserve"> </w:t>
      </w:r>
      <w:r>
        <w:t xml:space="preserve">average per</w:t>
      </w:r>
      <w:r>
        <w:t xml:space="preserve"> </w:t>
      </w:r>
      <w:r>
        <w:t xml:space="preserve">year relative to</w:t>
      </w:r>
      <w:r>
        <w:t xml:space="preserve"> </w:t>
      </w:r>
      <w:r>
        <w:t xml:space="preserve">the baseline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For business</w:t>
      </w:r>
      <w:r>
        <w:t xml:space="preserve"> </w:t>
      </w:r>
      <w:r>
        <w:t xml:space="preserve">sector</w:t>
      </w:r>
      <w:r>
        <w:t xml:space="preserve"> </w:t>
      </w:r>
      <w:r>
        <w:t xml:space="preserve">associations</w:t>
      </w:r>
      <w:r>
        <w:t xml:space="preserve"> </w:t>
      </w:r>
      <w:r>
        <w:t xml:space="preserve">and calculation</w:t>
      </w:r>
      <w:r>
        <w:t xml:space="preserve"> </w:t>
      </w:r>
      <w:r>
        <w:t xml:space="preserve">tools</w:t>
      </w:r>
      <w:r>
        <w:t xml:space="preserve"> </w:t>
      </w:r>
      <w:r>
        <w:t xml:space="preserve">developers:</w:t>
      </w:r>
      <w:r>
        <w:t xml:space="preserve"> </w:t>
      </w:r>
      <w:r>
        <w:t xml:space="preserve">EUR 26,419</w:t>
      </w:r>
      <w:r>
        <w:t xml:space="preserve"> </w:t>
      </w:r>
      <w:r>
        <w:t xml:space="preserve">per year on</w:t>
      </w:r>
      <w:r>
        <w:t xml:space="preserve"> </w:t>
      </w:r>
      <w:r>
        <w:t xml:space="preserve">average,</w:t>
      </w:r>
      <w:r>
        <w:t xml:space="preserve"> </w:t>
      </w:r>
      <w:r>
        <w:t xml:space="preserve">relative to the</w:t>
      </w:r>
      <w:r>
        <w:t xml:space="preserve"> </w:t>
      </w:r>
      <w:r>
        <w:t xml:space="preserve">baseline</w:t>
      </w:r>
    </w:p>
    <w:p>
      <w:pPr>
        <w:pStyle w:val="BodyText"/>
      </w:pPr>
      <w:r>
        <w:t xml:space="preserve">RELEVANT SUSTAINABLE DEVELOPMENT GOALS</w:t>
      </w:r>
      <w:r>
        <w:t xml:space="preserve"> </w:t>
      </w:r>
      <w:r>
        <w:t xml:space="preserve">III. Overview of relevant Sustainable Development Goals – Preferred Option (Policy option 4)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</w:p>
    <w:p>
      <w:pPr>
        <w:pStyle w:val="BodyText"/>
      </w:pPr>
      <w:r>
        <w:t xml:space="preserve">80</w:t>
      </w:r>
    </w:p>
    <w:p>
      <w:pPr>
        <w:pStyle w:val="BodyText"/>
      </w:pPr>
      <w:r>
        <w:t xml:space="preserve">SDG No 13 - Take urgent</w:t>
      </w:r>
      <w:r>
        <w:t xml:space="preserve"> </w:t>
      </w:r>
      <w:r>
        <w:t xml:space="preserve">action to combat climate</w:t>
      </w:r>
      <w:r>
        <w:t xml:space="preserve"> </w:t>
      </w:r>
      <w:r>
        <w:t xml:space="preserve">change and its impacts</w:t>
      </w:r>
      <w:r>
        <w:t xml:space="preserve"> </w:t>
      </w:r>
      <w:r>
        <w:t xml:space="preserve">431.5. thousand tonnes of GHG saved in 2030 and</w:t>
      </w:r>
      <w:r>
        <w:t xml:space="preserve"> </w:t>
      </w:r>
      <w:r>
        <w:t xml:space="preserve">27.3 thousand tonnes of GHG saved in 2050</w:t>
      </w:r>
      <w:r>
        <w:t xml:space="preserve"> </w:t>
      </w:r>
      <w:r>
        <w:t xml:space="preserve">The reduction in the GHG emissions is</w:t>
      </w:r>
      <w:r>
        <w:t xml:space="preserve"> </w:t>
      </w:r>
      <w:r>
        <w:t xml:space="preserve">mainly driven by the behavioural changes</w:t>
      </w:r>
      <w:r>
        <w:t xml:space="preserve"> </w:t>
      </w:r>
      <w:r>
        <w:t xml:space="preserve">towards higher use of more sustainable</w:t>
      </w:r>
      <w:r>
        <w:t xml:space="preserve"> </w:t>
      </w:r>
      <w:r>
        <w:t xml:space="preserve">transport options. In cumulative terms, over</w:t>
      </w:r>
      <w:r>
        <w:t xml:space="preserve"> </w:t>
      </w:r>
      <w:r>
        <w:t xml:space="preserve">2025-2050, the preferred policy option is</w:t>
      </w:r>
      <w:r>
        <w:t xml:space="preserve"> </w:t>
      </w:r>
      <w:r>
        <w:t xml:space="preserve">expected to result in 5.6 million tonnes of</w:t>
      </w:r>
      <w:r>
        <w:t xml:space="preserve"> </w:t>
      </w:r>
      <w:r>
        <w:t xml:space="preserve">GHG emissions saved.</w:t>
      </w:r>
      <w:r>
        <w:t xml:space="preserve"> </w:t>
      </w:r>
      <w:r>
        <w:t xml:space="preserve">SDG No 7 - Ensure access to</w:t>
      </w:r>
      <w:r>
        <w:t xml:space="preserve"> </w:t>
      </w:r>
      <w:r>
        <w:t xml:space="preserve">affordable,</w:t>
      </w:r>
      <w:r>
        <w:t xml:space="preserve"> </w:t>
      </w:r>
      <w:r>
        <w:t xml:space="preserve">reliable,</w:t>
      </w:r>
      <w:r>
        <w:t xml:space="preserve"> </w:t>
      </w:r>
      <w:r>
        <w:t xml:space="preserve">sustainable</w:t>
      </w:r>
      <w:r>
        <w:t xml:space="preserve"> </w:t>
      </w:r>
      <w:r>
        <w:t xml:space="preserve">and</w:t>
      </w:r>
      <w:r>
        <w:t xml:space="preserve"> </w:t>
      </w:r>
      <w:r>
        <w:t xml:space="preserve">modern</w:t>
      </w:r>
      <w:r>
        <w:t xml:space="preserve"> </w:t>
      </w:r>
      <w:r>
        <w:t xml:space="preserve">energy for all</w:t>
      </w:r>
      <w:r>
        <w:t xml:space="preserve"> </w:t>
      </w:r>
      <w:r>
        <w:t xml:space="preserve">Better and comparable data will provide the base</w:t>
      </w:r>
      <w:r>
        <w:t xml:space="preserve"> </w:t>
      </w:r>
      <w:r>
        <w:t xml:space="preserve">for a more informed decisions making in</w:t>
      </w:r>
      <w:r>
        <w:t xml:space="preserve"> </w:t>
      </w:r>
      <w:r>
        <w:t xml:space="preserve">passengers choices and freight transport.</w:t>
      </w:r>
      <w:r>
        <w:br/>
      </w:r>
      <w:r>
        <w:t xml:space="preserve">The WTW GHG emission will consider the</w:t>
      </w:r>
      <w:r>
        <w:t xml:space="preserve"> </w:t>
      </w:r>
      <w:r>
        <w:t xml:space="preserve">production,</w:t>
      </w:r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energy/fuels for transport services, making</w:t>
      </w:r>
      <w:r>
        <w:t xml:space="preserve"> </w:t>
      </w:r>
      <w:r>
        <w:t xml:space="preserve">different energy sources comparable, even if</w:t>
      </w:r>
      <w:r>
        <w:t xml:space="preserve"> </w:t>
      </w:r>
      <w:r>
        <w:t xml:space="preserve">used for the same type of transport.</w:t>
      </w:r>
      <w:r>
        <w:t xml:space="preserve"> </w:t>
      </w:r>
      <w:r>
        <w:t xml:space="preserve">SDG</w:t>
      </w:r>
      <w:r>
        <w:t xml:space="preserve"> </w:t>
      </w:r>
      <w:r>
        <w:t xml:space="preserve">No</w:t>
      </w:r>
      <w:r>
        <w:t xml:space="preserve"> </w:t>
      </w:r>
      <w:r>
        <w:t xml:space="preserve">12</w:t>
      </w:r>
      <w:r>
        <w:t xml:space="preserve"> </w:t>
      </w:r>
      <w:r>
        <w:t xml:space="preserve">-</w:t>
      </w:r>
      <w:r>
        <w:t xml:space="preserve"> </w:t>
      </w:r>
      <w:r>
        <w:t xml:space="preserve">Ensure</w:t>
      </w:r>
      <w:r>
        <w:t xml:space="preserve"> </w:t>
      </w:r>
      <w:r>
        <w:t xml:space="preserve">sustainable consumption and</w:t>
      </w:r>
      <w:r>
        <w:t xml:space="preserve"> </w:t>
      </w:r>
      <w:r>
        <w:t xml:space="preserve">production patterns</w:t>
      </w:r>
      <w:r>
        <w:t xml:space="preserve"> </w:t>
      </w:r>
      <w:r>
        <w:t xml:space="preserve">EUR 2.4 billion of fuel saved by 2050, of which</w:t>
      </w:r>
      <w:r>
        <w:t xml:space="preserve"> </w:t>
      </w:r>
      <w:r>
        <w:t xml:space="preserve">EUR 2.3 billion for operators and EUR 108</w:t>
      </w:r>
      <w:r>
        <w:t xml:space="preserve"> </w:t>
      </w:r>
      <w:r>
        <w:t xml:space="preserve">million for consumers.</w:t>
      </w:r>
      <w:r>
        <w:t xml:space="preserve"> </w:t>
      </w:r>
      <w:r>
        <w:t xml:space="preserve">The availability of better quality and</w:t>
      </w:r>
      <w:r>
        <w:t xml:space="preserve"> </w:t>
      </w:r>
      <w:r>
        <w:t xml:space="preserve">comparable</w:t>
      </w:r>
      <w:r>
        <w:t xml:space="preserve"> </w:t>
      </w:r>
      <w:r>
        <w:t xml:space="preserve">data</w:t>
      </w:r>
      <w:r>
        <w:t xml:space="preserve"> </w:t>
      </w:r>
      <w:r>
        <w:t xml:space="preserve">will</w:t>
      </w:r>
      <w:r>
        <w:t xml:space="preserve"> </w:t>
      </w:r>
      <w:r>
        <w:t xml:space="preserve">induce</w:t>
      </w:r>
      <w:r>
        <w:t xml:space="preserve"> </w:t>
      </w:r>
      <w:r>
        <w:t xml:space="preserve">saving</w:t>
      </w:r>
      <w:r>
        <w:t xml:space="preserve"> </w:t>
      </w:r>
      <w:r>
        <w:t xml:space="preserve">behaviours towards greener mobility and</w:t>
      </w:r>
      <w:r>
        <w:t xml:space="preserve"> </w:t>
      </w:r>
      <w:r>
        <w:t xml:space="preserve">transport choices.</w:t>
      </w:r>
    </w:p>
    <w:p>
      <w:pPr>
        <w:pStyle w:val="BodyText"/>
      </w:pPr>
      <w:r>
        <w:t xml:space="preserve">ANNEX 4: ANALYTICAL METHODS</w:t>
      </w:r>
      <w:r>
        <w:t xml:space="preserve"> </w:t>
      </w:r>
      <w:r>
        <w:t xml:space="preserve">1. Description of the analytical methods used</w:t>
      </w:r>
      <w:r>
        <w:br/>
      </w:r>
      <w:r>
        <w:t xml:space="preserve">The main model used for developing the baseline scenario for this initiative is the</w:t>
      </w:r>
      <w:r>
        <w:t xml:space="preserve"> </w:t>
      </w:r>
      <w:r>
        <w:t xml:space="preserve">PRIMES-TREMOVE transport model by E3Modelling, a specific module of the PRIMES models.</w:t>
      </w:r>
      <w:r>
        <w:t xml:space="preserve"> </w:t>
      </w:r>
      <w:r>
        <w:t xml:space="preserve">The model has a successful record of use in the Commission’s energy, transport and climate policy</w:t>
      </w:r>
      <w:r>
        <w:t xml:space="preserve"> </w:t>
      </w:r>
      <w:r>
        <w:t xml:space="preserve">assessments. In particular, it has been used for the impact assessments underpinning the “Fit for 55”</w:t>
      </w:r>
      <w:r>
        <w:t xml:space="preserve"> </w:t>
      </w:r>
      <w:r>
        <w:t xml:space="preserve">package168, the impact assessments accompanying the 2030 Climate Target Plan169 and the Staff</w:t>
      </w:r>
      <w:r>
        <w:t xml:space="preserve"> </w:t>
      </w:r>
      <w:r>
        <w:t xml:space="preserve">Working Document accompanying the Sustainable and Smart Mobility Strategy170, the Commission’s</w:t>
      </w:r>
      <w:r>
        <w:t xml:space="preserve"> </w:t>
      </w:r>
      <w:r>
        <w:t xml:space="preserve">proposal for a Long Term Strategy171 as well as for the 2020 and 2030 EU’s climate and energy policy</w:t>
      </w:r>
      <w:r>
        <w:t xml:space="preserve"> </w:t>
      </w:r>
      <w:r>
        <w:t xml:space="preserve">framework. Building on the PRIMES-TREMOVE model results, the baseline projections for the</w:t>
      </w:r>
      <w:r>
        <w:t xml:space="preserve"> </w:t>
      </w:r>
      <w:r>
        <w:t xml:space="preserve">number of users of GHG quantification tools has been developed by CE Delft et al. in the context of</w:t>
      </w:r>
      <w:r>
        <w:t xml:space="preserve"> </w:t>
      </w:r>
      <w:r>
        <w:t xml:space="preserve">the impact assessment support study172.</w:t>
      </w:r>
      <w:r>
        <w:br/>
      </w:r>
      <w:r>
        <w:t xml:space="preserve">For the assessment of the impacts of the policy options, an Excel-based tool has been developed by CE</w:t>
      </w:r>
      <w:r>
        <w:t xml:space="preserve"> </w:t>
      </w:r>
      <w:r>
        <w:t xml:space="preserve">Delft et al. in the context of the impact assessment suport study. The proposed measures are assumed</w:t>
      </w:r>
      <w:r>
        <w:t xml:space="preserve"> </w:t>
      </w:r>
      <w:r>
        <w:t xml:space="preserve">to be implemented from 2025 onwards, so that the assessment has been undertaken for the 2025-2050</w:t>
      </w:r>
    </w:p>
    <w:p>
      <w:pPr>
        <w:pStyle w:val="BodyText"/>
      </w:pPr>
      <w:r>
        <w:t xml:space="preserve">168 Delivering the European Green Deal | European Commission (europa.eu)</w:t>
      </w:r>
      <w:r>
        <w:t xml:space="preserve"> </w:t>
      </w:r>
      <w:r>
        <w:t xml:space="preserve">169 SWD(2020)176 final.</w:t>
      </w:r>
      <w:r>
        <w:t xml:space="preserve"> </w:t>
      </w:r>
      <w:r>
        <w:t xml:space="preserve">170 EUR-Lex - 52020SC0331 - EN - EUR-Lex (europa.eu)</w:t>
      </w:r>
      <w:r>
        <w:br/>
      </w:r>
      <w:r>
        <w:t xml:space="preserve">171 Source: 2050 long-term strategy (europa.eu)</w:t>
      </w:r>
      <w:r>
        <w:br/>
      </w:r>
      <w:r>
        <w:t xml:space="preserve">172 Ecorys and CE Delft (2023), Impact assessment support study.</w:t>
      </w:r>
    </w:p>
    <w:p>
      <w:pPr>
        <w:pStyle w:val="BodyText"/>
      </w:pPr>
      <w:r>
        <w:t xml:space="preserve">81</w:t>
      </w:r>
    </w:p>
    <w:p>
      <w:pPr>
        <w:pStyle w:val="BodyText"/>
      </w:pPr>
      <w:r>
        <w:t xml:space="preserve">period and refers to EU27. Costs and benefits are expressed as present value over the 2022-2050 period,</w:t>
      </w:r>
      <w:r>
        <w:t xml:space="preserve"> </w:t>
      </w:r>
      <w:r>
        <w:t xml:space="preserve">using a 3% discount rate.</w:t>
      </w:r>
      <w:r>
        <w:t xml:space="preserve"> </w:t>
      </w:r>
      <w:r>
        <w:t xml:space="preserve">PRIMES-TREMOVE model</w:t>
      </w:r>
      <w:r>
        <w:br/>
      </w:r>
      <w:r>
        <w:t xml:space="preserve">The PRIMES-TREMOVE transport model projects the evolution of demand for passengers and freight</w:t>
      </w:r>
      <w:r>
        <w:t xml:space="preserve"> </w:t>
      </w:r>
      <w:r>
        <w:t xml:space="preserve">transport, by transport mode, and transport vehicle/technology, following a formulation based on</w:t>
      </w:r>
      <w:r>
        <w:t xml:space="preserve"> </w:t>
      </w:r>
      <w:r>
        <w:t xml:space="preserve">microeconomic foundation of decisions of multiple actors. Operation, investment and emission costs,</w:t>
      </w:r>
      <w:r>
        <w:t xml:space="preserve"> </w:t>
      </w:r>
      <w:r>
        <w:t xml:space="preserve">various policy measures, utility factors and congestion are among the drivers that influence the</w:t>
      </w:r>
      <w:r>
        <w:t xml:space="preserve"> </w:t>
      </w:r>
      <w:r>
        <w:t xml:space="preserve">projections of the model. The projections of activity, equipment (fleet), usage of equipment, energy</w:t>
      </w:r>
      <w:r>
        <w:t xml:space="preserve"> </w:t>
      </w:r>
      <w:r>
        <w:t xml:space="preserve">consumption and emissions (and other externalities) constitute the set of model outputs.</w:t>
      </w:r>
      <w:r>
        <w:br/>
      </w:r>
      <w:r>
        <w:t xml:space="preserve">The PRIMES-TREMOVE transport model can therefore provide the quantitative analysis for the</w:t>
      </w:r>
      <w:r>
        <w:t xml:space="preserve"> </w:t>
      </w:r>
      <w:r>
        <w:t xml:space="preserve">transport sector in the EU, candidate and neighbouring countries covering activity, equipment, energy</w:t>
      </w:r>
      <w:r>
        <w:t xml:space="preserve"> </w:t>
      </w:r>
      <w:r>
        <w:t xml:space="preserve">and emissions. The model accounts for each country separately which means that the detailed</w:t>
      </w:r>
      <w:r>
        <w:t xml:space="preserve"> </w:t>
      </w:r>
      <w:r>
        <w:t xml:space="preserve">long-term outlooks are available both for each country and in aggregate forms (e.g. EU level).</w:t>
      </w:r>
      <w:r>
        <w:t xml:space="preserve"> </w:t>
      </w:r>
      <w:r>
        <w:t xml:space="preserve">In the transport field, PRIMES-TREMOVE is suitable for modelling soft measures (e.g. eco-driving,</w:t>
      </w:r>
      <w:r>
        <w:t xml:space="preserve"> </w:t>
      </w:r>
      <w:r>
        <w:t xml:space="preserve">labelling); economic measures (e.g. subsidies and taxes on fuels, vehicles, emissions; ETS for transport</w:t>
      </w:r>
      <w:r>
        <w:t xml:space="preserve"> </w:t>
      </w:r>
      <w:r>
        <w:t xml:space="preserve">when linked with PRIMES; pricing of congestion and other externalities such as air pollution, accidents</w:t>
      </w:r>
      <w:r>
        <w:t xml:space="preserve"> </w:t>
      </w:r>
      <w:r>
        <w:t xml:space="preserve">and noise; measures supporting R&amp;D); regulatory measures (e.g. CO2 emission performance standards</w:t>
      </w:r>
      <w:r>
        <w:t xml:space="preserve"> </w:t>
      </w:r>
      <w:r>
        <w:t xml:space="preserve">for new light duty vehicles and heavy duty vehicles; EURO standards on road transport vehicles;</w:t>
      </w:r>
      <w:r>
        <w:t xml:space="preserve"> </w:t>
      </w:r>
      <w:r>
        <w:t xml:space="preserve">technology standards for non-road transport technologies, deployment of Intelligent Transport</w:t>
      </w:r>
      <w:r>
        <w:t xml:space="preserve"> </w:t>
      </w:r>
      <w:r>
        <w:t xml:space="preserve">Systems) and infrastructure policies for alternative fuels (e.g. deployment of refuelling/recharging</w:t>
      </w:r>
      <w:r>
        <w:t xml:space="preserve"> </w:t>
      </w:r>
      <w:r>
        <w:t xml:space="preserve">infrastructure for electricity, hydrogen, LNG, CNG). Used as a module that contributes to the PRIMES</w:t>
      </w:r>
      <w:r>
        <w:t xml:space="preserve"> </w:t>
      </w:r>
      <w:r>
        <w:t xml:space="preserve">energy system model, PRIMES-TREMOVE can show how policies and trends in the field of transport</w:t>
      </w:r>
      <w:r>
        <w:t xml:space="preserve"> </w:t>
      </w:r>
      <w:r>
        <w:t xml:space="preserve">contribute to economy-wide trends in energy use and emissions. Using data disaggregated per Member</w:t>
      </w:r>
      <w:r>
        <w:t xml:space="preserve"> </w:t>
      </w:r>
      <w:r>
        <w:t xml:space="preserve">State, the model can show differentiated trends across Member States.</w:t>
      </w:r>
      <w:r>
        <w:br/>
      </w:r>
      <w:r>
        <w:t xml:space="preserve">The PRIMES-TREMOVE has been developed and is maintained by E3Modelling, based on, but</w:t>
      </w:r>
      <w:r>
        <w:t xml:space="preserve"> </w:t>
      </w:r>
      <w:r>
        <w:t xml:space="preserve">extending features of, the open source TREMOVE model developed by the TREMOVE173 modelling</w:t>
      </w:r>
      <w:r>
        <w:t xml:space="preserve"> </w:t>
      </w:r>
      <w:r>
        <w:t xml:space="preserve">community. Part of the model (e.g. the utility nested tree) was built following the TREMOVE</w:t>
      </w:r>
      <w:r>
        <w:t xml:space="preserve"> </w:t>
      </w:r>
      <w:r>
        <w:t xml:space="preserve">model.174 Other parts, like the component on fuel consumption and emissions, follow the COPERT</w:t>
      </w:r>
      <w:r>
        <w:t xml:space="preserve"> </w:t>
      </w:r>
      <w:r>
        <w:t xml:space="preserve">model.</w:t>
      </w:r>
      <w:r>
        <w:t xml:space="preserve"> </w:t>
      </w:r>
      <w:r>
        <w:t xml:space="preserve">Data inputs</w:t>
      </w:r>
    </w:p>
    <w:p>
      <w:pPr>
        <w:pStyle w:val="BodyText"/>
      </w:pPr>
      <w:r>
        <w:t xml:space="preserve">173 Source: https://www.tmleuven.be/en/navigation/TREMOVE</w:t>
      </w:r>
      <w:r>
        <w:br/>
      </w:r>
      <w:r>
        <w:t xml:space="preserve">174 Several model enhancements were made compared to the standard TREMOVE model, as for example: for the</w:t>
      </w:r>
      <w:r>
        <w:t xml:space="preserve"> </w:t>
      </w:r>
      <w:r>
        <w:t xml:space="preserve">number of vintages (allowing representation of the choice of second-hand cars); for the technology categories which</w:t>
      </w:r>
      <w:r>
        <w:t xml:space="preserve"> </w:t>
      </w:r>
      <w:r>
        <w:t xml:space="preserve">include vehicle types using electricity from the grid and fuel cells. The model also incorporates additional fuel types,</w:t>
      </w:r>
      <w:r>
        <w:t xml:space="preserve"> </w:t>
      </w:r>
      <w:r>
        <w:t xml:space="preserve">such as biofuels (when they differ from standard fossil fuel technologies), LPG, LNG, hydrogen and e-fuels. In</w:t>
      </w:r>
      <w:r>
        <w:t xml:space="preserve"> </w:t>
      </w:r>
      <w:r>
        <w:t xml:space="preserve">addition, representation of infrastructure for refuelling and recharging are among the model refinements, influencing</w:t>
      </w:r>
      <w:r>
        <w:t xml:space="preserve"> </w:t>
      </w:r>
      <w:r>
        <w:t xml:space="preserve">fuel choices. A major model enhancement concerns the inclusion of heterogeneity in the distance of stylised trips;</w:t>
      </w:r>
      <w:r>
        <w:t xml:space="preserve"> </w:t>
      </w:r>
      <w:r>
        <w:t xml:space="preserve">the model considers that the trip distances follow a distribution function with different distances and frequencies.</w:t>
      </w:r>
      <w:r>
        <w:t xml:space="preserve"> </w:t>
      </w:r>
      <w:r>
        <w:t xml:space="preserve">The inclusion of heterogeneity was found to be of significant influence in the choice of vehicle-fuels especially for</w:t>
      </w:r>
      <w:r>
        <w:t xml:space="preserve"> </w:t>
      </w:r>
      <w:r>
        <w:t xml:space="preserve">vehicles-fuels with range limitations.</w:t>
      </w:r>
    </w:p>
    <w:p>
      <w:pPr>
        <w:pStyle w:val="BodyText"/>
      </w:pPr>
      <w:r>
        <w:t xml:space="preserve">82</w:t>
      </w:r>
    </w:p>
    <w:p>
      <w:pPr>
        <w:pStyle w:val="BodyText"/>
      </w:pPr>
      <w:r>
        <w:t xml:space="preserve">The main data sources for inputs to the PRIMES-TREMOVE model, such as for activity and energy</w:t>
      </w:r>
      <w:r>
        <w:t xml:space="preserve"> </w:t>
      </w:r>
      <w:r>
        <w:t xml:space="preserve">consumption, come from EUROSTAT databases and from the Statistical Pocketbook</w:t>
      </w:r>
      <w:r>
        <w:t xml:space="preserve"> </w:t>
      </w:r>
      <w:r>
        <w:t xml:space="preserve">“EU transport in</w:t>
      </w:r>
      <w:r>
        <w:t xml:space="preserve"> </w:t>
      </w:r>
      <w:r>
        <w:t xml:space="preserve">figures175. Excise taxes are derived from DG TAXUD excise duty tables. Other data comes from</w:t>
      </w:r>
      <w:r>
        <w:t xml:space="preserve"> </w:t>
      </w:r>
      <w:r>
        <w:t xml:space="preserve">different sources such as research projects (e.g. TRACCS and New Mobility Pattern projects) and</w:t>
      </w:r>
      <w:r>
        <w:t xml:space="preserve"> </w:t>
      </w:r>
      <w:r>
        <w:t xml:space="preserve">reports.</w:t>
      </w:r>
      <w:r>
        <w:t xml:space="preserve"> </w:t>
      </w:r>
      <w:r>
        <w:t xml:space="preserve">In the context of this exercise, the PRIMES-TREMOVE transport model is calibrated to 2005, 2010</w:t>
      </w:r>
      <w:r>
        <w:t xml:space="preserve"> </w:t>
      </w:r>
      <w:r>
        <w:t xml:space="preserve">and 2015 historical data. Available data on 2020 market shares of different powertrain types have also</w:t>
      </w:r>
      <w:r>
        <w:t xml:space="preserve"> </w:t>
      </w:r>
      <w:r>
        <w:t xml:space="preserve">been taken into account.</w:t>
      </w:r>
      <w:r>
        <w:t xml:space="preserve"> </w:t>
      </w:r>
      <w:r>
        <w:t xml:space="preserve">Excel-based tool for CountEmissions EU</w:t>
      </w:r>
      <w:r>
        <w:t xml:space="preserve"> </w:t>
      </w:r>
      <w:r>
        <w:t xml:space="preserve">An excel-based tool has been developed for projecting the numbers of businesses that are</w:t>
      </w:r>
      <w:r>
        <w:t xml:space="preserve"> </w:t>
      </w:r>
      <w:r>
        <w:t xml:space="preserve">quantifying the GHG emissions at transport service level and quantifying the costs based on the</w:t>
      </w:r>
      <w:r>
        <w:t xml:space="preserve"> </w:t>
      </w:r>
      <w:r>
        <w:t xml:space="preserve">Standard Cost Model.</w:t>
      </w:r>
      <w:r>
        <w:br/>
      </w:r>
      <w:r>
        <w:t xml:space="preserve">The main data source, for the levels of business activity in the transport sector176, is Eurostat business</w:t>
      </w:r>
      <w:r>
        <w:t xml:space="preserve"> </w:t>
      </w:r>
      <w:r>
        <w:t xml:space="preserve">statistics by employment size class between 2015 and 2020. This provides data for each of the EU27</w:t>
      </w:r>
      <w:r>
        <w:t xml:space="preserve"> </w:t>
      </w:r>
      <w:r>
        <w:t xml:space="preserve">Member States and at EU27 level, per year, per company size, and per economic activity. The sources</w:t>
      </w:r>
      <w:r>
        <w:t xml:space="preserve"> </w:t>
      </w:r>
      <w:r>
        <w:t xml:space="preserve">for the number of persons employed in the passenger and freight transport are the EUROSTAT</w:t>
      </w:r>
      <w:r>
        <w:t xml:space="preserve"> </w:t>
      </w:r>
      <w:r>
        <w:t xml:space="preserve">database and the Statistical Pocketbook”</w:t>
      </w:r>
      <w:r>
        <w:t xml:space="preserve">EU transport in figures”177. Other data comes from UNECE,</w:t>
      </w:r>
      <w:r>
        <w:t xml:space="preserve"> </w:t>
      </w:r>
      <w:r>
        <w:t xml:space="preserve">World Tourism Organisation, national databases and some national/social representatives’ reports. The</w:t>
      </w:r>
      <w:r>
        <w:t xml:space="preserve"> </w:t>
      </w:r>
      <w:r>
        <w:t xml:space="preserve">company size is defined based on the number of employees. Data on turnover draws on the same</w:t>
      </w:r>
      <w:r>
        <w:t xml:space="preserve"> </w:t>
      </w:r>
      <w:r>
        <w:t xml:space="preserve">data sources. The economic activities for which the data was extracted represent the transport sector</w:t>
      </w:r>
      <w:r>
        <w:t xml:space="preserve"> </w:t>
      </w:r>
      <w:r>
        <w:t xml:space="preserve">(those under NACE code H), manufacturing (NACE code C), trade (NACE code G), and the tourism</w:t>
      </w:r>
      <w:r>
        <w:t xml:space="preserve"> </w:t>
      </w:r>
      <w:r>
        <w:t xml:space="preserve">industry (Eurostat aggregate under code TI).</w:t>
      </w:r>
      <w:r>
        <w:br/>
      </w:r>
      <w:r>
        <w:t xml:space="preserve">On the basis of this information, the NACE-code classification has been further elaborated to link the</w:t>
      </w:r>
      <w:r>
        <w:t xml:space="preserve"> </w:t>
      </w:r>
      <w:r>
        <w:t xml:space="preserve">transport-related activities with the type of enterprises in the transport ecosystem, namely: (i) transport</w:t>
      </w:r>
      <w:r>
        <w:t xml:space="preserve"> </w:t>
      </w:r>
      <w:r>
        <w:t xml:space="preserve">service organiser (TSO) (e.g. transport operators, travel agencies, logistics service providers, freight</w:t>
      </w:r>
      <w:r>
        <w:t xml:space="preserve"> </w:t>
      </w:r>
      <w:r>
        <w:t xml:space="preserve">forwarders), (ii) transport service user (TSU) (e.g. shippers) or hub operator (HO)178.</w:t>
      </w:r>
      <w:r>
        <w:br/>
      </w:r>
      <w:r>
        <w:t xml:space="preserve">Table 19 shows the average number of companies involved in the transport ecosystem for 2015-</w:t>
      </w:r>
      <w:r>
        <w:t xml:space="preserve"> </w:t>
      </w:r>
      <w:r>
        <w:t xml:space="preserve">2020 by NACE-code, by type of activity and by size. It should be noted that the vast majority of</w:t>
      </w:r>
      <w:r>
        <w:t xml:space="preserve"> </w:t>
      </w:r>
      <w:r>
        <w:t xml:space="preserve">companies (i.e. 99.7%) falls under the definition of small and medium-sized enterprises (SMEs).</w:t>
      </w:r>
      <w:r>
        <w:t xml:space="preserve"> </w:t>
      </w:r>
      <w:r>
        <w:t xml:space="preserve">When it comes to the type of activity, the majority of enterprises in the manufacturing, wholesale</w:t>
      </w:r>
      <w:r>
        <w:t xml:space="preserve"> </w:t>
      </w:r>
      <w:r>
        <w:t xml:space="preserve">and retail, and tourism sectors are users of transport services179.</w:t>
      </w:r>
      <w:r>
        <w:br/>
      </w:r>
      <w:r>
        <w:t xml:space="preserve">Table 19: Number of companies involved in the transport ecosystem by NACE-code, by type of activity and by size</w:t>
      </w:r>
      <w:r>
        <w:t xml:space="preserve"> </w:t>
      </w:r>
      <w:r>
        <w:t xml:space="preserve">(average value for 2015-2020)</w:t>
      </w:r>
      <w:r>
        <w:t xml:space="preserve"> </w:t>
      </w:r>
      <w:r>
        <w:t xml:space="preserve">Transport mode Eurostat NACE-code</w:t>
      </w:r>
      <w:r>
        <w:t xml:space="preserve"> </w:t>
      </w:r>
      <w:r>
        <w:t xml:space="preserve">Type</w:t>
      </w:r>
      <w:r>
        <w:t xml:space="preserve"> </w:t>
      </w:r>
      <w:r>
        <w:t xml:space="preserve">of</w:t>
      </w:r>
      <w:r>
        <w:t xml:space="preserve"> </w:t>
      </w:r>
      <w:r>
        <w:t xml:space="preserve">activity</w:t>
      </w:r>
      <w:r>
        <w:t xml:space="preserve"> </w:t>
      </w:r>
      <w:r>
        <w:t xml:space="preserve">Number of companies</w:t>
      </w:r>
      <w:r>
        <w:t xml:space="preserve"> </w:t>
      </w:r>
      <w:r>
        <w:t xml:space="preserve">Share</w:t>
      </w:r>
      <w:r>
        <w:t xml:space="preserve"> </w:t>
      </w:r>
      <w:r>
        <w:t xml:space="preserve">SMEs</w:t>
      </w:r>
      <w:r>
        <w:t xml:space="preserve"> </w:t>
      </w:r>
      <w:r>
        <w:t xml:space="preserve">&gt; 250</w:t>
      </w:r>
      <w:r>
        <w:t xml:space="preserve"> </w:t>
      </w:r>
      <w:r>
        <w:t xml:space="preserve">Total</w:t>
      </w:r>
      <w:r>
        <w:t xml:space="preserve"> </w:t>
      </w:r>
      <w:r>
        <w:t xml:space="preserve">SMEs</w:t>
      </w:r>
      <w:r>
        <w:t xml:space="preserve"> </w:t>
      </w:r>
      <w:r>
        <w:t xml:space="preserve">&gt; 250</w:t>
      </w:r>
    </w:p>
    <w:p>
      <w:pPr>
        <w:pStyle w:val="BodyText"/>
      </w:pPr>
      <w:r>
        <w:t xml:space="preserve">175 Source: https://ec.europa.eu/transport/facts-fundings/statistics_en</w:t>
      </w:r>
      <w:r>
        <w:br/>
      </w:r>
      <w:r>
        <w:t xml:space="preserve">176 Services by employment size class (NACE Rev. 2, H-N, S95) [SBS_SC_1B_SE_R2__custom_3944403]</w:t>
      </w:r>
      <w:r>
        <w:t xml:space="preserve"> </w:t>
      </w:r>
      <w:r>
        <w:t xml:space="preserve">177 https://transport.ec.europa.eu/media-corner/publications_en</w:t>
      </w:r>
      <w:r>
        <w:t xml:space="preserve"> </w:t>
      </w:r>
      <w:r>
        <w:t xml:space="preserve">178 A transport hub operator is defined as an enterprise that organises transport services converging at nodes, like</w:t>
      </w:r>
      <w:r>
        <w:t xml:space="preserve"> </w:t>
      </w:r>
      <w:r>
        <w:t xml:space="preserve">warehouses or logistic centres, where cargos are exchanged between vehicles or transport modes.</w:t>
      </w:r>
      <w:r>
        <w:t xml:space="preserve"> </w:t>
      </w:r>
      <w:r>
        <w:t xml:space="preserve">179 Only those that are estimated to perform transport on own account are reported in this table and relevant for this</w:t>
      </w:r>
      <w:r>
        <w:t xml:space="preserve"> </w:t>
      </w:r>
      <w:r>
        <w:t xml:space="preserve">initiative.</w:t>
      </w:r>
    </w:p>
    <w:p>
      <w:pPr>
        <w:pStyle w:val="BodyText"/>
      </w:pPr>
      <w:r>
        <w:t xml:space="preserve">83</w:t>
      </w:r>
    </w:p>
    <w:p>
      <w:pPr>
        <w:pStyle w:val="BodyText"/>
      </w:pPr>
      <w:r>
        <w:t xml:space="preserve">Passenger</w:t>
      </w:r>
      <w:r>
        <w:br/>
      </w:r>
      <w:r>
        <w:t xml:space="preserve">Interurban rail</w:t>
      </w:r>
      <w:r>
        <w:t xml:space="preserve"> </w:t>
      </w:r>
      <w:r>
        <w:t xml:space="preserve">TSO</w:t>
      </w:r>
      <w:r>
        <w:t xml:space="preserve"> </w:t>
      </w:r>
      <w:r>
        <w:t xml:space="preserve">150</w:t>
      </w:r>
      <w:r>
        <w:t xml:space="preserve"> </w:t>
      </w:r>
      <w:r>
        <w:t xml:space="preserve">35</w:t>
      </w:r>
      <w:r>
        <w:t xml:space="preserve"> </w:t>
      </w:r>
      <w:r>
        <w:t xml:space="preserve">185</w:t>
      </w:r>
      <w:r>
        <w:br/>
      </w:r>
      <w:r>
        <w:t xml:space="preserve">81.1% 18.9%</w:t>
      </w:r>
      <w:r>
        <w:t xml:space="preserve"> </w:t>
      </w:r>
      <w:r>
        <w:t xml:space="preserve">Other transport over land</w:t>
      </w:r>
      <w:r>
        <w:t xml:space="preserve"> </w:t>
      </w:r>
      <w:r>
        <w:t xml:space="preserve">TSO</w:t>
      </w:r>
      <w:r>
        <w:t xml:space="preserve"> </w:t>
      </w:r>
      <w:r>
        <w:t xml:space="preserve">339,572</w:t>
      </w:r>
      <w:r>
        <w:t xml:space="preserve"> </w:t>
      </w:r>
      <w:r>
        <w:t xml:space="preserve">549</w:t>
      </w:r>
      <w:r>
        <w:t xml:space="preserve"> </w:t>
      </w:r>
      <w:r>
        <w:t xml:space="preserve">340,121</w:t>
      </w:r>
      <w:r>
        <w:br/>
      </w:r>
      <w:r>
        <w:t xml:space="preserve">99.8%</w:t>
      </w:r>
      <w:r>
        <w:t xml:space="preserve"> </w:t>
      </w:r>
      <w:r>
        <w:t xml:space="preserve">0.2%</w:t>
      </w:r>
      <w:r>
        <w:t xml:space="preserve"> </w:t>
      </w:r>
      <w:r>
        <w:t xml:space="preserve">Maritime</w:t>
      </w:r>
      <w:r>
        <w:t xml:space="preserve"> </w:t>
      </w:r>
      <w:r>
        <w:t xml:space="preserve">TSO</w:t>
      </w:r>
      <w:r>
        <w:t xml:space="preserve"> </w:t>
      </w:r>
      <w:r>
        <w:t xml:space="preserve">5,745</w:t>
      </w:r>
      <w:r>
        <w:t xml:space="preserve"> </w:t>
      </w:r>
      <w:r>
        <w:t xml:space="preserve">38</w:t>
      </w:r>
      <w:r>
        <w:t xml:space="preserve"> </w:t>
      </w:r>
      <w:r>
        <w:t xml:space="preserve">5,783</w:t>
      </w:r>
      <w:r>
        <w:br/>
      </w:r>
      <w:r>
        <w:t xml:space="preserve">99.3%</w:t>
      </w:r>
      <w:r>
        <w:t xml:space="preserve"> </w:t>
      </w:r>
      <w:r>
        <w:t xml:space="preserve">0.7%</w:t>
      </w:r>
      <w:r>
        <w:t xml:space="preserve"> </w:t>
      </w:r>
      <w:r>
        <w:t xml:space="preserve">Inland navigation</w:t>
      </w:r>
      <w:r>
        <w:t xml:space="preserve"> </w:t>
      </w:r>
      <w:r>
        <w:t xml:space="preserve">TSO</w:t>
      </w:r>
      <w:r>
        <w:t xml:space="preserve"> </w:t>
      </w:r>
      <w:r>
        <w:t xml:space="preserve">3,892</w:t>
      </w:r>
      <w:r>
        <w:t xml:space="preserve"> </w:t>
      </w:r>
      <w:r>
        <w:t xml:space="preserve">2</w:t>
      </w:r>
      <w:r>
        <w:t xml:space="preserve"> </w:t>
      </w:r>
      <w:r>
        <w:t xml:space="preserve">3,894</w:t>
      </w:r>
      <w:r>
        <w:br/>
      </w:r>
      <w:r>
        <w:t xml:space="preserve">99.9%</w:t>
      </w:r>
      <w:r>
        <w:t xml:space="preserve"> </w:t>
      </w:r>
      <w:r>
        <w:t xml:space="preserve">0.1%</w:t>
      </w:r>
      <w:r>
        <w:t xml:space="preserve"> </w:t>
      </w:r>
      <w:r>
        <w:t xml:space="preserve">Air</w:t>
      </w:r>
      <w:r>
        <w:t xml:space="preserve"> </w:t>
      </w:r>
      <w:r>
        <w:t xml:space="preserve">TSO</w:t>
      </w:r>
      <w:r>
        <w:t xml:space="preserve"> </w:t>
      </w:r>
      <w:r>
        <w:t xml:space="preserve">3,748</w:t>
      </w:r>
      <w:r>
        <w:t xml:space="preserve"> </w:t>
      </w:r>
      <w:r>
        <w:t xml:space="preserve">70</w:t>
      </w:r>
      <w:r>
        <w:t xml:space="preserve"> </w:t>
      </w:r>
      <w:r>
        <w:t xml:space="preserve">3,818</w:t>
      </w:r>
      <w:r>
        <w:br/>
      </w:r>
      <w:r>
        <w:t xml:space="preserve">98.2%</w:t>
      </w:r>
      <w:r>
        <w:t xml:space="preserve"> </w:t>
      </w:r>
      <w:r>
        <w:t xml:space="preserve">1.8%</w:t>
      </w:r>
      <w:r>
        <w:t xml:space="preserve"> </w:t>
      </w:r>
      <w:r>
        <w:t xml:space="preserve">Freight</w:t>
      </w:r>
      <w:r>
        <w:t xml:space="preserve"> </w:t>
      </w:r>
      <w:r>
        <w:t xml:space="preserve">Road</w:t>
      </w:r>
      <w:r>
        <w:t xml:space="preserve"> </w:t>
      </w:r>
      <w:r>
        <w:t xml:space="preserve">TSO</w:t>
      </w:r>
      <w:r>
        <w:t xml:space="preserve"> </w:t>
      </w:r>
      <w:r>
        <w:t xml:space="preserve">543,186</w:t>
      </w:r>
      <w:r>
        <w:t xml:space="preserve"> </w:t>
      </w:r>
      <w:r>
        <w:t xml:space="preserve">641</w:t>
      </w:r>
      <w:r>
        <w:t xml:space="preserve"> </w:t>
      </w:r>
      <w:r>
        <w:t xml:space="preserve">543,827</w:t>
      </w:r>
      <w:r>
        <w:br/>
      </w:r>
      <w:r>
        <w:t xml:space="preserve">99.9%</w:t>
      </w:r>
      <w:r>
        <w:t xml:space="preserve"> </w:t>
      </w:r>
      <w:r>
        <w:t xml:space="preserve">0.1%</w:t>
      </w:r>
      <w:r>
        <w:t xml:space="preserve"> </w:t>
      </w:r>
      <w:r>
        <w:t xml:space="preserve">Rail</w:t>
      </w:r>
      <w:r>
        <w:t xml:space="preserve"> </w:t>
      </w:r>
      <w:r>
        <w:t xml:space="preserve">TSO</w:t>
      </w:r>
      <w:r>
        <w:t xml:space="preserve"> </w:t>
      </w:r>
      <w:r>
        <w:t xml:space="preserve">561</w:t>
      </w:r>
      <w:r>
        <w:t xml:space="preserve"> </w:t>
      </w:r>
      <w:r>
        <w:t xml:space="preserve">37</w:t>
      </w:r>
      <w:r>
        <w:t xml:space="preserve"> </w:t>
      </w:r>
      <w:r>
        <w:t xml:space="preserve">598</w:t>
      </w:r>
      <w:r>
        <w:br/>
      </w:r>
      <w:r>
        <w:t xml:space="preserve">93.8%</w:t>
      </w:r>
      <w:r>
        <w:t xml:space="preserve"> </w:t>
      </w:r>
      <w:r>
        <w:t xml:space="preserve">6.2%</w:t>
      </w:r>
      <w:r>
        <w:t xml:space="preserve"> </w:t>
      </w:r>
      <w:r>
        <w:t xml:space="preserve">Inland navigation</w:t>
      </w:r>
      <w:r>
        <w:t xml:space="preserve"> </w:t>
      </w:r>
      <w:r>
        <w:t xml:space="preserve">TSO</w:t>
      </w:r>
      <w:r>
        <w:t xml:space="preserve"> </w:t>
      </w:r>
      <w:r>
        <w:t xml:space="preserve">5,550</w:t>
      </w:r>
      <w:r>
        <w:t xml:space="preserve"> </w:t>
      </w:r>
      <w:r>
        <w:t xml:space="preserve">2</w:t>
      </w:r>
      <w:r>
        <w:t xml:space="preserve"> </w:t>
      </w:r>
      <w:r>
        <w:t xml:space="preserve">5,552</w:t>
      </w:r>
      <w:r>
        <w:br/>
      </w:r>
      <w:r>
        <w:t xml:space="preserve">100.0%</w:t>
      </w:r>
      <w:r>
        <w:t xml:space="preserve"> </w:t>
      </w:r>
      <w:r>
        <w:t xml:space="preserve">0.0%</w:t>
      </w:r>
      <w:r>
        <w:t xml:space="preserve"> </w:t>
      </w:r>
      <w:r>
        <w:t xml:space="preserve">Maritime</w:t>
      </w:r>
      <w:r>
        <w:t xml:space="preserve"> </w:t>
      </w:r>
      <w:r>
        <w:t xml:space="preserve">TSO</w:t>
      </w:r>
      <w:r>
        <w:t xml:space="preserve"> </w:t>
      </w:r>
      <w:r>
        <w:t xml:space="preserve">3,835</w:t>
      </w:r>
      <w:r>
        <w:t xml:space="preserve"> </w:t>
      </w:r>
      <w:r>
        <w:t xml:space="preserve">51</w:t>
      </w:r>
      <w:r>
        <w:t xml:space="preserve"> </w:t>
      </w:r>
      <w:r>
        <w:t xml:space="preserve">3,886</w:t>
      </w:r>
      <w:r>
        <w:br/>
      </w:r>
      <w:r>
        <w:t xml:space="preserve">98.7%</w:t>
      </w:r>
      <w:r>
        <w:t xml:space="preserve"> </w:t>
      </w:r>
      <w:r>
        <w:t xml:space="preserve">1.3%</w:t>
      </w:r>
      <w:r>
        <w:t xml:space="preserve"> </w:t>
      </w:r>
      <w:r>
        <w:t xml:space="preserve">Air and space</w:t>
      </w:r>
      <w:r>
        <w:t xml:space="preserve"> </w:t>
      </w:r>
      <w:r>
        <w:t xml:space="preserve">TSO</w:t>
      </w:r>
      <w:r>
        <w:t xml:space="preserve"> </w:t>
      </w:r>
      <w:r>
        <w:t xml:space="preserve">503</w:t>
      </w:r>
      <w:r>
        <w:t xml:space="preserve"> </w:t>
      </w:r>
      <w:r>
        <w:t xml:space="preserve">9</w:t>
      </w:r>
      <w:r>
        <w:t xml:space="preserve"> </w:t>
      </w:r>
      <w:r>
        <w:t xml:space="preserve">512</w:t>
      </w:r>
      <w:r>
        <w:br/>
      </w:r>
      <w:r>
        <w:t xml:space="preserve">98.2%</w:t>
      </w:r>
      <w:r>
        <w:t xml:space="preserve"> </w:t>
      </w:r>
      <w:r>
        <w:t xml:space="preserve">1.8%</w:t>
      </w:r>
      <w:r>
        <w:t xml:space="preserve"> </w:t>
      </w:r>
      <w:r>
        <w:t xml:space="preserve">Postal activities</w:t>
      </w:r>
      <w:r>
        <w:t xml:space="preserve"> </w:t>
      </w:r>
      <w:r>
        <w:t xml:space="preserve">TSO</w:t>
      </w:r>
      <w:r>
        <w:t xml:space="preserve"> </w:t>
      </w:r>
      <w:r>
        <w:t xml:space="preserve">88,545</w:t>
      </w:r>
      <w:r>
        <w:t xml:space="preserve"> </w:t>
      </w:r>
      <w:r>
        <w:t xml:space="preserve">314</w:t>
      </w:r>
      <w:r>
        <w:t xml:space="preserve"> </w:t>
      </w:r>
      <w:r>
        <w:t xml:space="preserve">88,859</w:t>
      </w:r>
      <w:r>
        <w:br/>
      </w:r>
      <w:r>
        <w:t xml:space="preserve">99.6%</w:t>
      </w:r>
      <w:r>
        <w:t xml:space="preserve"> </w:t>
      </w:r>
      <w:r>
        <w:t xml:space="preserve">0.4%</w:t>
      </w:r>
      <w:r>
        <w:t xml:space="preserve"> </w:t>
      </w:r>
      <w:r>
        <w:t xml:space="preserve">Hub operators</w:t>
      </w:r>
    </w:p>
    <w:p>
      <w:pPr>
        <w:pStyle w:val="BodyText"/>
      </w:pPr>
      <w:r>
        <w:t xml:space="preserve">Warehousing and storage</w:t>
      </w:r>
      <w:r>
        <w:t xml:space="preserve"> </w:t>
      </w:r>
      <w:r>
        <w:t xml:space="preserve">HO</w:t>
      </w:r>
      <w:r>
        <w:t xml:space="preserve"> </w:t>
      </w:r>
      <w:r>
        <w:t xml:space="preserve">13,860</w:t>
      </w:r>
      <w:r>
        <w:t xml:space="preserve"> </w:t>
      </w:r>
      <w:r>
        <w:t xml:space="preserve">195</w:t>
      </w:r>
      <w:r>
        <w:t xml:space="preserve"> </w:t>
      </w:r>
      <w:r>
        <w:t xml:space="preserve">14,055</w:t>
      </w:r>
      <w:r>
        <w:br/>
      </w:r>
      <w:r>
        <w:t xml:space="preserve">98.6%</w:t>
      </w:r>
      <w:r>
        <w:t xml:space="preserve"> </w:t>
      </w:r>
      <w:r>
        <w:t xml:space="preserve">1.4%</w:t>
      </w:r>
      <w:r>
        <w:t xml:space="preserve"> </w:t>
      </w:r>
      <w:r>
        <w:t xml:space="preserve">Support activities for transportation</w:t>
      </w:r>
      <w:r>
        <w:t xml:space="preserve"> </w:t>
      </w:r>
      <w:r>
        <w:t xml:space="preserve">HO</w:t>
      </w:r>
      <w:r>
        <w:t xml:space="preserve"> </w:t>
      </w:r>
      <w:r>
        <w:t xml:space="preserve">121,038 1,032</w:t>
      </w:r>
      <w:r>
        <w:t xml:space="preserve"> </w:t>
      </w:r>
      <w:r>
        <w:t xml:space="preserve">122,070</w:t>
      </w:r>
      <w:r>
        <w:br/>
      </w:r>
      <w:r>
        <w:t xml:space="preserve">99.2%</w:t>
      </w:r>
      <w:r>
        <w:t xml:space="preserve"> </w:t>
      </w:r>
      <w:r>
        <w:t xml:space="preserve">0.8%</w:t>
      </w:r>
      <w:r>
        <w:t xml:space="preserve"> </w:t>
      </w:r>
      <w:r>
        <w:t xml:space="preserve">Other</w:t>
      </w:r>
    </w:p>
    <w:p>
      <w:pPr>
        <w:pStyle w:val="BodyText"/>
      </w:pPr>
      <w:r>
        <w:t xml:space="preserve">Manufacturing</w:t>
      </w:r>
      <w:r>
        <w:t xml:space="preserve"> </w:t>
      </w:r>
      <w:r>
        <w:t xml:space="preserve">TSU</w:t>
      </w:r>
      <w:r>
        <w:t xml:space="preserve"> </w:t>
      </w:r>
      <w:r>
        <w:t xml:space="preserve">31,998 1,529</w:t>
      </w:r>
      <w:r>
        <w:t xml:space="preserve"> </w:t>
      </w:r>
      <w:r>
        <w:t xml:space="preserve">33,527</w:t>
      </w:r>
      <w:r>
        <w:br/>
      </w:r>
      <w:r>
        <w:t xml:space="preserve">95.4%</w:t>
      </w:r>
      <w:r>
        <w:t xml:space="preserve"> </w:t>
      </w:r>
      <w:r>
        <w:t xml:space="preserve">4.6%</w:t>
      </w:r>
      <w:r>
        <w:t xml:space="preserve"> </w:t>
      </w:r>
      <w:r>
        <w:t xml:space="preserve">Wholesale and retail</w:t>
      </w:r>
      <w:r>
        <w:t xml:space="preserve"> </w:t>
      </w:r>
      <w:r>
        <w:t xml:space="preserve">TSU</w:t>
      </w:r>
      <w:r>
        <w:t xml:space="preserve"> </w:t>
      </w:r>
      <w:r>
        <w:t xml:space="preserve">578,130</w:t>
      </w:r>
      <w:r>
        <w:t xml:space="preserve"> </w:t>
      </w:r>
      <w:r>
        <w:t xml:space="preserve">702</w:t>
      </w:r>
      <w:r>
        <w:t xml:space="preserve"> </w:t>
      </w:r>
      <w:r>
        <w:t xml:space="preserve">578,832</w:t>
      </w:r>
      <w:r>
        <w:br/>
      </w:r>
      <w:r>
        <w:t xml:space="preserve">99.9%</w:t>
      </w:r>
      <w:r>
        <w:t xml:space="preserve"> </w:t>
      </w:r>
      <w:r>
        <w:t xml:space="preserve">0.1%</w:t>
      </w:r>
      <w:r>
        <w:t xml:space="preserve"> </w:t>
      </w:r>
      <w:r>
        <w:t xml:space="preserve">Tourism</w:t>
      </w:r>
      <w:r>
        <w:t xml:space="preserve"> </w:t>
      </w:r>
      <w:r>
        <w:t xml:space="preserve">TSU</w:t>
      </w:r>
      <w:r>
        <w:t xml:space="preserve"> </w:t>
      </w:r>
      <w:r>
        <w:t xml:space="preserve">27,389</w:t>
      </w:r>
      <w:r>
        <w:t xml:space="preserve"> </w:t>
      </w:r>
      <w:r>
        <w:t xml:space="preserve">532</w:t>
      </w:r>
      <w:r>
        <w:t xml:space="preserve"> </w:t>
      </w:r>
      <w:r>
        <w:t xml:space="preserve">27,921</w:t>
      </w:r>
      <w:r>
        <w:br/>
      </w:r>
      <w:r>
        <w:t xml:space="preserve">98.1%</w:t>
      </w:r>
      <w:r>
        <w:t xml:space="preserve"> </w:t>
      </w:r>
      <w:r>
        <w:t xml:space="preserve">1.9%</w:t>
      </w:r>
      <w:r>
        <w:t xml:space="preserve"> </w:t>
      </w:r>
      <w:r>
        <w:t xml:space="preserve">Total</w:t>
      </w:r>
    </w:p>
    <w:p>
      <w:pPr>
        <w:pStyle w:val="BodyText"/>
      </w:pPr>
      <w:r>
        <w:t xml:space="preserve">1,767,702 5,738 1,773,440</w:t>
      </w:r>
      <w:r>
        <w:t xml:space="preserve"> </w:t>
      </w:r>
      <w:r>
        <w:t xml:space="preserve">99.7% 0.3%</w:t>
      </w:r>
      <w:r>
        <w:t xml:space="preserve"> </w:t>
      </w:r>
      <w:r>
        <w:t xml:space="preserve">Source : Ecorys and CE Delft (2023), Impact assessment support study</w:t>
      </w:r>
      <w:r>
        <w:t xml:space="preserve"> </w:t>
      </w:r>
      <w:r>
        <w:t xml:space="preserve">The number of entreprises currently measuring transport GHG emissions was estimated based on</w:t>
      </w:r>
      <w:r>
        <w:t xml:space="preserve"> </w:t>
      </w:r>
      <w:r>
        <w:t xml:space="preserve">inputs from stakeholders. Two dimensions were considered. The first was at the entreprise level (for</w:t>
      </w:r>
      <w:r>
        <w:t xml:space="preserve"> </w:t>
      </w:r>
      <w:r>
        <w:t xml:space="preserve">example, the level of detail commonly associated with the annual reporting for publicly listed</w:t>
      </w:r>
      <w:r>
        <w:t xml:space="preserve"> </w:t>
      </w:r>
      <w:r>
        <w:t xml:space="preserve">companies) and the second was at the service level (for example, for individual services delivered by</w:t>
      </w:r>
      <w:r>
        <w:t xml:space="preserve"> </w:t>
      </w:r>
      <w:r>
        <w:t xml:space="preserve">an operator). The evidence collected suggests that while quite a high proportion of entreprises already</w:t>
      </w:r>
      <w:r>
        <w:t xml:space="preserve"> </w:t>
      </w:r>
      <w:r>
        <w:t xml:space="preserve">consider their transport emissions at aggregate level, there are very few who consider emissions at the</w:t>
      </w:r>
      <w:r>
        <w:t xml:space="preserve"> </w:t>
      </w:r>
      <w:r>
        <w:t xml:space="preserve">service level.</w:t>
      </w:r>
      <w:r>
        <w:br/>
      </w:r>
      <w:r>
        <w:t xml:space="preserve">Considerations for the uptake of GHG emissions accounting on the market</w:t>
      </w:r>
      <w:r>
        <w:t xml:space="preserve"> </w:t>
      </w:r>
      <w:r>
        <w:t xml:space="preserve">Uptake of GHG emissions accounting of transport services is an essential element to identify the</w:t>
      </w:r>
      <w:r>
        <w:t xml:space="preserve"> </w:t>
      </w:r>
      <w:r>
        <w:t xml:space="preserve">impacts. In this context specific considerations were given to voluntary, or semi voluntary</w:t>
      </w:r>
      <w:r>
        <w:t xml:space="preserve"> </w:t>
      </w:r>
      <w:r>
        <w:t xml:space="preserve">(binding opt-in) approaches (which cover PO2 to PO5), where the decision on whether to</w:t>
      </w:r>
      <w:r>
        <w:t xml:space="preserve"> </w:t>
      </w:r>
      <w:r>
        <w:t xml:space="preserve">calculate emissions is not specifically required by law. In the case of a voluntary policy</w:t>
      </w:r>
      <w:r>
        <w:t xml:space="preserve"> </w:t>
      </w:r>
      <w:r>
        <w:t xml:space="preserve">instrument (with no requirement to use the harmonised framework) it was assumed that some</w:t>
      </w:r>
      <w:r>
        <w:t xml:space="preserve"> </w:t>
      </w:r>
      <w:r>
        <w:t xml:space="preserve">businesses would choose to use the harmonised framework, while others would continue with</w:t>
      </w:r>
      <w:r>
        <w:t xml:space="preserve"> </w:t>
      </w:r>
      <w:r>
        <w:t xml:space="preserve">other available methods, in particular those they were already familiar with. In the binding opt-</w:t>
      </w:r>
      <w:r>
        <w:t xml:space="preserve"> </w:t>
      </w:r>
      <w:r>
        <w:t xml:space="preserve">in cases, it was assumed that any business that chose to measure or calculate emissions at the</w:t>
      </w:r>
      <w:r>
        <w:t xml:space="preserve"> </w:t>
      </w:r>
      <w:r>
        <w:t xml:space="preserve">service level would do so using the harmonised framework. In the cases where transport</w:t>
      </w:r>
      <w:r>
        <w:t xml:space="preserve"> </w:t>
      </w:r>
      <w:r>
        <w:t xml:space="preserve">emissions measurement and calculation is binding opt-in, the assumption was made that no</w:t>
      </w:r>
      <w:r>
        <w:t xml:space="preserve"> </w:t>
      </w:r>
      <w:r>
        <w:t xml:space="preserve">additional business entities above the baseline in 2050 would be incentivised to take up emissions</w:t>
      </w:r>
      <w:r>
        <w:t xml:space="preserve"> </w:t>
      </w:r>
      <w:r>
        <w:t xml:space="preserve">accounting at the service level. It means in practice that the 2050 baseline uptake acts as an upper</w:t>
      </w:r>
      <w:r>
        <w:t xml:space="preserve"> </w:t>
      </w:r>
      <w:r>
        <w:t xml:space="preserve">bound of ‘climate aware’ business entities, but regulators can incentivise those climate aware</w:t>
      </w:r>
      <w:r>
        <w:t xml:space="preserve"> </w:t>
      </w:r>
      <w:r>
        <w:t xml:space="preserve">entities to engage in emissions measurement and calculation earlier than they would have</w:t>
      </w:r>
      <w:r>
        <w:t xml:space="preserve"> </w:t>
      </w:r>
      <w:r>
        <w:t xml:space="preserve">otherwise. This may be a conservative assumption since it is entirely possible that European</w:t>
      </w:r>
      <w:r>
        <w:t xml:space="preserve"> </w:t>
      </w:r>
      <w:r>
        <w:t xml:space="preserve">support of the existing methodology would encourage new businesses to measure and calculate</w:t>
      </w:r>
      <w:r>
        <w:t xml:space="preserve"> </w:t>
      </w:r>
      <w:r>
        <w:t xml:space="preserve">emissions that would not have considered doing so otherwise. It was, however, thought to be</w:t>
      </w:r>
      <w:r>
        <w:t xml:space="preserve"> </w:t>
      </w:r>
      <w:r>
        <w:t xml:space="preserve">unlikely that the existence of a harmonised transport emissions measurement and calculation</w:t>
      </w:r>
      <w:r>
        <w:t xml:space="preserve"> </w:t>
      </w:r>
      <w:r>
        <w:t xml:space="preserve">methodology in itself could incentivise business entities to become ‘climate aware’. The</w:t>
      </w:r>
    </w:p>
    <w:p>
      <w:pPr>
        <w:pStyle w:val="BodyText"/>
      </w:pPr>
      <w:r>
        <w:t xml:space="preserve">84</w:t>
      </w:r>
    </w:p>
    <w:p>
      <w:pPr>
        <w:pStyle w:val="BodyText"/>
      </w:pPr>
      <w:r>
        <w:t xml:space="preserve">transition to ‘climate aware’ status would rather occur as a result of external pressure from</w:t>
      </w:r>
      <w:r>
        <w:t xml:space="preserve"> </w:t>
      </w:r>
      <w:r>
        <w:t xml:space="preserve">investors/ clients or separate legislative measures, for instance requiring to calculate or/and</w:t>
      </w:r>
      <w:r>
        <w:t xml:space="preserve"> </w:t>
      </w:r>
      <w:r>
        <w:t xml:space="preserve">report emissions based on CountEmissions EU framework. While there is no specific evidence</w:t>
      </w:r>
      <w:r>
        <w:t xml:space="preserve"> </w:t>
      </w:r>
      <w:r>
        <w:t xml:space="preserve">to estimate the maximum magnitude of this additional factor on the binding opt-in approach,</w:t>
      </w:r>
      <w:r>
        <w:t xml:space="preserve"> </w:t>
      </w:r>
      <w:r>
        <w:t xml:space="preserve">especially in the theoretical situation where it leads to establishing a de facto standard on the</w:t>
      </w:r>
      <w:r>
        <w:t xml:space="preserve"> </w:t>
      </w:r>
      <w:r>
        <w:t xml:space="preserve">market, the mandatory policy options 1 and 6 show the impact of the use of CEEU on all</w:t>
      </w:r>
      <w:r>
        <w:t xml:space="preserve"> </w:t>
      </w:r>
      <w:r>
        <w:t xml:space="preserve">concerned businesses in the baseline.</w:t>
      </w:r>
      <w:r>
        <w:br/>
      </w:r>
      <w:r>
        <w:t xml:space="preserve">Overall, the reason for building this level of assumptions lies in the fact that a harmonised</w:t>
      </w:r>
      <w:r>
        <w:t xml:space="preserve"> </w:t>
      </w:r>
      <w:r>
        <w:t xml:space="preserve">approach such as CountEmissions EU does not exist yet. To further assess and recognise the</w:t>
      </w:r>
      <w:r>
        <w:t xml:space="preserve"> </w:t>
      </w:r>
      <w:r>
        <w:t xml:space="preserve">limitations, a two-scenario sensitivity analysis has been performed to support the assessment of</w:t>
      </w:r>
      <w:r>
        <w:t xml:space="preserve"> </w:t>
      </w:r>
      <w:r>
        <w:t xml:space="preserve">impacts.</w:t>
      </w:r>
      <w:r>
        <w:t xml:space="preserve"> </w:t>
      </w:r>
      <w:r>
        <w:t xml:space="preserve">2. Baseline scenario</w:t>
      </w:r>
      <w:r>
        <w:t xml:space="preserve"> </w:t>
      </w:r>
      <w:r>
        <w:t xml:space="preserve">In order to reflect the fundamental socio-economic, technological and policy developments, the</w:t>
      </w:r>
      <w:r>
        <w:t xml:space="preserve"> </w:t>
      </w:r>
      <w:r>
        <w:t xml:space="preserve">Commission prepares periodically an EU Reference Scenario on energy, transport and GHG</w:t>
      </w:r>
      <w:r>
        <w:t xml:space="preserve"> </w:t>
      </w:r>
      <w:r>
        <w:t xml:space="preserve">emissions. The socio-economic and technological developments used for developing the baseline</w:t>
      </w:r>
      <w:r>
        <w:t xml:space="preserve"> </w:t>
      </w:r>
      <w:r>
        <w:t xml:space="preserve">scenario for this impact assessment build on the latest “EU Reference scenario 2020” (REF2020)180.</w:t>
      </w:r>
      <w:r>
        <w:t xml:space="preserve"> </w:t>
      </w:r>
      <w:r>
        <w:t xml:space="preserve">The same assumptions have been used in the policy scenarios underpinning the impact assessments</w:t>
      </w:r>
      <w:r>
        <w:t xml:space="preserve"> </w:t>
      </w:r>
      <w:r>
        <w:t xml:space="preserve">accompanying the “Fit for 55” package181.</w:t>
      </w:r>
      <w:r>
        <w:br/>
      </w:r>
      <w:r>
        <w:t xml:space="preserve">Main assumptions of the Baseline scenario</w:t>
      </w:r>
      <w:r>
        <w:t xml:space="preserve"> </w:t>
      </w:r>
      <w:r>
        <w:t xml:space="preserve">The main assumptions related to economic development, international energy prices and technologies</w:t>
      </w:r>
      <w:r>
        <w:t xml:space="preserve"> </w:t>
      </w:r>
      <w:r>
        <w:t xml:space="preserve">are described below.</w:t>
      </w:r>
      <w:r>
        <w:br/>
      </w:r>
      <w:r>
        <w:t xml:space="preserve">Economic assumptions</w:t>
      </w:r>
      <w:r>
        <w:br/>
      </w:r>
      <w:r>
        <w:t xml:space="preserve">The modelling work is based on socio-economic assumptions describing the expected evolution of the</w:t>
      </w:r>
      <w:r>
        <w:t xml:space="preserve"> </w:t>
      </w:r>
      <w:r>
        <w:t xml:space="preserve">European society. Long-term projections on population dynamics and economic activity form part of</w:t>
      </w:r>
      <w:r>
        <w:t xml:space="preserve"> </w:t>
      </w:r>
      <w:r>
        <w:t xml:space="preserve">the input to the model and are used to estimate transport activity, particularly relevant for this impact</w:t>
      </w:r>
      <w:r>
        <w:t xml:space="preserve"> </w:t>
      </w:r>
      <w:r>
        <w:t xml:space="preserve">assessment.</w:t>
      </w:r>
      <w:r>
        <w:br/>
      </w:r>
      <w:r>
        <w:t xml:space="preserve">Population projections from Eurostat182 are used to estimate the evolution of the European population,</w:t>
      </w:r>
      <w:r>
        <w:t xml:space="preserve"> </w:t>
      </w:r>
      <w:r>
        <w:t xml:space="preserve">which is expected to change little in total number in the coming decades. The GDP growth projections</w:t>
      </w:r>
      <w:r>
        <w:t xml:space="preserve"> </w:t>
      </w:r>
      <w:r>
        <w:t xml:space="preserve">are from the Ageing Report 2021183 by the Directorate General for Economic and Financial Affairs,</w:t>
      </w:r>
      <w:r>
        <w:t xml:space="preserve"> </w:t>
      </w:r>
      <w:r>
        <w:t xml:space="preserve">which are based on the same population growth assumptions.</w:t>
      </w:r>
      <w:r>
        <w:t xml:space="preserve"> </w:t>
      </w:r>
      <w:r>
        <w:t xml:space="preserve">Table 20: Projected population and GDP growth per Member State</w:t>
      </w:r>
      <w:r>
        <w:t xml:space="preserve"> </w:t>
      </w:r>
      <w:r>
        <w:t xml:space="preserve">Population</w:t>
      </w:r>
      <w:r>
        <w:t xml:space="preserve"> </w:t>
      </w:r>
      <w:r>
        <w:t xml:space="preserve">GDP growth</w:t>
      </w:r>
    </w:p>
    <w:p>
      <w:pPr>
        <w:pStyle w:val="BodyText"/>
      </w:pP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2020-‘25</w:t>
      </w:r>
      <w:r>
        <w:t xml:space="preserve"> </w:t>
      </w:r>
      <w:r>
        <w:t xml:space="preserve">2026-‘30</w:t>
      </w:r>
      <w:r>
        <w:t xml:space="preserve"> </w:t>
      </w:r>
      <w:r>
        <w:t xml:space="preserve">EU27</w:t>
      </w:r>
      <w:r>
        <w:t xml:space="preserve"> </w:t>
      </w:r>
      <w:r>
        <w:t xml:space="preserve">447.7</w:t>
      </w:r>
      <w:r>
        <w:t xml:space="preserve"> </w:t>
      </w:r>
      <w:r>
        <w:t xml:space="preserve">449.3</w:t>
      </w:r>
      <w:r>
        <w:t xml:space="preserve"> </w:t>
      </w:r>
      <w:r>
        <w:t xml:space="preserve">449.1</w:t>
      </w:r>
      <w:r>
        <w:t xml:space="preserve"> </w:t>
      </w:r>
      <w:r>
        <w:t xml:space="preserve">0.9%</w:t>
      </w:r>
      <w:r>
        <w:t xml:space="preserve"> </w:t>
      </w:r>
      <w:r>
        <w:t xml:space="preserve">1.1%</w:t>
      </w:r>
      <w:r>
        <w:t xml:space="preserve"> </w:t>
      </w:r>
      <w:r>
        <w:t xml:space="preserve">Austria</w:t>
      </w:r>
      <w:r>
        <w:t xml:space="preserve"> </w:t>
      </w:r>
      <w:r>
        <w:t xml:space="preserve">8.90</w:t>
      </w:r>
      <w:r>
        <w:t xml:space="preserve"> </w:t>
      </w:r>
      <w:r>
        <w:t xml:space="preserve">9.03</w:t>
      </w:r>
      <w:r>
        <w:t xml:space="preserve"> </w:t>
      </w:r>
      <w:r>
        <w:t xml:space="preserve">9.15</w:t>
      </w:r>
      <w:r>
        <w:t xml:space="preserve"> </w:t>
      </w:r>
      <w:r>
        <w:t xml:space="preserve">0.9%</w:t>
      </w:r>
      <w:r>
        <w:t xml:space="preserve"> </w:t>
      </w:r>
      <w:r>
        <w:t xml:space="preserve">1.2%</w:t>
      </w:r>
      <w:r>
        <w:t xml:space="preserve"> </w:t>
      </w:r>
      <w:r>
        <w:t xml:space="preserve">Belgium</w:t>
      </w:r>
      <w:r>
        <w:t xml:space="preserve"> </w:t>
      </w:r>
      <w:r>
        <w:t xml:space="preserve">11.51</w:t>
      </w:r>
      <w:r>
        <w:t xml:space="preserve"> </w:t>
      </w:r>
      <w:r>
        <w:t xml:space="preserve">11.66</w:t>
      </w:r>
      <w:r>
        <w:t xml:space="preserve"> </w:t>
      </w:r>
      <w:r>
        <w:t xml:space="preserve">11.76</w:t>
      </w:r>
      <w:r>
        <w:t xml:space="preserve"> </w:t>
      </w:r>
      <w:r>
        <w:t xml:space="preserve">0.8%</w:t>
      </w:r>
      <w:r>
        <w:t xml:space="preserve"> </w:t>
      </w:r>
      <w:r>
        <w:t xml:space="preserve">0.8%</w:t>
      </w:r>
    </w:p>
    <w:p>
      <w:pPr>
        <w:pStyle w:val="BodyText"/>
      </w:pPr>
      <w:r>
        <w:t xml:space="preserve">180 EU Reference Scenario 2020 (europa.eu)</w:t>
      </w:r>
      <w:r>
        <w:t xml:space="preserve"> </w:t>
      </w:r>
      <w:r>
        <w:t xml:space="preserve">181 Policy scenarios for delivering the European Green Deal (europa.eu)</w:t>
      </w:r>
      <w:r>
        <w:t xml:space="preserve"> </w:t>
      </w:r>
      <w:r>
        <w:t xml:space="preserve">182 EUROPOP2019 population projections: Eurostat - Data Explorer (europa.eu)</w:t>
      </w:r>
      <w:r>
        <w:br/>
      </w:r>
      <w:r>
        <w:t xml:space="preserve">183 The 2021 Ageing Report : Underlying assumptions and projection methodologies The 2021 Ageing Report:</w:t>
      </w:r>
      <w:r>
        <w:t xml:space="preserve"> </w:t>
      </w:r>
      <w:r>
        <w:t xml:space="preserve">Underlying Assumptions and Projection Methodologies | European Commission (europa.eu)</w:t>
      </w:r>
    </w:p>
    <w:p>
      <w:pPr>
        <w:pStyle w:val="BodyText"/>
      </w:pPr>
      <w:r>
        <w:t xml:space="preserve">85</w:t>
      </w:r>
    </w:p>
    <w:p>
      <w:pPr>
        <w:pStyle w:val="BodyText"/>
      </w:pPr>
      <w:r>
        <w:t xml:space="preserve">Population</w:t>
      </w:r>
      <w:r>
        <w:t xml:space="preserve"> </w:t>
      </w:r>
      <w:r>
        <w:t xml:space="preserve">GDP growth</w:t>
      </w:r>
    </w:p>
    <w:p>
      <w:pPr>
        <w:pStyle w:val="BodyText"/>
      </w:pP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2020-‘25</w:t>
      </w:r>
      <w:r>
        <w:t xml:space="preserve"> </w:t>
      </w:r>
      <w:r>
        <w:t xml:space="preserve">2026-‘30</w:t>
      </w:r>
      <w:r>
        <w:t xml:space="preserve"> </w:t>
      </w:r>
      <w:r>
        <w:t xml:space="preserve">Bulgaria</w:t>
      </w:r>
      <w:r>
        <w:t xml:space="preserve"> </w:t>
      </w:r>
      <w:r>
        <w:t xml:space="preserve">6.95</w:t>
      </w:r>
      <w:r>
        <w:t xml:space="preserve"> </w:t>
      </w:r>
      <w:r>
        <w:t xml:space="preserve">6.69</w:t>
      </w:r>
      <w:r>
        <w:t xml:space="preserve"> </w:t>
      </w:r>
      <w:r>
        <w:t xml:space="preserve">6.45</w:t>
      </w:r>
      <w:r>
        <w:t xml:space="preserve"> </w:t>
      </w:r>
      <w:r>
        <w:t xml:space="preserve">0.7%</w:t>
      </w:r>
      <w:r>
        <w:t xml:space="preserve"> </w:t>
      </w:r>
      <w:r>
        <w:t xml:space="preserve">1.3%</w:t>
      </w:r>
      <w:r>
        <w:t xml:space="preserve"> </w:t>
      </w:r>
      <w:r>
        <w:t xml:space="preserve">Croatia</w:t>
      </w:r>
      <w:r>
        <w:t xml:space="preserve"> </w:t>
      </w:r>
      <w:r>
        <w:t xml:space="preserve">4.06</w:t>
      </w:r>
      <w:r>
        <w:t xml:space="preserve"> </w:t>
      </w:r>
      <w:r>
        <w:t xml:space="preserve">3.94</w:t>
      </w:r>
      <w:r>
        <w:t xml:space="preserve"> </w:t>
      </w:r>
      <w:r>
        <w:t xml:space="preserve">3.83</w:t>
      </w:r>
      <w:r>
        <w:t xml:space="preserve"> </w:t>
      </w:r>
      <w:r>
        <w:t xml:space="preserve">0.2%</w:t>
      </w:r>
      <w:r>
        <w:t xml:space="preserve"> </w:t>
      </w:r>
      <w:r>
        <w:t xml:space="preserve">0.6%</w:t>
      </w:r>
      <w:r>
        <w:t xml:space="preserve"> </w:t>
      </w:r>
      <w:r>
        <w:t xml:space="preserve">Cyprus</w:t>
      </w:r>
      <w:r>
        <w:t xml:space="preserve"> </w:t>
      </w:r>
      <w:r>
        <w:t xml:space="preserve">0.89</w:t>
      </w:r>
      <w:r>
        <w:t xml:space="preserve"> </w:t>
      </w:r>
      <w:r>
        <w:t xml:space="preserve">0.93</w:t>
      </w:r>
      <w:r>
        <w:t xml:space="preserve"> </w:t>
      </w:r>
      <w:r>
        <w:t xml:space="preserve">0.96</w:t>
      </w:r>
      <w:r>
        <w:t xml:space="preserve"> </w:t>
      </w:r>
      <w:r>
        <w:t xml:space="preserve">0.7%</w:t>
      </w:r>
      <w:r>
        <w:t xml:space="preserve"> </w:t>
      </w:r>
      <w:r>
        <w:t xml:space="preserve">1.7%</w:t>
      </w:r>
      <w:r>
        <w:t xml:space="preserve"> </w:t>
      </w:r>
      <w:r>
        <w:t xml:space="preserve">Czech Republic</w:t>
      </w:r>
      <w:r>
        <w:t xml:space="preserve"> </w:t>
      </w:r>
      <w:r>
        <w:t xml:space="preserve">10.69</w:t>
      </w:r>
      <w:r>
        <w:t xml:space="preserve"> </w:t>
      </w:r>
      <w:r>
        <w:t xml:space="preserve">10.79</w:t>
      </w:r>
      <w:r>
        <w:t xml:space="preserve"> </w:t>
      </w:r>
      <w:r>
        <w:t xml:space="preserve">10.76</w:t>
      </w:r>
      <w:r>
        <w:t xml:space="preserve"> </w:t>
      </w:r>
      <w:r>
        <w:t xml:space="preserve">1.6%</w:t>
      </w:r>
      <w:r>
        <w:t xml:space="preserve"> </w:t>
      </w:r>
      <w:r>
        <w:t xml:space="preserve">2.0%</w:t>
      </w:r>
      <w:r>
        <w:t xml:space="preserve"> </w:t>
      </w:r>
      <w:r>
        <w:t xml:space="preserve">Denmark</w:t>
      </w:r>
      <w:r>
        <w:t xml:space="preserve"> </w:t>
      </w:r>
      <w:r>
        <w:t xml:space="preserve">5.81</w:t>
      </w:r>
      <w:r>
        <w:t xml:space="preserve"> </w:t>
      </w:r>
      <w:r>
        <w:t xml:space="preserve">5.88</w:t>
      </w:r>
      <w:r>
        <w:t xml:space="preserve"> </w:t>
      </w:r>
      <w:r>
        <w:t xml:space="preserve">5.96</w:t>
      </w:r>
      <w:r>
        <w:t xml:space="preserve"> </w:t>
      </w:r>
      <w:r>
        <w:t xml:space="preserve">2.0%</w:t>
      </w:r>
      <w:r>
        <w:t xml:space="preserve"> </w:t>
      </w:r>
      <w:r>
        <w:t xml:space="preserve">1.7%</w:t>
      </w:r>
      <w:r>
        <w:t xml:space="preserve"> </w:t>
      </w:r>
      <w:r>
        <w:t xml:space="preserve">Estonia</w:t>
      </w:r>
      <w:r>
        <w:t xml:space="preserve"> </w:t>
      </w:r>
      <w:r>
        <w:t xml:space="preserve">1.33</w:t>
      </w:r>
      <w:r>
        <w:t xml:space="preserve"> </w:t>
      </w:r>
      <w:r>
        <w:t xml:space="preserve">1.32</w:t>
      </w:r>
      <w:r>
        <w:t xml:space="preserve"> </w:t>
      </w:r>
      <w:r>
        <w:t xml:space="preserve">1.31</w:t>
      </w:r>
      <w:r>
        <w:t xml:space="preserve"> </w:t>
      </w:r>
      <w:r>
        <w:t xml:space="preserve">2.2%</w:t>
      </w:r>
      <w:r>
        <w:t xml:space="preserve"> </w:t>
      </w:r>
      <w:r>
        <w:t xml:space="preserve">2.6%</w:t>
      </w:r>
      <w:r>
        <w:t xml:space="preserve"> </w:t>
      </w:r>
      <w:r>
        <w:t xml:space="preserve">Finland</w:t>
      </w:r>
      <w:r>
        <w:t xml:space="preserve"> </w:t>
      </w:r>
      <w:r>
        <w:t xml:space="preserve">5.53</w:t>
      </w:r>
      <w:r>
        <w:t xml:space="preserve"> </w:t>
      </w:r>
      <w:r>
        <w:t xml:space="preserve">5.54</w:t>
      </w:r>
      <w:r>
        <w:t xml:space="preserve"> </w:t>
      </w:r>
      <w:r>
        <w:t xml:space="preserve">5.52</w:t>
      </w:r>
      <w:r>
        <w:t xml:space="preserve"> </w:t>
      </w:r>
      <w:r>
        <w:t xml:space="preserve">0.6%</w:t>
      </w:r>
      <w:r>
        <w:t xml:space="preserve"> </w:t>
      </w:r>
      <w:r>
        <w:t xml:space="preserve">1.2%</w:t>
      </w:r>
      <w:r>
        <w:t xml:space="preserve"> </w:t>
      </w:r>
      <w:r>
        <w:t xml:space="preserve">France</w:t>
      </w:r>
      <w:r>
        <w:t xml:space="preserve"> </w:t>
      </w:r>
      <w:r>
        <w:t xml:space="preserve">67.20</w:t>
      </w:r>
      <w:r>
        <w:t xml:space="preserve"> </w:t>
      </w:r>
      <w:r>
        <w:t xml:space="preserve">68.04</w:t>
      </w:r>
      <w:r>
        <w:t xml:space="preserve"> </w:t>
      </w:r>
      <w:r>
        <w:t xml:space="preserve">68.75</w:t>
      </w:r>
      <w:r>
        <w:t xml:space="preserve"> </w:t>
      </w:r>
      <w:r>
        <w:t xml:space="preserve">0.7%</w:t>
      </w:r>
      <w:r>
        <w:t xml:space="preserve"> </w:t>
      </w:r>
      <w:r>
        <w:t xml:space="preserve">1.0%</w:t>
      </w:r>
      <w:r>
        <w:t xml:space="preserve"> </w:t>
      </w:r>
      <w:r>
        <w:t xml:space="preserve">Germany</w:t>
      </w:r>
      <w:r>
        <w:t xml:space="preserve"> </w:t>
      </w:r>
      <w:r>
        <w:t xml:space="preserve">83.14</w:t>
      </w:r>
      <w:r>
        <w:t xml:space="preserve"> </w:t>
      </w:r>
      <w:r>
        <w:t xml:space="preserve">83.48</w:t>
      </w:r>
      <w:r>
        <w:t xml:space="preserve"> </w:t>
      </w:r>
      <w:r>
        <w:t xml:space="preserve">83.45</w:t>
      </w:r>
      <w:r>
        <w:t xml:space="preserve"> </w:t>
      </w:r>
      <w:r>
        <w:t xml:space="preserve">0.8%</w:t>
      </w:r>
      <w:r>
        <w:t xml:space="preserve"> </w:t>
      </w:r>
      <w:r>
        <w:t xml:space="preserve">0.7%</w:t>
      </w:r>
      <w:r>
        <w:t xml:space="preserve"> </w:t>
      </w:r>
      <w:r>
        <w:t xml:space="preserve">Greece</w:t>
      </w:r>
      <w:r>
        <w:t xml:space="preserve"> </w:t>
      </w:r>
      <w:r>
        <w:t xml:space="preserve">10.70</w:t>
      </w:r>
      <w:r>
        <w:t xml:space="preserve"> </w:t>
      </w:r>
      <w:r>
        <w:t xml:space="preserve">10.51</w:t>
      </w:r>
      <w:r>
        <w:t xml:space="preserve"> </w:t>
      </w:r>
      <w:r>
        <w:t xml:space="preserve">10.30</w:t>
      </w:r>
      <w:r>
        <w:t xml:space="preserve"> </w:t>
      </w:r>
      <w:r>
        <w:t xml:space="preserve">0.7%</w:t>
      </w:r>
      <w:r>
        <w:t xml:space="preserve"> </w:t>
      </w:r>
      <w:r>
        <w:t xml:space="preserve">0.6%</w:t>
      </w:r>
      <w:r>
        <w:t xml:space="preserve"> </w:t>
      </w:r>
      <w:r>
        <w:t xml:space="preserve">Hungary</w:t>
      </w:r>
      <w:r>
        <w:t xml:space="preserve"> </w:t>
      </w:r>
      <w:r>
        <w:t xml:space="preserve">9.77</w:t>
      </w:r>
      <w:r>
        <w:t xml:space="preserve"> </w:t>
      </w:r>
      <w:r>
        <w:t xml:space="preserve">9.70</w:t>
      </w:r>
      <w:r>
        <w:t xml:space="preserve"> </w:t>
      </w:r>
      <w:r>
        <w:t xml:space="preserve">9.62</w:t>
      </w:r>
      <w:r>
        <w:t xml:space="preserve"> </w:t>
      </w:r>
      <w:r>
        <w:t xml:space="preserve">1.8%</w:t>
      </w:r>
      <w:r>
        <w:t xml:space="preserve"> </w:t>
      </w:r>
      <w:r>
        <w:t xml:space="preserve">2.6%</w:t>
      </w:r>
      <w:r>
        <w:t xml:space="preserve"> </w:t>
      </w:r>
      <w:r>
        <w:t xml:space="preserve">Ireland</w:t>
      </w:r>
      <w:r>
        <w:t xml:space="preserve"> </w:t>
      </w:r>
      <w:r>
        <w:t xml:space="preserve">4.97</w:t>
      </w:r>
      <w:r>
        <w:t xml:space="preserve"> </w:t>
      </w:r>
      <w:r>
        <w:t xml:space="preserve">5.27</w:t>
      </w:r>
      <w:r>
        <w:t xml:space="preserve"> </w:t>
      </w:r>
      <w:r>
        <w:t xml:space="preserve">5.50</w:t>
      </w:r>
      <w:r>
        <w:t xml:space="preserve"> </w:t>
      </w:r>
      <w:r>
        <w:t xml:space="preserve">2.0%</w:t>
      </w:r>
      <w:r>
        <w:t xml:space="preserve"> </w:t>
      </w:r>
      <w:r>
        <w:t xml:space="preserve">1.7%</w:t>
      </w:r>
      <w:r>
        <w:t xml:space="preserve"> </w:t>
      </w:r>
      <w:r>
        <w:t xml:space="preserve">Italy</w:t>
      </w:r>
      <w:r>
        <w:t xml:space="preserve"> </w:t>
      </w:r>
      <w:r>
        <w:t xml:space="preserve">60.29</w:t>
      </w:r>
      <w:r>
        <w:t xml:space="preserve"> </w:t>
      </w:r>
      <w:r>
        <w:t xml:space="preserve">60.09</w:t>
      </w:r>
      <w:r>
        <w:t xml:space="preserve"> </w:t>
      </w:r>
      <w:r>
        <w:t xml:space="preserve">59.94</w:t>
      </w:r>
      <w:r>
        <w:t xml:space="preserve"> </w:t>
      </w:r>
      <w:r>
        <w:t xml:space="preserve">0.3%</w:t>
      </w:r>
      <w:r>
        <w:t xml:space="preserve"> </w:t>
      </w:r>
      <w:r>
        <w:t xml:space="preserve">0.3%</w:t>
      </w:r>
      <w:r>
        <w:t xml:space="preserve"> </w:t>
      </w:r>
      <w:r>
        <w:t xml:space="preserve">Latvia</w:t>
      </w:r>
      <w:r>
        <w:t xml:space="preserve"> </w:t>
      </w:r>
      <w:r>
        <w:t xml:space="preserve">1.91</w:t>
      </w:r>
      <w:r>
        <w:t xml:space="preserve"> </w:t>
      </w:r>
      <w:r>
        <w:t xml:space="preserve">1.82</w:t>
      </w:r>
      <w:r>
        <w:t xml:space="preserve"> </w:t>
      </w:r>
      <w:r>
        <w:t xml:space="preserve">1.71</w:t>
      </w:r>
      <w:r>
        <w:t xml:space="preserve"> </w:t>
      </w:r>
      <w:r>
        <w:t xml:space="preserve">1.4%</w:t>
      </w:r>
      <w:r>
        <w:t xml:space="preserve"> </w:t>
      </w:r>
      <w:r>
        <w:t xml:space="preserve">1.9%</w:t>
      </w:r>
      <w:r>
        <w:t xml:space="preserve"> </w:t>
      </w:r>
      <w:r>
        <w:t xml:space="preserve">Lithuania</w:t>
      </w:r>
      <w:r>
        <w:t xml:space="preserve"> </w:t>
      </w:r>
      <w:r>
        <w:t xml:space="preserve">2.79</w:t>
      </w:r>
      <w:r>
        <w:t xml:space="preserve"> </w:t>
      </w:r>
      <w:r>
        <w:t xml:space="preserve">2.71</w:t>
      </w:r>
      <w:r>
        <w:t xml:space="preserve"> </w:t>
      </w:r>
      <w:r>
        <w:t xml:space="preserve">2.58</w:t>
      </w:r>
      <w:r>
        <w:t xml:space="preserve"> </w:t>
      </w:r>
      <w:r>
        <w:t xml:space="preserve">1.7%</w:t>
      </w:r>
      <w:r>
        <w:t xml:space="preserve"> </w:t>
      </w:r>
      <w:r>
        <w:t xml:space="preserve">1.5%</w:t>
      </w:r>
      <w:r>
        <w:t xml:space="preserve"> </w:t>
      </w:r>
      <w:r>
        <w:t xml:space="preserve">Luxembourg</w:t>
      </w:r>
      <w:r>
        <w:t xml:space="preserve"> </w:t>
      </w:r>
      <w:r>
        <w:t xml:space="preserve">0.63</w:t>
      </w:r>
      <w:r>
        <w:t xml:space="preserve"> </w:t>
      </w:r>
      <w:r>
        <w:t xml:space="preserve">0.66</w:t>
      </w:r>
      <w:r>
        <w:t xml:space="preserve"> </w:t>
      </w:r>
      <w:r>
        <w:t xml:space="preserve">0.69</w:t>
      </w:r>
      <w:r>
        <w:t xml:space="preserve"> </w:t>
      </w:r>
      <w:r>
        <w:t xml:space="preserve">1.7%</w:t>
      </w:r>
      <w:r>
        <w:t xml:space="preserve"> </w:t>
      </w:r>
      <w:r>
        <w:t xml:space="preserve">2.0%</w:t>
      </w:r>
      <w:r>
        <w:t xml:space="preserve"> </w:t>
      </w:r>
      <w:r>
        <w:t xml:space="preserve">Malta</w:t>
      </w:r>
      <w:r>
        <w:t xml:space="preserve"> </w:t>
      </w:r>
      <w:r>
        <w:t xml:space="preserve">0.51</w:t>
      </w:r>
      <w:r>
        <w:t xml:space="preserve"> </w:t>
      </w:r>
      <w:r>
        <w:t xml:space="preserve">0.56</w:t>
      </w:r>
      <w:r>
        <w:t xml:space="preserve"> </w:t>
      </w:r>
      <w:r>
        <w:t xml:space="preserve">0.59</w:t>
      </w:r>
      <w:r>
        <w:t xml:space="preserve"> </w:t>
      </w:r>
      <w:r>
        <w:t xml:space="preserve">2.7%</w:t>
      </w:r>
      <w:r>
        <w:t xml:space="preserve"> </w:t>
      </w:r>
      <w:r>
        <w:t xml:space="preserve">4.1%</w:t>
      </w:r>
      <w:r>
        <w:t xml:space="preserve"> </w:t>
      </w:r>
      <w:r>
        <w:t xml:space="preserve">Netherlands</w:t>
      </w:r>
      <w:r>
        <w:t xml:space="preserve"> </w:t>
      </w:r>
      <w:r>
        <w:t xml:space="preserve">17.40</w:t>
      </w:r>
      <w:r>
        <w:t xml:space="preserve"> </w:t>
      </w:r>
      <w:r>
        <w:t xml:space="preserve">17.75</w:t>
      </w:r>
      <w:r>
        <w:t xml:space="preserve"> </w:t>
      </w:r>
      <w:r>
        <w:t xml:space="preserve">17.97</w:t>
      </w:r>
      <w:r>
        <w:t xml:space="preserve"> </w:t>
      </w:r>
      <w:r>
        <w:t xml:space="preserve">0.7%</w:t>
      </w:r>
      <w:r>
        <w:t xml:space="preserve"> </w:t>
      </w:r>
      <w:r>
        <w:t xml:space="preserve">0.7%</w:t>
      </w:r>
      <w:r>
        <w:t xml:space="preserve"> </w:t>
      </w:r>
      <w:r>
        <w:t xml:space="preserve">Poland</w:t>
      </w:r>
      <w:r>
        <w:t xml:space="preserve"> </w:t>
      </w:r>
      <w:r>
        <w:t xml:space="preserve">37.94</w:t>
      </w:r>
      <w:r>
        <w:t xml:space="preserve"> </w:t>
      </w:r>
      <w:r>
        <w:t xml:space="preserve">37.57</w:t>
      </w:r>
      <w:r>
        <w:t xml:space="preserve"> </w:t>
      </w:r>
      <w:r>
        <w:t xml:space="preserve">37.02</w:t>
      </w:r>
      <w:r>
        <w:t xml:space="preserve"> </w:t>
      </w:r>
      <w:r>
        <w:t xml:space="preserve">2.1%</w:t>
      </w:r>
      <w:r>
        <w:t xml:space="preserve"> </w:t>
      </w:r>
      <w:r>
        <w:t xml:space="preserve">2.4%</w:t>
      </w:r>
      <w:r>
        <w:t xml:space="preserve"> </w:t>
      </w:r>
      <w:r>
        <w:t xml:space="preserve">Portugal</w:t>
      </w:r>
      <w:r>
        <w:t xml:space="preserve"> </w:t>
      </w:r>
      <w:r>
        <w:t xml:space="preserve">10.29</w:t>
      </w:r>
      <w:r>
        <w:t xml:space="preserve"> </w:t>
      </w:r>
      <w:r>
        <w:t xml:space="preserve">10.22</w:t>
      </w:r>
      <w:r>
        <w:t xml:space="preserve"> </w:t>
      </w:r>
      <w:r>
        <w:t xml:space="preserve">10.09</w:t>
      </w:r>
      <w:r>
        <w:t xml:space="preserve"> </w:t>
      </w:r>
      <w:r>
        <w:t xml:space="preserve">0.8%</w:t>
      </w:r>
      <w:r>
        <w:t xml:space="preserve"> </w:t>
      </w:r>
      <w:r>
        <w:t xml:space="preserve">0.8%</w:t>
      </w:r>
      <w:r>
        <w:t xml:space="preserve"> </w:t>
      </w:r>
      <w:r>
        <w:t xml:space="preserve">Romania</w:t>
      </w:r>
      <w:r>
        <w:t xml:space="preserve"> </w:t>
      </w:r>
      <w:r>
        <w:t xml:space="preserve">19.28</w:t>
      </w:r>
      <w:r>
        <w:t xml:space="preserve"> </w:t>
      </w:r>
      <w:r>
        <w:t xml:space="preserve">18.51</w:t>
      </w:r>
      <w:r>
        <w:t xml:space="preserve"> </w:t>
      </w:r>
      <w:r>
        <w:t xml:space="preserve">17.81</w:t>
      </w:r>
      <w:r>
        <w:t xml:space="preserve"> </w:t>
      </w:r>
      <w:r>
        <w:t xml:space="preserve">2.7%</w:t>
      </w:r>
      <w:r>
        <w:t xml:space="preserve"> </w:t>
      </w:r>
      <w:r>
        <w:t xml:space="preserve">3.0%</w:t>
      </w:r>
      <w:r>
        <w:t xml:space="preserve"> </w:t>
      </w:r>
      <w:r>
        <w:t xml:space="preserve">Slovakia</w:t>
      </w:r>
      <w:r>
        <w:t xml:space="preserve"> </w:t>
      </w:r>
      <w:r>
        <w:t xml:space="preserve">5.46</w:t>
      </w:r>
      <w:r>
        <w:t xml:space="preserve"> </w:t>
      </w:r>
      <w:r>
        <w:t xml:space="preserve">5.47</w:t>
      </w:r>
      <w:r>
        <w:t xml:space="preserve"> </w:t>
      </w:r>
      <w:r>
        <w:t xml:space="preserve">5.44</w:t>
      </w:r>
      <w:r>
        <w:t xml:space="preserve"> </w:t>
      </w:r>
      <w:r>
        <w:t xml:space="preserve">1.1%</w:t>
      </w:r>
      <w:r>
        <w:t xml:space="preserve"> </w:t>
      </w:r>
      <w:r>
        <w:t xml:space="preserve">1.7%</w:t>
      </w:r>
      <w:r>
        <w:t xml:space="preserve"> </w:t>
      </w:r>
      <w:r>
        <w:t xml:space="preserve">Slovenia</w:t>
      </w:r>
      <w:r>
        <w:t xml:space="preserve"> </w:t>
      </w:r>
      <w:r>
        <w:t xml:space="preserve">2.10</w:t>
      </w:r>
      <w:r>
        <w:t xml:space="preserve"> </w:t>
      </w:r>
      <w:r>
        <w:t xml:space="preserve">2.11</w:t>
      </w:r>
      <w:r>
        <w:t xml:space="preserve"> </w:t>
      </w:r>
      <w:r>
        <w:t xml:space="preserve">2.11</w:t>
      </w:r>
      <w:r>
        <w:t xml:space="preserve"> </w:t>
      </w:r>
      <w:r>
        <w:t xml:space="preserve">2.1%</w:t>
      </w:r>
      <w:r>
        <w:t xml:space="preserve"> </w:t>
      </w:r>
      <w:r>
        <w:t xml:space="preserve">2.4%</w:t>
      </w:r>
      <w:r>
        <w:t xml:space="preserve"> </w:t>
      </w:r>
      <w:r>
        <w:t xml:space="preserve">Spain</w:t>
      </w:r>
      <w:r>
        <w:t xml:space="preserve"> </w:t>
      </w:r>
      <w:r>
        <w:t xml:space="preserve">47.32</w:t>
      </w:r>
      <w:r>
        <w:t xml:space="preserve"> </w:t>
      </w:r>
      <w:r>
        <w:t xml:space="preserve">48.31</w:t>
      </w:r>
      <w:r>
        <w:t xml:space="preserve"> </w:t>
      </w:r>
      <w:r>
        <w:t xml:space="preserve">48.75</w:t>
      </w:r>
      <w:r>
        <w:t xml:space="preserve"> </w:t>
      </w:r>
      <w:r>
        <w:t xml:space="preserve">0.9%</w:t>
      </w:r>
      <w:r>
        <w:t xml:space="preserve"> </w:t>
      </w:r>
      <w:r>
        <w:t xml:space="preserve">1.6%</w:t>
      </w:r>
      <w:r>
        <w:t xml:space="preserve"> </w:t>
      </w:r>
      <w:r>
        <w:t xml:space="preserve">Sweden</w:t>
      </w:r>
      <w:r>
        <w:t xml:space="preserve"> </w:t>
      </w:r>
      <w:r>
        <w:t xml:space="preserve">10.32</w:t>
      </w:r>
      <w:r>
        <w:t xml:space="preserve"> </w:t>
      </w:r>
      <w:r>
        <w:t xml:space="preserve">10.75</w:t>
      </w:r>
      <w:r>
        <w:t xml:space="preserve"> </w:t>
      </w:r>
      <w:r>
        <w:t xml:space="preserve">11.10</w:t>
      </w:r>
      <w:r>
        <w:t xml:space="preserve"> </w:t>
      </w:r>
      <w:r>
        <w:t xml:space="preserve">1.4%</w:t>
      </w:r>
      <w:r>
        <w:t xml:space="preserve"> </w:t>
      </w:r>
      <w:r>
        <w:t xml:space="preserve">2.2%</w:t>
      </w:r>
      <w:r>
        <w:t xml:space="preserve"> </w:t>
      </w:r>
      <w:r>
        <w:t xml:space="preserve">Beyond the update of the population and growth assumptions, an update of the projections on the</w:t>
      </w:r>
      <w:r>
        <w:t xml:space="preserve"> </w:t>
      </w:r>
      <w:r>
        <w:t xml:space="preserve">sectoral composition of GDP was also carried out using the GEM-E3 computable general equilibrium</w:t>
      </w:r>
      <w:r>
        <w:t xml:space="preserve"> </w:t>
      </w:r>
      <w:r>
        <w:t xml:space="preserve">model. These projections take into account the potential medium- to long-term impacts of the COVID-</w:t>
      </w:r>
      <w:r>
        <w:t xml:space="preserve"> </w:t>
      </w:r>
      <w:r>
        <w:t xml:space="preserve">19 crisis on the structure of the economy, even though there are inherent uncertainties related to its</w:t>
      </w:r>
      <w:r>
        <w:t xml:space="preserve"> </w:t>
      </w:r>
      <w:r>
        <w:t xml:space="preserve">eventual impacts. Overall, conservative assumptions were made regarding the medium-term impacts</w:t>
      </w:r>
      <w:r>
        <w:t xml:space="preserve"> </w:t>
      </w:r>
      <w:r>
        <w:t xml:space="preserve">of the pandemic on the re-localisation of global value chains, teleworking and teleconferencing and</w:t>
      </w:r>
      <w:r>
        <w:t xml:space="preserve"> </w:t>
      </w:r>
      <w:r>
        <w:t xml:space="preserve">global tourism.</w:t>
      </w:r>
      <w:r>
        <w:t xml:space="preserve"> </w:t>
      </w:r>
      <w:r>
        <w:t xml:space="preserve">International energy prices assumptions</w:t>
      </w:r>
      <w:r>
        <w:br/>
      </w:r>
      <w:r>
        <w:t xml:space="preserve">Alongside socio-economic projections, transport modelling requires projections of international</w:t>
      </w:r>
      <w:r>
        <w:t xml:space="preserve"> </w:t>
      </w:r>
      <w:r>
        <w:t xml:space="preserve">fuel prices. The table below shows the oil prices assumptions of the baseline and policy options</w:t>
      </w:r>
      <w:r>
        <w:t xml:space="preserve"> </w:t>
      </w:r>
      <w:r>
        <w:t xml:space="preserve">of this impact assessment, that draw on the modelling underpinning the REPowerEU package184.</w:t>
      </w:r>
      <w:r>
        <w:br/>
      </w:r>
      <w:r>
        <w:t xml:space="preserve">Table 21: Oil prices assumptions</w:t>
      </w:r>
    </w:p>
    <w:p>
      <w:pPr>
        <w:pStyle w:val="BodyText"/>
      </w:pPr>
      <w:r>
        <w:t xml:space="preserve">184 SWD(2022)230 final.</w:t>
      </w:r>
    </w:p>
    <w:p>
      <w:pPr>
        <w:pStyle w:val="BodyText"/>
      </w:pPr>
      <w:r>
        <w:t xml:space="preserve">86</w:t>
      </w:r>
    </w:p>
    <w:p>
      <w:pPr>
        <w:pStyle w:val="BodyText"/>
      </w:pPr>
      <w:r>
        <w:t xml:space="preserve">Oil</w:t>
      </w:r>
      <w:r>
        <w:t xml:space="preserve"> </w:t>
      </w: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in $’15 per boe</w:t>
      </w:r>
      <w:r>
        <w:t xml:space="preserve"> </w:t>
      </w:r>
      <w:r>
        <w:t xml:space="preserve">52.3</w:t>
      </w:r>
      <w:r>
        <w:t xml:space="preserve"> </w:t>
      </w:r>
      <w:r>
        <w:t xml:space="preserve">39.8</w:t>
      </w:r>
      <w:r>
        <w:t xml:space="preserve"> </w:t>
      </w:r>
      <w:r>
        <w:t xml:space="preserve">92.1</w:t>
      </w:r>
      <w:r>
        <w:t xml:space="preserve"> </w:t>
      </w:r>
      <w:r>
        <w:t xml:space="preserve">97.4</w:t>
      </w:r>
      <w:r>
        <w:t xml:space="preserve"> </w:t>
      </w:r>
      <w:r>
        <w:t xml:space="preserve">117.9</w:t>
      </w:r>
      <w:r>
        <w:t xml:space="preserve"> </w:t>
      </w:r>
      <w:r>
        <w:t xml:space="preserve">in €’15 per boe</w:t>
      </w:r>
      <w:r>
        <w:t xml:space="preserve"> </w:t>
      </w:r>
      <w:r>
        <w:t xml:space="preserve">47.2</w:t>
      </w:r>
      <w:r>
        <w:t xml:space="preserve"> </w:t>
      </w:r>
      <w:r>
        <w:t xml:space="preserve">35.8</w:t>
      </w:r>
      <w:r>
        <w:t xml:space="preserve"> </w:t>
      </w:r>
      <w:r>
        <w:t xml:space="preserve">83.0</w:t>
      </w:r>
      <w:r>
        <w:t xml:space="preserve"> </w:t>
      </w:r>
      <w:r>
        <w:t xml:space="preserve">87.8</w:t>
      </w:r>
      <w:r>
        <w:t xml:space="preserve"> </w:t>
      </w:r>
      <w:r>
        <w:t xml:space="preserve">106.3</w:t>
      </w:r>
    </w:p>
    <w:p>
      <w:pPr>
        <w:pStyle w:val="BodyText"/>
      </w:pPr>
      <w:r>
        <w:t xml:space="preserve">Technology assumptions</w:t>
      </w:r>
      <w:r>
        <w:t xml:space="preserve"> </w:t>
      </w:r>
      <w:r>
        <w:t xml:space="preserve">Modelling scenarios is highly dependent on the assumptions on the development of technologies, both</w:t>
      </w:r>
      <w:r>
        <w:t xml:space="preserve"> </w:t>
      </w:r>
      <w:r>
        <w:t xml:space="preserve">in terms of performance and costs. For the purpose of the impact assessments related to the “Climate</w:t>
      </w:r>
      <w:r>
        <w:t xml:space="preserve"> </w:t>
      </w:r>
      <w:r>
        <w:t xml:space="preserve">Target Plan” and the “Fit for 55” policy package, these assumptions have been updated based on a</w:t>
      </w:r>
      <w:r>
        <w:t xml:space="preserve"> </w:t>
      </w:r>
      <w:r>
        <w:t xml:space="preserve">rigorous literature review carried out by external consultants in collaboration with the JRC. Continuing</w:t>
      </w:r>
      <w:r>
        <w:t xml:space="preserve"> </w:t>
      </w:r>
      <w:r>
        <w:t xml:space="preserve">the approach adopted in the long-term strategy in 2018, the Commission consulted on the technology</w:t>
      </w:r>
      <w:r>
        <w:t xml:space="preserve"> </w:t>
      </w:r>
      <w:r>
        <w:t xml:space="preserve">assumption with stakeholders in 2019. In particular, the technology database of the PRIMES and</w:t>
      </w:r>
      <w:r>
        <w:t xml:space="preserve"> </w:t>
      </w:r>
      <w:r>
        <w:t xml:space="preserve">PRIMES-TREMOVE models (together with GAINS, GLOBIOM, and CAPRI) benefited from a</w:t>
      </w:r>
      <w:r>
        <w:t xml:space="preserve"> </w:t>
      </w:r>
      <w:r>
        <w:t xml:space="preserve">dedicated consultation workshop held on 11th November 2019. EU Member States representatives also</w:t>
      </w:r>
      <w:r>
        <w:t xml:space="preserve"> </w:t>
      </w:r>
      <w:r>
        <w:t xml:space="preserve">had the opportunity to comment on the costs elements during a workshop held on 25th November 2019.</w:t>
      </w:r>
      <w:r>
        <w:t xml:space="preserve"> </w:t>
      </w:r>
      <w:r>
        <w:t xml:space="preserve">The updated technology assumptions are published together with the EU Reference Scenario 2020185.</w:t>
      </w:r>
      <w:r>
        <w:t xml:space="preserve"> </w:t>
      </w:r>
      <w:r>
        <w:t xml:space="preserve">The same assumptions have been used in the context of this impact assessment.</w:t>
      </w:r>
      <w:r>
        <w:t xml:space="preserve"> </w:t>
      </w:r>
      <w:r>
        <w:t xml:space="preserve">Policies in the Baseline scenario</w:t>
      </w:r>
      <w:r>
        <w:br/>
      </w:r>
      <w:r>
        <w:t xml:space="preserve">Building on REF2020, the baseline has been designed to include the initiatives of the ‘Fit for 55’</w:t>
      </w:r>
      <w:r>
        <w:t xml:space="preserve"> </w:t>
      </w:r>
      <w:r>
        <w:t xml:space="preserve">package proposed by the Commission on 14 July 2021186 and the initiatives of the RePowerEU</w:t>
      </w:r>
      <w:r>
        <w:t xml:space="preserve"> </w:t>
      </w:r>
      <w:r>
        <w:t xml:space="preserve">package proposed by the Commission on 18 May 2022187. In terms of GHG emissions</w:t>
      </w:r>
      <w:r>
        <w:t xml:space="preserve"> </w:t>
      </w:r>
      <w:r>
        <w:t xml:space="preserve">accounting, the Baseline scenario assumes no further EU level intervention beyond the current</w:t>
      </w:r>
      <w:r>
        <w:t xml:space="preserve"> </w:t>
      </w:r>
      <w:r>
        <w:t xml:space="preserve">initiatives in place at national level and enterprise level.</w:t>
      </w:r>
      <w:r>
        <w:br/>
      </w:r>
      <w:r>
        <w:t xml:space="preserve">The baseline also incorporates foresight megatrends188 and developments captured in the 2022</w:t>
      </w:r>
      <w:r>
        <w:t xml:space="preserve"> </w:t>
      </w:r>
      <w:r>
        <w:t xml:space="preserve">Strategic Foresight Report189. Among others, it captures the trend of increasing demand for</w:t>
      </w:r>
      <w:r>
        <w:t xml:space="preserve"> </w:t>
      </w:r>
      <w:r>
        <w:t xml:space="preserve">transport as population and living standards grow as well as the links between the digital and</w:t>
      </w:r>
      <w:r>
        <w:t xml:space="preserve"> </w:t>
      </w:r>
      <w:r>
        <w:t xml:space="preserve">green transition. In particular, the projected transport activity draws on the long-term population</w:t>
      </w:r>
      <w:r>
        <w:t xml:space="preserve"> </w:t>
      </w:r>
      <w:r>
        <w:t xml:space="preserve">projections from Eurostat and GDP growth from the Ageing Report 2021190 by the Directorate</w:t>
      </w:r>
      <w:r>
        <w:t xml:space="preserve"> </w:t>
      </w:r>
      <w:r>
        <w:t xml:space="preserve">General for Economic and Financial Affairs.</w:t>
      </w:r>
      <w:r>
        <w:t xml:space="preserve"> </w:t>
      </w:r>
      <w:r>
        <w:t xml:space="preserve">Baseline scenario results</w:t>
      </w:r>
      <w:r>
        <w:t xml:space="preserve"> </w:t>
      </w:r>
      <w:r>
        <w:t xml:space="preserve">Transport activity. In the Baseline scenario, EU transport activity is projected to grow post-2020,</w:t>
      </w:r>
      <w:r>
        <w:t xml:space="preserve"> </w:t>
      </w:r>
      <w:r>
        <w:t xml:space="preserve">following the recovery from the COVID pandemic. Road transport would maintain its dominant</w:t>
      </w:r>
      <w:r>
        <w:t xml:space="preserve"> </w:t>
      </w:r>
      <w:r>
        <w:t xml:space="preserve">role within the EU by 2050. Rail transport activity is projected to grow significantly faster than</w:t>
      </w:r>
      <w:r>
        <w:t xml:space="preserve"> </w:t>
      </w:r>
      <w:r>
        <w:t xml:space="preserve">for road, driven in particular by the completion of the TEN-T core network by 2030 and of the</w:t>
      </w:r>
      <w:r>
        <w:t xml:space="preserve"> </w:t>
      </w:r>
      <w:r>
        <w:t xml:space="preserve">comprehensive network by 2050, supported by the CEF, Cohesion Fund and ERDF funding, but</w:t>
      </w:r>
      <w:r>
        <w:t xml:space="preserve"> </w:t>
      </w:r>
      <w:r>
        <w:t xml:space="preserve">also by measures of the ‘Fit for 55’ package that increase to some extent the competitiveness of</w:t>
      </w:r>
      <w:r>
        <w:t xml:space="preserve"> </w:t>
      </w:r>
      <w:r>
        <w:t xml:space="preserve">rail relative to road and air transport. Passenger rail activity is projected to go up by 24% by 2030</w:t>
      </w:r>
    </w:p>
    <w:p>
      <w:pPr>
        <w:pStyle w:val="BodyText"/>
      </w:pPr>
      <w:r>
        <w:t xml:space="preserve">185 EU Reference Scenario 2020 (europa.eu)</w:t>
      </w:r>
      <w:r>
        <w:t xml:space="preserve"> </w:t>
      </w:r>
      <w:r>
        <w:t xml:space="preserve">186 https://ec.europa.eu/info/strategy/priorities-2019-2024/european-green-deal/delivering-european-green-deal_en</w:t>
      </w:r>
      <w:r>
        <w:t xml:space="preserve"> </w:t>
      </w:r>
      <w:r>
        <w:t xml:space="preserve">187 https://ec.europa.eu/commission/presscorner/detail/en/IP_22_3131</w:t>
      </w:r>
      <w:r>
        <w:t xml:space="preserve"> </w:t>
      </w:r>
      <w:r>
        <w:t xml:space="preserve">188 https://knowledge4policy.ec.europa.eu/foresight/tool/megatrends-hub_en#explore</w:t>
      </w:r>
      <w:r>
        <w:br/>
      </w:r>
      <w:r>
        <w:t xml:space="preserve">189 COM(2022) 289 final of 29 June 2022.</w:t>
      </w:r>
      <w:r>
        <w:t xml:space="preserve"> </w:t>
      </w:r>
      <w:r>
        <w:t xml:space="preserve">190 The 2021 Ageing Report : Underlying assumptions and projection methodologies The 2021 Ageing Report:</w:t>
      </w:r>
      <w:r>
        <w:t xml:space="preserve"> </w:t>
      </w:r>
      <w:r>
        <w:t xml:space="preserve">Underlying Assumptions and Projection Methodologies | European Commission (europa.eu)</w:t>
      </w:r>
    </w:p>
    <w:p>
      <w:pPr>
        <w:pStyle w:val="BodyText"/>
      </w:pPr>
      <w:r>
        <w:t xml:space="preserve">87</w:t>
      </w:r>
    </w:p>
    <w:p>
      <w:pPr>
        <w:pStyle w:val="BodyText"/>
      </w:pPr>
      <w:r>
        <w:t xml:space="preserve">relative to 2015 (67% for 2015-2050). High speed rail activity, in particular, would grow by 68%</w:t>
      </w:r>
      <w:r>
        <w:t xml:space="preserve"> </w:t>
      </w:r>
      <w:r>
        <w:t xml:space="preserve">by 2030 relative to 2015 (165% by 2050), missing however to deliver on the milestone of the</w:t>
      </w:r>
      <w:r>
        <w:t xml:space="preserve"> </w:t>
      </w:r>
      <w:r>
        <w:t xml:space="preserve">SSMS of doubling its traffic by 2030 and tripling it by 2050. Freight rail traffic would increase</w:t>
      </w:r>
      <w:r>
        <w:t xml:space="preserve"> </w:t>
      </w:r>
      <w:r>
        <w:t xml:space="preserve">by 42% by 2030 relative to 2015 (91% for 2015-2050) also not delivering on the milestone of</w:t>
      </w:r>
      <w:r>
        <w:t xml:space="preserve"> </w:t>
      </w:r>
      <w:r>
        <w:t xml:space="preserve">the SSMS of increasing the traffic by 50% by 2030 and doubling it by 2050.</w:t>
      </w:r>
      <w:r>
        <w:br/>
      </w:r>
      <w:r>
        <w:t xml:space="preserve">GHG emissions and air pollutant emissions. Well-to-wheel GHG emissions from transport</w:t>
      </w:r>
      <w:r>
        <w:t xml:space="preserve"> </w:t>
      </w:r>
      <w:r>
        <w:t xml:space="preserve">including international aviation and maritime, are projected to be 26% lower by 2030 compared</w:t>
      </w:r>
      <w:r>
        <w:t xml:space="preserve"> </w:t>
      </w:r>
      <w:r>
        <w:t xml:space="preserve">to 2015, and 89% lower by 2050. NOx emissions are projected to go down by 56% between</w:t>
      </w:r>
      <w:r>
        <w:t xml:space="preserve"> </w:t>
      </w:r>
      <w:r>
        <w:t xml:space="preserve">2015 and 2030 (87% by 2050), mainly driven by the electrification of the road transport and in</w:t>
      </w:r>
      <w:r>
        <w:t xml:space="preserve"> </w:t>
      </w:r>
      <w:r>
        <w:t xml:space="preserve">particular of the light duty vehicles segment. The decline in particulate matter (PM2.5) would be</w:t>
      </w:r>
      <w:r>
        <w:t xml:space="preserve"> </w:t>
      </w:r>
      <w:r>
        <w:t xml:space="preserve">slightly lower by 2030 at 53% relative to 2015 (91% by 2050).</w:t>
      </w:r>
      <w:r>
        <w:t xml:space="preserve"> </w:t>
      </w:r>
      <w:r>
        <w:t xml:space="preserve">Number of businesses in the transport sector and other sectors performing transport on own account.</w:t>
      </w:r>
      <w:r>
        <w:t xml:space="preserve"> </w:t>
      </w:r>
      <w:r>
        <w:t xml:space="preserve">The number of enterprises in the transport sector and other sectors performing transport on own</w:t>
      </w:r>
      <w:r>
        <w:t xml:space="preserve"> </w:t>
      </w:r>
      <w:r>
        <w:t xml:space="preserve">account is estimated at 1.8 million in 2020 and is projected to remain stable over time.</w:t>
      </w:r>
      <w:r>
        <w:br/>
      </w:r>
      <w:r>
        <w:t xml:space="preserve">Evolution of number of businesses performing GHG emissions accounting at service level. The</w:t>
      </w:r>
      <w:r>
        <w:t xml:space="preserve"> </w:t>
      </w:r>
      <w:r>
        <w:t xml:space="preserve">evidence collected suggests that while quite a high proportion of enterprises already considers</w:t>
      </w:r>
      <w:r>
        <w:t xml:space="preserve"> </w:t>
      </w:r>
      <w:r>
        <w:t xml:space="preserve">their transport emissions at aggregate (i.e. enterprise) level and their share will continue to</w:t>
      </w:r>
      <w:r>
        <w:t xml:space="preserve"> </w:t>
      </w:r>
      <w:r>
        <w:t xml:space="preserve">increase over time, there are very few who consider emissions at the service level. In addition,</w:t>
      </w:r>
      <w:r>
        <w:t xml:space="preserve"> </w:t>
      </w:r>
      <w:r>
        <w:t xml:space="preserve">the growth in the number of business entities who measure transport emissions at the service</w:t>
      </w:r>
      <w:r>
        <w:t xml:space="preserve"> </w:t>
      </w:r>
      <w:r>
        <w:t xml:space="preserve">level is expected to be low in the baseline but also to differ between large enterprises and SMEs.</w:t>
      </w:r>
      <w:r>
        <w:t xml:space="preserve"> </w:t>
      </w:r>
      <w:r>
        <w:t xml:space="preserve">The shares of large enterprises performing GHG emissions accounting at service level in the</w:t>
      </w:r>
      <w:r>
        <w:t xml:space="preserve"> </w:t>
      </w:r>
      <w:r>
        <w:t xml:space="preserve">total number of large enterprises in the baseline scenario for 2020-2050 are provided in Table</w:t>
      </w:r>
      <w:r>
        <w:t xml:space="preserve"> </w:t>
      </w:r>
      <w:r>
        <w:t xml:space="preserve">22, while the total number of large enterprises performing GHG emissions accounting at service</w:t>
      </w:r>
      <w:r>
        <w:t xml:space="preserve"> </w:t>
      </w:r>
      <w:r>
        <w:t xml:space="preserve">level is provided in Table 23Table .</w:t>
      </w:r>
      <w:r>
        <w:t xml:space="preserve"> </w:t>
      </w:r>
      <w:r>
        <w:t xml:space="preserve">Table 22: Shares of large entreprises performing GHG emissions accounting at service level in the baseline</w:t>
      </w:r>
      <w:r>
        <w:t xml:space="preserve"> </w:t>
      </w:r>
      <w:r>
        <w:t xml:space="preserve">scenario</w:t>
      </w:r>
      <w:r>
        <w:br/>
      </w:r>
      <w:r>
        <w:t xml:space="preserve">Transport mode</w:t>
      </w:r>
      <w:r>
        <w:t xml:space="preserve"> </w:t>
      </w:r>
      <w:r>
        <w:t xml:space="preserve">Eurostat NACE-code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Passenger</w:t>
      </w:r>
    </w:p>
    <w:p>
      <w:pPr>
        <w:pStyle w:val="BodyText"/>
      </w:pPr>
      <w:r>
        <w:t xml:space="preserve">Interurban rail</w:t>
      </w:r>
      <w:r>
        <w:t xml:space="preserve"> </w:t>
      </w:r>
      <w:r>
        <w:t xml:space="preserve">8.6% 14.3% 17.1% 25.7% 34.3%</w:t>
      </w:r>
      <w:r>
        <w:t xml:space="preserve"> </w:t>
      </w:r>
      <w:r>
        <w:t xml:space="preserve">Other transport over land</w:t>
      </w:r>
      <w:r>
        <w:t xml:space="preserve"> </w:t>
      </w:r>
      <w:r>
        <w:t xml:space="preserve">0.7%</w:t>
      </w:r>
      <w:r>
        <w:t xml:space="preserve"> </w:t>
      </w:r>
      <w:r>
        <w:t xml:space="preserve">0.7%</w:t>
      </w:r>
      <w:r>
        <w:t xml:space="preserve"> </w:t>
      </w:r>
      <w:r>
        <w:t xml:space="preserve">0.7%</w:t>
      </w:r>
      <w:r>
        <w:t xml:space="preserve"> </w:t>
      </w:r>
      <w:r>
        <w:t xml:space="preserve">0.7%</w:t>
      </w:r>
      <w:r>
        <w:t xml:space="preserve"> </w:t>
      </w:r>
      <w:r>
        <w:t xml:space="preserve">0.7%</w:t>
      </w:r>
      <w:r>
        <w:t xml:space="preserve"> </w:t>
      </w:r>
      <w:r>
        <w:t xml:space="preserve">Maritime</w:t>
      </w:r>
      <w:r>
        <w:t xml:space="preserve"> </w:t>
      </w:r>
      <w:r>
        <w:t xml:space="preserve">13.2% 18.4% 23.7% 28.9% 36.8%</w:t>
      </w:r>
      <w:r>
        <w:t xml:space="preserve"> </w:t>
      </w:r>
      <w:r>
        <w:t xml:space="preserve">Inland navigation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Air</w:t>
      </w:r>
      <w:r>
        <w:t xml:space="preserve"> </w:t>
      </w:r>
      <w:r>
        <w:t xml:space="preserve">22.9% 25.7% 30.0% 37.1% 44.3%</w:t>
      </w:r>
      <w:r>
        <w:t xml:space="preserve"> </w:t>
      </w:r>
      <w:r>
        <w:t xml:space="preserve">Freight</w:t>
      </w:r>
    </w:p>
    <w:p>
      <w:pPr>
        <w:pStyle w:val="BodyText"/>
      </w:pPr>
      <w:r>
        <w:t xml:space="preserve">Road</w:t>
      </w:r>
      <w:r>
        <w:t xml:space="preserve"> </w:t>
      </w:r>
      <w:r>
        <w:t xml:space="preserve">13.7% 18.3% 22.6% 30.4% 37.6%</w:t>
      </w:r>
      <w:r>
        <w:t xml:space="preserve"> </w:t>
      </w:r>
      <w:r>
        <w:t xml:space="preserve">Rail</w:t>
      </w:r>
      <w:r>
        <w:t xml:space="preserve"> </w:t>
      </w:r>
      <w:r>
        <w:t xml:space="preserve">8.1% 13.5% 18.9% 27.0% 35.1%</w:t>
      </w:r>
      <w:r>
        <w:t xml:space="preserve"> </w:t>
      </w:r>
      <w:r>
        <w:t xml:space="preserve">Inland navigation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Maritime</w:t>
      </w:r>
      <w:r>
        <w:t xml:space="preserve"> </w:t>
      </w:r>
      <w:r>
        <w:t xml:space="preserve">13.7% 17.6% 21.6% 29.4% 37.3%</w:t>
      </w:r>
      <w:r>
        <w:t xml:space="preserve"> </w:t>
      </w:r>
      <w:r>
        <w:t xml:space="preserve">Air and space</w:t>
      </w:r>
      <w:r>
        <w:t xml:space="preserve"> </w:t>
      </w:r>
      <w:r>
        <w:t xml:space="preserve">22.2% 22.2% 33.3% 44.4% 44.4%</w:t>
      </w:r>
      <w:r>
        <w:t xml:space="preserve"> </w:t>
      </w:r>
      <w:r>
        <w:t xml:space="preserve">Postal activities</w:t>
      </w:r>
      <w:r>
        <w:t xml:space="preserve"> </w:t>
      </w:r>
      <w:r>
        <w:t xml:space="preserve">8.6% 13.7% 18.2% 26.4% 34.1%</w:t>
      </w:r>
      <w:r>
        <w:t xml:space="preserve"> </w:t>
      </w:r>
      <w:r>
        <w:t xml:space="preserve">Hub operators</w:t>
      </w:r>
    </w:p>
    <w:p>
      <w:pPr>
        <w:pStyle w:val="BodyText"/>
      </w:pPr>
      <w:r>
        <w:t xml:space="preserve">Warehousing and storage</w:t>
      </w:r>
      <w:r>
        <w:t xml:space="preserve"> </w:t>
      </w:r>
      <w:r>
        <w:t xml:space="preserve">2.1%</w:t>
      </w:r>
      <w:r>
        <w:t xml:space="preserve"> </w:t>
      </w:r>
      <w:r>
        <w:t xml:space="preserve">3.1%</w:t>
      </w:r>
      <w:r>
        <w:t xml:space="preserve"> </w:t>
      </w:r>
      <w:r>
        <w:t xml:space="preserve">4.1%</w:t>
      </w:r>
      <w:r>
        <w:t xml:space="preserve"> </w:t>
      </w:r>
      <w:r>
        <w:t xml:space="preserve">5.6%</w:t>
      </w:r>
      <w:r>
        <w:t xml:space="preserve"> </w:t>
      </w:r>
      <w:r>
        <w:t xml:space="preserve">7.7%</w:t>
      </w:r>
      <w:r>
        <w:t xml:space="preserve"> </w:t>
      </w:r>
      <w:r>
        <w:t xml:space="preserve">Support activities for transportation</w:t>
      </w:r>
      <w:r>
        <w:t xml:space="preserve"> </w:t>
      </w:r>
      <w:r>
        <w:t xml:space="preserve">1.0%</w:t>
      </w:r>
      <w:r>
        <w:t xml:space="preserve"> </w:t>
      </w:r>
      <w:r>
        <w:t xml:space="preserve">2.0%</w:t>
      </w:r>
      <w:r>
        <w:t xml:space="preserve"> </w:t>
      </w:r>
      <w:r>
        <w:t xml:space="preserve">3.0%</w:t>
      </w:r>
      <w:r>
        <w:t xml:space="preserve"> </w:t>
      </w:r>
      <w:r>
        <w:t xml:space="preserve">4.9%</w:t>
      </w:r>
      <w:r>
        <w:t xml:space="preserve"> </w:t>
      </w:r>
      <w:r>
        <w:t xml:space="preserve">6.8%</w:t>
      </w:r>
      <w:r>
        <w:t xml:space="preserve"> </w:t>
      </w:r>
      <w:r>
        <w:t xml:space="preserve">Other</w:t>
      </w:r>
    </w:p>
    <w:p>
      <w:pPr>
        <w:pStyle w:val="BodyText"/>
      </w:pPr>
      <w:r>
        <w:t xml:space="preserve">Manufacturing</w:t>
      </w:r>
      <w:r>
        <w:t xml:space="preserve"> </w:t>
      </w:r>
      <w:r>
        <w:t xml:space="preserve">6.3% 11.2% 15.8% 24.4% 32.2%</w:t>
      </w:r>
      <w:r>
        <w:t xml:space="preserve"> </w:t>
      </w:r>
      <w:r>
        <w:t xml:space="preserve">Wholesale and retail</w:t>
      </w:r>
      <w:r>
        <w:t xml:space="preserve"> </w:t>
      </w:r>
      <w:r>
        <w:t xml:space="preserve">6.3% 11.2% 15.8% 24.4% 32.2%</w:t>
      </w:r>
    </w:p>
    <w:p>
      <w:pPr>
        <w:pStyle w:val="BodyText"/>
      </w:pPr>
      <w:r>
        <w:t xml:space="preserve">88</w:t>
      </w:r>
    </w:p>
    <w:p>
      <w:pPr>
        <w:pStyle w:val="BodyText"/>
      </w:pPr>
      <w:r>
        <w:t xml:space="preserve">Transport mode</w:t>
      </w:r>
      <w:r>
        <w:t xml:space="preserve"> </w:t>
      </w:r>
      <w:r>
        <w:t xml:space="preserve">Eurostat NACE-code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</w:p>
    <w:p>
      <w:pPr>
        <w:pStyle w:val="BodyText"/>
      </w:pPr>
      <w:r>
        <w:t xml:space="preserve">Tourism</w:t>
      </w:r>
      <w:r>
        <w:t xml:space="preserve"> </w:t>
      </w:r>
      <w:r>
        <w:t xml:space="preserve">1.7%</w:t>
      </w:r>
      <w:r>
        <w:t xml:space="preserve"> </w:t>
      </w:r>
      <w:r>
        <w:t xml:space="preserve">3.9%</w:t>
      </w:r>
      <w:r>
        <w:t xml:space="preserve"> </w:t>
      </w:r>
      <w:r>
        <w:t xml:space="preserve">6.0% 10.0% 13.5%</w:t>
      </w:r>
      <w:r>
        <w:t xml:space="preserve"> </w:t>
      </w:r>
      <w:r>
        <w:t xml:space="preserve">Source : Ecorys and CE Delft (2023), Impact assessment support study</w:t>
      </w:r>
    </w:p>
    <w:p>
      <w:pPr>
        <w:pStyle w:val="BodyText"/>
      </w:pPr>
      <w:r>
        <w:t xml:space="preserve">Table 23: Number of large entreprises performing GHG emissions accounting at service level in the baseline</w:t>
      </w:r>
      <w:r>
        <w:t xml:space="preserve"> </w:t>
      </w:r>
      <w:r>
        <w:t xml:space="preserve">scenario</w:t>
      </w:r>
      <w:r>
        <w:t xml:space="preserve"> </w:t>
      </w:r>
      <w:r>
        <w:t xml:space="preserve">Transport mode</w:t>
      </w:r>
      <w:r>
        <w:t xml:space="preserve"> </w:t>
      </w:r>
      <w:r>
        <w:t xml:space="preserve">Eurostat NACE-code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Passenger</w:t>
      </w:r>
    </w:p>
    <w:p>
      <w:pPr>
        <w:pStyle w:val="BodyText"/>
      </w:pPr>
      <w:r>
        <w:t xml:space="preserve">Interurban rail</w:t>
      </w:r>
      <w:r>
        <w:t xml:space="preserve"> </w:t>
      </w:r>
      <w:r>
        <w:t xml:space="preserve">3</w:t>
      </w:r>
      <w:r>
        <w:t xml:space="preserve"> </w:t>
      </w:r>
      <w:r>
        <w:t xml:space="preserve">5</w:t>
      </w:r>
      <w:r>
        <w:t xml:space="preserve"> </w:t>
      </w:r>
      <w:r>
        <w:t xml:space="preserve">6</w:t>
      </w:r>
      <w:r>
        <w:t xml:space="preserve"> </w:t>
      </w:r>
      <w:r>
        <w:t xml:space="preserve">9</w:t>
      </w:r>
      <w:r>
        <w:t xml:space="preserve"> </w:t>
      </w:r>
      <w:r>
        <w:t xml:space="preserve">12</w:t>
      </w:r>
      <w:r>
        <w:t xml:space="preserve"> </w:t>
      </w:r>
      <w:r>
        <w:t xml:space="preserve">Other transport over land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Maritime</w:t>
      </w:r>
      <w:r>
        <w:t xml:space="preserve"> </w:t>
      </w:r>
      <w:r>
        <w:t xml:space="preserve">5</w:t>
      </w:r>
      <w:r>
        <w:t xml:space="preserve"> </w:t>
      </w:r>
      <w:r>
        <w:t xml:space="preserve">7</w:t>
      </w:r>
      <w:r>
        <w:t xml:space="preserve"> </w:t>
      </w:r>
      <w:r>
        <w:t xml:space="preserve">9</w:t>
      </w:r>
      <w:r>
        <w:t xml:space="preserve"> </w:t>
      </w:r>
      <w:r>
        <w:t xml:space="preserve">11</w:t>
      </w:r>
      <w:r>
        <w:t xml:space="preserve"> </w:t>
      </w:r>
      <w:r>
        <w:t xml:space="preserve">14</w:t>
      </w:r>
      <w:r>
        <w:t xml:space="preserve"> </w:t>
      </w:r>
      <w:r>
        <w:t xml:space="preserve">Inland navigation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Air</w:t>
      </w:r>
      <w:r>
        <w:t xml:space="preserve"> </w:t>
      </w:r>
      <w:r>
        <w:t xml:space="preserve">16</w:t>
      </w:r>
      <w:r>
        <w:t xml:space="preserve"> </w:t>
      </w:r>
      <w:r>
        <w:t xml:space="preserve">18</w:t>
      </w:r>
      <w:r>
        <w:t xml:space="preserve"> </w:t>
      </w:r>
      <w:r>
        <w:t xml:space="preserve">21</w:t>
      </w:r>
      <w:r>
        <w:t xml:space="preserve"> </w:t>
      </w:r>
      <w:r>
        <w:t xml:space="preserve">26</w:t>
      </w:r>
      <w:r>
        <w:t xml:space="preserve"> </w:t>
      </w:r>
      <w:r>
        <w:t xml:space="preserve">31</w:t>
      </w:r>
      <w:r>
        <w:t xml:space="preserve"> </w:t>
      </w:r>
      <w:r>
        <w:t xml:space="preserve">Freight</w:t>
      </w:r>
    </w:p>
    <w:p>
      <w:pPr>
        <w:pStyle w:val="BodyText"/>
      </w:pPr>
      <w:r>
        <w:t xml:space="preserve">Road</w:t>
      </w:r>
      <w:r>
        <w:t xml:space="preserve"> </w:t>
      </w:r>
      <w:r>
        <w:t xml:space="preserve">88</w:t>
      </w:r>
      <w:r>
        <w:t xml:space="preserve"> </w:t>
      </w:r>
      <w:r>
        <w:t xml:space="preserve">117</w:t>
      </w:r>
      <w:r>
        <w:t xml:space="preserve"> </w:t>
      </w:r>
      <w:r>
        <w:t xml:space="preserve">145</w:t>
      </w:r>
      <w:r>
        <w:t xml:space="preserve"> </w:t>
      </w:r>
      <w:r>
        <w:t xml:space="preserve">195</w:t>
      </w:r>
      <w:r>
        <w:t xml:space="preserve"> </w:t>
      </w:r>
      <w:r>
        <w:t xml:space="preserve">241</w:t>
      </w:r>
      <w:r>
        <w:t xml:space="preserve"> </w:t>
      </w:r>
      <w:r>
        <w:t xml:space="preserve">Rail</w:t>
      </w:r>
      <w:r>
        <w:t xml:space="preserve"> </w:t>
      </w:r>
      <w:r>
        <w:t xml:space="preserve">3</w:t>
      </w:r>
      <w:r>
        <w:t xml:space="preserve"> </w:t>
      </w:r>
      <w:r>
        <w:t xml:space="preserve">5</w:t>
      </w:r>
      <w:r>
        <w:t xml:space="preserve"> </w:t>
      </w:r>
      <w:r>
        <w:t xml:space="preserve">7</w:t>
      </w:r>
      <w:r>
        <w:t xml:space="preserve"> </w:t>
      </w:r>
      <w:r>
        <w:t xml:space="preserve">10</w:t>
      </w:r>
      <w:r>
        <w:t xml:space="preserve"> </w:t>
      </w:r>
      <w:r>
        <w:t xml:space="preserve">13</w:t>
      </w:r>
      <w:r>
        <w:t xml:space="preserve"> </w:t>
      </w:r>
      <w:r>
        <w:t xml:space="preserve">Inland navigation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Maritime</w:t>
      </w:r>
      <w:r>
        <w:t xml:space="preserve"> </w:t>
      </w:r>
      <w:r>
        <w:t xml:space="preserve">7</w:t>
      </w:r>
      <w:r>
        <w:t xml:space="preserve"> </w:t>
      </w:r>
      <w:r>
        <w:t xml:space="preserve">9</w:t>
      </w:r>
      <w:r>
        <w:t xml:space="preserve"> </w:t>
      </w:r>
      <w:r>
        <w:t xml:space="preserve">11</w:t>
      </w:r>
      <w:r>
        <w:t xml:space="preserve"> </w:t>
      </w:r>
      <w:r>
        <w:t xml:space="preserve">15</w:t>
      </w:r>
      <w:r>
        <w:t xml:space="preserve"> </w:t>
      </w:r>
      <w:r>
        <w:t xml:space="preserve">19</w:t>
      </w:r>
      <w:r>
        <w:t xml:space="preserve"> </w:t>
      </w:r>
      <w:r>
        <w:t xml:space="preserve">Air and space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Postal activities</w:t>
      </w:r>
      <w:r>
        <w:t xml:space="preserve"> </w:t>
      </w:r>
      <w:r>
        <w:t xml:space="preserve">27</w:t>
      </w:r>
      <w:r>
        <w:t xml:space="preserve"> </w:t>
      </w:r>
      <w:r>
        <w:t xml:space="preserve">43</w:t>
      </w:r>
      <w:r>
        <w:t xml:space="preserve"> </w:t>
      </w:r>
      <w:r>
        <w:t xml:space="preserve">57</w:t>
      </w:r>
      <w:r>
        <w:t xml:space="preserve"> </w:t>
      </w:r>
      <w:r>
        <w:t xml:space="preserve">83</w:t>
      </w:r>
      <w:r>
        <w:t xml:space="preserve"> </w:t>
      </w:r>
      <w:r>
        <w:t xml:space="preserve">107</w:t>
      </w:r>
      <w:r>
        <w:t xml:space="preserve"> </w:t>
      </w:r>
      <w:r>
        <w:t xml:space="preserve">Hub operators</w:t>
      </w:r>
    </w:p>
    <w:p>
      <w:pPr>
        <w:pStyle w:val="BodyText"/>
      </w:pPr>
      <w:r>
        <w:t xml:space="preserve">Warehousing and storage</w:t>
      </w:r>
      <w:r>
        <w:t xml:space="preserve"> </w:t>
      </w:r>
      <w:r>
        <w:t xml:space="preserve">4</w:t>
      </w:r>
      <w:r>
        <w:t xml:space="preserve"> </w:t>
      </w:r>
      <w:r>
        <w:t xml:space="preserve">6</w:t>
      </w:r>
      <w:r>
        <w:t xml:space="preserve"> </w:t>
      </w:r>
      <w:r>
        <w:t xml:space="preserve">8</w:t>
      </w:r>
      <w:r>
        <w:t xml:space="preserve"> </w:t>
      </w:r>
      <w:r>
        <w:t xml:space="preserve">11</w:t>
      </w:r>
      <w:r>
        <w:t xml:space="preserve"> </w:t>
      </w:r>
      <w:r>
        <w:t xml:space="preserve">15</w:t>
      </w:r>
      <w:r>
        <w:t xml:space="preserve"> </w:t>
      </w:r>
      <w:r>
        <w:t xml:space="preserve">Support activities for transportation</w:t>
      </w:r>
      <w:r>
        <w:t xml:space="preserve"> </w:t>
      </w:r>
      <w:r>
        <w:t xml:space="preserve">10</w:t>
      </w:r>
      <w:r>
        <w:t xml:space="preserve"> </w:t>
      </w:r>
      <w:r>
        <w:t xml:space="preserve">21</w:t>
      </w:r>
      <w:r>
        <w:t xml:space="preserve"> </w:t>
      </w:r>
      <w:r>
        <w:t xml:space="preserve">31</w:t>
      </w:r>
      <w:r>
        <w:t xml:space="preserve"> </w:t>
      </w:r>
      <w:r>
        <w:t xml:space="preserve">51</w:t>
      </w:r>
      <w:r>
        <w:t xml:space="preserve"> </w:t>
      </w:r>
      <w:r>
        <w:t xml:space="preserve">70</w:t>
      </w:r>
      <w:r>
        <w:t xml:space="preserve"> </w:t>
      </w:r>
      <w:r>
        <w:t xml:space="preserve">Other</w:t>
      </w:r>
    </w:p>
    <w:p>
      <w:pPr>
        <w:pStyle w:val="BodyText"/>
      </w:pPr>
      <w:r>
        <w:t xml:space="preserve">Manufacturing</w:t>
      </w:r>
      <w:r>
        <w:t xml:space="preserve"> </w:t>
      </w:r>
      <w:r>
        <w:t xml:space="preserve">96</w:t>
      </w:r>
      <w:r>
        <w:t xml:space="preserve"> </w:t>
      </w:r>
      <w:r>
        <w:t xml:space="preserve">171</w:t>
      </w:r>
      <w:r>
        <w:t xml:space="preserve"> </w:t>
      </w:r>
      <w:r>
        <w:t xml:space="preserve">242</w:t>
      </w:r>
      <w:r>
        <w:t xml:space="preserve"> </w:t>
      </w:r>
      <w:r>
        <w:t xml:space="preserve">374</w:t>
      </w:r>
      <w:r>
        <w:t xml:space="preserve"> </w:t>
      </w:r>
      <w:r>
        <w:t xml:space="preserve">492</w:t>
      </w:r>
      <w:r>
        <w:t xml:space="preserve"> </w:t>
      </w:r>
      <w:r>
        <w:t xml:space="preserve">Wholesale and retail</w:t>
      </w:r>
      <w:r>
        <w:t xml:space="preserve"> </w:t>
      </w:r>
      <w:r>
        <w:t xml:space="preserve">44</w:t>
      </w:r>
      <w:r>
        <w:t xml:space="preserve"> </w:t>
      </w:r>
      <w:r>
        <w:t xml:space="preserve">78</w:t>
      </w:r>
      <w:r>
        <w:t xml:space="preserve"> </w:t>
      </w:r>
      <w:r>
        <w:t xml:space="preserve">111</w:t>
      </w:r>
      <w:r>
        <w:t xml:space="preserve"> </w:t>
      </w:r>
      <w:r>
        <w:t xml:space="preserve">172</w:t>
      </w:r>
      <w:r>
        <w:t xml:space="preserve"> </w:t>
      </w:r>
      <w:r>
        <w:t xml:space="preserve">226</w:t>
      </w:r>
      <w:r>
        <w:t xml:space="preserve"> </w:t>
      </w:r>
      <w:r>
        <w:t xml:space="preserve">Tourism</w:t>
      </w:r>
      <w:r>
        <w:t xml:space="preserve"> </w:t>
      </w:r>
      <w:r>
        <w:t xml:space="preserve">9</w:t>
      </w:r>
      <w:r>
        <w:t xml:space="preserve"> </w:t>
      </w:r>
      <w:r>
        <w:t xml:space="preserve">21</w:t>
      </w:r>
      <w:r>
        <w:t xml:space="preserve"> </w:t>
      </w:r>
      <w:r>
        <w:t xml:space="preserve">32</w:t>
      </w:r>
      <w:r>
        <w:t xml:space="preserve"> </w:t>
      </w:r>
      <w:r>
        <w:t xml:space="preserve">53</w:t>
      </w:r>
      <w:r>
        <w:t xml:space="preserve"> </w:t>
      </w:r>
      <w:r>
        <w:t xml:space="preserve">72</w:t>
      </w:r>
      <w:r>
        <w:t xml:space="preserve"> </w:t>
      </w:r>
      <w:r>
        <w:t xml:space="preserve">Total</w:t>
      </w:r>
      <w:r>
        <w:t xml:space="preserve"> </w:t>
      </w:r>
      <w:r>
        <w:t xml:space="preserve">318</w:t>
      </w:r>
      <w:r>
        <w:t xml:space="preserve"> </w:t>
      </w:r>
      <w:r>
        <w:t xml:space="preserve">507</w:t>
      </w:r>
      <w:r>
        <w:t xml:space="preserve"> </w:t>
      </w:r>
      <w:r>
        <w:t xml:space="preserve">687</w:t>
      </w:r>
      <w:r>
        <w:t xml:space="preserve"> </w:t>
      </w:r>
      <w:r>
        <w:t xml:space="preserve">1,018</w:t>
      </w:r>
      <w:r>
        <w:t xml:space="preserve"> </w:t>
      </w:r>
      <w:r>
        <w:t xml:space="preserve">1,320</w:t>
      </w:r>
      <w:r>
        <w:t xml:space="preserve"> </w:t>
      </w:r>
      <w:r>
        <w:t xml:space="preserve">Source: Ecorys and CE Delft (2023), Impact assessment support study</w:t>
      </w:r>
      <w:r>
        <w:br/>
      </w:r>
      <w:r>
        <w:t xml:space="preserve">The shares of SMEs performing GHG emissions accounting at service level in the total number</w:t>
      </w:r>
      <w:r>
        <w:t xml:space="preserve"> </w:t>
      </w:r>
      <w:r>
        <w:t xml:space="preserve">of SMEs in the baseline scenario for 2020-2050 are provided in Table 24 while the total number</w:t>
      </w:r>
      <w:r>
        <w:t xml:space="preserve"> </w:t>
      </w:r>
      <w:r>
        <w:t xml:space="preserve">of SMEs performing GHG emissions accounting at service level is provided in Table 25.</w:t>
      </w:r>
      <w:r>
        <w:t xml:space="preserve"> </w:t>
      </w:r>
      <w:r>
        <w:t xml:space="preserve">Table 24: Shares of SMEs performing GHG emissions accounting at service level in the baseline scenario</w:t>
      </w:r>
      <w:r>
        <w:br/>
      </w:r>
      <w:r>
        <w:t xml:space="preserve">Transport mode</w:t>
      </w:r>
      <w:r>
        <w:t xml:space="preserve"> </w:t>
      </w:r>
      <w:r>
        <w:t xml:space="preserve">Eurostat NACE-code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Passenger</w:t>
      </w:r>
      <w:r>
        <w:br/>
      </w:r>
      <w:r>
        <w:t xml:space="preserve">Interurban rail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0.7%</w:t>
      </w:r>
      <w:r>
        <w:t xml:space="preserve"> </w:t>
      </w:r>
      <w:r>
        <w:t xml:space="preserve">Other transport over land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Maritime</w:t>
      </w:r>
      <w:r>
        <w:t xml:space="preserve"> </w:t>
      </w:r>
      <w:r>
        <w:t xml:space="preserve">3.4%</w:t>
      </w:r>
      <w:r>
        <w:t xml:space="preserve"> </w:t>
      </w:r>
      <w:r>
        <w:t xml:space="preserve">4.6%</w:t>
      </w:r>
      <w:r>
        <w:t xml:space="preserve"> </w:t>
      </w:r>
      <w:r>
        <w:t xml:space="preserve">5.6%</w:t>
      </w:r>
      <w:r>
        <w:t xml:space="preserve"> </w:t>
      </w:r>
      <w:r>
        <w:t xml:space="preserve">7.6%</w:t>
      </w:r>
      <w:r>
        <w:t xml:space="preserve"> </w:t>
      </w:r>
      <w:r>
        <w:t xml:space="preserve">9.4%</w:t>
      </w:r>
      <w:r>
        <w:t xml:space="preserve"> </w:t>
      </w:r>
      <w:r>
        <w:t xml:space="preserve">Inland navigation</w:t>
      </w:r>
      <w:r>
        <w:t xml:space="preserve"> </w:t>
      </w:r>
      <w:r>
        <w:t xml:space="preserve">0.2%</w:t>
      </w:r>
      <w:r>
        <w:t xml:space="preserve"> </w:t>
      </w:r>
      <w:r>
        <w:t xml:space="preserve">0.4%</w:t>
      </w:r>
      <w:r>
        <w:t xml:space="preserve"> </w:t>
      </w:r>
      <w:r>
        <w:t xml:space="preserve">0.5%</w:t>
      </w:r>
      <w:r>
        <w:t xml:space="preserve"> </w:t>
      </w:r>
      <w:r>
        <w:t xml:space="preserve">0.8%</w:t>
      </w:r>
      <w:r>
        <w:t xml:space="preserve"> </w:t>
      </w:r>
      <w:r>
        <w:t xml:space="preserve">1.1%</w:t>
      </w:r>
      <w:r>
        <w:t xml:space="preserve"> </w:t>
      </w:r>
      <w:r>
        <w:t xml:space="preserve">Air</w:t>
      </w:r>
      <w:r>
        <w:t xml:space="preserve"> </w:t>
      </w:r>
      <w:r>
        <w:t xml:space="preserve">1.1%</w:t>
      </w:r>
      <w:r>
        <w:t xml:space="preserve"> </w:t>
      </w:r>
      <w:r>
        <w:t xml:space="preserve">1.3%</w:t>
      </w:r>
      <w:r>
        <w:t xml:space="preserve"> </w:t>
      </w:r>
      <w:r>
        <w:t xml:space="preserve">1.5%</w:t>
      </w:r>
      <w:r>
        <w:t xml:space="preserve"> </w:t>
      </w:r>
      <w:r>
        <w:t xml:space="preserve">1.9%</w:t>
      </w:r>
      <w:r>
        <w:t xml:space="preserve"> </w:t>
      </w:r>
      <w:r>
        <w:t xml:space="preserve">2.2%</w:t>
      </w:r>
      <w:r>
        <w:t xml:space="preserve"> </w:t>
      </w:r>
      <w:r>
        <w:t xml:space="preserve">Freight</w:t>
      </w:r>
      <w:r>
        <w:br/>
      </w:r>
      <w:r>
        <w:t xml:space="preserve">Road</w:t>
      </w:r>
      <w:r>
        <w:t xml:space="preserve"> </w:t>
      </w:r>
      <w:r>
        <w:t xml:space="preserve">2.8%</w:t>
      </w:r>
      <w:r>
        <w:t xml:space="preserve"> </w:t>
      </w:r>
      <w:r>
        <w:t xml:space="preserve">3.7%</w:t>
      </w:r>
      <w:r>
        <w:t xml:space="preserve"> </w:t>
      </w:r>
      <w:r>
        <w:t xml:space="preserve">4.5%</w:t>
      </w:r>
      <w:r>
        <w:t xml:space="preserve"> </w:t>
      </w:r>
      <w:r>
        <w:t xml:space="preserve">6.1%</w:t>
      </w:r>
      <w:r>
        <w:t xml:space="preserve"> </w:t>
      </w:r>
      <w:r>
        <w:t xml:space="preserve">7.5%</w:t>
      </w:r>
      <w:r>
        <w:t xml:space="preserve"> </w:t>
      </w:r>
      <w:r>
        <w:t xml:space="preserve">Rail</w:t>
      </w:r>
      <w:r>
        <w:t xml:space="preserve"> </w:t>
      </w:r>
      <w:r>
        <w:t xml:space="preserve">0.0%</w:t>
      </w:r>
      <w:r>
        <w:t xml:space="preserve"> </w:t>
      </w:r>
      <w:r>
        <w:t xml:space="preserve">0.2%</w:t>
      </w:r>
      <w:r>
        <w:t xml:space="preserve"> </w:t>
      </w:r>
      <w:r>
        <w:t xml:space="preserve">0.2%</w:t>
      </w:r>
      <w:r>
        <w:t xml:space="preserve"> </w:t>
      </w:r>
      <w:r>
        <w:t xml:space="preserve">0.2%</w:t>
      </w:r>
      <w:r>
        <w:t xml:space="preserve"> </w:t>
      </w:r>
      <w:r>
        <w:t xml:space="preserve">0.4%</w:t>
      </w:r>
      <w:r>
        <w:t xml:space="preserve"> </w:t>
      </w:r>
      <w:r>
        <w:t xml:space="preserve">Inland navigation</w:t>
      </w:r>
      <w:r>
        <w:t xml:space="preserve"> </w:t>
      </w:r>
      <w:r>
        <w:t xml:space="preserve">0.3%</w:t>
      </w:r>
      <w:r>
        <w:t xml:space="preserve"> </w:t>
      </w:r>
      <w:r>
        <w:t xml:space="preserve">0.7%</w:t>
      </w:r>
      <w:r>
        <w:t xml:space="preserve"> </w:t>
      </w:r>
      <w:r>
        <w:t xml:space="preserve">1.0%</w:t>
      </w:r>
      <w:r>
        <w:t xml:space="preserve"> </w:t>
      </w:r>
      <w:r>
        <w:t xml:space="preserve">1.6%</w:t>
      </w:r>
      <w:r>
        <w:t xml:space="preserve"> </w:t>
      </w:r>
      <w:r>
        <w:t xml:space="preserve">2.2%</w:t>
      </w:r>
      <w:r>
        <w:t xml:space="preserve"> </w:t>
      </w:r>
      <w:r>
        <w:t xml:space="preserve">Maritime</w:t>
      </w:r>
      <w:r>
        <w:t xml:space="preserve"> </w:t>
      </w:r>
      <w:r>
        <w:t xml:space="preserve">3.4%</w:t>
      </w:r>
      <w:r>
        <w:t xml:space="preserve"> </w:t>
      </w:r>
      <w:r>
        <w:t xml:space="preserve">4.6%</w:t>
      </w:r>
      <w:r>
        <w:t xml:space="preserve"> </w:t>
      </w:r>
      <w:r>
        <w:t xml:space="preserve">5.6%</w:t>
      </w:r>
      <w:r>
        <w:t xml:space="preserve"> </w:t>
      </w:r>
      <w:r>
        <w:t xml:space="preserve">7.6%</w:t>
      </w:r>
      <w:r>
        <w:t xml:space="preserve"> </w:t>
      </w:r>
      <w:r>
        <w:t xml:space="preserve">9.4%</w:t>
      </w:r>
      <w:r>
        <w:t xml:space="preserve"> </w:t>
      </w:r>
      <w:r>
        <w:t xml:space="preserve">Air and space</w:t>
      </w:r>
      <w:r>
        <w:t xml:space="preserve"> </w:t>
      </w:r>
      <w:r>
        <w:t xml:space="preserve">5.6%</w:t>
      </w:r>
      <w:r>
        <w:t xml:space="preserve"> </w:t>
      </w:r>
      <w:r>
        <w:t xml:space="preserve">6.6%</w:t>
      </w:r>
      <w:r>
        <w:t xml:space="preserve"> </w:t>
      </w:r>
      <w:r>
        <w:t xml:space="preserve">7.6%</w:t>
      </w:r>
      <w:r>
        <w:t xml:space="preserve"> </w:t>
      </w:r>
      <w:r>
        <w:t xml:space="preserve">9.3%</w:t>
      </w:r>
      <w:r>
        <w:t xml:space="preserve"> </w:t>
      </w:r>
      <w:r>
        <w:t xml:space="preserve">10.9%</w:t>
      </w:r>
      <w:r>
        <w:t xml:space="preserve"> </w:t>
      </w:r>
      <w:r>
        <w:t xml:space="preserve">Postal activities</w:t>
      </w:r>
      <w:r>
        <w:t xml:space="preserve"> </w:t>
      </w:r>
      <w:r>
        <w:t xml:space="preserve">4.4%</w:t>
      </w:r>
      <w:r>
        <w:t xml:space="preserve"> </w:t>
      </w:r>
      <w:r>
        <w:t xml:space="preserve">6.8%</w:t>
      </w:r>
      <w:r>
        <w:t xml:space="preserve"> </w:t>
      </w:r>
      <w:r>
        <w:t xml:space="preserve">9.0%</w:t>
      </w:r>
      <w:r>
        <w:t xml:space="preserve"> </w:t>
      </w:r>
      <w:r>
        <w:t xml:space="preserve">13.2%</w:t>
      </w:r>
      <w:r>
        <w:t xml:space="preserve"> </w:t>
      </w:r>
      <w:r>
        <w:t xml:space="preserve">17.0%</w:t>
      </w:r>
      <w:r>
        <w:t xml:space="preserve"> </w:t>
      </w:r>
      <w:r>
        <w:t xml:space="preserve">Hub operators</w:t>
      </w:r>
      <w:r>
        <w:t xml:space="preserve"> </w:t>
      </w:r>
      <w:r>
        <w:t xml:space="preserve">Warehousing and storage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0.1%</w:t>
      </w:r>
      <w:r>
        <w:t xml:space="preserve"> </w:t>
      </w:r>
      <w:r>
        <w:t xml:space="preserve">0.1%</w:t>
      </w:r>
      <w:r>
        <w:t xml:space="preserve"> </w:t>
      </w:r>
      <w:r>
        <w:t xml:space="preserve">Support activities for transportation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0.1%</w:t>
      </w:r>
      <w:r>
        <w:t xml:space="preserve"> </w:t>
      </w:r>
      <w:r>
        <w:t xml:space="preserve">Other</w:t>
      </w:r>
      <w:r>
        <w:t xml:space="preserve"> </w:t>
      </w:r>
      <w:r>
        <w:t xml:space="preserve">Manufacturing</w:t>
      </w:r>
      <w:r>
        <w:t xml:space="preserve"> </w:t>
      </w:r>
      <w:r>
        <w:t xml:space="preserve">0.3%</w:t>
      </w:r>
      <w:r>
        <w:t xml:space="preserve"> </w:t>
      </w:r>
      <w:r>
        <w:t xml:space="preserve">0.6%</w:t>
      </w:r>
      <w:r>
        <w:t xml:space="preserve"> </w:t>
      </w:r>
      <w:r>
        <w:t xml:space="preserve">0.8%</w:t>
      </w:r>
      <w:r>
        <w:t xml:space="preserve"> </w:t>
      </w:r>
      <w:r>
        <w:t xml:space="preserve">1.2%</w:t>
      </w:r>
      <w:r>
        <w:t xml:space="preserve"> </w:t>
      </w:r>
      <w:r>
        <w:t xml:space="preserve">1.6%</w:t>
      </w:r>
    </w:p>
    <w:p>
      <w:pPr>
        <w:pStyle w:val="BodyText"/>
      </w:pPr>
      <w:r>
        <w:t xml:space="preserve">89</w:t>
      </w:r>
    </w:p>
    <w:p>
      <w:pPr>
        <w:pStyle w:val="BodyText"/>
      </w:pPr>
      <w:r>
        <w:t xml:space="preserve">Wholesale and retail</w:t>
      </w:r>
      <w:r>
        <w:t xml:space="preserve"> </w:t>
      </w:r>
      <w:r>
        <w:t xml:space="preserve">0.3%</w:t>
      </w:r>
      <w:r>
        <w:t xml:space="preserve"> </w:t>
      </w:r>
      <w:r>
        <w:t xml:space="preserve">0.6%</w:t>
      </w:r>
      <w:r>
        <w:t xml:space="preserve"> </w:t>
      </w:r>
      <w:r>
        <w:t xml:space="preserve">0.8%</w:t>
      </w:r>
      <w:r>
        <w:t xml:space="preserve"> </w:t>
      </w:r>
      <w:r>
        <w:t xml:space="preserve">1.2%</w:t>
      </w:r>
      <w:r>
        <w:t xml:space="preserve"> </w:t>
      </w:r>
      <w:r>
        <w:t xml:space="preserve">1.6%</w:t>
      </w:r>
      <w:r>
        <w:t xml:space="preserve"> </w:t>
      </w:r>
      <w:r>
        <w:t xml:space="preserve">Tourism</w:t>
      </w:r>
      <w:r>
        <w:t xml:space="preserve"> </w:t>
      </w:r>
      <w:r>
        <w:t xml:space="preserve">0.6%</w:t>
      </w:r>
      <w:r>
        <w:t xml:space="preserve"> </w:t>
      </w:r>
      <w:r>
        <w:t xml:space="preserve">1.3%</w:t>
      </w:r>
      <w:r>
        <w:t xml:space="preserve"> </w:t>
      </w:r>
      <w:r>
        <w:t xml:space="preserve">2.1%</w:t>
      </w:r>
      <w:r>
        <w:t xml:space="preserve"> </w:t>
      </w:r>
      <w:r>
        <w:t xml:space="preserve">3.4%</w:t>
      </w:r>
      <w:r>
        <w:t xml:space="preserve"> </w:t>
      </w:r>
      <w:r>
        <w:t xml:space="preserve">4.6%</w:t>
      </w:r>
      <w:r>
        <w:t xml:space="preserve"> </w:t>
      </w:r>
      <w:r>
        <w:t xml:space="preserve">Source : Ecorys and CE Delft (2023), Impact assessment support study</w:t>
      </w:r>
      <w:r>
        <w:t xml:space="preserve"> </w:t>
      </w:r>
      <w:r>
        <w:t xml:space="preserve">Table 25: Number of SMEs performing GHG emissions accounting at service level in the baseline scenario</w:t>
      </w:r>
      <w:r>
        <w:t xml:space="preserve"> </w:t>
      </w:r>
      <w:r>
        <w:t xml:space="preserve">Transport mode</w:t>
      </w:r>
      <w:r>
        <w:t xml:space="preserve"> </w:t>
      </w:r>
      <w:r>
        <w:t xml:space="preserve">Eurostat NACE-code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Passenger</w:t>
      </w:r>
      <w:r>
        <w:br/>
      </w:r>
      <w:r>
        <w:t xml:space="preserve">Interurban rail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Other transport over land</w:t>
      </w:r>
      <w:r>
        <w:t xml:space="preserve"> </w:t>
      </w:r>
      <w:r>
        <w:t xml:space="preserve">25</w:t>
      </w:r>
      <w:r>
        <w:t xml:space="preserve"> </w:t>
      </w:r>
      <w:r>
        <w:t xml:space="preserve">25</w:t>
      </w:r>
      <w:r>
        <w:t xml:space="preserve"> </w:t>
      </w:r>
      <w:r>
        <w:t xml:space="preserve">25</w:t>
      </w:r>
      <w:r>
        <w:t xml:space="preserve"> </w:t>
      </w:r>
      <w:r>
        <w:t xml:space="preserve">25</w:t>
      </w:r>
      <w:r>
        <w:t xml:space="preserve"> </w:t>
      </w:r>
      <w:r>
        <w:t xml:space="preserve">25</w:t>
      </w:r>
      <w:r>
        <w:t xml:space="preserve"> </w:t>
      </w:r>
      <w:r>
        <w:t xml:space="preserve">Maritime</w:t>
      </w:r>
      <w:r>
        <w:t xml:space="preserve"> </w:t>
      </w:r>
      <w:r>
        <w:t xml:space="preserve">197</w:t>
      </w:r>
      <w:r>
        <w:t xml:space="preserve"> </w:t>
      </w:r>
      <w:r>
        <w:t xml:space="preserve">263</w:t>
      </w:r>
      <w:r>
        <w:t xml:space="preserve"> </w:t>
      </w:r>
      <w:r>
        <w:t xml:space="preserve">324</w:t>
      </w:r>
      <w:r>
        <w:t xml:space="preserve"> </w:t>
      </w:r>
      <w:r>
        <w:t xml:space="preserve">438</w:t>
      </w:r>
      <w:r>
        <w:t xml:space="preserve"> </w:t>
      </w:r>
      <w:r>
        <w:t xml:space="preserve">540</w:t>
      </w:r>
      <w:r>
        <w:t xml:space="preserve"> </w:t>
      </w:r>
      <w:r>
        <w:t xml:space="preserve">Inland navigation</w:t>
      </w:r>
      <w:r>
        <w:t xml:space="preserve"> </w:t>
      </w:r>
      <w:r>
        <w:t xml:space="preserve">9</w:t>
      </w:r>
      <w:r>
        <w:t xml:space="preserve"> </w:t>
      </w:r>
      <w:r>
        <w:t xml:space="preserve">15</w:t>
      </w:r>
      <w:r>
        <w:t xml:space="preserve"> </w:t>
      </w:r>
      <w:r>
        <w:t xml:space="preserve">20</w:t>
      </w:r>
      <w:r>
        <w:t xml:space="preserve"> </w:t>
      </w:r>
      <w:r>
        <w:t xml:space="preserve">31</w:t>
      </w:r>
      <w:r>
        <w:t xml:space="preserve"> </w:t>
      </w:r>
      <w:r>
        <w:t xml:space="preserve">42</w:t>
      </w:r>
      <w:r>
        <w:t xml:space="preserve"> </w:t>
      </w:r>
      <w:r>
        <w:t xml:space="preserve">Freight</w:t>
      </w:r>
      <w:r>
        <w:br/>
      </w:r>
      <w:r>
        <w:t xml:space="preserve">Air</w:t>
      </w:r>
      <w:r>
        <w:t xml:space="preserve"> </w:t>
      </w:r>
      <w:r>
        <w:t xml:space="preserve">42</w:t>
      </w:r>
      <w:r>
        <w:t xml:space="preserve"> </w:t>
      </w:r>
      <w:r>
        <w:t xml:space="preserve">50</w:t>
      </w:r>
      <w:r>
        <w:t xml:space="preserve"> </w:t>
      </w:r>
      <w:r>
        <w:t xml:space="preserve">57</w:t>
      </w:r>
      <w:r>
        <w:t xml:space="preserve"> </w:t>
      </w:r>
      <w:r>
        <w:t xml:space="preserve">70</w:t>
      </w:r>
      <w:r>
        <w:t xml:space="preserve"> </w:t>
      </w:r>
      <w:r>
        <w:t xml:space="preserve">82</w:t>
      </w:r>
      <w:r>
        <w:t xml:space="preserve"> </w:t>
      </w:r>
      <w:r>
        <w:t xml:space="preserve">Road</w:t>
      </w:r>
      <w:r>
        <w:t xml:space="preserve"> </w:t>
      </w:r>
      <w:r>
        <w:t xml:space="preserve">14,938 19,857 24,518 33,118 40,840</w:t>
      </w:r>
      <w:r>
        <w:t xml:space="preserve"> </w:t>
      </w:r>
      <w:r>
        <w:t xml:space="preserve">Rail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Inland navigation</w:t>
      </w:r>
      <w:r>
        <w:t xml:space="preserve"> </w:t>
      </w:r>
      <w:r>
        <w:t xml:space="preserve">19</w:t>
      </w:r>
      <w:r>
        <w:t xml:space="preserve"> </w:t>
      </w:r>
      <w:r>
        <w:t xml:space="preserve">37</w:t>
      </w:r>
      <w:r>
        <w:t xml:space="preserve"> </w:t>
      </w:r>
      <w:r>
        <w:t xml:space="preserve">55</w:t>
      </w:r>
      <w:r>
        <w:t xml:space="preserve"> </w:t>
      </w:r>
      <w:r>
        <w:t xml:space="preserve">90</w:t>
      </w:r>
      <w:r>
        <w:t xml:space="preserve"> </w:t>
      </w:r>
      <w:r>
        <w:t xml:space="preserve">123</w:t>
      </w:r>
      <w:r>
        <w:t xml:space="preserve"> </w:t>
      </w:r>
      <w:r>
        <w:t xml:space="preserve">Maritime</w:t>
      </w:r>
      <w:r>
        <w:t xml:space="preserve"> </w:t>
      </w:r>
      <w:r>
        <w:t xml:space="preserve">132</w:t>
      </w:r>
      <w:r>
        <w:t xml:space="preserve"> </w:t>
      </w:r>
      <w:r>
        <w:t xml:space="preserve">175</w:t>
      </w:r>
      <w:r>
        <w:t xml:space="preserve"> </w:t>
      </w:r>
      <w:r>
        <w:t xml:space="preserve">216</w:t>
      </w:r>
      <w:r>
        <w:t xml:space="preserve"> </w:t>
      </w:r>
      <w:r>
        <w:t xml:space="preserve">292</w:t>
      </w:r>
      <w:r>
        <w:t xml:space="preserve"> </w:t>
      </w:r>
      <w:r>
        <w:t xml:space="preserve">360</w:t>
      </w:r>
      <w:r>
        <w:t xml:space="preserve"> </w:t>
      </w:r>
      <w:r>
        <w:t xml:space="preserve">Air and space</w:t>
      </w:r>
      <w:r>
        <w:t xml:space="preserve"> </w:t>
      </w:r>
      <w:r>
        <w:t xml:space="preserve">28</w:t>
      </w:r>
      <w:r>
        <w:t xml:space="preserve"> </w:t>
      </w:r>
      <w:r>
        <w:t xml:space="preserve">33</w:t>
      </w:r>
      <w:r>
        <w:t xml:space="preserve"> </w:t>
      </w:r>
      <w:r>
        <w:t xml:space="preserve">38</w:t>
      </w:r>
      <w:r>
        <w:t xml:space="preserve"> </w:t>
      </w:r>
      <w:r>
        <w:t xml:space="preserve">47</w:t>
      </w:r>
      <w:r>
        <w:t xml:space="preserve"> </w:t>
      </w:r>
      <w:r>
        <w:t xml:space="preserve">55</w:t>
      </w:r>
      <w:r>
        <w:t xml:space="preserve"> </w:t>
      </w:r>
      <w:r>
        <w:t xml:space="preserve">Postal activities</w:t>
      </w:r>
      <w:r>
        <w:t xml:space="preserve"> </w:t>
      </w:r>
      <w:r>
        <w:t xml:space="preserve">3,874</w:t>
      </w:r>
      <w:r>
        <w:t xml:space="preserve"> </w:t>
      </w:r>
      <w:r>
        <w:t xml:space="preserve">5,995</w:t>
      </w:r>
      <w:r>
        <w:t xml:space="preserve"> </w:t>
      </w:r>
      <w:r>
        <w:t xml:space="preserve">8,004 11,713 15,042</w:t>
      </w:r>
      <w:r>
        <w:t xml:space="preserve"> </w:t>
      </w:r>
      <w:r>
        <w:t xml:space="preserve">Warehousing and storage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8</w:t>
      </w:r>
      <w:r>
        <w:t xml:space="preserve"> </w:t>
      </w:r>
      <w:r>
        <w:t xml:space="preserve">11</w:t>
      </w:r>
      <w:r>
        <w:t xml:space="preserve"> </w:t>
      </w:r>
      <w:r>
        <w:t xml:space="preserve">Other</w:t>
      </w:r>
      <w:r>
        <w:t xml:space="preserve"> </w:t>
      </w:r>
      <w:r>
        <w:t xml:space="preserve">Support activities for transportation</w:t>
      </w:r>
      <w:r>
        <w:t xml:space="preserve"> </w:t>
      </w:r>
      <w:r>
        <w:t xml:space="preserve">12</w:t>
      </w:r>
      <w:r>
        <w:t xml:space="preserve"> </w:t>
      </w:r>
      <w:r>
        <w:t xml:space="preserve">24</w:t>
      </w:r>
      <w:r>
        <w:t xml:space="preserve"> </w:t>
      </w:r>
      <w:r>
        <w:t xml:space="preserve">36</w:t>
      </w:r>
      <w:r>
        <w:t xml:space="preserve"> </w:t>
      </w:r>
      <w:r>
        <w:t xml:space="preserve">59</w:t>
      </w:r>
      <w:r>
        <w:t xml:space="preserve"> </w:t>
      </w:r>
      <w:r>
        <w:t xml:space="preserve">82</w:t>
      </w:r>
      <w:r>
        <w:t xml:space="preserve"> </w:t>
      </w:r>
      <w:r>
        <w:t xml:space="preserve">Manufacturing</w:t>
      </w:r>
      <w:r>
        <w:t xml:space="preserve"> </w:t>
      </w:r>
      <w:r>
        <w:t xml:space="preserve">100</w:t>
      </w:r>
      <w:r>
        <w:t xml:space="preserve"> </w:t>
      </w:r>
      <w:r>
        <w:t xml:space="preserve">179</w:t>
      </w:r>
      <w:r>
        <w:t xml:space="preserve"> </w:t>
      </w:r>
      <w:r>
        <w:t xml:space="preserve">253</w:t>
      </w:r>
      <w:r>
        <w:t xml:space="preserve"> </w:t>
      </w:r>
      <w:r>
        <w:t xml:space="preserve">391</w:t>
      </w:r>
      <w:r>
        <w:t xml:space="preserve"> </w:t>
      </w:r>
      <w:r>
        <w:t xml:space="preserve">515</w:t>
      </w:r>
      <w:r>
        <w:t xml:space="preserve"> </w:t>
      </w:r>
      <w:r>
        <w:t xml:space="preserve">Wholesale and retail</w:t>
      </w:r>
      <w:r>
        <w:t xml:space="preserve"> </w:t>
      </w:r>
      <w:r>
        <w:t xml:space="preserve">1,807</w:t>
      </w:r>
      <w:r>
        <w:t xml:space="preserve"> </w:t>
      </w:r>
      <w:r>
        <w:t xml:space="preserve">3,229</w:t>
      </w:r>
      <w:r>
        <w:t xml:space="preserve"> </w:t>
      </w:r>
      <w:r>
        <w:t xml:space="preserve">4,577</w:t>
      </w:r>
      <w:r>
        <w:t xml:space="preserve"> </w:t>
      </w:r>
      <w:r>
        <w:t xml:space="preserve">7,065</w:t>
      </w:r>
      <w:r>
        <w:t xml:space="preserve"> </w:t>
      </w:r>
      <w:r>
        <w:t xml:space="preserve">9,298</w:t>
      </w:r>
    </w:p>
    <w:p>
      <w:pPr>
        <w:pStyle w:val="BodyText"/>
      </w:pPr>
      <w:r>
        <w:t xml:space="preserve">Tourism</w:t>
      </w:r>
      <w:r>
        <w:t xml:space="preserve"> </w:t>
      </w:r>
      <w:r>
        <w:t xml:space="preserve">156</w:t>
      </w:r>
      <w:r>
        <w:t xml:space="preserve"> </w:t>
      </w:r>
      <w:r>
        <w:t xml:space="preserve">366</w:t>
      </w:r>
      <w:r>
        <w:t xml:space="preserve"> </w:t>
      </w:r>
      <w:r>
        <w:t xml:space="preserve">564</w:t>
      </w:r>
      <w:r>
        <w:t xml:space="preserve"> </w:t>
      </w:r>
      <w:r>
        <w:t xml:space="preserve">931</w:t>
      </w:r>
      <w:r>
        <w:t xml:space="preserve"> </w:t>
      </w:r>
      <w:r>
        <w:t xml:space="preserve">1,261</w:t>
      </w:r>
      <w:r>
        <w:t xml:space="preserve"> </w:t>
      </w:r>
      <w:r>
        <w:t xml:space="preserve">Total</w:t>
      </w:r>
      <w:r>
        <w:t xml:space="preserve"> </w:t>
      </w:r>
      <w:r>
        <w:t xml:space="preserve">21,342 30,253 38,693 54,279 68,279</w:t>
      </w:r>
      <w:r>
        <w:t xml:space="preserve"> </w:t>
      </w:r>
      <w:r>
        <w:t xml:space="preserve">Source : Ecorys and CE Delft (2023), Impact assessment support study</w:t>
      </w:r>
      <w:r>
        <w:t xml:space="preserve"> </w:t>
      </w:r>
      <w:r>
        <w:t xml:space="preserve">Costs for enterprises performing GHG emissions accounting. Table 26 provides a breakdown of the</w:t>
      </w:r>
      <w:r>
        <w:t xml:space="preserve"> </w:t>
      </w:r>
      <w:r>
        <w:t xml:space="preserve">unit costs per transport service for performing GHG emissions accounting, by cost category and type</w:t>
      </w:r>
      <w:r>
        <w:t xml:space="preserve"> </w:t>
      </w:r>
      <w:r>
        <w:t xml:space="preserve">of cost (i.e. one-off and recurrent costs). The unit costs are differentiated between transport service</w:t>
      </w:r>
      <w:r>
        <w:t xml:space="preserve"> </w:t>
      </w:r>
      <w:r>
        <w:t xml:space="preserve">organisers (TSO), transport service users (TSU) and hub operators (HO), and also between SMEs and</w:t>
      </w:r>
      <w:r>
        <w:t xml:space="preserve"> </w:t>
      </w:r>
      <w:r>
        <w:t xml:space="preserve">large companies. Labour costs are derived based on the tariff rates from the Eurostat’s structure of</w:t>
      </w:r>
      <w:r>
        <w:t xml:space="preserve"> </w:t>
      </w:r>
      <w:r>
        <w:t xml:space="preserve">earnings survey and labour force survey, considering the category ISCO 2 (professionals)191. The</w:t>
      </w:r>
      <w:r>
        <w:t xml:space="preserve"> </w:t>
      </w:r>
      <w:r>
        <w:t xml:space="preserve">number of hours worked and thus the unit costs per transport service are assumed to go down over</w:t>
      </w:r>
      <w:r>
        <w:t xml:space="preserve"> </w:t>
      </w:r>
      <w:r>
        <w:t xml:space="preserve">time, by 15% by 2050 relative to 2020, due to the learning effects192.</w:t>
      </w:r>
      <w:r>
        <w:br/>
      </w:r>
      <w:r>
        <w:t xml:space="preserve">Table 26: Unit costs per transport service associated with GHG emissions accounting, by type of activity in 2020</w:t>
      </w:r>
      <w:r>
        <w:t xml:space="preserve"> </w:t>
      </w:r>
      <w:r>
        <w:t xml:space="preserve">(in EUR, 2022 prices)</w:t>
      </w:r>
      <w:r>
        <w:br/>
      </w:r>
      <w:r>
        <w:t xml:space="preserve">TSO</w:t>
      </w:r>
      <w:r>
        <w:t xml:space="preserve"> </w:t>
      </w:r>
      <w:r>
        <w:t xml:space="preserve">(SME)</w:t>
      </w:r>
      <w:r>
        <w:t xml:space="preserve"> </w:t>
      </w:r>
      <w:r>
        <w:t xml:space="preserve">TSU</w:t>
      </w:r>
      <w:r>
        <w:t xml:space="preserve"> </w:t>
      </w:r>
      <w:r>
        <w:t xml:space="preserve">(SME)</w:t>
      </w:r>
      <w:r>
        <w:t xml:space="preserve"> </w:t>
      </w:r>
      <w:r>
        <w:t xml:space="preserve">HO</w:t>
      </w:r>
      <w:r>
        <w:t xml:space="preserve"> </w:t>
      </w:r>
      <w:r>
        <w:t xml:space="preserve">(SME)</w:t>
      </w:r>
      <w:r>
        <w:t xml:space="preserve"> </w:t>
      </w:r>
      <w:r>
        <w:t xml:space="preserve">TSO</w:t>
      </w:r>
      <w:r>
        <w:t xml:space="preserve"> </w:t>
      </w:r>
      <w:r>
        <w:t xml:space="preserve">(Large)</w:t>
      </w:r>
      <w:r>
        <w:t xml:space="preserve"> </w:t>
      </w:r>
      <w:r>
        <w:t xml:space="preserve">TSU</w:t>
      </w:r>
      <w:r>
        <w:t xml:space="preserve"> </w:t>
      </w:r>
      <w:r>
        <w:t xml:space="preserve">(Large)</w:t>
      </w:r>
      <w:r>
        <w:t xml:space="preserve"> </w:t>
      </w:r>
      <w:r>
        <w:t xml:space="preserve">HO</w:t>
      </w:r>
      <w:r>
        <w:t xml:space="preserve"> </w:t>
      </w:r>
      <w:r>
        <w:t xml:space="preserve">(Large)</w:t>
      </w:r>
      <w:r>
        <w:t xml:space="preserve"> </w:t>
      </w:r>
      <w:r>
        <w:t xml:space="preserve">1) One-off costs for implementing a new GHG</w:t>
      </w:r>
      <w:r>
        <w:t xml:space="preserve"> </w:t>
      </w:r>
      <w:r>
        <w:t xml:space="preserve">emission accounting method</w:t>
      </w:r>
      <w:r>
        <w:t xml:space="preserve"> </w:t>
      </w:r>
      <w:r>
        <w:t xml:space="preserve">1,748</w:t>
      </w:r>
      <w:r>
        <w:t xml:space="preserve"> </w:t>
      </w:r>
      <w:r>
        <w:t xml:space="preserve">2,033</w:t>
      </w:r>
      <w:r>
        <w:t xml:space="preserve"> </w:t>
      </w:r>
      <w:r>
        <w:t xml:space="preserve">1,748</w:t>
      </w:r>
      <w:r>
        <w:t xml:space="preserve"> </w:t>
      </w:r>
      <w:r>
        <w:t xml:space="preserve">4,802</w:t>
      </w:r>
      <w:r>
        <w:t xml:space="preserve"> </w:t>
      </w:r>
      <w:r>
        <w:t xml:space="preserve">6,625</w:t>
      </w:r>
      <w:r>
        <w:t xml:space="preserve"> </w:t>
      </w:r>
      <w:r>
        <w:t xml:space="preserve">4,802</w:t>
      </w:r>
    </w:p>
    <w:p>
      <w:pPr>
        <w:pStyle w:val="BodyText"/>
      </w:pPr>
      <w:r>
        <w:t xml:space="preserve">191 The tariff rate for ISCO 2 is EUR 40.9 per hour in 2022 prices. Source: Eurostat Structure of earnings survey,</w:t>
      </w:r>
      <w:r>
        <w:t xml:space="preserve"> </w:t>
      </w:r>
      <w:r>
        <w:t xml:space="preserve">Labour Force Survey data for Non-Wage Labour Costs.</w:t>
      </w:r>
      <w:r>
        <w:t xml:space="preserve"> </w:t>
      </w:r>
      <w:r>
        <w:t xml:space="preserve">192 Taking into account possible savings resulting from the facilitation of corporate reporting required under other</w:t>
      </w:r>
      <w:r>
        <w:t xml:space="preserve"> </w:t>
      </w:r>
      <w:r>
        <w:t xml:space="preserve">legislation (such as CSRD).</w:t>
      </w:r>
    </w:p>
    <w:p>
      <w:pPr>
        <w:pStyle w:val="BodyText"/>
      </w:pPr>
      <w:r>
        <w:t xml:space="preserve">90</w:t>
      </w:r>
    </w:p>
    <w:p>
      <w:pPr>
        <w:pStyle w:val="BodyText"/>
      </w:pPr>
      <w:r>
        <w:t xml:space="preserve">TSO</w:t>
      </w:r>
      <w:r>
        <w:t xml:space="preserve"> </w:t>
      </w:r>
      <w:r>
        <w:t xml:space="preserve">(SME)</w:t>
      </w:r>
      <w:r>
        <w:t xml:space="preserve"> </w:t>
      </w:r>
      <w:r>
        <w:t xml:space="preserve">TSU</w:t>
      </w:r>
      <w:r>
        <w:t xml:space="preserve"> </w:t>
      </w:r>
      <w:r>
        <w:t xml:space="preserve">(SME)</w:t>
      </w:r>
      <w:r>
        <w:t xml:space="preserve"> </w:t>
      </w:r>
      <w:r>
        <w:t xml:space="preserve">HO</w:t>
      </w:r>
      <w:r>
        <w:t xml:space="preserve"> </w:t>
      </w:r>
      <w:r>
        <w:t xml:space="preserve">(SME)</w:t>
      </w:r>
      <w:r>
        <w:t xml:space="preserve"> </w:t>
      </w:r>
      <w:r>
        <w:t xml:space="preserve">TSO</w:t>
      </w:r>
      <w:r>
        <w:t xml:space="preserve"> </w:t>
      </w:r>
      <w:r>
        <w:t xml:space="preserve">(Large)</w:t>
      </w:r>
      <w:r>
        <w:t xml:space="preserve"> </w:t>
      </w:r>
      <w:r>
        <w:t xml:space="preserve">TSU</w:t>
      </w:r>
      <w:r>
        <w:t xml:space="preserve"> </w:t>
      </w:r>
      <w:r>
        <w:t xml:space="preserve">(Large)</w:t>
      </w:r>
      <w:r>
        <w:t xml:space="preserve"> </w:t>
      </w:r>
      <w:r>
        <w:t xml:space="preserve">HO</w:t>
      </w:r>
      <w:r>
        <w:t xml:space="preserve"> </w:t>
      </w:r>
      <w:r>
        <w:t xml:space="preserve">(Large)</w:t>
      </w:r>
      <w:r>
        <w:t xml:space="preserve"> </w:t>
      </w:r>
      <w:r>
        <w:t xml:space="preserve">2) Recurrent annual costs with no verification</w:t>
      </w:r>
      <w:r>
        <w:t xml:space="preserve"> </w:t>
      </w:r>
      <w:r>
        <w:t xml:space="preserve">1,139</w:t>
      </w:r>
      <w:r>
        <w:t xml:space="preserve"> </w:t>
      </w:r>
      <w:r>
        <w:t xml:space="preserve">570</w:t>
      </w:r>
      <w:r>
        <w:t xml:space="preserve"> </w:t>
      </w:r>
      <w:r>
        <w:t xml:space="preserve">1,139</w:t>
      </w:r>
      <w:r>
        <w:t xml:space="preserve"> </w:t>
      </w:r>
      <w:r>
        <w:t xml:space="preserve">3,190</w:t>
      </w:r>
      <w:r>
        <w:t xml:space="preserve"> </w:t>
      </w:r>
      <w:r>
        <w:t xml:space="preserve">2,734</w:t>
      </w:r>
      <w:r>
        <w:t xml:space="preserve"> </w:t>
      </w:r>
      <w:r>
        <w:t xml:space="preserve">3,190</w:t>
      </w:r>
      <w:r>
        <w:t xml:space="preserve"> </w:t>
      </w:r>
      <w:r>
        <w:t xml:space="preserve">3) Recurrent costs for verification of calculation</w:t>
      </w:r>
      <w:r>
        <w:t xml:space="preserve"> </w:t>
      </w:r>
      <w:r>
        <w:t xml:space="preserve">processes (use of certified tool)</w:t>
      </w:r>
      <w:r>
        <w:t xml:space="preserve"> </w:t>
      </w:r>
      <w:r>
        <w:t xml:space="preserve">399</w:t>
      </w:r>
      <w:r>
        <w:t xml:space="preserve"> </w:t>
      </w:r>
      <w:r>
        <w:t xml:space="preserve">570</w:t>
      </w:r>
      <w:r>
        <w:t xml:space="preserve"> </w:t>
      </w:r>
      <w:r>
        <w:t xml:space="preserve">399</w:t>
      </w:r>
      <w:r>
        <w:t xml:space="preserve"> </w:t>
      </w:r>
      <w:r>
        <w:t xml:space="preserve">638</w:t>
      </w:r>
      <w:r>
        <w:t xml:space="preserve"> </w:t>
      </w:r>
      <w:r>
        <w:t xml:space="preserve">1,048</w:t>
      </w:r>
      <w:r>
        <w:t xml:space="preserve"> </w:t>
      </w:r>
      <w:r>
        <w:t xml:space="preserve">638</w:t>
      </w:r>
      <w:r>
        <w:t xml:space="preserve"> </w:t>
      </w:r>
      <w:r>
        <w:t xml:space="preserve">4) Recurrent costs for the use of calculation</w:t>
      </w:r>
      <w:r>
        <w:t xml:space="preserve"> </w:t>
      </w:r>
      <w:r>
        <w:t xml:space="preserve">tools</w:t>
      </w:r>
      <w:r>
        <w:t xml:space="preserve"> </w:t>
      </w:r>
      <w:r>
        <w:t xml:space="preserve">257</w:t>
      </w:r>
      <w:r>
        <w:t xml:space="preserve"> </w:t>
      </w:r>
      <w:r>
        <w:t xml:space="preserve">514</w:t>
      </w:r>
      <w:r>
        <w:t xml:space="preserve"> </w:t>
      </w:r>
      <w:r>
        <w:t xml:space="preserve">514</w:t>
      </w:r>
      <w:r>
        <w:t xml:space="preserve"> </w:t>
      </w:r>
      <w:r>
        <w:t xml:space="preserve">1,799</w:t>
      </w:r>
      <w:r>
        <w:t xml:space="preserve"> </w:t>
      </w:r>
      <w:r>
        <w:t xml:space="preserve">3,597</w:t>
      </w:r>
      <w:r>
        <w:t xml:space="preserve"> </w:t>
      </w:r>
      <w:r>
        <w:t xml:space="preserve">3,597</w:t>
      </w:r>
      <w:r>
        <w:t xml:space="preserve"> </w:t>
      </w:r>
      <w:r>
        <w:t xml:space="preserve">Source: Ecorys and CE Delft (2023), Impact assessment support study</w:t>
      </w:r>
      <w:r>
        <w:t xml:space="preserve"> </w:t>
      </w:r>
      <w:r>
        <w:t xml:space="preserve">Total costs are calculated by multiplying the number of services for which the enterprises count GHG</w:t>
      </w:r>
      <w:r>
        <w:t xml:space="preserve"> </w:t>
      </w:r>
      <w:r>
        <w:t xml:space="preserve">emissions with the unit values presented in costs per transport service and are reported in Table 27Table</w:t>
      </w:r>
      <w:r>
        <w:t xml:space="preserve"> </w:t>
      </w:r>
      <w:r>
        <w:t xml:space="preserve">. In the baseline scenario, they are projected to increase from EUR 36.4 million in 2020 to EUR 61.4</w:t>
      </w:r>
      <w:r>
        <w:t xml:space="preserve"> </w:t>
      </w:r>
      <w:r>
        <w:t xml:space="preserve">million in 2030 and EUR 92.7 million in 2050. The largest share of the costs is associated to SMEs.</w:t>
      </w:r>
    </w:p>
    <w:p>
      <w:pPr>
        <w:pStyle w:val="BodyText"/>
      </w:pPr>
      <w:r>
        <w:t xml:space="preserve">2021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All enterprises</w:t>
      </w:r>
      <w:r>
        <w:t xml:space="preserve"> </w:t>
      </w:r>
      <w:r>
        <w:t xml:space="preserve">106.5</w:t>
      </w:r>
      <w:r>
        <w:t xml:space="preserve"> </w:t>
      </w:r>
      <w:r>
        <w:t xml:space="preserve">200.4</w:t>
      </w:r>
      <w:r>
        <w:t xml:space="preserve"> </w:t>
      </w:r>
      <w:r>
        <w:t xml:space="preserve">294.4</w:t>
      </w:r>
      <w:r>
        <w:t xml:space="preserve"> </w:t>
      </w:r>
      <w:r>
        <w:t xml:space="preserve">378.8</w:t>
      </w:r>
      <w:r>
        <w:t xml:space="preserve"> </w:t>
      </w:r>
      <w:r>
        <w:t xml:space="preserve">SME</w:t>
      </w:r>
      <w:r>
        <w:t xml:space="preserve"> </w:t>
      </w:r>
      <w:r>
        <w:t xml:space="preserve">93.3</w:t>
      </w:r>
      <w:r>
        <w:t xml:space="preserve"> </w:t>
      </w:r>
      <w:r>
        <w:t xml:space="preserve">171.7</w:t>
      </w:r>
      <w:r>
        <w:t xml:space="preserve"> </w:t>
      </w:r>
      <w:r>
        <w:t xml:space="preserve">250.1</w:t>
      </w:r>
      <w:r>
        <w:t xml:space="preserve"> </w:t>
      </w:r>
      <w:r>
        <w:t xml:space="preserve">320.6</w:t>
      </w:r>
      <w:r>
        <w:t xml:space="preserve"> </w:t>
      </w:r>
      <w:r>
        <w:t xml:space="preserve">Large enterprises</w:t>
      </w:r>
      <w:r>
        <w:t xml:space="preserve"> </w:t>
      </w:r>
      <w:r>
        <w:t xml:space="preserve">13.3</w:t>
      </w:r>
      <w:r>
        <w:t xml:space="preserve"> </w:t>
      </w:r>
      <w:r>
        <w:t xml:space="preserve">28.7</w:t>
      </w:r>
      <w:r>
        <w:t xml:space="preserve"> </w:t>
      </w:r>
      <w:r>
        <w:t xml:space="preserve">44.2</w:t>
      </w:r>
      <w:r>
        <w:t xml:space="preserve"> </w:t>
      </w:r>
      <w:r>
        <w:t xml:space="preserve">58.2</w:t>
      </w:r>
      <w:r>
        <w:t xml:space="preserve"> </w:t>
      </w:r>
      <w:r>
        <w:t xml:space="preserve">Source: Ecorys and CE Delft (2023), Impact assessment support study</w:t>
      </w:r>
      <w:r>
        <w:t xml:space="preserve"> </w:t>
      </w:r>
      <w:r>
        <w:t xml:space="preserve">Further details on the costs associated with GHG emissions accounting for SMEs and large enterprises</w:t>
      </w:r>
      <w:r>
        <w:t xml:space="preserve"> </w:t>
      </w:r>
      <w:r>
        <w:t xml:space="preserve">are provided in Table 27.</w:t>
      </w:r>
      <w:r>
        <w:t xml:space="preserve"> </w:t>
      </w:r>
      <w:r>
        <w:t xml:space="preserve">Table 27: Total costs for SMEs and large enterprises associated with GHG emissions accounting at service level in</w:t>
      </w:r>
      <w:r>
        <w:t xml:space="preserve"> </w:t>
      </w:r>
      <w:r>
        <w:t xml:space="preserve">the baseline (in million EUR, 2022 prices)</w:t>
      </w:r>
    </w:p>
    <w:p>
      <w:pPr>
        <w:pStyle w:val="BodyText"/>
      </w:pPr>
      <w:r>
        <w:t xml:space="preserve">2020 2025 2030 2040 2050</w:t>
      </w:r>
      <w:r>
        <w:t xml:space="preserve"> </w:t>
      </w:r>
      <w:r>
        <w:t xml:space="preserve">1a) One-off costs for implementing a new GHG emission accounting method</w:t>
      </w:r>
      <w:r>
        <w:t xml:space="preserve"> </w:t>
      </w:r>
      <w:r>
        <w:t xml:space="preserve">3.4</w:t>
      </w:r>
      <w:r>
        <w:t xml:space="preserve"> </w:t>
      </w:r>
      <w:r>
        <w:t xml:space="preserve">3.4</w:t>
      </w:r>
      <w:r>
        <w:t xml:space="preserve"> </w:t>
      </w:r>
      <w:r>
        <w:t xml:space="preserve">3.1</w:t>
      </w:r>
      <w:r>
        <w:t xml:space="preserve"> </w:t>
      </w:r>
      <w:r>
        <w:t xml:space="preserve">2.7</w:t>
      </w:r>
      <w:r>
        <w:t xml:space="preserve"> </w:t>
      </w:r>
      <w:r>
        <w:t xml:space="preserve">2.2</w:t>
      </w:r>
      <w:r>
        <w:t xml:space="preserve"> </w:t>
      </w:r>
      <w:r>
        <w:t xml:space="preserve">SME</w:t>
      </w:r>
      <w:r>
        <w:t xml:space="preserve"> </w:t>
      </w:r>
      <w:r>
        <w:t xml:space="preserve">3.2</w:t>
      </w:r>
      <w:r>
        <w:t xml:space="preserve"> </w:t>
      </w:r>
      <w:r>
        <w:t xml:space="preserve">3.2</w:t>
      </w:r>
      <w:r>
        <w:t xml:space="preserve"> </w:t>
      </w:r>
      <w:r>
        <w:t xml:space="preserve">2.9</w:t>
      </w:r>
      <w:r>
        <w:t xml:space="preserve"> </w:t>
      </w:r>
      <w:r>
        <w:t xml:space="preserve">2.5</w:t>
      </w:r>
      <w:r>
        <w:t xml:space="preserve"> </w:t>
      </w:r>
      <w:r>
        <w:t xml:space="preserve">2.1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0.2</w:t>
      </w:r>
      <w:r>
        <w:t xml:space="preserve"> </w:t>
      </w:r>
      <w:r>
        <w:t xml:space="preserve">0.2</w:t>
      </w:r>
      <w:r>
        <w:t xml:space="preserve"> </w:t>
      </w:r>
      <w:r>
        <w:t xml:space="preserve">0.2</w:t>
      </w:r>
      <w:r>
        <w:t xml:space="preserve"> </w:t>
      </w:r>
      <w:r>
        <w:t xml:space="preserve">0.2</w:t>
      </w:r>
      <w:r>
        <w:t xml:space="preserve"> </w:t>
      </w:r>
      <w:r>
        <w:t xml:space="preserve">0.1</w:t>
      </w:r>
      <w:r>
        <w:t xml:space="preserve"> </w:t>
      </w:r>
      <w:r>
        <w:t xml:space="preserve">1b) One-off costs for switching to a new GHG emission accounting method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SME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2) Recurrent annual costs with no verification</w:t>
      </w:r>
      <w:r>
        <w:t xml:space="preserve"> </w:t>
      </w:r>
      <w:r>
        <w:t xml:space="preserve">24.1</w:t>
      </w:r>
      <w:r>
        <w:t xml:space="preserve"> </w:t>
      </w:r>
      <w:r>
        <w:t xml:space="preserve">33.8 41.7 54.6 64.0</w:t>
      </w:r>
      <w:r>
        <w:t xml:space="preserve"> </w:t>
      </w:r>
      <w:r>
        <w:t xml:space="preserve">SME</w:t>
      </w:r>
      <w:r>
        <w:t xml:space="preserve"> </w:t>
      </w:r>
      <w:r>
        <w:t xml:space="preserve">23.1</w:t>
      </w:r>
      <w:r>
        <w:t xml:space="preserve"> </w:t>
      </w:r>
      <w:r>
        <w:t xml:space="preserve">32.3 39.8 51.9 60.8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0.9</w:t>
      </w:r>
      <w:r>
        <w:t xml:space="preserve"> </w:t>
      </w:r>
      <w:r>
        <w:t xml:space="preserve">1.5</w:t>
      </w:r>
      <w:r>
        <w:t xml:space="preserve"> </w:t>
      </w:r>
      <w:r>
        <w:t xml:space="preserve">2.0</w:t>
      </w:r>
      <w:r>
        <w:t xml:space="preserve"> </w:t>
      </w:r>
      <w:r>
        <w:t xml:space="preserve">2.7</w:t>
      </w:r>
      <w:r>
        <w:t xml:space="preserve"> </w:t>
      </w:r>
      <w:r>
        <w:t xml:space="preserve">3.3</w:t>
      </w:r>
      <w:r>
        <w:t xml:space="preserve"> </w:t>
      </w:r>
      <w:r>
        <w:t xml:space="preserve">3) Annual costs for verification activities</w:t>
      </w:r>
      <w:r>
        <w:t xml:space="preserve"> </w:t>
      </w:r>
      <w:r>
        <w:t xml:space="preserve">2.0</w:t>
      </w:r>
      <w:r>
        <w:t xml:space="preserve"> </w:t>
      </w:r>
      <w:r>
        <w:t xml:space="preserve">2.9</w:t>
      </w:r>
      <w:r>
        <w:t xml:space="preserve"> </w:t>
      </w:r>
      <w:r>
        <w:t xml:space="preserve">3.6</w:t>
      </w:r>
      <w:r>
        <w:t xml:space="preserve"> </w:t>
      </w:r>
      <w:r>
        <w:t xml:space="preserve">4.9</w:t>
      </w:r>
      <w:r>
        <w:t xml:space="preserve"> </w:t>
      </w:r>
      <w:r>
        <w:t xml:space="preserve">5.7</w:t>
      </w:r>
      <w:r>
        <w:t xml:space="preserve"> </w:t>
      </w:r>
      <w:r>
        <w:t xml:space="preserve">SME</w:t>
      </w:r>
      <w:r>
        <w:t xml:space="preserve"> </w:t>
      </w:r>
      <w:r>
        <w:t xml:space="preserve">1.8</w:t>
      </w:r>
      <w:r>
        <w:t xml:space="preserve"> </w:t>
      </w:r>
      <w:r>
        <w:t xml:space="preserve">2.5</w:t>
      </w:r>
      <w:r>
        <w:t xml:space="preserve"> </w:t>
      </w:r>
      <w:r>
        <w:t xml:space="preserve">3.2</w:t>
      </w:r>
      <w:r>
        <w:t xml:space="preserve"> </w:t>
      </w:r>
      <w:r>
        <w:t xml:space="preserve">4.2</w:t>
      </w:r>
      <w:r>
        <w:t xml:space="preserve"> </w:t>
      </w:r>
      <w:r>
        <w:t xml:space="preserve">4.9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0.2</w:t>
      </w:r>
      <w:r>
        <w:t xml:space="preserve"> </w:t>
      </w:r>
      <w:r>
        <w:t xml:space="preserve">0.3</w:t>
      </w:r>
      <w:r>
        <w:t xml:space="preserve"> </w:t>
      </w:r>
      <w:r>
        <w:t xml:space="preserve">0.5</w:t>
      </w:r>
      <w:r>
        <w:t xml:space="preserve"> </w:t>
      </w:r>
      <w:r>
        <w:t xml:space="preserve">0.7</w:t>
      </w:r>
      <w:r>
        <w:t xml:space="preserve"> </w:t>
      </w:r>
      <w:r>
        <w:t xml:space="preserve">0.8</w:t>
      </w:r>
      <w:r>
        <w:t xml:space="preserve"> </w:t>
      </w:r>
      <w:r>
        <w:t xml:space="preserve">4) Annual costs for tools use</w:t>
      </w:r>
      <w:r>
        <w:t xml:space="preserve"> </w:t>
      </w:r>
      <w:r>
        <w:t xml:space="preserve">6.9</w:t>
      </w:r>
      <w:r>
        <w:t xml:space="preserve"> </w:t>
      </w:r>
      <w:r>
        <w:t xml:space="preserve">10.2 12.9 17.4 20.7</w:t>
      </w:r>
      <w:r>
        <w:t xml:space="preserve"> </w:t>
      </w:r>
      <w:r>
        <w:t xml:space="preserve">SME</w:t>
      </w:r>
      <w:r>
        <w:t xml:space="preserve"> </w:t>
      </w:r>
      <w:r>
        <w:t xml:space="preserve">6.0</w:t>
      </w:r>
      <w:r>
        <w:t xml:space="preserve"> </w:t>
      </w:r>
      <w:r>
        <w:t xml:space="preserve">8.8 11.0 14.7 17.4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0.9</w:t>
      </w:r>
      <w:r>
        <w:t xml:space="preserve"> </w:t>
      </w:r>
      <w:r>
        <w:t xml:space="preserve">1.4</w:t>
      </w:r>
      <w:r>
        <w:t xml:space="preserve"> </w:t>
      </w:r>
      <w:r>
        <w:t xml:space="preserve">1.9</w:t>
      </w:r>
      <w:r>
        <w:t xml:space="preserve"> </w:t>
      </w:r>
      <w:r>
        <w:t xml:space="preserve">2.7</w:t>
      </w:r>
      <w:r>
        <w:t xml:space="preserve"> </w:t>
      </w:r>
      <w:r>
        <w:t xml:space="preserve">3.4</w:t>
      </w:r>
      <w:r>
        <w:t xml:space="preserve"> </w:t>
      </w:r>
      <w:r>
        <w:t xml:space="preserve">Total costs</w:t>
      </w:r>
      <w:r>
        <w:t xml:space="preserve"> </w:t>
      </w:r>
      <w:r>
        <w:t xml:space="preserve">36.4</w:t>
      </w:r>
      <w:r>
        <w:t xml:space="preserve"> </w:t>
      </w:r>
      <w:r>
        <w:t xml:space="preserve">50.3 61.4 79.6 92.7</w:t>
      </w:r>
      <w:r>
        <w:t xml:space="preserve"> </w:t>
      </w:r>
      <w:r>
        <w:t xml:space="preserve">SME</w:t>
      </w:r>
      <w:r>
        <w:t xml:space="preserve"> </w:t>
      </w:r>
      <w:r>
        <w:t xml:space="preserve">34.1</w:t>
      </w:r>
      <w:r>
        <w:t xml:space="preserve"> </w:t>
      </w:r>
      <w:r>
        <w:t xml:space="preserve">46.8 56.9 73.3 85.1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2.2</w:t>
      </w:r>
      <w:r>
        <w:t xml:space="preserve"> </w:t>
      </w:r>
      <w:r>
        <w:t xml:space="preserve">3.5</w:t>
      </w:r>
      <w:r>
        <w:t xml:space="preserve"> </w:t>
      </w:r>
      <w:r>
        <w:t xml:space="preserve">4.6</w:t>
      </w:r>
      <w:r>
        <w:t xml:space="preserve"> </w:t>
      </w:r>
      <w:r>
        <w:t xml:space="preserve">6.3</w:t>
      </w:r>
      <w:r>
        <w:t xml:space="preserve"> </w:t>
      </w:r>
      <w:r>
        <w:t xml:space="preserve">7.6</w:t>
      </w:r>
      <w:r>
        <w:t xml:space="preserve"> </w:t>
      </w:r>
      <w:r>
        <w:t xml:space="preserve">Source: Ecorys and CE Delft (2023), Impact assessment support study</w:t>
      </w:r>
      <w:r>
        <w:t xml:space="preserve"> </w:t>
      </w:r>
      <w:r>
        <w:t xml:space="preserve">3. Costs of individual policy measures</w:t>
      </w:r>
    </w:p>
    <w:p>
      <w:pPr>
        <w:pStyle w:val="BodyText"/>
      </w:pPr>
      <w:r>
        <w:t xml:space="preserve">91</w:t>
      </w:r>
    </w:p>
    <w:p>
      <w:pPr>
        <w:pStyle w:val="BodyText"/>
      </w:pPr>
      <w:r>
        <w:t xml:space="preserve">This section explains the inputs used and provides the assessment of costs of the policy measures</w:t>
      </w:r>
      <w:r>
        <w:t xml:space="preserve"> </w:t>
      </w:r>
      <w:r>
        <w:t xml:space="preserve">included in the policy options. The estimation of the costs draws on the impact assessment support</w:t>
      </w:r>
      <w:r>
        <w:t xml:space="preserve"> </w:t>
      </w:r>
      <w:r>
        <w:t xml:space="preserve">study193, including input collected through desk research and stakeholder interviews during the impact</w:t>
      </w:r>
      <w:r>
        <w:t xml:space="preserve"> </w:t>
      </w:r>
      <w:r>
        <w:t xml:space="preserve">assessment process. It should be however noted that these costs and costs savings should only be</w:t>
      </w:r>
      <w:r>
        <w:t xml:space="preserve"> </w:t>
      </w:r>
      <w:r>
        <w:t xml:space="preserve">regarded as an estimation of the order of magnitude, drawing mainly on stakeholder interviews. The</w:t>
      </w:r>
      <w:r>
        <w:t xml:space="preserve"> </w:t>
      </w:r>
      <w:r>
        <w:t xml:space="preserve">presentation distinguishes between different stakeholders’ groups (national public authorities including</w:t>
      </w:r>
      <w:r>
        <w:t xml:space="preserve"> </w:t>
      </w:r>
      <w:r>
        <w:t xml:space="preserve">NABs, businesses and business associations, European Commission and EEA) and between one-off</w:t>
      </w:r>
      <w:r>
        <w:t xml:space="preserve"> </w:t>
      </w:r>
      <w:r>
        <w:t xml:space="preserve">and recurrent (annual) costs, and provides the present value for 2025-2050 assuming a discount rate of</w:t>
      </w:r>
      <w:r>
        <w:t xml:space="preserve"> </w:t>
      </w:r>
      <w:r>
        <w:t xml:space="preserve">3%.</w:t>
      </w:r>
      <w:r>
        <w:br/>
      </w:r>
      <w:r>
        <w:t xml:space="preserve">In order to calculate the total costs of the policy options, different levels of uptake of GHG emissions</w:t>
      </w:r>
      <w:r>
        <w:t xml:space="preserve"> </w:t>
      </w:r>
      <w:r>
        <w:t xml:space="preserve">accounting at transport service level have been assumed on the basis of:</w:t>
      </w:r>
      <w:r>
        <w:t xml:space="preserve"> </w:t>
      </w:r>
      <w:r>
        <w:t xml:space="preserve"> The policy measures related to the methodology (ISO 14083 – PM1, PEFCR – PM2 or ISO 14083</w:t>
      </w:r>
      <w:r>
        <w:t xml:space="preserve"> </w:t>
      </w:r>
      <w:r>
        <w:t xml:space="preserve">with additional elements and increased accuracy – PM3);</w:t>
      </w:r>
      <w:r>
        <w:t xml:space="preserve"> </w:t>
      </w:r>
      <w:r>
        <w:t xml:space="preserve"> The policy measures for the applicability (mandatory – PM13, binding opt-in – PM14, voluntary</w:t>
      </w:r>
      <w:r>
        <w:t xml:space="preserve"> </w:t>
      </w:r>
      <w:r>
        <w:t xml:space="preserve">opt-in – PM15).</w:t>
      </w:r>
    </w:p>
    <w:p>
      <w:pPr>
        <w:pStyle w:val="BodyText"/>
      </w:pPr>
      <w:r>
        <w:t xml:space="preserve">Drawing on desk research and interviews with operators and experts194 in the context of the impact</w:t>
      </w:r>
      <w:r>
        <w:t xml:space="preserve"> </w:t>
      </w:r>
      <w:r>
        <w:t xml:space="preserve">assessment support study, Table 28 to Table 37 summarise the increase in the share of enterprises</w:t>
      </w:r>
      <w:r>
        <w:br/>
      </w:r>
      <w:r>
        <w:t xml:space="preserve">performing GHG emissions accounting at service level for each NACE category, separated between</w:t>
      </w:r>
      <w:r>
        <w:t xml:space="preserve"> </w:t>
      </w:r>
      <w:r>
        <w:t xml:space="preserve">large enterprises and SMEs, for each policy option relative to the baseline.</w:t>
      </w:r>
      <w:r>
        <w:br/>
      </w:r>
      <w:r>
        <w:t xml:space="preserve">Table 28: Increase in the share of enterprises performing GHG emissions accounting at service level in PO1 and</w:t>
      </w:r>
      <w:r>
        <w:t xml:space="preserve"> </w:t>
      </w:r>
      <w:r>
        <w:t xml:space="preserve">PO6 relative to the baseline (percentage points increase relative to the baseline)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SME</w:t>
      </w:r>
    </w:p>
    <w:p>
      <w:pPr>
        <w:pStyle w:val="BodyText"/>
      </w:pPr>
      <w:r>
        <w:t xml:space="preserve">Passenger</w:t>
      </w:r>
      <w:r>
        <w:br/>
      </w:r>
      <w:r>
        <w:t xml:space="preserve">Interurban rail</w:t>
      </w:r>
      <w:r>
        <w:t xml:space="preserve"> </w:t>
      </w:r>
      <w:r>
        <w:t xml:space="preserve">5%</w:t>
      </w:r>
      <w:r>
        <w:t xml:space="preserve"> </w:t>
      </w:r>
      <w:r>
        <w:t xml:space="preserve">53%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99%</w:t>
      </w:r>
      <w:r>
        <w:t xml:space="preserve"> </w:t>
      </w:r>
      <w:r>
        <w:t xml:space="preserve">Other transport over land</w:t>
      </w:r>
      <w:r>
        <w:t xml:space="preserve"> </w:t>
      </w:r>
      <w:r>
        <w:t xml:space="preserve">5%</w:t>
      </w:r>
      <w:r>
        <w:t xml:space="preserve"> </w:t>
      </w:r>
      <w:r>
        <w:t xml:space="preserve">52%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Maritime</w:t>
      </w:r>
      <w:r>
        <w:t xml:space="preserve"> </w:t>
      </w:r>
      <w:r>
        <w:t xml:space="preserve">8%</w:t>
      </w:r>
      <w:r>
        <w:t xml:space="preserve"> </w:t>
      </w:r>
      <w:r>
        <w:t xml:space="preserve">51%</w:t>
      </w:r>
      <w:r>
        <w:t xml:space="preserve"> </w:t>
      </w:r>
      <w:r>
        <w:t xml:space="preserve">93%</w:t>
      </w:r>
      <w:r>
        <w:t xml:space="preserve"> </w:t>
      </w:r>
      <w:r>
        <w:t xml:space="preserve">92%</w:t>
      </w:r>
      <w:r>
        <w:t xml:space="preserve"> </w:t>
      </w:r>
      <w:r>
        <w:t xml:space="preserve">91%</w:t>
      </w:r>
      <w:r>
        <w:t xml:space="preserve"> </w:t>
      </w:r>
      <w:r>
        <w:t xml:space="preserve">91%</w:t>
      </w:r>
      <w:r>
        <w:t xml:space="preserve"> </w:t>
      </w:r>
      <w:r>
        <w:t xml:space="preserve">Inland navigation</w:t>
      </w:r>
      <w:r>
        <w:t xml:space="preserve"> </w:t>
      </w:r>
      <w:r>
        <w:t xml:space="preserve">8%</w:t>
      </w:r>
      <w:r>
        <w:t xml:space="preserve"> </w:t>
      </w:r>
      <w:r>
        <w:t xml:space="preserve">53%</w:t>
      </w:r>
      <w:r>
        <w:t xml:space="preserve"> </w:t>
      </w:r>
      <w:r>
        <w:t xml:space="preserve">99%</w:t>
      </w:r>
      <w:r>
        <w:t xml:space="preserve"> </w:t>
      </w:r>
      <w:r>
        <w:t xml:space="preserve">99%</w:t>
      </w:r>
      <w:r>
        <w:t xml:space="preserve"> </w:t>
      </w:r>
      <w:r>
        <w:t xml:space="preserve">99%</w:t>
      </w:r>
      <w:r>
        <w:t xml:space="preserve"> </w:t>
      </w:r>
      <w:r>
        <w:t xml:space="preserve">99%</w:t>
      </w:r>
      <w:r>
        <w:t xml:space="preserve"> </w:t>
      </w:r>
      <w:r>
        <w:t xml:space="preserve">Air</w:t>
      </w:r>
      <w:r>
        <w:t xml:space="preserve"> </w:t>
      </w:r>
      <w:r>
        <w:t xml:space="preserve">6%</w:t>
      </w:r>
      <w:r>
        <w:t xml:space="preserve"> </w:t>
      </w:r>
      <w:r>
        <w:t xml:space="preserve">52%</w:t>
      </w:r>
      <w:r>
        <w:t xml:space="preserve"> </w:t>
      </w:r>
      <w:r>
        <w:t xml:space="preserve">98%</w:t>
      </w:r>
      <w:r>
        <w:t xml:space="preserve"> </w:t>
      </w:r>
      <w:r>
        <w:t xml:space="preserve">98%</w:t>
      </w:r>
      <w:r>
        <w:t xml:space="preserve"> </w:t>
      </w:r>
      <w:r>
        <w:t xml:space="preserve">98%</w:t>
      </w:r>
      <w:r>
        <w:t xml:space="preserve"> </w:t>
      </w:r>
      <w:r>
        <w:t xml:space="preserve">98%</w:t>
      </w:r>
      <w:r>
        <w:t xml:space="preserve"> </w:t>
      </w:r>
      <w:r>
        <w:t xml:space="preserve">Freight</w:t>
      </w:r>
      <w:r>
        <w:br/>
      </w:r>
      <w:r>
        <w:t xml:space="preserve">Road</w:t>
      </w:r>
      <w:r>
        <w:t xml:space="preserve"> </w:t>
      </w:r>
      <w:r>
        <w:t xml:space="preserve">7%</w:t>
      </w:r>
      <w:r>
        <w:t xml:space="preserve"> </w:t>
      </w:r>
      <w:r>
        <w:t xml:space="preserve">51%</w:t>
      </w:r>
      <w:r>
        <w:t xml:space="preserve"> </w:t>
      </w:r>
      <w:r>
        <w:t xml:space="preserve">95%</w:t>
      </w:r>
      <w:r>
        <w:t xml:space="preserve"> </w:t>
      </w:r>
      <w:r>
        <w:t xml:space="preserve">94%</w:t>
      </w:r>
      <w:r>
        <w:t xml:space="preserve"> </w:t>
      </w:r>
      <w:r>
        <w:t xml:space="preserve">93%</w:t>
      </w:r>
      <w:r>
        <w:t xml:space="preserve"> </w:t>
      </w:r>
      <w:r>
        <w:t xml:space="preserve">92%</w:t>
      </w:r>
      <w:r>
        <w:t xml:space="preserve"> </w:t>
      </w:r>
      <w:r>
        <w:t xml:space="preserve">Rail</w:t>
      </w:r>
      <w:r>
        <w:t xml:space="preserve"> </w:t>
      </w:r>
      <w:r>
        <w:t xml:space="preserve">5%</w:t>
      </w:r>
      <w:r>
        <w:t xml:space="preserve"> </w:t>
      </w:r>
      <w:r>
        <w:t xml:space="preserve">52%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Inland navigation</w:t>
      </w:r>
      <w:r>
        <w:t xml:space="preserve"> </w:t>
      </w:r>
      <w:r>
        <w:t xml:space="preserve">6%</w:t>
      </w:r>
      <w:r>
        <w:t xml:space="preserve"> </w:t>
      </w:r>
      <w:r>
        <w:t xml:space="preserve">52%</w:t>
      </w:r>
      <w:r>
        <w:t xml:space="preserve"> </w:t>
      </w:r>
      <w:r>
        <w:t xml:space="preserve">99%</w:t>
      </w:r>
      <w:r>
        <w:t xml:space="preserve"> </w:t>
      </w:r>
      <w:r>
        <w:t xml:space="preserve">98%</w:t>
      </w:r>
      <w:r>
        <w:t xml:space="preserve"> </w:t>
      </w:r>
      <w:r>
        <w:t xml:space="preserve">98%</w:t>
      </w:r>
      <w:r>
        <w:t xml:space="preserve"> </w:t>
      </w:r>
      <w:r>
        <w:t xml:space="preserve">98%</w:t>
      </w:r>
      <w:r>
        <w:t xml:space="preserve"> </w:t>
      </w:r>
      <w:r>
        <w:t xml:space="preserve">Maritime</w:t>
      </w:r>
      <w:r>
        <w:t xml:space="preserve"> </w:t>
      </w:r>
      <w:r>
        <w:t xml:space="preserve">8%</w:t>
      </w:r>
      <w:r>
        <w:t xml:space="preserve"> </w:t>
      </w:r>
      <w:r>
        <w:t xml:space="preserve">51%</w:t>
      </w:r>
      <w:r>
        <w:t xml:space="preserve"> </w:t>
      </w:r>
      <w:r>
        <w:t xml:space="preserve">93%</w:t>
      </w:r>
      <w:r>
        <w:t xml:space="preserve"> </w:t>
      </w:r>
      <w:r>
        <w:t xml:space="preserve">92%</w:t>
      </w:r>
      <w:r>
        <w:t xml:space="preserve"> </w:t>
      </w:r>
      <w:r>
        <w:t xml:space="preserve">91%</w:t>
      </w:r>
      <w:r>
        <w:t xml:space="preserve"> </w:t>
      </w:r>
      <w:r>
        <w:t xml:space="preserve">91%</w:t>
      </w:r>
      <w:r>
        <w:t xml:space="preserve"> </w:t>
      </w:r>
      <w:r>
        <w:t xml:space="preserve">Air and space</w:t>
      </w:r>
      <w:r>
        <w:t xml:space="preserve"> </w:t>
      </w:r>
      <w:r>
        <w:t xml:space="preserve">8%</w:t>
      </w:r>
      <w:r>
        <w:t xml:space="preserve"> </w:t>
      </w:r>
      <w:r>
        <w:t xml:space="preserve">50%</w:t>
      </w:r>
      <w:r>
        <w:t xml:space="preserve"> </w:t>
      </w:r>
      <w:r>
        <w:t xml:space="preserve">91%</w:t>
      </w:r>
      <w:r>
        <w:t xml:space="preserve"> </w:t>
      </w:r>
      <w:r>
        <w:t xml:space="preserve">91%</w:t>
      </w:r>
      <w:r>
        <w:t xml:space="preserve"> </w:t>
      </w:r>
      <w:r>
        <w:t xml:space="preserve">90%</w:t>
      </w:r>
      <w:r>
        <w:t xml:space="preserve"> </w:t>
      </w:r>
      <w:r>
        <w:t xml:space="preserve">89%</w:t>
      </w:r>
      <w:r>
        <w:t xml:space="preserve"> </w:t>
      </w:r>
      <w:r>
        <w:t xml:space="preserve">Postal activities</w:t>
      </w:r>
      <w:r>
        <w:t xml:space="preserve"> </w:t>
      </w:r>
      <w:r>
        <w:t xml:space="preserve">10%</w:t>
      </w:r>
      <w:r>
        <w:t xml:space="preserve"> </w:t>
      </w:r>
      <w:r>
        <w:t xml:space="preserve">50%</w:t>
      </w:r>
      <w:r>
        <w:t xml:space="preserve"> </w:t>
      </w:r>
      <w:r>
        <w:t xml:space="preserve">89%</w:t>
      </w:r>
      <w:r>
        <w:t xml:space="preserve"> </w:t>
      </w:r>
      <w:r>
        <w:t xml:space="preserve">87%</w:t>
      </w:r>
      <w:r>
        <w:t xml:space="preserve"> </w:t>
      </w:r>
      <w:r>
        <w:t xml:space="preserve">85%</w:t>
      </w:r>
      <w:r>
        <w:t xml:space="preserve"> </w:t>
      </w:r>
      <w:r>
        <w:t xml:space="preserve">83%</w:t>
      </w:r>
      <w:r>
        <w:t xml:space="preserve"> </w:t>
      </w:r>
      <w:r>
        <w:t xml:space="preserve">Hub operators</w:t>
      </w:r>
      <w:r>
        <w:t xml:space="preserve"> </w:t>
      </w:r>
      <w:r>
        <w:t xml:space="preserve">Warehousing and storage</w:t>
      </w:r>
      <w:r>
        <w:t xml:space="preserve"> </w:t>
      </w:r>
      <w:r>
        <w:t xml:space="preserve">5%</w:t>
      </w:r>
      <w:r>
        <w:t xml:space="preserve"> </w:t>
      </w:r>
      <w:r>
        <w:t xml:space="preserve">53%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Support activities for</w:t>
      </w:r>
      <w:r>
        <w:t xml:space="preserve"> </w:t>
      </w:r>
      <w:r>
        <w:t xml:space="preserve">transportation</w:t>
      </w:r>
      <w:r>
        <w:t xml:space="preserve"> </w:t>
      </w:r>
      <w:r>
        <w:t xml:space="preserve">5%</w:t>
      </w:r>
      <w:r>
        <w:t xml:space="preserve"> </w:t>
      </w:r>
      <w:r>
        <w:t xml:space="preserve">53%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Other</w:t>
      </w:r>
      <w:r>
        <w:t xml:space="preserve"> </w:t>
      </w:r>
      <w:r>
        <w:t xml:space="preserve">Manufacturing</w:t>
      </w:r>
      <w:r>
        <w:t xml:space="preserve"> </w:t>
      </w:r>
      <w:r>
        <w:t xml:space="preserve">6%</w:t>
      </w:r>
      <w:r>
        <w:t xml:space="preserve"> </w:t>
      </w:r>
      <w:r>
        <w:t xml:space="preserve">52%</w:t>
      </w:r>
      <w:r>
        <w:t xml:space="preserve"> </w:t>
      </w:r>
      <w:r>
        <w:t xml:space="preserve">99%</w:t>
      </w:r>
      <w:r>
        <w:t xml:space="preserve"> </w:t>
      </w:r>
      <w:r>
        <w:t xml:space="preserve">99%</w:t>
      </w:r>
      <w:r>
        <w:t xml:space="preserve"> </w:t>
      </w:r>
      <w:r>
        <w:t xml:space="preserve">99%</w:t>
      </w:r>
      <w:r>
        <w:t xml:space="preserve"> </w:t>
      </w:r>
      <w:r>
        <w:t xml:space="preserve">98%</w:t>
      </w:r>
      <w:r>
        <w:t xml:space="preserve"> </w:t>
      </w:r>
      <w:r>
        <w:t xml:space="preserve">Wholesale and retail</w:t>
      </w:r>
      <w:r>
        <w:t xml:space="preserve"> </w:t>
      </w:r>
      <w:r>
        <w:t xml:space="preserve">6%</w:t>
      </w:r>
      <w:r>
        <w:t xml:space="preserve"> </w:t>
      </w:r>
      <w:r>
        <w:t xml:space="preserve">52%</w:t>
      </w:r>
      <w:r>
        <w:t xml:space="preserve"> </w:t>
      </w:r>
      <w:r>
        <w:t xml:space="preserve">99%</w:t>
      </w:r>
      <w:r>
        <w:t xml:space="preserve"> </w:t>
      </w:r>
      <w:r>
        <w:t xml:space="preserve">99%</w:t>
      </w:r>
      <w:r>
        <w:t xml:space="preserve"> </w:t>
      </w:r>
      <w:r>
        <w:t xml:space="preserve">99%</w:t>
      </w:r>
      <w:r>
        <w:t xml:space="preserve"> </w:t>
      </w:r>
      <w:r>
        <w:t xml:space="preserve">98%</w:t>
      </w:r>
      <w:r>
        <w:t xml:space="preserve"> </w:t>
      </w:r>
      <w:r>
        <w:t xml:space="preserve">Tourism</w:t>
      </w:r>
      <w:r>
        <w:t xml:space="preserve"> </w:t>
      </w:r>
      <w:r>
        <w:t xml:space="preserve">7%</w:t>
      </w:r>
      <w:r>
        <w:t xml:space="preserve"> </w:t>
      </w:r>
      <w:r>
        <w:t xml:space="preserve">52%</w:t>
      </w:r>
      <w:r>
        <w:t xml:space="preserve"> </w:t>
      </w:r>
      <w:r>
        <w:t xml:space="preserve">97%</w:t>
      </w:r>
      <w:r>
        <w:t xml:space="preserve"> </w:t>
      </w:r>
      <w:r>
        <w:t xml:space="preserve">97%</w:t>
      </w:r>
      <w:r>
        <w:t xml:space="preserve"> </w:t>
      </w:r>
      <w:r>
        <w:t xml:space="preserve">96%</w:t>
      </w:r>
      <w:r>
        <w:t xml:space="preserve"> </w:t>
      </w:r>
      <w:r>
        <w:t xml:space="preserve">95%</w:t>
      </w:r>
    </w:p>
    <w:p>
      <w:pPr>
        <w:pStyle w:val="BodyText"/>
      </w:pPr>
      <w:r>
        <w:t xml:space="preserve">193 Ecorys and CE Delft (2023), Impact assessment support study.</w:t>
      </w:r>
      <w:r>
        <w:br/>
      </w:r>
      <w:r>
        <w:t xml:space="preserve">194 Ecorys and CE Delft (2023), Impact assessment support study.</w:t>
      </w:r>
    </w:p>
    <w:p>
      <w:pPr>
        <w:pStyle w:val="BodyText"/>
      </w:pPr>
      <w:r>
        <w:t xml:space="preserve">92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Large companies (250 or more)</w:t>
      </w:r>
    </w:p>
    <w:p>
      <w:pPr>
        <w:pStyle w:val="BodyText"/>
      </w:pPr>
      <w:r>
        <w:t xml:space="preserve">Passenger</w:t>
      </w:r>
      <w:r>
        <w:br/>
      </w:r>
      <w:r>
        <w:t xml:space="preserve">Interurban rail</w:t>
      </w:r>
      <w:r>
        <w:t xml:space="preserve"> </w:t>
      </w:r>
      <w:r>
        <w:t xml:space="preserve">14%</w:t>
      </w:r>
      <w:r>
        <w:t xml:space="preserve"> </w:t>
      </w:r>
      <w:r>
        <w:t xml:space="preserve">47%</w:t>
      </w:r>
      <w:r>
        <w:t xml:space="preserve"> </w:t>
      </w:r>
      <w:r>
        <w:t xml:space="preserve">77%</w:t>
      </w:r>
      <w:r>
        <w:t xml:space="preserve"> </w:t>
      </w:r>
      <w:r>
        <w:t xml:space="preserve">74%</w:t>
      </w:r>
      <w:r>
        <w:t xml:space="preserve"> </w:t>
      </w:r>
      <w:r>
        <w:t xml:space="preserve">69%</w:t>
      </w:r>
      <w:r>
        <w:t xml:space="preserve"> </w:t>
      </w:r>
      <w:r>
        <w:t xml:space="preserve">66%</w:t>
      </w:r>
      <w:r>
        <w:t xml:space="preserve"> </w:t>
      </w:r>
      <w:r>
        <w:t xml:space="preserve">Other transport over land</w:t>
      </w:r>
      <w:r>
        <w:t xml:space="preserve"> </w:t>
      </w:r>
      <w:r>
        <w:t xml:space="preserve">5%</w:t>
      </w:r>
      <w:r>
        <w:t xml:space="preserve"> </w:t>
      </w:r>
      <w:r>
        <w:t xml:space="preserve">52%</w:t>
      </w:r>
      <w:r>
        <w:t xml:space="preserve"> </w:t>
      </w:r>
      <w:r>
        <w:t xml:space="preserve">99%</w:t>
      </w:r>
      <w:r>
        <w:t xml:space="preserve"> </w:t>
      </w:r>
      <w:r>
        <w:t xml:space="preserve">99%</w:t>
      </w:r>
      <w:r>
        <w:t xml:space="preserve"> </w:t>
      </w:r>
      <w:r>
        <w:t xml:space="preserve">99%</w:t>
      </w:r>
      <w:r>
        <w:t xml:space="preserve"> </w:t>
      </w:r>
      <w:r>
        <w:t xml:space="preserve">99%</w:t>
      </w:r>
      <w:r>
        <w:t xml:space="preserve"> </w:t>
      </w:r>
      <w:r>
        <w:t xml:space="preserve">Maritime</w:t>
      </w:r>
      <w:r>
        <w:t xml:space="preserve"> </w:t>
      </w:r>
      <w:r>
        <w:t xml:space="preserve">16%</w:t>
      </w:r>
      <w:r>
        <w:t xml:space="preserve"> </w:t>
      </w:r>
      <w:r>
        <w:t xml:space="preserve">43%</w:t>
      </w:r>
      <w:r>
        <w:t xml:space="preserve"> </w:t>
      </w:r>
      <w:r>
        <w:t xml:space="preserve">74%</w:t>
      </w:r>
      <w:r>
        <w:t xml:space="preserve"> </w:t>
      </w:r>
      <w:r>
        <w:t xml:space="preserve">71%</w:t>
      </w:r>
      <w:r>
        <w:t xml:space="preserve"> </w:t>
      </w:r>
      <w:r>
        <w:t xml:space="preserve">66%</w:t>
      </w:r>
      <w:r>
        <w:t xml:space="preserve"> </w:t>
      </w:r>
      <w:r>
        <w:t xml:space="preserve">63%</w:t>
      </w:r>
      <w:r>
        <w:t xml:space="preserve"> </w:t>
      </w:r>
      <w:r>
        <w:t xml:space="preserve">Inland navigation</w:t>
      </w:r>
      <w:r>
        <w:t xml:space="preserve"> </w:t>
      </w:r>
      <w:r>
        <w:t xml:space="preserve">5%</w:t>
      </w:r>
      <w:r>
        <w:t xml:space="preserve"> </w:t>
      </w:r>
      <w:r>
        <w:t xml:space="preserve">53%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Air</w:t>
      </w:r>
      <w:r>
        <w:t xml:space="preserve"> </w:t>
      </w:r>
      <w:r>
        <w:t xml:space="preserve">16%</w:t>
      </w:r>
      <w:r>
        <w:t xml:space="preserve"> </w:t>
      </w:r>
      <w:r>
        <w:t xml:space="preserve">41%</w:t>
      </w:r>
      <w:r>
        <w:t xml:space="preserve"> </w:t>
      </w:r>
      <w:r>
        <w:t xml:space="preserve">66%</w:t>
      </w:r>
      <w:r>
        <w:t xml:space="preserve"> </w:t>
      </w:r>
      <w:r>
        <w:t xml:space="preserve">63%</w:t>
      </w:r>
      <w:r>
        <w:t xml:space="preserve"> </w:t>
      </w:r>
      <w:r>
        <w:t xml:space="preserve">60%</w:t>
      </w:r>
      <w:r>
        <w:t xml:space="preserve"> </w:t>
      </w:r>
      <w:r>
        <w:t xml:space="preserve">56%</w:t>
      </w:r>
      <w:r>
        <w:t xml:space="preserve"> </w:t>
      </w:r>
      <w:r>
        <w:t xml:space="preserve">Freight</w:t>
      </w:r>
      <w:r>
        <w:br/>
      </w:r>
      <w:r>
        <w:t xml:space="preserve">Road</w:t>
      </w:r>
      <w:r>
        <w:t xml:space="preserve"> </w:t>
      </w:r>
      <w:r>
        <w:t xml:space="preserve">16%</w:t>
      </w:r>
      <w:r>
        <w:t xml:space="preserve"> </w:t>
      </w:r>
      <w:r>
        <w:t xml:space="preserve">44%</w:t>
      </w:r>
      <w:r>
        <w:t xml:space="preserve"> </w:t>
      </w:r>
      <w:r>
        <w:t xml:space="preserve">73%</w:t>
      </w:r>
      <w:r>
        <w:t xml:space="preserve"> </w:t>
      </w:r>
      <w:r>
        <w:t xml:space="preserve">70%</w:t>
      </w:r>
      <w:r>
        <w:t xml:space="preserve"> </w:t>
      </w:r>
      <w:r>
        <w:t xml:space="preserve">66%</w:t>
      </w:r>
      <w:r>
        <w:t xml:space="preserve"> </w:t>
      </w:r>
      <w:r>
        <w:t xml:space="preserve">62%</w:t>
      </w:r>
      <w:r>
        <w:t xml:space="preserve"> </w:t>
      </w:r>
      <w:r>
        <w:t xml:space="preserve">Rail</w:t>
      </w:r>
      <w:r>
        <w:t xml:space="preserve"> </w:t>
      </w:r>
      <w:r>
        <w:t xml:space="preserve">16%</w:t>
      </w:r>
      <w:r>
        <w:t xml:space="preserve"> </w:t>
      </w:r>
      <w:r>
        <w:t xml:space="preserve">46%</w:t>
      </w:r>
      <w:r>
        <w:t xml:space="preserve"> </w:t>
      </w:r>
      <w:r>
        <w:t xml:space="preserve">78%</w:t>
      </w:r>
      <w:r>
        <w:t xml:space="preserve"> </w:t>
      </w:r>
      <w:r>
        <w:t xml:space="preserve">73%</w:t>
      </w:r>
      <w:r>
        <w:t xml:space="preserve"> </w:t>
      </w:r>
      <w:r>
        <w:t xml:space="preserve">70%</w:t>
      </w:r>
      <w:r>
        <w:t xml:space="preserve"> </w:t>
      </w:r>
      <w:r>
        <w:t xml:space="preserve">65%</w:t>
      </w:r>
      <w:r>
        <w:t xml:space="preserve"> </w:t>
      </w:r>
      <w:r>
        <w:t xml:space="preserve">Inland navigation</w:t>
      </w:r>
      <w:r>
        <w:t xml:space="preserve"> </w:t>
      </w:r>
      <w:r>
        <w:t xml:space="preserve">5%</w:t>
      </w:r>
      <w:r>
        <w:t xml:space="preserve"> </w:t>
      </w:r>
      <w:r>
        <w:t xml:space="preserve">53%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Maritime</w:t>
      </w:r>
      <w:r>
        <w:t xml:space="preserve"> </w:t>
      </w:r>
      <w:r>
        <w:t xml:space="preserve">17%</w:t>
      </w:r>
      <w:r>
        <w:t xml:space="preserve"> </w:t>
      </w:r>
      <w:r>
        <w:t xml:space="preserve">46%</w:t>
      </w:r>
      <w:r>
        <w:t xml:space="preserve"> </w:t>
      </w:r>
      <w:r>
        <w:t xml:space="preserve">73%</w:t>
      </w:r>
      <w:r>
        <w:t xml:space="preserve"> </w:t>
      </w:r>
      <w:r>
        <w:t xml:space="preserve">71%</w:t>
      </w:r>
      <w:r>
        <w:t xml:space="preserve"> </w:t>
      </w:r>
      <w:r>
        <w:t xml:space="preserve">67%</w:t>
      </w:r>
      <w:r>
        <w:t xml:space="preserve"> </w:t>
      </w:r>
      <w:r>
        <w:t xml:space="preserve">63%</w:t>
      </w:r>
      <w:r>
        <w:t xml:space="preserve"> </w:t>
      </w:r>
      <w:r>
        <w:t xml:space="preserve">Air and space</w:t>
      </w:r>
      <w:r>
        <w:t xml:space="preserve"> </w:t>
      </w:r>
      <w:r>
        <w:t xml:space="preserve">27%</w:t>
      </w:r>
      <w:r>
        <w:t xml:space="preserve"> </w:t>
      </w:r>
      <w:r>
        <w:t xml:space="preserve">41%</w:t>
      </w:r>
      <w:r>
        <w:t xml:space="preserve"> </w:t>
      </w:r>
      <w:r>
        <w:t xml:space="preserve">67%</w:t>
      </w:r>
      <w:r>
        <w:t xml:space="preserve"> </w:t>
      </w:r>
      <w:r>
        <w:t xml:space="preserve">56%</w:t>
      </w:r>
      <w:r>
        <w:t xml:space="preserve"> </w:t>
      </w:r>
      <w:r>
        <w:t xml:space="preserve">56%</w:t>
      </w:r>
      <w:r>
        <w:t xml:space="preserve"> </w:t>
      </w:r>
      <w:r>
        <w:t xml:space="preserve">56%</w:t>
      </w:r>
      <w:r>
        <w:t xml:space="preserve"> </w:t>
      </w:r>
      <w:r>
        <w:t xml:space="preserve">Postal activities</w:t>
      </w:r>
      <w:r>
        <w:t xml:space="preserve"> </w:t>
      </w:r>
      <w:r>
        <w:t xml:space="preserve">15%</w:t>
      </w:r>
      <w:r>
        <w:t xml:space="preserve"> </w:t>
      </w:r>
      <w:r>
        <w:t xml:space="preserve">46%</w:t>
      </w:r>
      <w:r>
        <w:t xml:space="preserve"> </w:t>
      </w:r>
      <w:r>
        <w:t xml:space="preserve">78%</w:t>
      </w:r>
      <w:r>
        <w:t xml:space="preserve"> </w:t>
      </w:r>
      <w:r>
        <w:t xml:space="preserve">74%</w:t>
      </w:r>
      <w:r>
        <w:t xml:space="preserve"> </w:t>
      </w:r>
      <w:r>
        <w:t xml:space="preserve">70%</w:t>
      </w:r>
      <w:r>
        <w:t xml:space="preserve"> </w:t>
      </w:r>
      <w:r>
        <w:t xml:space="preserve">66%</w:t>
      </w:r>
      <w:r>
        <w:t xml:space="preserve"> </w:t>
      </w:r>
      <w:r>
        <w:t xml:space="preserve">Hub operators</w:t>
      </w:r>
      <w:r>
        <w:t xml:space="preserve"> </w:t>
      </w:r>
      <w:r>
        <w:t xml:space="preserve">Warehousing and storage</w:t>
      </w:r>
      <w:r>
        <w:t xml:space="preserve"> </w:t>
      </w:r>
      <w:r>
        <w:t xml:space="preserve">22%</w:t>
      </w:r>
      <w:r>
        <w:t xml:space="preserve"> </w:t>
      </w:r>
      <w:r>
        <w:t xml:space="preserve">59%</w:t>
      </w:r>
      <w:r>
        <w:t xml:space="preserve"> </w:t>
      </w:r>
      <w:r>
        <w:t xml:space="preserve">95%</w:t>
      </w:r>
      <w:r>
        <w:t xml:space="preserve"> </w:t>
      </w:r>
      <w:r>
        <w:t xml:space="preserve">94%</w:t>
      </w:r>
      <w:r>
        <w:t xml:space="preserve"> </w:t>
      </w:r>
      <w:r>
        <w:t xml:space="preserve">93%</w:t>
      </w:r>
      <w:r>
        <w:t xml:space="preserve"> </w:t>
      </w:r>
      <w:r>
        <w:t xml:space="preserve">92%</w:t>
      </w:r>
      <w:r>
        <w:t xml:space="preserve"> </w:t>
      </w:r>
      <w:r>
        <w:t xml:space="preserve">Support activities for</w:t>
      </w:r>
      <w:r>
        <w:t xml:space="preserve"> </w:t>
      </w:r>
      <w:r>
        <w:t xml:space="preserve">transportation</w:t>
      </w:r>
      <w:r>
        <w:t xml:space="preserve"> </w:t>
      </w:r>
      <w:r>
        <w:t xml:space="preserve">22%</w:t>
      </w:r>
      <w:r>
        <w:t xml:space="preserve"> </w:t>
      </w:r>
      <w:r>
        <w:t xml:space="preserve">59%</w:t>
      </w:r>
      <w:r>
        <w:t xml:space="preserve"> </w:t>
      </w:r>
      <w:r>
        <w:t xml:space="preserve">96%</w:t>
      </w:r>
      <w:r>
        <w:t xml:space="preserve"> </w:t>
      </w:r>
      <w:r>
        <w:t xml:space="preserve">95%</w:t>
      </w:r>
      <w:r>
        <w:t xml:space="preserve"> </w:t>
      </w:r>
      <w:r>
        <w:t xml:space="preserve">94%</w:t>
      </w:r>
      <w:r>
        <w:t xml:space="preserve"> </w:t>
      </w:r>
      <w:r>
        <w:t xml:space="preserve">93%</w:t>
      </w:r>
      <w:r>
        <w:t xml:space="preserve"> </w:t>
      </w:r>
      <w:r>
        <w:t xml:space="preserve">Other</w:t>
      </w:r>
      <w:r>
        <w:t xml:space="preserve"> </w:t>
      </w:r>
      <w:r>
        <w:t xml:space="preserve">Manufacturing</w:t>
      </w:r>
      <w:r>
        <w:t xml:space="preserve"> </w:t>
      </w:r>
      <w:r>
        <w:t xml:space="preserve">15%</w:t>
      </w:r>
      <w:r>
        <w:t xml:space="preserve"> </w:t>
      </w:r>
      <w:r>
        <w:t xml:space="preserve">47%</w:t>
      </w:r>
      <w:r>
        <w:t xml:space="preserve"> </w:t>
      </w:r>
      <w:r>
        <w:t xml:space="preserve">80%</w:t>
      </w:r>
      <w:r>
        <w:t xml:space="preserve"> </w:t>
      </w:r>
      <w:r>
        <w:t xml:space="preserve">76%</w:t>
      </w:r>
      <w:r>
        <w:t xml:space="preserve"> </w:t>
      </w:r>
      <w:r>
        <w:t xml:space="preserve">72%</w:t>
      </w:r>
      <w:r>
        <w:t xml:space="preserve"> </w:t>
      </w:r>
      <w:r>
        <w:t xml:space="preserve">68%</w:t>
      </w:r>
      <w:r>
        <w:t xml:space="preserve"> </w:t>
      </w:r>
      <w:r>
        <w:t xml:space="preserve">Wholesale and retail</w:t>
      </w:r>
      <w:r>
        <w:t xml:space="preserve"> </w:t>
      </w:r>
      <w:r>
        <w:t xml:space="preserve">15%</w:t>
      </w:r>
      <w:r>
        <w:t xml:space="preserve"> </w:t>
      </w:r>
      <w:r>
        <w:t xml:space="preserve">47%</w:t>
      </w:r>
      <w:r>
        <w:t xml:space="preserve"> </w:t>
      </w:r>
      <w:r>
        <w:t xml:space="preserve">80%</w:t>
      </w:r>
      <w:r>
        <w:t xml:space="preserve"> </w:t>
      </w:r>
      <w:r>
        <w:t xml:space="preserve">76%</w:t>
      </w:r>
      <w:r>
        <w:t xml:space="preserve"> </w:t>
      </w:r>
      <w:r>
        <w:t xml:space="preserve">72%</w:t>
      </w:r>
      <w:r>
        <w:t xml:space="preserve"> </w:t>
      </w:r>
      <w:r>
        <w:t xml:space="preserve">68%</w:t>
      </w:r>
      <w:r>
        <w:t xml:space="preserve"> </w:t>
      </w:r>
      <w:r>
        <w:t xml:space="preserve">Tourism</w:t>
      </w:r>
      <w:r>
        <w:t xml:space="preserve"> </w:t>
      </w:r>
      <w:r>
        <w:t xml:space="preserve">9%</w:t>
      </w:r>
      <w:r>
        <w:t xml:space="preserve"> </w:t>
      </w:r>
      <w:r>
        <w:t xml:space="preserve">51%</w:t>
      </w:r>
      <w:r>
        <w:t xml:space="preserve"> </w:t>
      </w:r>
      <w:r>
        <w:t xml:space="preserve">92%</w:t>
      </w:r>
      <w:r>
        <w:t xml:space="preserve"> </w:t>
      </w:r>
      <w:r>
        <w:t xml:space="preserve">90%</w:t>
      </w:r>
      <w:r>
        <w:t xml:space="preserve"> </w:t>
      </w:r>
      <w:r>
        <w:t xml:space="preserve">88%</w:t>
      </w:r>
      <w:r>
        <w:t xml:space="preserve"> </w:t>
      </w:r>
      <w:r>
        <w:t xml:space="preserve">87%</w:t>
      </w:r>
      <w:r>
        <w:t xml:space="preserve"> </w:t>
      </w:r>
      <w:r>
        <w:t xml:space="preserve">Source: Ecorys and CE Delft (2023), Impact assessment support study</w:t>
      </w:r>
      <w:r>
        <w:t xml:space="preserve"> </w:t>
      </w:r>
      <w:r>
        <w:t xml:space="preserve">Table 29: Type and size of impacted enterprises in PO1 and PO6 as a percentage of all enterprises targeted by CountEmissions</w:t>
      </w:r>
      <w:r>
        <w:t xml:space="preserve"> </w:t>
      </w:r>
      <w:r>
        <w:t xml:space="preserve">EU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SME</w:t>
      </w:r>
    </w:p>
    <w:p>
      <w:pPr>
        <w:pStyle w:val="BodyText"/>
      </w:pPr>
      <w:r>
        <w:t xml:space="preserve">Passenger</w:t>
      </w:r>
      <w:r>
        <w:br/>
      </w:r>
      <w:r>
        <w:t xml:space="preserve">Interurban rail</w:t>
      </w:r>
      <w:r>
        <w:t xml:space="preserve"> </w:t>
      </w:r>
      <w:r>
        <w:t xml:space="preserve">5%</w:t>
      </w:r>
      <w:r>
        <w:t xml:space="preserve"> </w:t>
      </w:r>
      <w:r>
        <w:t xml:space="preserve">53%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Other transport over land</w:t>
      </w:r>
      <w:r>
        <w:t xml:space="preserve"> </w:t>
      </w:r>
      <w:r>
        <w:t xml:space="preserve">5%</w:t>
      </w:r>
      <w:r>
        <w:t xml:space="preserve"> </w:t>
      </w:r>
      <w:r>
        <w:t xml:space="preserve">53%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Maritime</w:t>
      </w:r>
      <w:r>
        <w:t xml:space="preserve"> </w:t>
      </w:r>
      <w:r>
        <w:t xml:space="preserve">12%</w:t>
      </w:r>
      <w:r>
        <w:t xml:space="preserve"> </w:t>
      </w:r>
      <w:r>
        <w:t xml:space="preserve">56%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Inland navigation</w:t>
      </w:r>
      <w:r>
        <w:t xml:space="preserve"> </w:t>
      </w:r>
      <w:r>
        <w:t xml:space="preserve">8%</w:t>
      </w:r>
      <w:r>
        <w:t xml:space="preserve"> </w:t>
      </w:r>
      <w:r>
        <w:t xml:space="preserve">54%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Air</w:t>
      </w:r>
      <w:r>
        <w:t xml:space="preserve"> </w:t>
      </w:r>
      <w:r>
        <w:t xml:space="preserve">7%</w:t>
      </w:r>
      <w:r>
        <w:t xml:space="preserve"> </w:t>
      </w:r>
      <w:r>
        <w:t xml:space="preserve">53%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Freight</w:t>
      </w:r>
      <w:r>
        <w:br/>
      </w:r>
      <w:r>
        <w:t xml:space="preserve">Road</w:t>
      </w:r>
      <w:r>
        <w:t xml:space="preserve"> </w:t>
      </w:r>
      <w:r>
        <w:t xml:space="preserve">11%</w:t>
      </w:r>
      <w:r>
        <w:t xml:space="preserve"> </w:t>
      </w:r>
      <w:r>
        <w:t xml:space="preserve">55%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Rail</w:t>
      </w:r>
      <w:r>
        <w:t xml:space="preserve"> </w:t>
      </w:r>
      <w:r>
        <w:t xml:space="preserve">5%</w:t>
      </w:r>
      <w:r>
        <w:t xml:space="preserve"> </w:t>
      </w:r>
      <w:r>
        <w:t xml:space="preserve">53%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Inland navigation</w:t>
      </w:r>
      <w:r>
        <w:t xml:space="preserve"> </w:t>
      </w:r>
      <w:r>
        <w:t xml:space="preserve">6%</w:t>
      </w:r>
      <w:r>
        <w:t xml:space="preserve"> </w:t>
      </w:r>
      <w:r>
        <w:t xml:space="preserve">53%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Maritime</w:t>
      </w:r>
      <w:r>
        <w:t xml:space="preserve"> </w:t>
      </w:r>
      <w:r>
        <w:t xml:space="preserve">12%</w:t>
      </w:r>
      <w:r>
        <w:t xml:space="preserve"> </w:t>
      </w:r>
      <w:r>
        <w:t xml:space="preserve">56%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Air and space</w:t>
      </w:r>
      <w:r>
        <w:t xml:space="preserve"> </w:t>
      </w:r>
      <w:r>
        <w:t xml:space="preserve">15%</w:t>
      </w:r>
      <w:r>
        <w:t xml:space="preserve"> </w:t>
      </w:r>
      <w:r>
        <w:t xml:space="preserve">57%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Postal activities</w:t>
      </w:r>
      <w:r>
        <w:t xml:space="preserve"> </w:t>
      </w:r>
      <w:r>
        <w:t xml:space="preserve">17%</w:t>
      </w:r>
      <w:r>
        <w:t xml:space="preserve"> </w:t>
      </w:r>
      <w:r>
        <w:t xml:space="preserve">59%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Hub operators</w:t>
      </w:r>
      <w:r>
        <w:t xml:space="preserve"> </w:t>
      </w:r>
      <w:r>
        <w:t xml:space="preserve">Warehousing and storage</w:t>
      </w:r>
      <w:r>
        <w:t xml:space="preserve"> </w:t>
      </w:r>
      <w:r>
        <w:t xml:space="preserve">5%</w:t>
      </w:r>
      <w:r>
        <w:t xml:space="preserve"> </w:t>
      </w:r>
      <w:r>
        <w:t xml:space="preserve">53%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Support activities for transportation</w:t>
      </w:r>
      <w:r>
        <w:t xml:space="preserve"> </w:t>
      </w:r>
      <w:r>
        <w:t xml:space="preserve">5%</w:t>
      </w:r>
      <w:r>
        <w:t xml:space="preserve"> </w:t>
      </w:r>
      <w:r>
        <w:t xml:space="preserve">53%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Other</w:t>
      </w:r>
      <w:r>
        <w:t xml:space="preserve"> </w:t>
      </w:r>
      <w:r>
        <w:t xml:space="preserve">Manufacturing</w:t>
      </w:r>
      <w:r>
        <w:t xml:space="preserve"> </w:t>
      </w:r>
      <w:r>
        <w:t xml:space="preserve">6%</w:t>
      </w:r>
      <w:r>
        <w:t xml:space="preserve"> </w:t>
      </w:r>
      <w:r>
        <w:t xml:space="preserve">53%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Wholesale and retail</w:t>
      </w:r>
      <w:r>
        <w:t xml:space="preserve"> </w:t>
      </w:r>
      <w:r>
        <w:t xml:space="preserve">6%</w:t>
      </w:r>
      <w:r>
        <w:t xml:space="preserve"> </w:t>
      </w:r>
      <w:r>
        <w:t xml:space="preserve">53%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Tourism</w:t>
      </w:r>
      <w:r>
        <w:t xml:space="preserve"> </w:t>
      </w:r>
      <w:r>
        <w:t xml:space="preserve">8%</w:t>
      </w:r>
      <w:r>
        <w:t xml:space="preserve"> </w:t>
      </w:r>
      <w:r>
        <w:t xml:space="preserve">54%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Total SMEs</w:t>
      </w:r>
    </w:p>
    <w:p>
      <w:pPr>
        <w:pStyle w:val="BodyText"/>
      </w:pPr>
      <w:r>
        <w:t xml:space="preserve">8%</w:t>
      </w:r>
      <w:r>
        <w:t xml:space="preserve"> </w:t>
      </w:r>
      <w:r>
        <w:t xml:space="preserve">54%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Large (250 or more)</w:t>
      </w:r>
    </w:p>
    <w:p>
      <w:pPr>
        <w:pStyle w:val="BodyText"/>
      </w:pPr>
      <w:r>
        <w:t xml:space="preserve">Passenger</w:t>
      </w:r>
      <w:r>
        <w:br/>
      </w:r>
      <w:r>
        <w:t xml:space="preserve">Interurban rail</w:t>
      </w:r>
      <w:r>
        <w:t xml:space="preserve"> </w:t>
      </w:r>
      <w:r>
        <w:t xml:space="preserve">29%</w:t>
      </w:r>
      <w:r>
        <w:t xml:space="preserve"> </w:t>
      </w:r>
      <w:r>
        <w:t xml:space="preserve">63%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Other transport over land</w:t>
      </w:r>
      <w:r>
        <w:t xml:space="preserve"> </w:t>
      </w:r>
      <w:r>
        <w:t xml:space="preserve">6%</w:t>
      </w:r>
      <w:r>
        <w:t xml:space="preserve"> </w:t>
      </w:r>
      <w:r>
        <w:t xml:space="preserve">53%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Maritime</w:t>
      </w:r>
      <w:r>
        <w:t xml:space="preserve"> </w:t>
      </w:r>
      <w:r>
        <w:t xml:space="preserve">34%</w:t>
      </w:r>
      <w:r>
        <w:t xml:space="preserve"> </w:t>
      </w:r>
      <w:r>
        <w:t xml:space="preserve">66%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Inland navigation</w:t>
      </w:r>
      <w:r>
        <w:t xml:space="preserve"> </w:t>
      </w:r>
      <w:r>
        <w:t xml:space="preserve">0%</w:t>
      </w:r>
      <w:r>
        <w:t xml:space="preserve"> </w:t>
      </w:r>
      <w:r>
        <w:t xml:space="preserve">50%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Air</w:t>
      </w:r>
      <w:r>
        <w:t xml:space="preserve"> </w:t>
      </w:r>
      <w:r>
        <w:t xml:space="preserve">43%</w:t>
      </w:r>
      <w:r>
        <w:t xml:space="preserve"> </w:t>
      </w:r>
      <w:r>
        <w:t xml:space="preserve">71%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Freight</w:t>
      </w:r>
      <w:r>
        <w:br/>
      </w:r>
      <w:r>
        <w:t xml:space="preserve">Road</w:t>
      </w:r>
      <w:r>
        <w:t xml:space="preserve"> </w:t>
      </w:r>
      <w:r>
        <w:t xml:space="preserve">34%</w:t>
      </w:r>
      <w:r>
        <w:t xml:space="preserve"> </w:t>
      </w:r>
      <w:r>
        <w:t xml:space="preserve">67%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Rail</w:t>
      </w:r>
      <w:r>
        <w:t xml:space="preserve"> </w:t>
      </w:r>
      <w:r>
        <w:t xml:space="preserve">30%</w:t>
      </w:r>
      <w:r>
        <w:t xml:space="preserve"> </w:t>
      </w:r>
      <w:r>
        <w:t xml:space="preserve">65%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</w:p>
    <w:p>
      <w:pPr>
        <w:pStyle w:val="BodyText"/>
      </w:pPr>
      <w:r>
        <w:t xml:space="preserve">93</w:t>
      </w:r>
    </w:p>
    <w:p>
      <w:pPr>
        <w:pStyle w:val="BodyText"/>
      </w:pPr>
      <w:r>
        <w:t xml:space="preserve">Inland navigation</w:t>
      </w:r>
      <w:r>
        <w:t xml:space="preserve"> </w:t>
      </w:r>
      <w:r>
        <w:t xml:space="preserve">0%</w:t>
      </w:r>
      <w:r>
        <w:t xml:space="preserve"> </w:t>
      </w:r>
      <w:r>
        <w:t xml:space="preserve">50%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Maritime</w:t>
      </w:r>
      <w:r>
        <w:t xml:space="preserve"> </w:t>
      </w:r>
      <w:r>
        <w:t xml:space="preserve">35%</w:t>
      </w:r>
      <w:r>
        <w:t xml:space="preserve"> </w:t>
      </w:r>
      <w:r>
        <w:t xml:space="preserve">67%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Air and space</w:t>
      </w:r>
      <w:r>
        <w:t xml:space="preserve"> </w:t>
      </w:r>
      <w:r>
        <w:t xml:space="preserve">44%</w:t>
      </w:r>
      <w:r>
        <w:t xml:space="preserve"> </w:t>
      </w:r>
      <w:r>
        <w:t xml:space="preserve">78%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Postal activities</w:t>
      </w:r>
      <w:r>
        <w:t xml:space="preserve"> </w:t>
      </w:r>
      <w:r>
        <w:t xml:space="preserve">29%</w:t>
      </w:r>
      <w:r>
        <w:t xml:space="preserve"> </w:t>
      </w:r>
      <w:r>
        <w:t xml:space="preserve">64%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Hub operators</w:t>
      </w:r>
      <w:r>
        <w:t xml:space="preserve"> </w:t>
      </w:r>
      <w:r>
        <w:t xml:space="preserve">Warehousing and storage</w:t>
      </w:r>
      <w:r>
        <w:t xml:space="preserve"> </w:t>
      </w:r>
      <w:r>
        <w:t xml:space="preserve">26%</w:t>
      </w:r>
      <w:r>
        <w:t xml:space="preserve"> </w:t>
      </w:r>
      <w:r>
        <w:t xml:space="preserve">63%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Support activities for transportation</w:t>
      </w:r>
      <w:r>
        <w:t xml:space="preserve"> </w:t>
      </w:r>
      <w:r>
        <w:t xml:space="preserve">25%</w:t>
      </w:r>
      <w:r>
        <w:t xml:space="preserve"> </w:t>
      </w:r>
      <w:r>
        <w:t xml:space="preserve">62%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Other</w:t>
      </w:r>
      <w:r>
        <w:t xml:space="preserve"> </w:t>
      </w:r>
      <w:r>
        <w:t xml:space="preserve">Manufacturing</w:t>
      </w:r>
      <w:r>
        <w:t xml:space="preserve"> </w:t>
      </w:r>
      <w:r>
        <w:t xml:space="preserve">26%</w:t>
      </w:r>
      <w:r>
        <w:t xml:space="preserve"> </w:t>
      </w:r>
      <w:r>
        <w:t xml:space="preserve">63%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Wholesale and retail</w:t>
      </w:r>
      <w:r>
        <w:t xml:space="preserve"> </w:t>
      </w:r>
      <w:r>
        <w:t xml:space="preserve">26%</w:t>
      </w:r>
      <w:r>
        <w:t xml:space="preserve"> </w:t>
      </w:r>
      <w:r>
        <w:t xml:space="preserve">63%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Tourism</w:t>
      </w:r>
      <w:r>
        <w:t xml:space="preserve"> </w:t>
      </w:r>
      <w:r>
        <w:t xml:space="preserve">13%</w:t>
      </w:r>
      <w:r>
        <w:t xml:space="preserve"> </w:t>
      </w:r>
      <w:r>
        <w:t xml:space="preserve">57%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Total large companies (250 or more)</w:t>
      </w:r>
    </w:p>
    <w:p>
      <w:pPr>
        <w:pStyle w:val="BodyText"/>
      </w:pPr>
      <w:r>
        <w:t xml:space="preserve">24%</w:t>
      </w:r>
      <w:r>
        <w:t xml:space="preserve"> </w:t>
      </w:r>
      <w:r>
        <w:t xml:space="preserve">62%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Source: Ecorys and CE Delft (2023), Impact assessment support study</w:t>
      </w:r>
      <w:r>
        <w:t xml:space="preserve"> </w:t>
      </w:r>
      <w:r>
        <w:t xml:space="preserve">Table 30: Increase in the share of enterprises performing GHG emissions accounting at service level in PO2</w:t>
      </w:r>
      <w:r>
        <w:t xml:space="preserve"> </w:t>
      </w:r>
      <w:r>
        <w:t xml:space="preserve">relative to the baseline (percentage points increase relative to the baseline)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SME</w:t>
      </w:r>
    </w:p>
    <w:p>
      <w:pPr>
        <w:pStyle w:val="BodyText"/>
      </w:pPr>
      <w:r>
        <w:t xml:space="preserve">Passenger</w:t>
      </w:r>
      <w:r>
        <w:br/>
      </w:r>
      <w:r>
        <w:t xml:space="preserve">Interurban rail</w:t>
      </w:r>
      <w:r>
        <w:t xml:space="preserve"> </w:t>
      </w:r>
      <w:r>
        <w:t xml:space="preserve">0.0%</w:t>
      </w:r>
      <w:r>
        <w:t xml:space="preserve"> </w:t>
      </w:r>
      <w:r>
        <w:t xml:space="preserve">0.7%</w:t>
      </w:r>
      <w:r>
        <w:t xml:space="preserve"> </w:t>
      </w:r>
      <w:r>
        <w:t xml:space="preserve">0.7%</w:t>
      </w:r>
      <w:r>
        <w:t xml:space="preserve"> </w:t>
      </w:r>
      <w:r>
        <w:t xml:space="preserve">0.7%</w:t>
      </w:r>
      <w:r>
        <w:t xml:space="preserve"> </w:t>
      </w:r>
      <w:r>
        <w:t xml:space="preserve">0.7%</w:t>
      </w:r>
      <w:r>
        <w:t xml:space="preserve"> </w:t>
      </w:r>
      <w:r>
        <w:t xml:space="preserve">0.1%</w:t>
      </w:r>
      <w:r>
        <w:t xml:space="preserve"> </w:t>
      </w:r>
      <w:r>
        <w:t xml:space="preserve">Other transport over land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Maritime</w:t>
      </w:r>
      <w:r>
        <w:t xml:space="preserve"> </w:t>
      </w:r>
      <w:r>
        <w:t xml:space="preserve">1.8%</w:t>
      </w:r>
      <w:r>
        <w:t xml:space="preserve"> </w:t>
      </w:r>
      <w:r>
        <w:t xml:space="preserve">3.8%</w:t>
      </w:r>
      <w:r>
        <w:t xml:space="preserve"> </w:t>
      </w:r>
      <w:r>
        <w:t xml:space="preserve">2.7%</w:t>
      </w:r>
      <w:r>
        <w:t xml:space="preserve"> </w:t>
      </w:r>
      <w:r>
        <w:t xml:space="preserve">1.8%</w:t>
      </w:r>
      <w:r>
        <w:t xml:space="preserve"> </w:t>
      </w:r>
      <w:r>
        <w:t xml:space="preserve">0.9%</w:t>
      </w:r>
      <w:r>
        <w:t xml:space="preserve"> </w:t>
      </w:r>
      <w:r>
        <w:t xml:space="preserve">0.2%</w:t>
      </w:r>
      <w:r>
        <w:t xml:space="preserve"> </w:t>
      </w:r>
      <w:r>
        <w:t xml:space="preserve">Inland navigation</w:t>
      </w:r>
      <w:r>
        <w:t xml:space="preserve"> </w:t>
      </w:r>
      <w:r>
        <w:t xml:space="preserve">0.3%</w:t>
      </w:r>
      <w:r>
        <w:t xml:space="preserve"> </w:t>
      </w:r>
      <w:r>
        <w:t xml:space="preserve">0.6%</w:t>
      </w:r>
      <w:r>
        <w:t xml:space="preserve"> </w:t>
      </w:r>
      <w:r>
        <w:t xml:space="preserve">0.4%</w:t>
      </w:r>
      <w:r>
        <w:t xml:space="preserve"> </w:t>
      </w:r>
      <w:r>
        <w:t xml:space="preserve">0.3%</w:t>
      </w:r>
      <w:r>
        <w:t xml:space="preserve"> </w:t>
      </w:r>
      <w:r>
        <w:t xml:space="preserve">0.1%</w:t>
      </w:r>
      <w:r>
        <w:t xml:space="preserve"> </w:t>
      </w:r>
      <w:r>
        <w:t xml:space="preserve">0.0%</w:t>
      </w:r>
      <w:r>
        <w:t xml:space="preserve"> </w:t>
      </w:r>
      <w:r>
        <w:t xml:space="preserve">Air</w:t>
      </w:r>
      <w:r>
        <w:t xml:space="preserve"> </w:t>
      </w:r>
      <w:r>
        <w:t xml:space="preserve">0.3%</w:t>
      </w:r>
      <w:r>
        <w:t xml:space="preserve"> </w:t>
      </w:r>
      <w:r>
        <w:t xml:space="preserve">0.7%</w:t>
      </w:r>
      <w:r>
        <w:t xml:space="preserve"> </w:t>
      </w:r>
      <w:r>
        <w:t xml:space="preserve">0.5%</w:t>
      </w:r>
      <w:r>
        <w:t xml:space="preserve"> </w:t>
      </w:r>
      <w:r>
        <w:t xml:space="preserve">0.3%</w:t>
      </w:r>
      <w:r>
        <w:t xml:space="preserve"> </w:t>
      </w:r>
      <w:r>
        <w:t xml:space="preserve">0.2%</w:t>
      </w:r>
      <w:r>
        <w:t xml:space="preserve"> </w:t>
      </w:r>
      <w:r>
        <w:t xml:space="preserve">0.0%</w:t>
      </w:r>
      <w:r>
        <w:t xml:space="preserve"> </w:t>
      </w:r>
      <w:r>
        <w:t xml:space="preserve">Freight</w:t>
      </w:r>
      <w:r>
        <w:br/>
      </w:r>
      <w:r>
        <w:t xml:space="preserve">Road</w:t>
      </w:r>
      <w:r>
        <w:t xml:space="preserve"> </w:t>
      </w:r>
      <w:r>
        <w:t xml:space="preserve">1.5%</w:t>
      </w:r>
      <w:r>
        <w:t xml:space="preserve"> </w:t>
      </w:r>
      <w:r>
        <w:t xml:space="preserve">3.0%</w:t>
      </w:r>
      <w:r>
        <w:t xml:space="preserve"> </w:t>
      </w:r>
      <w:r>
        <w:t xml:space="preserve">2.2%</w:t>
      </w:r>
      <w:r>
        <w:t xml:space="preserve"> </w:t>
      </w:r>
      <w:r>
        <w:t xml:space="preserve">1.4%</w:t>
      </w:r>
      <w:r>
        <w:t xml:space="preserve"> </w:t>
      </w:r>
      <w:r>
        <w:t xml:space="preserve">0.7%</w:t>
      </w:r>
      <w:r>
        <w:t xml:space="preserve"> </w:t>
      </w:r>
      <w:r>
        <w:t xml:space="preserve">0.1%</w:t>
      </w:r>
      <w:r>
        <w:t xml:space="preserve"> </w:t>
      </w:r>
      <w:r>
        <w:t xml:space="preserve">Rail</w:t>
      </w:r>
      <w:r>
        <w:t xml:space="preserve"> </w:t>
      </w:r>
      <w:r>
        <w:t xml:space="preserve">0.0%</w:t>
      </w:r>
      <w:r>
        <w:t xml:space="preserve"> </w:t>
      </w:r>
      <w:r>
        <w:t xml:space="preserve">0.2%</w:t>
      </w:r>
      <w:r>
        <w:t xml:space="preserve"> </w:t>
      </w:r>
      <w:r>
        <w:t xml:space="preserve">0.2%</w:t>
      </w:r>
      <w:r>
        <w:t xml:space="preserve"> </w:t>
      </w:r>
      <w:r>
        <w:t xml:space="preserve">0.2%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Inland navigation</w:t>
      </w:r>
      <w:r>
        <w:t xml:space="preserve"> </w:t>
      </w:r>
      <w:r>
        <w:t xml:space="preserve">0.6%</w:t>
      </w:r>
      <w:r>
        <w:t xml:space="preserve"> </w:t>
      </w:r>
      <w:r>
        <w:t xml:space="preserve">1.2%</w:t>
      </w:r>
      <w:r>
        <w:t xml:space="preserve"> </w:t>
      </w:r>
      <w:r>
        <w:t xml:space="preserve">0.9%</w:t>
      </w:r>
      <w:r>
        <w:t xml:space="preserve"> </w:t>
      </w:r>
      <w:r>
        <w:t xml:space="preserve">0.6%</w:t>
      </w:r>
      <w:r>
        <w:t xml:space="preserve"> </w:t>
      </w:r>
      <w:r>
        <w:t xml:space="preserve">0.3%</w:t>
      </w:r>
      <w:r>
        <w:t xml:space="preserve"> </w:t>
      </w:r>
      <w:r>
        <w:t xml:space="preserve">0.1%</w:t>
      </w:r>
      <w:r>
        <w:t xml:space="preserve"> </w:t>
      </w:r>
      <w:r>
        <w:t xml:space="preserve">Maritime</w:t>
      </w:r>
      <w:r>
        <w:t xml:space="preserve"> </w:t>
      </w:r>
      <w:r>
        <w:t xml:space="preserve">1.9%</w:t>
      </w:r>
      <w:r>
        <w:t xml:space="preserve"> </w:t>
      </w:r>
      <w:r>
        <w:t xml:space="preserve">3.8%</w:t>
      </w:r>
      <w:r>
        <w:t xml:space="preserve"> </w:t>
      </w:r>
      <w:r>
        <w:t xml:space="preserve">2.7%</w:t>
      </w:r>
      <w:r>
        <w:t xml:space="preserve"> </w:t>
      </w:r>
      <w:r>
        <w:t xml:space="preserve">1.8%</w:t>
      </w:r>
      <w:r>
        <w:t xml:space="preserve"> </w:t>
      </w:r>
      <w:r>
        <w:t xml:space="preserve">0.9%</w:t>
      </w:r>
      <w:r>
        <w:t xml:space="preserve"> </w:t>
      </w:r>
      <w:r>
        <w:t xml:space="preserve">0.2%</w:t>
      </w:r>
      <w:r>
        <w:t xml:space="preserve"> </w:t>
      </w:r>
      <w:r>
        <w:t xml:space="preserve">Air and space</w:t>
      </w:r>
      <w:r>
        <w:t xml:space="preserve"> </w:t>
      </w:r>
      <w:r>
        <w:t xml:space="preserve">1.8%</w:t>
      </w:r>
      <w:r>
        <w:t xml:space="preserve"> </w:t>
      </w:r>
      <w:r>
        <w:t xml:space="preserve">3.4%</w:t>
      </w:r>
      <w:r>
        <w:t xml:space="preserve"> </w:t>
      </w:r>
      <w:r>
        <w:t xml:space="preserve">2.4%</w:t>
      </w:r>
      <w:r>
        <w:t xml:space="preserve"> </w:t>
      </w:r>
      <w:r>
        <w:t xml:space="preserve">1.6%</w:t>
      </w:r>
      <w:r>
        <w:t xml:space="preserve"> </w:t>
      </w:r>
      <w:r>
        <w:t xml:space="preserve">0.8%</w:t>
      </w:r>
      <w:r>
        <w:t xml:space="preserve"> </w:t>
      </w:r>
      <w:r>
        <w:t xml:space="preserve">0.2%</w:t>
      </w:r>
      <w:r>
        <w:t xml:space="preserve"> </w:t>
      </w:r>
      <w:r>
        <w:t xml:space="preserve">Postal activities</w:t>
      </w:r>
      <w:r>
        <w:t xml:space="preserve"> </w:t>
      </w:r>
      <w:r>
        <w:t xml:space="preserve">3.9%</w:t>
      </w:r>
      <w:r>
        <w:t xml:space="preserve"> </w:t>
      </w:r>
      <w:r>
        <w:t xml:space="preserve">7.9%</w:t>
      </w:r>
      <w:r>
        <w:t xml:space="preserve"> </w:t>
      </w:r>
      <w:r>
        <w:t xml:space="preserve">5.8%</w:t>
      </w:r>
      <w:r>
        <w:t xml:space="preserve"> </w:t>
      </w:r>
      <w:r>
        <w:t xml:space="preserve">3.8%</w:t>
      </w:r>
      <w:r>
        <w:t xml:space="preserve"> </w:t>
      </w:r>
      <w:r>
        <w:t xml:space="preserve">1.8%</w:t>
      </w:r>
      <w:r>
        <w:t xml:space="preserve"> </w:t>
      </w:r>
      <w:r>
        <w:t xml:space="preserve">0.4%</w:t>
      </w:r>
      <w:r>
        <w:t xml:space="preserve"> </w:t>
      </w:r>
      <w:r>
        <w:t xml:space="preserve">Hub operators</w:t>
      </w:r>
      <w:r>
        <w:t xml:space="preserve"> </w:t>
      </w:r>
      <w:r>
        <w:t xml:space="preserve">Warehousing and storage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Support activities for</w:t>
      </w:r>
      <w:r>
        <w:t xml:space="preserve"> </w:t>
      </w:r>
      <w:r>
        <w:t xml:space="preserve">transportation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Other</w:t>
      </w:r>
      <w:r>
        <w:t xml:space="preserve"> </w:t>
      </w:r>
      <w:r>
        <w:t xml:space="preserve">Manufacturing</w:t>
      </w:r>
      <w:r>
        <w:t xml:space="preserve"> </w:t>
      </w:r>
      <w:r>
        <w:t xml:space="preserve">0.4%</w:t>
      </w:r>
      <w:r>
        <w:t xml:space="preserve"> </w:t>
      </w:r>
      <w:r>
        <w:t xml:space="preserve">0.8%</w:t>
      </w:r>
      <w:r>
        <w:t xml:space="preserve"> </w:t>
      </w:r>
      <w:r>
        <w:t xml:space="preserve">0.6%</w:t>
      </w:r>
      <w:r>
        <w:t xml:space="preserve"> </w:t>
      </w:r>
      <w:r>
        <w:t xml:space="preserve">0.4%</w:t>
      </w:r>
      <w:r>
        <w:t xml:space="preserve"> </w:t>
      </w:r>
      <w:r>
        <w:t xml:space="preserve">0.2%</w:t>
      </w:r>
      <w:r>
        <w:t xml:space="preserve"> </w:t>
      </w:r>
      <w:r>
        <w:t xml:space="preserve">0.0%</w:t>
      </w:r>
      <w:r>
        <w:t xml:space="preserve"> </w:t>
      </w:r>
      <w:r>
        <w:t xml:space="preserve">Wholesale and retail</w:t>
      </w:r>
      <w:r>
        <w:t xml:space="preserve"> </w:t>
      </w:r>
      <w:r>
        <w:t xml:space="preserve">0.4%</w:t>
      </w:r>
      <w:r>
        <w:t xml:space="preserve"> </w:t>
      </w:r>
      <w:r>
        <w:t xml:space="preserve">0.8%</w:t>
      </w:r>
      <w:r>
        <w:t xml:space="preserve"> </w:t>
      </w:r>
      <w:r>
        <w:t xml:space="preserve">0.6%</w:t>
      </w:r>
      <w:r>
        <w:t xml:space="preserve"> </w:t>
      </w:r>
      <w:r>
        <w:t xml:space="preserve">0.4%</w:t>
      </w:r>
      <w:r>
        <w:t xml:space="preserve"> </w:t>
      </w:r>
      <w:r>
        <w:t xml:space="preserve">0.2%</w:t>
      </w:r>
      <w:r>
        <w:t xml:space="preserve"> </w:t>
      </w:r>
      <w:r>
        <w:t xml:space="preserve">0.0%</w:t>
      </w:r>
      <w:r>
        <w:t xml:space="preserve"> </w:t>
      </w:r>
      <w:r>
        <w:t xml:space="preserve">Tourism</w:t>
      </w:r>
      <w:r>
        <w:t xml:space="preserve"> </w:t>
      </w:r>
      <w:r>
        <w:t xml:space="preserve">1.3%</w:t>
      </w:r>
      <w:r>
        <w:t xml:space="preserve"> </w:t>
      </w:r>
      <w:r>
        <w:t xml:space="preserve">2.5%</w:t>
      </w:r>
      <w:r>
        <w:t xml:space="preserve"> </w:t>
      </w:r>
      <w:r>
        <w:t xml:space="preserve">1.9%</w:t>
      </w:r>
      <w:r>
        <w:t xml:space="preserve"> </w:t>
      </w:r>
      <w:r>
        <w:t xml:space="preserve">1.2%</w:t>
      </w:r>
      <w:r>
        <w:t xml:space="preserve"> </w:t>
      </w:r>
      <w:r>
        <w:t xml:space="preserve">0.6%</w:t>
      </w:r>
      <w:r>
        <w:t xml:space="preserve"> </w:t>
      </w:r>
      <w:r>
        <w:t xml:space="preserve">0.1%</w:t>
      </w:r>
      <w:r>
        <w:t xml:space="preserve"> </w:t>
      </w:r>
      <w:r>
        <w:t xml:space="preserve">Large companies (250 or more)</w:t>
      </w:r>
    </w:p>
    <w:p>
      <w:pPr>
        <w:pStyle w:val="BodyText"/>
      </w:pPr>
      <w:r>
        <w:t xml:space="preserve">Passenger</w:t>
      </w:r>
      <w:r>
        <w:br/>
      </w:r>
      <w:r>
        <w:t xml:space="preserve">Interurban rail</w:t>
      </w:r>
      <w:r>
        <w:t xml:space="preserve"> </w:t>
      </w:r>
      <w:r>
        <w:t xml:space="preserve">8.6% 17.1% 11.4%</w:t>
      </w:r>
      <w:r>
        <w:t xml:space="preserve"> </w:t>
      </w:r>
      <w:r>
        <w:t xml:space="preserve">8.6%</w:t>
      </w:r>
      <w:r>
        <w:t xml:space="preserve"> </w:t>
      </w:r>
      <w:r>
        <w:t xml:space="preserve">2.9%</w:t>
      </w:r>
      <w:r>
        <w:t xml:space="preserve"> </w:t>
      </w:r>
      <w:r>
        <w:t xml:space="preserve">0.6%</w:t>
      </w:r>
      <w:r>
        <w:t xml:space="preserve"> </w:t>
      </w:r>
      <w:r>
        <w:t xml:space="preserve">Other transport over land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Maritime</w:t>
      </w:r>
      <w:r>
        <w:t xml:space="preserve"> </w:t>
      </w:r>
      <w:r>
        <w:t xml:space="preserve">7.9% 13.2% 10.5%</w:t>
      </w:r>
      <w:r>
        <w:t xml:space="preserve"> </w:t>
      </w:r>
      <w:r>
        <w:t xml:space="preserve">7.9%</w:t>
      </w:r>
      <w:r>
        <w:t xml:space="preserve"> </w:t>
      </w:r>
      <w:r>
        <w:t xml:space="preserve">2.6%</w:t>
      </w:r>
      <w:r>
        <w:t xml:space="preserve"> </w:t>
      </w:r>
      <w:r>
        <w:t xml:space="preserve">0.5%</w:t>
      </w:r>
      <w:r>
        <w:t xml:space="preserve"> </w:t>
      </w:r>
      <w:r>
        <w:t xml:space="preserve">Inland navigation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Air</w:t>
      </w:r>
      <w:r>
        <w:t xml:space="preserve"> </w:t>
      </w:r>
      <w:r>
        <w:t xml:space="preserve">7.1% 14.3% 10.0%</w:t>
      </w:r>
      <w:r>
        <w:t xml:space="preserve"> </w:t>
      </w:r>
      <w:r>
        <w:t xml:space="preserve">7.1%</w:t>
      </w:r>
      <w:r>
        <w:t xml:space="preserve"> </w:t>
      </w:r>
      <w:r>
        <w:t xml:space="preserve">4.3%</w:t>
      </w:r>
      <w:r>
        <w:t xml:space="preserve"> </w:t>
      </w:r>
      <w:r>
        <w:t xml:space="preserve">0.9%</w:t>
      </w:r>
      <w:r>
        <w:t xml:space="preserve"> </w:t>
      </w:r>
      <w:r>
        <w:t xml:space="preserve">Freight</w:t>
      </w:r>
      <w:r>
        <w:br/>
      </w:r>
      <w:r>
        <w:t xml:space="preserve">Road</w:t>
      </w:r>
      <w:r>
        <w:t xml:space="preserve"> </w:t>
      </w:r>
      <w:r>
        <w:t xml:space="preserve">7.3% 15.0% 10.9%</w:t>
      </w:r>
      <w:r>
        <w:t xml:space="preserve"> </w:t>
      </w:r>
      <w:r>
        <w:t xml:space="preserve">7.2%</w:t>
      </w:r>
      <w:r>
        <w:t xml:space="preserve"> </w:t>
      </w:r>
      <w:r>
        <w:t xml:space="preserve">3.4%</w:t>
      </w:r>
      <w:r>
        <w:t xml:space="preserve"> </w:t>
      </w:r>
      <w:r>
        <w:t xml:space="preserve">0.7%</w:t>
      </w:r>
      <w:r>
        <w:t xml:space="preserve"> </w:t>
      </w:r>
      <w:r>
        <w:t xml:space="preserve">Rail</w:t>
      </w:r>
      <w:r>
        <w:t xml:space="preserve"> </w:t>
      </w:r>
      <w:r>
        <w:t xml:space="preserve">8.1% 16.2% 13.5%</w:t>
      </w:r>
      <w:r>
        <w:t xml:space="preserve"> </w:t>
      </w:r>
      <w:r>
        <w:t xml:space="preserve">8.1%</w:t>
      </w:r>
      <w:r>
        <w:t xml:space="preserve"> </w:t>
      </w:r>
      <w:r>
        <w:t xml:space="preserve">5.4%</w:t>
      </w:r>
      <w:r>
        <w:t xml:space="preserve"> </w:t>
      </w:r>
      <w:r>
        <w:t xml:space="preserve">1.1%</w:t>
      </w:r>
      <w:r>
        <w:t xml:space="preserve"> </w:t>
      </w:r>
      <w:r>
        <w:t xml:space="preserve">Inland navigation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Maritime</w:t>
      </w:r>
      <w:r>
        <w:t xml:space="preserve"> </w:t>
      </w:r>
      <w:r>
        <w:t xml:space="preserve">7.8% 15.7%</w:t>
      </w:r>
      <w:r>
        <w:t xml:space="preserve"> </w:t>
      </w:r>
      <w:r>
        <w:t xml:space="preserve">9.8%</w:t>
      </w:r>
      <w:r>
        <w:t xml:space="preserve"> </w:t>
      </w:r>
      <w:r>
        <w:t xml:space="preserve">7.8%</w:t>
      </w:r>
      <w:r>
        <w:t xml:space="preserve"> </w:t>
      </w:r>
      <w:r>
        <w:t xml:space="preserve">3.9%</w:t>
      </w:r>
      <w:r>
        <w:t xml:space="preserve"> </w:t>
      </w:r>
      <w:r>
        <w:t xml:space="preserve">0.8%</w:t>
      </w:r>
      <w:r>
        <w:t xml:space="preserve"> </w:t>
      </w:r>
      <w:r>
        <w:t xml:space="preserve">Air and space</w:t>
      </w:r>
      <w:r>
        <w:t xml:space="preserve"> </w:t>
      </w:r>
      <w:r>
        <w:t xml:space="preserve">11.1% 11.1% 11.1%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Postal activities</w:t>
      </w:r>
      <w:r>
        <w:t xml:space="preserve"> </w:t>
      </w:r>
      <w:r>
        <w:t xml:space="preserve">7.6% 15.9% 11.8%</w:t>
      </w:r>
      <w:r>
        <w:t xml:space="preserve"> </w:t>
      </w:r>
      <w:r>
        <w:t xml:space="preserve">7.6%</w:t>
      </w:r>
      <w:r>
        <w:t xml:space="preserve"> </w:t>
      </w:r>
      <w:r>
        <w:t xml:space="preserve">3.8%</w:t>
      </w:r>
      <w:r>
        <w:t xml:space="preserve"> </w:t>
      </w:r>
      <w:r>
        <w:t xml:space="preserve">0.8%</w:t>
      </w:r>
      <w:r>
        <w:t xml:space="preserve"> </w:t>
      </w:r>
      <w:r>
        <w:t xml:space="preserve">Hub operators</w:t>
      </w:r>
      <w:r>
        <w:t xml:space="preserve"> </w:t>
      </w:r>
      <w:r>
        <w:t xml:space="preserve">Warehousing and storage</w:t>
      </w:r>
      <w:r>
        <w:t xml:space="preserve"> </w:t>
      </w:r>
      <w:r>
        <w:t xml:space="preserve">1.5%</w:t>
      </w:r>
      <w:r>
        <w:t xml:space="preserve"> </w:t>
      </w:r>
      <w:r>
        <w:t xml:space="preserve">3.6%</w:t>
      </w:r>
      <w:r>
        <w:t xml:space="preserve"> </w:t>
      </w:r>
      <w:r>
        <w:t xml:space="preserve">2.6%</w:t>
      </w:r>
      <w:r>
        <w:t xml:space="preserve"> </w:t>
      </w:r>
      <w:r>
        <w:t xml:space="preserve">2.1%</w:t>
      </w:r>
      <w:r>
        <w:t xml:space="preserve"> </w:t>
      </w:r>
      <w:r>
        <w:t xml:space="preserve">1.0%</w:t>
      </w:r>
      <w:r>
        <w:t xml:space="preserve"> </w:t>
      </w:r>
      <w:r>
        <w:t xml:space="preserve">0.2%</w:t>
      </w:r>
      <w:r>
        <w:t xml:space="preserve"> </w:t>
      </w:r>
      <w:r>
        <w:t xml:space="preserve">Support activities for</w:t>
      </w:r>
      <w:r>
        <w:t xml:space="preserve"> </w:t>
      </w:r>
      <w:r>
        <w:t xml:space="preserve">transportation</w:t>
      </w:r>
      <w:r>
        <w:t xml:space="preserve"> </w:t>
      </w:r>
      <w:r>
        <w:t xml:space="preserve">1.8%</w:t>
      </w:r>
      <w:r>
        <w:t xml:space="preserve"> </w:t>
      </w:r>
      <w:r>
        <w:t xml:space="preserve">3.8%</w:t>
      </w:r>
      <w:r>
        <w:t xml:space="preserve"> </w:t>
      </w:r>
      <w:r>
        <w:t xml:space="preserve">2.8%</w:t>
      </w:r>
      <w:r>
        <w:t xml:space="preserve"> </w:t>
      </w:r>
      <w:r>
        <w:t xml:space="preserve">1.8%</w:t>
      </w:r>
      <w:r>
        <w:t xml:space="preserve"> </w:t>
      </w:r>
      <w:r>
        <w:t xml:space="preserve">1.0%</w:t>
      </w:r>
      <w:r>
        <w:t xml:space="preserve"> </w:t>
      </w:r>
      <w:r>
        <w:t xml:space="preserve">0.2%</w:t>
      </w:r>
      <w:r>
        <w:t xml:space="preserve"> </w:t>
      </w:r>
      <w:r>
        <w:t xml:space="preserve">Other</w:t>
      </w:r>
      <w:r>
        <w:t xml:space="preserve"> </w:t>
      </w:r>
      <w:r>
        <w:t xml:space="preserve">Manufacturing</w:t>
      </w:r>
      <w:r>
        <w:t xml:space="preserve"> </w:t>
      </w:r>
      <w:r>
        <w:t xml:space="preserve">8.0% 16.3% 11.9%</w:t>
      </w:r>
      <w:r>
        <w:t xml:space="preserve"> </w:t>
      </w:r>
      <w:r>
        <w:t xml:space="preserve">7.7%</w:t>
      </w:r>
      <w:r>
        <w:t xml:space="preserve"> </w:t>
      </w:r>
      <w:r>
        <w:t xml:space="preserve">3.8%</w:t>
      </w:r>
      <w:r>
        <w:t xml:space="preserve"> </w:t>
      </w:r>
      <w:r>
        <w:t xml:space="preserve">0.8%</w:t>
      </w:r>
      <w:r>
        <w:t xml:space="preserve"> </w:t>
      </w:r>
      <w:r>
        <w:t xml:space="preserve">Wholesale and retail</w:t>
      </w:r>
      <w:r>
        <w:t xml:space="preserve"> </w:t>
      </w:r>
      <w:r>
        <w:t xml:space="preserve">8.0% 16.3% 11.9%</w:t>
      </w:r>
      <w:r>
        <w:t xml:space="preserve"> </w:t>
      </w:r>
      <w:r>
        <w:t xml:space="preserve">7.7%</w:t>
      </w:r>
      <w:r>
        <w:t xml:space="preserve"> </w:t>
      </w:r>
      <w:r>
        <w:t xml:space="preserve">3.8%</w:t>
      </w:r>
      <w:r>
        <w:t xml:space="preserve"> </w:t>
      </w:r>
      <w:r>
        <w:t xml:space="preserve">0.8%</w:t>
      </w:r>
      <w:r>
        <w:t xml:space="preserve"> </w:t>
      </w:r>
      <w:r>
        <w:t xml:space="preserve">Tourism</w:t>
      </w:r>
      <w:r>
        <w:t xml:space="preserve"> </w:t>
      </w:r>
      <w:r>
        <w:t xml:space="preserve">3.7%</w:t>
      </w:r>
      <w:r>
        <w:t xml:space="preserve"> </w:t>
      </w:r>
      <w:r>
        <w:t xml:space="preserve">7.4%</w:t>
      </w:r>
      <w:r>
        <w:t xml:space="preserve"> </w:t>
      </w:r>
      <w:r>
        <w:t xml:space="preserve">5.4%</w:t>
      </w:r>
      <w:r>
        <w:t xml:space="preserve"> </w:t>
      </w:r>
      <w:r>
        <w:t xml:space="preserve">3.5%</w:t>
      </w:r>
      <w:r>
        <w:t xml:space="preserve"> </w:t>
      </w:r>
      <w:r>
        <w:t xml:space="preserve">1.7%</w:t>
      </w:r>
      <w:r>
        <w:t xml:space="preserve"> </w:t>
      </w:r>
      <w:r>
        <w:t xml:space="preserve">0.3%</w:t>
      </w:r>
    </w:p>
    <w:p>
      <w:pPr>
        <w:pStyle w:val="BodyText"/>
      </w:pPr>
      <w:r>
        <w:t xml:space="preserve">94</w:t>
      </w:r>
    </w:p>
    <w:p>
      <w:pPr>
        <w:pStyle w:val="BodyText"/>
      </w:pPr>
      <w:r>
        <w:t xml:space="preserve">Source: Ecorys and CE Delft (2023), Impact assessment support study</w:t>
      </w:r>
      <w:r>
        <w:t xml:space="preserve"> </w:t>
      </w:r>
      <w:r>
        <w:t xml:space="preserve">Table 31: Type and size of impacted enterprises in PO2 as a percentage of all enterprises targeted by CountEmissions EU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SME</w:t>
      </w:r>
    </w:p>
    <w:p>
      <w:pPr>
        <w:pStyle w:val="BodyText"/>
      </w:pPr>
      <w:r>
        <w:t xml:space="preserve">Passenger</w:t>
      </w:r>
      <w:r>
        <w:br/>
      </w:r>
      <w:r>
        <w:t xml:space="preserve">Interurban rail</w:t>
      </w:r>
      <w:r>
        <w:t xml:space="preserve"> </w:t>
      </w:r>
      <w:r>
        <w:t xml:space="preserve">0.0%</w:t>
      </w:r>
      <w:r>
        <w:t xml:space="preserve"> </w:t>
      </w:r>
      <w:r>
        <w:t xml:space="preserve">0.7%</w:t>
      </w:r>
      <w:r>
        <w:t xml:space="preserve"> </w:t>
      </w:r>
      <w:r>
        <w:t xml:space="preserve">0.7%</w:t>
      </w:r>
      <w:r>
        <w:t xml:space="preserve"> </w:t>
      </w:r>
      <w:r>
        <w:t xml:space="preserve">0.7%</w:t>
      </w:r>
      <w:r>
        <w:t xml:space="preserve"> </w:t>
      </w:r>
      <w:r>
        <w:t xml:space="preserve">Other transport over land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Maritime</w:t>
      </w:r>
      <w:r>
        <w:t xml:space="preserve"> </w:t>
      </w:r>
      <w:r>
        <w:t xml:space="preserve">6.4%</w:t>
      </w:r>
      <w:r>
        <w:t xml:space="preserve"> </w:t>
      </w:r>
      <w:r>
        <w:t xml:space="preserve">9.4%</w:t>
      </w:r>
      <w:r>
        <w:t xml:space="preserve"> </w:t>
      </w:r>
      <w:r>
        <w:t xml:space="preserve">9.4%</w:t>
      </w:r>
      <w:r>
        <w:t xml:space="preserve"> </w:t>
      </w:r>
      <w:r>
        <w:t xml:space="preserve">9.6%</w:t>
      </w:r>
      <w:r>
        <w:t xml:space="preserve"> </w:t>
      </w:r>
      <w:r>
        <w:t xml:space="preserve">Inland navigation</w:t>
      </w:r>
      <w:r>
        <w:t xml:space="preserve"> </w:t>
      </w:r>
      <w:r>
        <w:t xml:space="preserve">0.7%</w:t>
      </w:r>
      <w:r>
        <w:t xml:space="preserve"> </w:t>
      </w:r>
      <w:r>
        <w:t xml:space="preserve">1.1%</w:t>
      </w:r>
      <w:r>
        <w:t xml:space="preserve"> </w:t>
      </w:r>
      <w:r>
        <w:t xml:space="preserve">1.1%</w:t>
      </w:r>
      <w:r>
        <w:t xml:space="preserve"> </w:t>
      </w:r>
      <w:r>
        <w:t xml:space="preserve">1.1%</w:t>
      </w:r>
      <w:r>
        <w:t xml:space="preserve"> </w:t>
      </w:r>
      <w:r>
        <w:t xml:space="preserve">Air</w:t>
      </w:r>
      <w:r>
        <w:t xml:space="preserve"> </w:t>
      </w:r>
      <w:r>
        <w:t xml:space="preserve">1.7%</w:t>
      </w:r>
      <w:r>
        <w:t xml:space="preserve"> </w:t>
      </w:r>
      <w:r>
        <w:t xml:space="preserve">2.2%</w:t>
      </w:r>
      <w:r>
        <w:t xml:space="preserve"> </w:t>
      </w:r>
      <w:r>
        <w:t xml:space="preserve">2.2%</w:t>
      </w:r>
      <w:r>
        <w:t xml:space="preserve"> </w:t>
      </w:r>
      <w:r>
        <w:t xml:space="preserve">2.2%</w:t>
      </w:r>
      <w:r>
        <w:t xml:space="preserve"> </w:t>
      </w:r>
      <w:r>
        <w:t xml:space="preserve">Freight</w:t>
      </w:r>
      <w:r>
        <w:br/>
      </w:r>
      <w:r>
        <w:t xml:space="preserve">Road</w:t>
      </w:r>
      <w:r>
        <w:t xml:space="preserve"> </w:t>
      </w:r>
      <w:r>
        <w:t xml:space="preserve">5.1%</w:t>
      </w:r>
      <w:r>
        <w:t xml:space="preserve"> </w:t>
      </w:r>
      <w:r>
        <w:t xml:space="preserve">7.5%</w:t>
      </w:r>
      <w:r>
        <w:t xml:space="preserve"> </w:t>
      </w:r>
      <w:r>
        <w:t xml:space="preserve">7.5%</w:t>
      </w:r>
      <w:r>
        <w:t xml:space="preserve"> </w:t>
      </w:r>
      <w:r>
        <w:t xml:space="preserve">7.7%</w:t>
      </w:r>
      <w:r>
        <w:t xml:space="preserve"> </w:t>
      </w:r>
      <w:r>
        <w:t xml:space="preserve">Rail</w:t>
      </w:r>
      <w:r>
        <w:t xml:space="preserve"> </w:t>
      </w:r>
      <w:r>
        <w:t xml:space="preserve">0.2%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Inland navigation</w:t>
      </w:r>
      <w:r>
        <w:t xml:space="preserve"> </w:t>
      </w:r>
      <w:r>
        <w:t xml:space="preserve">1.3%</w:t>
      </w:r>
      <w:r>
        <w:t xml:space="preserve"> </w:t>
      </w:r>
      <w:r>
        <w:t xml:space="preserve">2.2%</w:t>
      </w:r>
      <w:r>
        <w:t xml:space="preserve"> </w:t>
      </w:r>
      <w:r>
        <w:t xml:space="preserve">2.2%</w:t>
      </w:r>
      <w:r>
        <w:t xml:space="preserve"> </w:t>
      </w:r>
      <w:r>
        <w:t xml:space="preserve">2.3%</w:t>
      </w:r>
      <w:r>
        <w:t xml:space="preserve"> </w:t>
      </w:r>
      <w:r>
        <w:t xml:space="preserve">Maritime</w:t>
      </w:r>
      <w:r>
        <w:t xml:space="preserve"> </w:t>
      </w:r>
      <w:r>
        <w:t xml:space="preserve">6.4%</w:t>
      </w:r>
      <w:r>
        <w:t xml:space="preserve"> </w:t>
      </w:r>
      <w:r>
        <w:t xml:space="preserve">9.4%</w:t>
      </w:r>
      <w:r>
        <w:t xml:space="preserve"> </w:t>
      </w:r>
      <w:r>
        <w:t xml:space="preserve">9.4%</w:t>
      </w:r>
      <w:r>
        <w:t xml:space="preserve"> </w:t>
      </w:r>
      <w:r>
        <w:t xml:space="preserve">9.6%</w:t>
      </w:r>
      <w:r>
        <w:t xml:space="preserve"> </w:t>
      </w:r>
      <w:r>
        <w:t xml:space="preserve">Air and space</w:t>
      </w:r>
      <w:r>
        <w:t xml:space="preserve"> </w:t>
      </w:r>
      <w:r>
        <w:t xml:space="preserve">8.3%</w:t>
      </w:r>
      <w:r>
        <w:t xml:space="preserve"> </w:t>
      </w:r>
      <w:r>
        <w:t xml:space="preserve">10.9%</w:t>
      </w:r>
      <w:r>
        <w:t xml:space="preserve"> </w:t>
      </w:r>
      <w:r>
        <w:t xml:space="preserve">10.9%</w:t>
      </w:r>
      <w:r>
        <w:t xml:space="preserve"> </w:t>
      </w:r>
      <w:r>
        <w:t xml:space="preserve">11.1%</w:t>
      </w:r>
      <w:r>
        <w:t xml:space="preserve"> </w:t>
      </w:r>
      <w:r>
        <w:t xml:space="preserve">Postal activities</w:t>
      </w:r>
      <w:r>
        <w:t xml:space="preserve"> </w:t>
      </w:r>
      <w:r>
        <w:t xml:space="preserve">10.7%</w:t>
      </w:r>
      <w:r>
        <w:t xml:space="preserve"> </w:t>
      </w:r>
      <w:r>
        <w:t xml:space="preserve">17.0%</w:t>
      </w:r>
      <w:r>
        <w:t xml:space="preserve"> </w:t>
      </w:r>
      <w:r>
        <w:t xml:space="preserve">17.0%</w:t>
      </w:r>
      <w:r>
        <w:t xml:space="preserve"> </w:t>
      </w:r>
      <w:r>
        <w:t xml:space="preserve">17.4%</w:t>
      </w:r>
      <w:r>
        <w:t xml:space="preserve"> </w:t>
      </w:r>
      <w:r>
        <w:t xml:space="preserve">Hub operators</w:t>
      </w:r>
      <w:r>
        <w:t xml:space="preserve"> </w:t>
      </w:r>
      <w:r>
        <w:t xml:space="preserve">Warehousing and storage</w:t>
      </w:r>
      <w:r>
        <w:t xml:space="preserve"> </w:t>
      </w:r>
      <w:r>
        <w:t xml:space="preserve">0.1%</w:t>
      </w:r>
      <w:r>
        <w:t xml:space="preserve"> </w:t>
      </w:r>
      <w:r>
        <w:t xml:space="preserve">0.1%</w:t>
      </w:r>
      <w:r>
        <w:t xml:space="preserve"> </w:t>
      </w:r>
      <w:r>
        <w:t xml:space="preserve">0.1%</w:t>
      </w:r>
      <w:r>
        <w:t xml:space="preserve"> </w:t>
      </w:r>
      <w:r>
        <w:t xml:space="preserve">0.1%</w:t>
      </w:r>
      <w:r>
        <w:t xml:space="preserve"> </w:t>
      </w:r>
      <w:r>
        <w:t xml:space="preserve">Support activities for transportation</w:t>
      </w:r>
      <w:r>
        <w:t xml:space="preserve"> </w:t>
      </w:r>
      <w:r>
        <w:t xml:space="preserve">0.0%</w:t>
      </w:r>
      <w:r>
        <w:t xml:space="preserve"> </w:t>
      </w:r>
      <w:r>
        <w:t xml:space="preserve">0.1%</w:t>
      </w:r>
      <w:r>
        <w:t xml:space="preserve"> </w:t>
      </w:r>
      <w:r>
        <w:t xml:space="preserve">0.1%</w:t>
      </w:r>
      <w:r>
        <w:t xml:space="preserve"> </w:t>
      </w:r>
      <w:r>
        <w:t xml:space="preserve">0.1%</w:t>
      </w:r>
      <w:r>
        <w:t xml:space="preserve"> </w:t>
      </w:r>
      <w:r>
        <w:t xml:space="preserve">Other</w:t>
      </w:r>
      <w:r>
        <w:t xml:space="preserve"> </w:t>
      </w:r>
      <w:r>
        <w:t xml:space="preserve">Manufacturing</w:t>
      </w:r>
      <w:r>
        <w:t xml:space="preserve"> </w:t>
      </w:r>
      <w:r>
        <w:t xml:space="preserve">1.0%</w:t>
      </w:r>
      <w:r>
        <w:t xml:space="preserve"> </w:t>
      </w:r>
      <w:r>
        <w:t xml:space="preserve">1.6%</w:t>
      </w:r>
      <w:r>
        <w:t xml:space="preserve"> </w:t>
      </w:r>
      <w:r>
        <w:t xml:space="preserve">1.6%</w:t>
      </w:r>
      <w:r>
        <w:t xml:space="preserve"> </w:t>
      </w:r>
      <w:r>
        <w:t xml:space="preserve">1.6%</w:t>
      </w:r>
      <w:r>
        <w:t xml:space="preserve"> </w:t>
      </w:r>
      <w:r>
        <w:t xml:space="preserve">Wholesale and retail</w:t>
      </w:r>
      <w:r>
        <w:t xml:space="preserve"> </w:t>
      </w:r>
      <w:r>
        <w:t xml:space="preserve">1.0%</w:t>
      </w:r>
      <w:r>
        <w:t xml:space="preserve"> </w:t>
      </w:r>
      <w:r>
        <w:t xml:space="preserve">1.6%</w:t>
      </w:r>
      <w:r>
        <w:t xml:space="preserve"> </w:t>
      </w:r>
      <w:r>
        <w:t xml:space="preserve">1.6%</w:t>
      </w:r>
      <w:r>
        <w:t xml:space="preserve"> </w:t>
      </w:r>
      <w:r>
        <w:t xml:space="preserve">1.6%</w:t>
      </w:r>
      <w:r>
        <w:t xml:space="preserve"> </w:t>
      </w:r>
      <w:r>
        <w:t xml:space="preserve">Tourism</w:t>
      </w:r>
      <w:r>
        <w:t xml:space="preserve"> </w:t>
      </w:r>
      <w:r>
        <w:t xml:space="preserve">2.6%</w:t>
      </w:r>
      <w:r>
        <w:t xml:space="preserve"> </w:t>
      </w:r>
      <w:r>
        <w:t xml:space="preserve">4.6%</w:t>
      </w:r>
      <w:r>
        <w:t xml:space="preserve"> </w:t>
      </w:r>
      <w:r>
        <w:t xml:space="preserve">4.6%</w:t>
      </w:r>
      <w:r>
        <w:t xml:space="preserve"> </w:t>
      </w:r>
      <w:r>
        <w:t xml:space="preserve">4.7%</w:t>
      </w:r>
      <w:r>
        <w:t xml:space="preserve"> </w:t>
      </w:r>
      <w:r>
        <w:t xml:space="preserve">Total SMEs</w:t>
      </w:r>
    </w:p>
    <w:p>
      <w:pPr>
        <w:pStyle w:val="BodyText"/>
      </w:pPr>
      <w:r>
        <w:t xml:space="preserve">2.5%</w:t>
      </w:r>
      <w:r>
        <w:t xml:space="preserve"> </w:t>
      </w:r>
      <w:r>
        <w:t xml:space="preserve">3.9%</w:t>
      </w:r>
      <w:r>
        <w:t xml:space="preserve"> </w:t>
      </w:r>
      <w:r>
        <w:t xml:space="preserve">3.9%</w:t>
      </w:r>
      <w:r>
        <w:t xml:space="preserve"> </w:t>
      </w:r>
      <w:r>
        <w:t xml:space="preserve">3.9%</w:t>
      </w:r>
      <w:r>
        <w:t xml:space="preserve"> </w:t>
      </w:r>
      <w:r>
        <w:t xml:space="preserve">Large (250 or more)</w:t>
      </w:r>
    </w:p>
    <w:p>
      <w:pPr>
        <w:pStyle w:val="BodyText"/>
      </w:pPr>
      <w:r>
        <w:t xml:space="preserve">Passenger</w:t>
      </w:r>
      <w:r>
        <w:br/>
      </w:r>
      <w:r>
        <w:t xml:space="preserve">Interurban rail</w:t>
      </w:r>
      <w:r>
        <w:t xml:space="preserve"> </w:t>
      </w:r>
      <w:r>
        <w:t xml:space="preserve">22.9%</w:t>
      </w:r>
      <w:r>
        <w:t xml:space="preserve"> </w:t>
      </w:r>
      <w:r>
        <w:t xml:space="preserve">34.3%</w:t>
      </w:r>
      <w:r>
        <w:t xml:space="preserve"> </w:t>
      </w:r>
      <w:r>
        <w:t xml:space="preserve">34.3%</w:t>
      </w:r>
      <w:r>
        <w:t xml:space="preserve"> </w:t>
      </w:r>
      <w:r>
        <w:t xml:space="preserve">34.3%</w:t>
      </w:r>
      <w:r>
        <w:t xml:space="preserve"> </w:t>
      </w:r>
      <w:r>
        <w:t xml:space="preserve">Other transport over land</w:t>
      </w:r>
      <w:r>
        <w:t xml:space="preserve"> </w:t>
      </w:r>
      <w:r>
        <w:t xml:space="preserve">0.7%</w:t>
      </w:r>
      <w:r>
        <w:t xml:space="preserve"> </w:t>
      </w:r>
      <w:r>
        <w:t xml:space="preserve">0.7%</w:t>
      </w:r>
      <w:r>
        <w:t xml:space="preserve"> </w:t>
      </w:r>
      <w:r>
        <w:t xml:space="preserve">0.7%</w:t>
      </w:r>
      <w:r>
        <w:t xml:space="preserve"> </w:t>
      </w:r>
      <w:r>
        <w:t xml:space="preserve">0.7%</w:t>
      </w:r>
      <w:r>
        <w:t xml:space="preserve"> </w:t>
      </w:r>
      <w:r>
        <w:t xml:space="preserve">Maritime</w:t>
      </w:r>
      <w:r>
        <w:t xml:space="preserve"> </w:t>
      </w:r>
      <w:r>
        <w:t xml:space="preserve">26.3%</w:t>
      </w:r>
      <w:r>
        <w:t xml:space="preserve"> </w:t>
      </w:r>
      <w:r>
        <w:t xml:space="preserve">36.8%</w:t>
      </w:r>
      <w:r>
        <w:t xml:space="preserve"> </w:t>
      </w:r>
      <w:r>
        <w:t xml:space="preserve">36.8%</w:t>
      </w:r>
      <w:r>
        <w:t xml:space="preserve"> </w:t>
      </w:r>
      <w:r>
        <w:t xml:space="preserve">36.8%</w:t>
      </w:r>
      <w:r>
        <w:t xml:space="preserve"> </w:t>
      </w:r>
      <w:r>
        <w:t xml:space="preserve">Inland navigation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Air</w:t>
      </w:r>
      <w:r>
        <w:t xml:space="preserve"> </w:t>
      </w:r>
      <w:r>
        <w:t xml:space="preserve">32.9%</w:t>
      </w:r>
      <w:r>
        <w:t xml:space="preserve"> </w:t>
      </w:r>
      <w:r>
        <w:t xml:space="preserve">44.3%</w:t>
      </w:r>
      <w:r>
        <w:t xml:space="preserve"> </w:t>
      </w:r>
      <w:r>
        <w:t xml:space="preserve">44.3%</w:t>
      </w:r>
      <w:r>
        <w:t xml:space="preserve"> </w:t>
      </w:r>
      <w:r>
        <w:t xml:space="preserve">45.7%</w:t>
      </w:r>
      <w:r>
        <w:t xml:space="preserve"> </w:t>
      </w:r>
      <w:r>
        <w:t xml:space="preserve">Freight</w:t>
      </w:r>
      <w:r>
        <w:br/>
      </w:r>
      <w:r>
        <w:t xml:space="preserve">Road</w:t>
      </w:r>
      <w:r>
        <w:t xml:space="preserve"> </w:t>
      </w:r>
      <w:r>
        <w:t xml:space="preserve">25.6%</w:t>
      </w:r>
      <w:r>
        <w:t xml:space="preserve"> </w:t>
      </w:r>
      <w:r>
        <w:t xml:space="preserve">37.6%</w:t>
      </w:r>
      <w:r>
        <w:t xml:space="preserve"> </w:t>
      </w:r>
      <w:r>
        <w:t xml:space="preserve">37.6%</w:t>
      </w:r>
      <w:r>
        <w:t xml:space="preserve"> </w:t>
      </w:r>
      <w:r>
        <w:t xml:space="preserve">38.2%</w:t>
      </w:r>
      <w:r>
        <w:t xml:space="preserve"> </w:t>
      </w:r>
      <w:r>
        <w:t xml:space="preserve">Rail</w:t>
      </w:r>
      <w:r>
        <w:t xml:space="preserve"> </w:t>
      </w:r>
      <w:r>
        <w:t xml:space="preserve">21.6%</w:t>
      </w:r>
      <w:r>
        <w:t xml:space="preserve"> </w:t>
      </w:r>
      <w:r>
        <w:t xml:space="preserve">35.1%</w:t>
      </w:r>
      <w:r>
        <w:t xml:space="preserve"> </w:t>
      </w:r>
      <w:r>
        <w:t xml:space="preserve">35.1%</w:t>
      </w:r>
      <w:r>
        <w:t xml:space="preserve"> </w:t>
      </w:r>
      <w:r>
        <w:t xml:space="preserve">35.1%</w:t>
      </w:r>
      <w:r>
        <w:t xml:space="preserve"> </w:t>
      </w:r>
      <w:r>
        <w:t xml:space="preserve">Inland navigation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Maritime</w:t>
      </w:r>
      <w:r>
        <w:t xml:space="preserve"> </w:t>
      </w:r>
      <w:r>
        <w:t xml:space="preserve">25.5%</w:t>
      </w:r>
      <w:r>
        <w:t xml:space="preserve"> </w:t>
      </w:r>
      <w:r>
        <w:t xml:space="preserve">37.3%</w:t>
      </w:r>
      <w:r>
        <w:t xml:space="preserve"> </w:t>
      </w:r>
      <w:r>
        <w:t xml:space="preserve">37.3%</w:t>
      </w:r>
      <w:r>
        <w:t xml:space="preserve"> </w:t>
      </w:r>
      <w:r>
        <w:t xml:space="preserve">37.3%</w:t>
      </w:r>
      <w:r>
        <w:t xml:space="preserve"> </w:t>
      </w:r>
      <w:r>
        <w:t xml:space="preserve">Air and space</w:t>
      </w:r>
      <w:r>
        <w:t xml:space="preserve"> </w:t>
      </w:r>
      <w:r>
        <w:t xml:space="preserve">33.3%</w:t>
      </w:r>
      <w:r>
        <w:t xml:space="preserve"> </w:t>
      </w:r>
      <w:r>
        <w:t xml:space="preserve">44.4%</w:t>
      </w:r>
      <w:r>
        <w:t xml:space="preserve"> </w:t>
      </w:r>
      <w:r>
        <w:t xml:space="preserve">44.4%</w:t>
      </w:r>
      <w:r>
        <w:t xml:space="preserve"> </w:t>
      </w:r>
      <w:r>
        <w:t xml:space="preserve">44.4%</w:t>
      </w:r>
      <w:r>
        <w:t xml:space="preserve"> </w:t>
      </w:r>
      <w:r>
        <w:t xml:space="preserve">Postal activities</w:t>
      </w:r>
      <w:r>
        <w:t xml:space="preserve"> </w:t>
      </w:r>
      <w:r>
        <w:t xml:space="preserve">21.3%</w:t>
      </w:r>
      <w:r>
        <w:t xml:space="preserve"> </w:t>
      </w:r>
      <w:r>
        <w:t xml:space="preserve">34.1%</w:t>
      </w:r>
      <w:r>
        <w:t xml:space="preserve"> </w:t>
      </w:r>
      <w:r>
        <w:t xml:space="preserve">34.1%</w:t>
      </w:r>
      <w:r>
        <w:t xml:space="preserve"> </w:t>
      </w:r>
      <w:r>
        <w:t xml:space="preserve">34.7%</w:t>
      </w:r>
      <w:r>
        <w:t xml:space="preserve"> </w:t>
      </w:r>
      <w:r>
        <w:t xml:space="preserve">Hub operators</w:t>
      </w:r>
      <w:r>
        <w:t xml:space="preserve"> </w:t>
      </w:r>
      <w:r>
        <w:t xml:space="preserve">Warehousing and storage</w:t>
      </w:r>
      <w:r>
        <w:t xml:space="preserve"> </w:t>
      </w:r>
      <w:r>
        <w:t xml:space="preserve">4.6%</w:t>
      </w:r>
      <w:r>
        <w:t xml:space="preserve"> </w:t>
      </w:r>
      <w:r>
        <w:t xml:space="preserve">7.7%</w:t>
      </w:r>
      <w:r>
        <w:t xml:space="preserve"> </w:t>
      </w:r>
      <w:r>
        <w:t xml:space="preserve">7.7%</w:t>
      </w:r>
      <w:r>
        <w:t xml:space="preserve"> </w:t>
      </w:r>
      <w:r>
        <w:t xml:space="preserve">7.7%</w:t>
      </w:r>
      <w:r>
        <w:t xml:space="preserve"> </w:t>
      </w:r>
      <w:r>
        <w:t xml:space="preserve">Support activities for transportation</w:t>
      </w:r>
      <w:r>
        <w:t xml:space="preserve"> </w:t>
      </w:r>
      <w:r>
        <w:t xml:space="preserve">3.9%</w:t>
      </w:r>
      <w:r>
        <w:t xml:space="preserve"> </w:t>
      </w:r>
      <w:r>
        <w:t xml:space="preserve">6.8%</w:t>
      </w:r>
      <w:r>
        <w:t xml:space="preserve"> </w:t>
      </w:r>
      <w:r>
        <w:t xml:space="preserve">6.8%</w:t>
      </w:r>
      <w:r>
        <w:t xml:space="preserve"> </w:t>
      </w:r>
      <w:r>
        <w:t xml:space="preserve">7.0%</w:t>
      </w:r>
      <w:r>
        <w:t xml:space="preserve"> </w:t>
      </w:r>
      <w:r>
        <w:t xml:space="preserve">Other</w:t>
      </w:r>
      <w:r>
        <w:t xml:space="preserve"> </w:t>
      </w:r>
      <w:r>
        <w:t xml:space="preserve">Manufacturing</w:t>
      </w:r>
      <w:r>
        <w:t xml:space="preserve"> </w:t>
      </w:r>
      <w:r>
        <w:t xml:space="preserve">19.2%</w:t>
      </w:r>
      <w:r>
        <w:t xml:space="preserve"> </w:t>
      </w:r>
      <w:r>
        <w:t xml:space="preserve">32.2%</w:t>
      </w:r>
      <w:r>
        <w:t xml:space="preserve"> </w:t>
      </w:r>
      <w:r>
        <w:t xml:space="preserve">32.2%</w:t>
      </w:r>
      <w:r>
        <w:t xml:space="preserve"> </w:t>
      </w:r>
      <w:r>
        <w:t xml:space="preserve">32.9%</w:t>
      </w:r>
      <w:r>
        <w:t xml:space="preserve"> </w:t>
      </w:r>
      <w:r>
        <w:t xml:space="preserve">Wholesale and retail</w:t>
      </w:r>
      <w:r>
        <w:t xml:space="preserve"> </w:t>
      </w:r>
      <w:r>
        <w:t xml:space="preserve">19.2%</w:t>
      </w:r>
      <w:r>
        <w:t xml:space="preserve"> </w:t>
      </w:r>
      <w:r>
        <w:t xml:space="preserve">32.2%</w:t>
      </w:r>
      <w:r>
        <w:t xml:space="preserve"> </w:t>
      </w:r>
      <w:r>
        <w:t xml:space="preserve">32.2%</w:t>
      </w:r>
      <w:r>
        <w:t xml:space="preserve"> </w:t>
      </w:r>
      <w:r>
        <w:t xml:space="preserve">32.9%</w:t>
      </w:r>
      <w:r>
        <w:t xml:space="preserve"> </w:t>
      </w:r>
      <w:r>
        <w:t xml:space="preserve">Tourism</w:t>
      </w:r>
      <w:r>
        <w:t xml:space="preserve"> </w:t>
      </w:r>
      <w:r>
        <w:t xml:space="preserve">7.5%</w:t>
      </w:r>
      <w:r>
        <w:t xml:space="preserve"> </w:t>
      </w:r>
      <w:r>
        <w:t xml:space="preserve">13.5%</w:t>
      </w:r>
      <w:r>
        <w:t xml:space="preserve"> </w:t>
      </w:r>
      <w:r>
        <w:t xml:space="preserve">13.5%</w:t>
      </w:r>
      <w:r>
        <w:t xml:space="preserve"> </w:t>
      </w:r>
      <w:r>
        <w:t xml:space="preserve">13.9%</w:t>
      </w:r>
      <w:r>
        <w:t xml:space="preserve"> </w:t>
      </w:r>
      <w:r>
        <w:t xml:space="preserve">Total large companies (250 or more)</w:t>
      </w:r>
    </w:p>
    <w:p>
      <w:pPr>
        <w:pStyle w:val="BodyText"/>
      </w:pPr>
      <w:r>
        <w:t xml:space="preserve">14.3%</w:t>
      </w:r>
      <w:r>
        <w:t xml:space="preserve"> </w:t>
      </w:r>
      <w:r>
        <w:t xml:space="preserve">23.0%</w:t>
      </w:r>
      <w:r>
        <w:t xml:space="preserve"> </w:t>
      </w:r>
      <w:r>
        <w:t xml:space="preserve">23.0%</w:t>
      </w:r>
      <w:r>
        <w:t xml:space="preserve"> </w:t>
      </w:r>
      <w:r>
        <w:t xml:space="preserve">23.5%</w:t>
      </w:r>
      <w:r>
        <w:t xml:space="preserve"> </w:t>
      </w:r>
      <w:r>
        <w:t xml:space="preserve">Source: Ecorys and CE Delft (2023), Impact assessment support study</w:t>
      </w:r>
      <w:r>
        <w:t xml:space="preserve"> </w:t>
      </w:r>
      <w:r>
        <w:t xml:space="preserve">Table 32: Increase in the share of enterprises performing GHG emissions accounting at service level in PO3</w:t>
      </w:r>
      <w:r>
        <w:t xml:space="preserve"> </w:t>
      </w:r>
      <w:r>
        <w:t xml:space="preserve">relative to the baseline (percentage points increase relative to the baseline)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SME</w:t>
      </w:r>
    </w:p>
    <w:p>
      <w:pPr>
        <w:pStyle w:val="BodyText"/>
      </w:pPr>
      <w:r>
        <w:t xml:space="preserve">Passenger</w:t>
      </w:r>
      <w:r>
        <w:br/>
      </w:r>
      <w:r>
        <w:t xml:space="preserve">Interurban rail</w:t>
      </w:r>
      <w:r>
        <w:t xml:space="preserve"> </w:t>
      </w:r>
      <w:r>
        <w:t xml:space="preserve">0.0%</w:t>
      </w:r>
      <w:r>
        <w:t xml:space="preserve"> </w:t>
      </w:r>
      <w:r>
        <w:t xml:space="preserve">0.7%</w:t>
      </w:r>
      <w:r>
        <w:t xml:space="preserve"> </w:t>
      </w:r>
      <w:r>
        <w:t xml:space="preserve">0.7%</w:t>
      </w:r>
      <w:r>
        <w:t xml:space="preserve"> </w:t>
      </w:r>
      <w:r>
        <w:t xml:space="preserve">0.7%</w:t>
      </w:r>
      <w:r>
        <w:t xml:space="preserve"> </w:t>
      </w:r>
      <w:r>
        <w:t xml:space="preserve">0.7%</w:t>
      </w:r>
      <w:r>
        <w:t xml:space="preserve"> </w:t>
      </w:r>
      <w:r>
        <w:t xml:space="preserve">0.0%</w:t>
      </w:r>
      <w:r>
        <w:t xml:space="preserve"> </w:t>
      </w:r>
      <w:r>
        <w:t xml:space="preserve">Other transport over</w:t>
      </w:r>
      <w:r>
        <w:t xml:space="preserve"> </w:t>
      </w:r>
      <w:r>
        <w:t xml:space="preserve">land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Maritime</w:t>
      </w:r>
      <w:r>
        <w:t xml:space="preserve"> </w:t>
      </w:r>
      <w:r>
        <w:t xml:space="preserve">1.2%</w:t>
      </w:r>
      <w:r>
        <w:t xml:space="preserve"> </w:t>
      </w:r>
      <w:r>
        <w:t xml:space="preserve">2.7%</w:t>
      </w:r>
      <w:r>
        <w:t xml:space="preserve"> </w:t>
      </w:r>
      <w:r>
        <w:t xml:space="preserve">1.6%</w:t>
      </w:r>
      <w:r>
        <w:t xml:space="preserve"> </w:t>
      </w:r>
      <w:r>
        <w:t xml:space="preserve">0.7%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Inland navigation</w:t>
      </w:r>
      <w:r>
        <w:t xml:space="preserve"> </w:t>
      </w:r>
      <w:r>
        <w:t xml:space="preserve">2.6%</w:t>
      </w:r>
      <w:r>
        <w:t xml:space="preserve"> </w:t>
      </w:r>
      <w:r>
        <w:t xml:space="preserve">5.2%</w:t>
      </w:r>
      <w:r>
        <w:t xml:space="preserve"> </w:t>
      </w:r>
      <w:r>
        <w:t xml:space="preserve">5.1%</w:t>
      </w:r>
      <w:r>
        <w:t xml:space="preserve"> </w:t>
      </w:r>
      <w:r>
        <w:t xml:space="preserve">5.0%</w:t>
      </w:r>
      <w:r>
        <w:t xml:space="preserve"> </w:t>
      </w:r>
      <w:r>
        <w:t xml:space="preserve">4.8%</w:t>
      </w:r>
      <w:r>
        <w:t xml:space="preserve"> </w:t>
      </w:r>
      <w:r>
        <w:t xml:space="preserve">4.7%</w:t>
      </w:r>
    </w:p>
    <w:p>
      <w:pPr>
        <w:pStyle w:val="BodyText"/>
      </w:pPr>
      <w:r>
        <w:t xml:space="preserve">95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Air</w:t>
      </w:r>
      <w:r>
        <w:t xml:space="preserve"> </w:t>
      </w:r>
      <w:r>
        <w:t xml:space="preserve">0.6%</w:t>
      </w:r>
      <w:r>
        <w:t xml:space="preserve"> </w:t>
      </w:r>
      <w:r>
        <w:t xml:space="preserve">0.9%</w:t>
      </w:r>
      <w:r>
        <w:t xml:space="preserve"> </w:t>
      </w:r>
      <w:r>
        <w:t xml:space="preserve">0.7%</w:t>
      </w:r>
      <w:r>
        <w:t xml:space="preserve"> </w:t>
      </w:r>
      <w:r>
        <w:t xml:space="preserve">0.6%</w:t>
      </w:r>
      <w:r>
        <w:t xml:space="preserve"> </w:t>
      </w:r>
      <w:r>
        <w:t xml:space="preserve">0.4%</w:t>
      </w:r>
      <w:r>
        <w:t xml:space="preserve"> </w:t>
      </w:r>
      <w:r>
        <w:t xml:space="preserve">0.3%</w:t>
      </w:r>
      <w:r>
        <w:t xml:space="preserve"> </w:t>
      </w:r>
      <w:r>
        <w:t xml:space="preserve">Freight</w:t>
      </w:r>
      <w:r>
        <w:br/>
      </w:r>
      <w:r>
        <w:t xml:space="preserve">Road</w:t>
      </w:r>
      <w:r>
        <w:t xml:space="preserve"> </w:t>
      </w:r>
      <w:r>
        <w:t xml:space="preserve">0.7%</w:t>
      </w:r>
      <w:r>
        <w:t xml:space="preserve"> </w:t>
      </w:r>
      <w:r>
        <w:t xml:space="preserve">1.7%</w:t>
      </w:r>
      <w:r>
        <w:t xml:space="preserve"> </w:t>
      </w:r>
      <w:r>
        <w:t xml:space="preserve">0.9%</w:t>
      </w:r>
      <w:r>
        <w:t xml:space="preserve"> </w:t>
      </w:r>
      <w:r>
        <w:t xml:space="preserve">0.1%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Rail</w:t>
      </w:r>
      <w:r>
        <w:t xml:space="preserve"> </w:t>
      </w:r>
      <w:r>
        <w:t xml:space="preserve">0.0%</w:t>
      </w:r>
      <w:r>
        <w:t xml:space="preserve"> </w:t>
      </w:r>
      <w:r>
        <w:t xml:space="preserve">0.2%</w:t>
      </w:r>
      <w:r>
        <w:t xml:space="preserve"> </w:t>
      </w:r>
      <w:r>
        <w:t xml:space="preserve">0.2%</w:t>
      </w:r>
      <w:r>
        <w:t xml:space="preserve"> </w:t>
      </w:r>
      <w:r>
        <w:t xml:space="preserve">0.2%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Inland navigation</w:t>
      </w:r>
      <w:r>
        <w:t xml:space="preserve"> </w:t>
      </w:r>
      <w:r>
        <w:t xml:space="preserve">0.6%</w:t>
      </w:r>
      <w:r>
        <w:t xml:space="preserve"> </w:t>
      </w:r>
      <w:r>
        <w:t xml:space="preserve">1.2%</w:t>
      </w:r>
      <w:r>
        <w:t xml:space="preserve"> </w:t>
      </w:r>
      <w:r>
        <w:t xml:space="preserve">0.9%</w:t>
      </w:r>
      <w:r>
        <w:t xml:space="preserve"> </w:t>
      </w:r>
      <w:r>
        <w:t xml:space="preserve">0.6%</w:t>
      </w:r>
      <w:r>
        <w:t xml:space="preserve"> </w:t>
      </w:r>
      <w:r>
        <w:t xml:space="preserve">0.3%</w:t>
      </w:r>
      <w:r>
        <w:t xml:space="preserve"> </w:t>
      </w:r>
      <w:r>
        <w:t xml:space="preserve">0.0%</w:t>
      </w:r>
      <w:r>
        <w:t xml:space="preserve"> </w:t>
      </w:r>
      <w:r>
        <w:t xml:space="preserve">Maritime</w:t>
      </w:r>
      <w:r>
        <w:t xml:space="preserve"> </w:t>
      </w:r>
      <w:r>
        <w:t xml:space="preserve">2.7%</w:t>
      </w:r>
      <w:r>
        <w:t xml:space="preserve"> </w:t>
      </w:r>
      <w:r>
        <w:t xml:space="preserve">4.7%</w:t>
      </w:r>
      <w:r>
        <w:t xml:space="preserve"> </w:t>
      </w:r>
      <w:r>
        <w:t xml:space="preserve">3.7%</w:t>
      </w:r>
      <w:r>
        <w:t xml:space="preserve"> </w:t>
      </w:r>
      <w:r>
        <w:t xml:space="preserve">2.8%</w:t>
      </w:r>
      <w:r>
        <w:t xml:space="preserve"> </w:t>
      </w:r>
      <w:r>
        <w:t xml:space="preserve">1.9%</w:t>
      </w:r>
      <w:r>
        <w:t xml:space="preserve"> </w:t>
      </w:r>
      <w:r>
        <w:t xml:space="preserve">1.0%</w:t>
      </w:r>
      <w:r>
        <w:t xml:space="preserve"> </w:t>
      </w:r>
      <w:r>
        <w:t xml:space="preserve">Air and space</w:t>
      </w:r>
      <w:r>
        <w:t xml:space="preserve"> </w:t>
      </w:r>
      <w:r>
        <w:t xml:space="preserve">3.0%</w:t>
      </w:r>
      <w:r>
        <w:t xml:space="preserve"> </w:t>
      </w:r>
      <w:r>
        <w:t xml:space="preserve">4.6%</w:t>
      </w:r>
      <w:r>
        <w:t xml:space="preserve"> </w:t>
      </w:r>
      <w:r>
        <w:t xml:space="preserve">3.6%</w:t>
      </w:r>
      <w:r>
        <w:t xml:space="preserve"> </w:t>
      </w:r>
      <w:r>
        <w:t xml:space="preserve">2.8%</w:t>
      </w:r>
      <w:r>
        <w:t xml:space="preserve"> </w:t>
      </w:r>
      <w:r>
        <w:t xml:space="preserve">2.0%</w:t>
      </w:r>
      <w:r>
        <w:t xml:space="preserve"> </w:t>
      </w:r>
      <w:r>
        <w:t xml:space="preserve">1.2%</w:t>
      </w:r>
      <w:r>
        <w:t xml:space="preserve"> </w:t>
      </w:r>
      <w:r>
        <w:t xml:space="preserve">Postal activities</w:t>
      </w:r>
      <w:r>
        <w:t xml:space="preserve"> </w:t>
      </w:r>
      <w:r>
        <w:t xml:space="preserve">5.2%</w:t>
      </w:r>
      <w:r>
        <w:t xml:space="preserve"> </w:t>
      </w:r>
      <w:r>
        <w:t xml:space="preserve">9.6%</w:t>
      </w:r>
      <w:r>
        <w:t xml:space="preserve"> </w:t>
      </w:r>
      <w:r>
        <w:t xml:space="preserve">7.4%</w:t>
      </w:r>
      <w:r>
        <w:t xml:space="preserve"> </w:t>
      </w:r>
      <w:r>
        <w:t xml:space="preserve">5.4%</w:t>
      </w:r>
      <w:r>
        <w:t xml:space="preserve"> </w:t>
      </w:r>
      <w:r>
        <w:t xml:space="preserve">3.5%</w:t>
      </w:r>
      <w:r>
        <w:t xml:space="preserve"> </w:t>
      </w:r>
      <w:r>
        <w:t xml:space="preserve">1.6%</w:t>
      </w:r>
      <w:r>
        <w:t xml:space="preserve"> </w:t>
      </w:r>
      <w:r>
        <w:t xml:space="preserve">Hub operators</w:t>
      </w:r>
      <w:r>
        <w:t xml:space="preserve"> </w:t>
      </w:r>
      <w:r>
        <w:t xml:space="preserve">Warehousing and</w:t>
      </w:r>
      <w:r>
        <w:t xml:space="preserve"> </w:t>
      </w:r>
      <w:r>
        <w:t xml:space="preserve">storage</w:t>
      </w:r>
      <w:r>
        <w:t xml:space="preserve"> </w:t>
      </w:r>
      <w:r>
        <w:t xml:space="preserve">0.2%</w:t>
      </w:r>
      <w:r>
        <w:t xml:space="preserve"> </w:t>
      </w:r>
      <w:r>
        <w:t xml:space="preserve">0.4%</w:t>
      </w:r>
      <w:r>
        <w:t xml:space="preserve"> </w:t>
      </w:r>
      <w:r>
        <w:t xml:space="preserve">0.3%</w:t>
      </w:r>
      <w:r>
        <w:t xml:space="preserve"> </w:t>
      </w:r>
      <w:r>
        <w:t xml:space="preserve">0.3%</w:t>
      </w:r>
      <w:r>
        <w:t xml:space="preserve"> </w:t>
      </w:r>
      <w:r>
        <w:t xml:space="preserve">0.3%</w:t>
      </w:r>
      <w:r>
        <w:t xml:space="preserve"> </w:t>
      </w:r>
      <w:r>
        <w:t xml:space="preserve">0.3%</w:t>
      </w:r>
      <w:r>
        <w:t xml:space="preserve"> </w:t>
      </w:r>
      <w:r>
        <w:t xml:space="preserve">Support activities for</w:t>
      </w:r>
      <w:r>
        <w:t xml:space="preserve"> </w:t>
      </w:r>
      <w:r>
        <w:t xml:space="preserve">transportation</w:t>
      </w:r>
      <w:r>
        <w:t xml:space="preserve"> </w:t>
      </w:r>
      <w:r>
        <w:t xml:space="preserve">0.2%</w:t>
      </w:r>
      <w:r>
        <w:t xml:space="preserve"> </w:t>
      </w:r>
      <w:r>
        <w:t xml:space="preserve">0.4%</w:t>
      </w:r>
      <w:r>
        <w:t xml:space="preserve"> </w:t>
      </w:r>
      <w:r>
        <w:t xml:space="preserve">0.3%</w:t>
      </w:r>
      <w:r>
        <w:t xml:space="preserve"> </w:t>
      </w:r>
      <w:r>
        <w:t xml:space="preserve">0.3%</w:t>
      </w:r>
      <w:r>
        <w:t xml:space="preserve"> </w:t>
      </w:r>
      <w:r>
        <w:t xml:space="preserve">0.3%</w:t>
      </w:r>
      <w:r>
        <w:t xml:space="preserve"> </w:t>
      </w:r>
      <w:r>
        <w:t xml:space="preserve">0.3%</w:t>
      </w:r>
      <w:r>
        <w:t xml:space="preserve"> </w:t>
      </w:r>
      <w:r>
        <w:t xml:space="preserve">Other</w:t>
      </w:r>
      <w:r>
        <w:t xml:space="preserve"> </w:t>
      </w:r>
      <w:r>
        <w:t xml:space="preserve">Manufacturing</w:t>
      </w:r>
      <w:r>
        <w:t xml:space="preserve"> </w:t>
      </w:r>
      <w:r>
        <w:t xml:space="preserve">0.5%</w:t>
      </w:r>
      <w:r>
        <w:t xml:space="preserve"> </w:t>
      </w:r>
      <w:r>
        <w:t xml:space="preserve">1.0%</w:t>
      </w:r>
      <w:r>
        <w:t xml:space="preserve"> </w:t>
      </w:r>
      <w:r>
        <w:t xml:space="preserve">0.7%</w:t>
      </w:r>
      <w:r>
        <w:t xml:space="preserve"> </w:t>
      </w:r>
      <w:r>
        <w:t xml:space="preserve">0.5%</w:t>
      </w:r>
      <w:r>
        <w:t xml:space="preserve"> </w:t>
      </w:r>
      <w:r>
        <w:t xml:space="preserve">0.3%</w:t>
      </w:r>
      <w:r>
        <w:t xml:space="preserve"> </w:t>
      </w:r>
      <w:r>
        <w:t xml:space="preserve">0.2%</w:t>
      </w:r>
      <w:r>
        <w:t xml:space="preserve"> </w:t>
      </w:r>
      <w:r>
        <w:t xml:space="preserve">Wholesale and retail</w:t>
      </w:r>
      <w:r>
        <w:t xml:space="preserve"> </w:t>
      </w:r>
      <w:r>
        <w:t xml:space="preserve">0.5%</w:t>
      </w:r>
      <w:r>
        <w:t xml:space="preserve"> </w:t>
      </w:r>
      <w:r>
        <w:t xml:space="preserve">1.0%</w:t>
      </w:r>
      <w:r>
        <w:t xml:space="preserve"> </w:t>
      </w:r>
      <w:r>
        <w:t xml:space="preserve">0.7%</w:t>
      </w:r>
      <w:r>
        <w:t xml:space="preserve"> </w:t>
      </w:r>
      <w:r>
        <w:t xml:space="preserve">0.5%</w:t>
      </w:r>
      <w:r>
        <w:t xml:space="preserve"> </w:t>
      </w:r>
      <w:r>
        <w:t xml:space="preserve">0.3%</w:t>
      </w:r>
      <w:r>
        <w:t xml:space="preserve"> </w:t>
      </w:r>
      <w:r>
        <w:t xml:space="preserve">0.1%</w:t>
      </w:r>
      <w:r>
        <w:t xml:space="preserve"> </w:t>
      </w:r>
      <w:r>
        <w:t xml:space="preserve">Tourism</w:t>
      </w:r>
      <w:r>
        <w:t xml:space="preserve"> </w:t>
      </w:r>
      <w:r>
        <w:t xml:space="preserve">1.5%</w:t>
      </w:r>
      <w:r>
        <w:t xml:space="preserve"> </w:t>
      </w:r>
      <w:r>
        <w:t xml:space="preserve">3.0%</w:t>
      </w:r>
      <w:r>
        <w:t xml:space="preserve"> </w:t>
      </w:r>
      <w:r>
        <w:t xml:space="preserve">2.3%</w:t>
      </w:r>
      <w:r>
        <w:t xml:space="preserve"> </w:t>
      </w:r>
      <w:r>
        <w:t xml:space="preserve">1.6%</w:t>
      </w:r>
      <w:r>
        <w:t xml:space="preserve"> </w:t>
      </w:r>
      <w:r>
        <w:t xml:space="preserve">1.0%</w:t>
      </w:r>
      <w:r>
        <w:t xml:space="preserve"> </w:t>
      </w:r>
      <w:r>
        <w:t xml:space="preserve">0.4%</w:t>
      </w:r>
      <w:r>
        <w:t xml:space="preserve"> </w:t>
      </w:r>
      <w:r>
        <w:t xml:space="preserve">Large companies (250 or more)</w:t>
      </w:r>
    </w:p>
    <w:p>
      <w:pPr>
        <w:pStyle w:val="BodyText"/>
      </w:pPr>
      <w:r>
        <w:t xml:space="preserve">Passenger</w:t>
      </w:r>
      <w:r>
        <w:br/>
      </w:r>
      <w:r>
        <w:t xml:space="preserve">Interurban rail</w:t>
      </w:r>
      <w:r>
        <w:t xml:space="preserve"> </w:t>
      </w:r>
      <w:r>
        <w:t xml:space="preserve">8.6% 20.0% 14.3% 11.4%</w:t>
      </w:r>
      <w:r>
        <w:t xml:space="preserve"> </w:t>
      </w:r>
      <w:r>
        <w:t xml:space="preserve">5.7%</w:t>
      </w:r>
      <w:r>
        <w:t xml:space="preserve"> </w:t>
      </w:r>
      <w:r>
        <w:t xml:space="preserve">2.9%</w:t>
      </w:r>
      <w:r>
        <w:t xml:space="preserve"> </w:t>
      </w:r>
      <w:r>
        <w:t xml:space="preserve">Other transport over</w:t>
      </w:r>
      <w:r>
        <w:t xml:space="preserve"> </w:t>
      </w:r>
      <w:r>
        <w:t xml:space="preserve">land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Maritime</w:t>
      </w:r>
      <w:r>
        <w:t xml:space="preserve"> </w:t>
      </w:r>
      <w:r>
        <w:t xml:space="preserve">10.5% 18.4% 15.8% 13.2%</w:t>
      </w:r>
      <w:r>
        <w:t xml:space="preserve"> </w:t>
      </w:r>
      <w:r>
        <w:t xml:space="preserve">7.9%</w:t>
      </w:r>
      <w:r>
        <w:t xml:space="preserve"> </w:t>
      </w:r>
      <w:r>
        <w:t xml:space="preserve">5.3%</w:t>
      </w:r>
      <w:r>
        <w:t xml:space="preserve"> </w:t>
      </w:r>
      <w:r>
        <w:t xml:space="preserve">Inland navigation</w:t>
      </w:r>
      <w:r>
        <w:t xml:space="preserve"> </w:t>
      </w:r>
      <w:r>
        <w:t xml:space="preserve">0.0% 50.0% 50.0% 50.0% 50.0% 50.0%</w:t>
      </w:r>
      <w:r>
        <w:t xml:space="preserve"> </w:t>
      </w:r>
      <w:r>
        <w:t xml:space="preserve">Air</w:t>
      </w:r>
      <w:r>
        <w:t xml:space="preserve"> </w:t>
      </w:r>
      <w:r>
        <w:t xml:space="preserve">11.4% 18.6% 14.3% 11.4%</w:t>
      </w:r>
      <w:r>
        <w:t xml:space="preserve"> </w:t>
      </w:r>
      <w:r>
        <w:t xml:space="preserve">8.6%</w:t>
      </w:r>
      <w:r>
        <w:t xml:space="preserve"> </w:t>
      </w:r>
      <w:r>
        <w:t xml:space="preserve">4.3%</w:t>
      </w:r>
      <w:r>
        <w:t xml:space="preserve"> </w:t>
      </w:r>
      <w:r>
        <w:t xml:space="preserve">Freight</w:t>
      </w:r>
      <w:r>
        <w:br/>
      </w:r>
      <w:r>
        <w:t xml:space="preserve">Road</w:t>
      </w:r>
      <w:r>
        <w:t xml:space="preserve"> </w:t>
      </w:r>
      <w:r>
        <w:t xml:space="preserve">10.8% 18.9% 14.8% 11.1%</w:t>
      </w:r>
      <w:r>
        <w:t xml:space="preserve"> </w:t>
      </w:r>
      <w:r>
        <w:t xml:space="preserve">7.3%</w:t>
      </w:r>
      <w:r>
        <w:t xml:space="preserve"> </w:t>
      </w:r>
      <w:r>
        <w:t xml:space="preserve">3.9%</w:t>
      </w:r>
      <w:r>
        <w:t xml:space="preserve"> </w:t>
      </w:r>
      <w:r>
        <w:t xml:space="preserve">Rail</w:t>
      </w:r>
      <w:r>
        <w:t xml:space="preserve"> </w:t>
      </w:r>
      <w:r>
        <w:t xml:space="preserve">10.8% 18.9% 16.2% 10.8%</w:t>
      </w:r>
      <w:r>
        <w:t xml:space="preserve"> </w:t>
      </w:r>
      <w:r>
        <w:t xml:space="preserve">8.1%</w:t>
      </w:r>
      <w:r>
        <w:t xml:space="preserve"> </w:t>
      </w:r>
      <w:r>
        <w:t xml:space="preserve">2.7%</w:t>
      </w:r>
      <w:r>
        <w:t xml:space="preserve"> </w:t>
      </w:r>
      <w:r>
        <w:t xml:space="preserve">Inland navigation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Maritime</w:t>
      </w:r>
      <w:r>
        <w:t xml:space="preserve"> </w:t>
      </w:r>
      <w:r>
        <w:t xml:space="preserve">11.8% 19.6% 13.7% 11.8%</w:t>
      </w:r>
      <w:r>
        <w:t xml:space="preserve"> </w:t>
      </w:r>
      <w:r>
        <w:t xml:space="preserve">7.8%</w:t>
      </w:r>
      <w:r>
        <w:t xml:space="preserve"> </w:t>
      </w:r>
      <w:r>
        <w:t xml:space="preserve">3.9%</w:t>
      </w:r>
      <w:r>
        <w:t xml:space="preserve"> </w:t>
      </w:r>
      <w:r>
        <w:t xml:space="preserve">Air and space</w:t>
      </w:r>
      <w:r>
        <w:t xml:space="preserve"> </w:t>
      </w:r>
      <w:r>
        <w:t xml:space="preserve">22.2% 22.2% 22.2% 11.1% 11.1% 11.1%</w:t>
      </w:r>
      <w:r>
        <w:t xml:space="preserve"> </w:t>
      </w:r>
      <w:r>
        <w:t xml:space="preserve">Postal activities</w:t>
      </w:r>
      <w:r>
        <w:t xml:space="preserve"> </w:t>
      </w:r>
      <w:r>
        <w:t xml:space="preserve">10.2% 19.1% 15.0% 10.8%</w:t>
      </w:r>
      <w:r>
        <w:t xml:space="preserve"> </w:t>
      </w:r>
      <w:r>
        <w:t xml:space="preserve">7.0%</w:t>
      </w:r>
      <w:r>
        <w:t xml:space="preserve"> </w:t>
      </w:r>
      <w:r>
        <w:t xml:space="preserve">3.2%</w:t>
      </w:r>
      <w:r>
        <w:t xml:space="preserve"> </w:t>
      </w:r>
      <w:r>
        <w:t xml:space="preserve">Hub operators</w:t>
      </w:r>
      <w:r>
        <w:t xml:space="preserve"> </w:t>
      </w:r>
      <w:r>
        <w:t xml:space="preserve">Warehousing and</w:t>
      </w:r>
      <w:r>
        <w:t xml:space="preserve"> </w:t>
      </w:r>
      <w:r>
        <w:t xml:space="preserve">storage</w:t>
      </w:r>
      <w:r>
        <w:t xml:space="preserve"> </w:t>
      </w:r>
      <w:r>
        <w:t xml:space="preserve">17.4% 34.4% 33.3% 32.8% 31.8% 30.8%</w:t>
      </w:r>
      <w:r>
        <w:t xml:space="preserve"> </w:t>
      </w:r>
      <w:r>
        <w:t xml:space="preserve">Support activities for</w:t>
      </w:r>
      <w:r>
        <w:t xml:space="preserve"> </w:t>
      </w:r>
      <w:r>
        <w:t xml:space="preserve">transportation</w:t>
      </w:r>
      <w:r>
        <w:t xml:space="preserve"> </w:t>
      </w:r>
      <w:r>
        <w:t xml:space="preserve">17.4% 35.0% 34.0% 33.0% 32.2% 31.2%</w:t>
      </w:r>
      <w:r>
        <w:t xml:space="preserve"> </w:t>
      </w:r>
      <w:r>
        <w:t xml:space="preserve">Other</w:t>
      </w:r>
      <w:r>
        <w:t xml:space="preserve"> </w:t>
      </w:r>
      <w:r>
        <w:t xml:space="preserve">Manufacturing</w:t>
      </w:r>
      <w:r>
        <w:t xml:space="preserve"> </w:t>
      </w:r>
      <w:r>
        <w:t xml:space="preserve">10.2% 19.3% 14.9% 10.7%</w:t>
      </w:r>
      <w:r>
        <w:t xml:space="preserve"> </w:t>
      </w:r>
      <w:r>
        <w:t xml:space="preserve">6.8%</w:t>
      </w:r>
      <w:r>
        <w:t xml:space="preserve"> </w:t>
      </w:r>
      <w:r>
        <w:t xml:space="preserve">3.0%</w:t>
      </w:r>
      <w:r>
        <w:t xml:space="preserve"> </w:t>
      </w:r>
      <w:r>
        <w:t xml:space="preserve">Wholesale and retail</w:t>
      </w:r>
      <w:r>
        <w:t xml:space="preserve"> </w:t>
      </w:r>
      <w:r>
        <w:t xml:space="preserve">10.2% 19.3% 14.9% 10.7%</w:t>
      </w:r>
      <w:r>
        <w:t xml:space="preserve"> </w:t>
      </w:r>
      <w:r>
        <w:t xml:space="preserve">6.8%</w:t>
      </w:r>
      <w:r>
        <w:t xml:space="preserve"> </w:t>
      </w:r>
      <w:r>
        <w:t xml:space="preserve">3.0%</w:t>
      </w:r>
      <w:r>
        <w:t xml:space="preserve"> </w:t>
      </w:r>
      <w:r>
        <w:t xml:space="preserve">Tourism</w:t>
      </w:r>
      <w:r>
        <w:t xml:space="preserve"> </w:t>
      </w:r>
      <w:r>
        <w:t xml:space="preserve">4.4%</w:t>
      </w:r>
      <w:r>
        <w:t xml:space="preserve"> </w:t>
      </w:r>
      <w:r>
        <w:t xml:space="preserve">8.6%</w:t>
      </w:r>
      <w:r>
        <w:t xml:space="preserve"> </w:t>
      </w:r>
      <w:r>
        <w:t xml:space="preserve">6.6%</w:t>
      </w:r>
      <w:r>
        <w:t xml:space="preserve"> </w:t>
      </w:r>
      <w:r>
        <w:t xml:space="preserve">4.7%</w:t>
      </w:r>
      <w:r>
        <w:t xml:space="preserve"> </w:t>
      </w:r>
      <w:r>
        <w:t xml:space="preserve">2.9%</w:t>
      </w:r>
      <w:r>
        <w:t xml:space="preserve"> </w:t>
      </w:r>
      <w:r>
        <w:t xml:space="preserve">1.2%</w:t>
      </w:r>
      <w:r>
        <w:t xml:space="preserve"> </w:t>
      </w:r>
      <w:r>
        <w:t xml:space="preserve">Source: Ecorys and CE Delft (2023), Impact assessment support study</w:t>
      </w:r>
      <w:r>
        <w:t xml:space="preserve"> </w:t>
      </w:r>
      <w:r>
        <w:t xml:space="preserve">Table 33: Type and size of impacted enterprises in PO3 as a percentage of all enterprises targeted by CountEmissions EU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SME</w:t>
      </w:r>
    </w:p>
    <w:p>
      <w:pPr>
        <w:pStyle w:val="BodyText"/>
      </w:pPr>
      <w:r>
        <w:t xml:space="preserve">Passenger</w:t>
      </w:r>
      <w:r>
        <w:br/>
      </w:r>
      <w:r>
        <w:t xml:space="preserve">Interurban rail</w:t>
      </w:r>
      <w:r>
        <w:t xml:space="preserve"> </w:t>
      </w:r>
      <w:r>
        <w:t xml:space="preserve">0.0%</w:t>
      </w:r>
      <w:r>
        <w:t xml:space="preserve"> </w:t>
      </w:r>
      <w:r>
        <w:t xml:space="preserve">0.7%</w:t>
      </w:r>
      <w:r>
        <w:t xml:space="preserve"> </w:t>
      </w:r>
      <w:r>
        <w:t xml:space="preserve">0.7%</w:t>
      </w:r>
      <w:r>
        <w:t xml:space="preserve"> </w:t>
      </w:r>
      <w:r>
        <w:t xml:space="preserve">0.7%</w:t>
      </w:r>
      <w:r>
        <w:t xml:space="preserve"> </w:t>
      </w:r>
      <w:r>
        <w:t xml:space="preserve">Other transport over land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Maritime</w:t>
      </w:r>
      <w:r>
        <w:t xml:space="preserve"> </w:t>
      </w:r>
      <w:r>
        <w:t xml:space="preserve">5.8%</w:t>
      </w:r>
      <w:r>
        <w:t xml:space="preserve"> </w:t>
      </w:r>
      <w:r>
        <w:t xml:space="preserve">8.3%</w:t>
      </w:r>
      <w:r>
        <w:t xml:space="preserve"> </w:t>
      </w:r>
      <w:r>
        <w:t xml:space="preserve">8.3%</w:t>
      </w:r>
      <w:r>
        <w:t xml:space="preserve"> </w:t>
      </w:r>
      <w:r>
        <w:t xml:space="preserve">9.4%</w:t>
      </w:r>
      <w:r>
        <w:t xml:space="preserve"> </w:t>
      </w:r>
      <w:r>
        <w:t xml:space="preserve">Inland navigation</w:t>
      </w:r>
      <w:r>
        <w:t xml:space="preserve"> </w:t>
      </w:r>
      <w:r>
        <w:t xml:space="preserve">3.0%</w:t>
      </w:r>
      <w:r>
        <w:t xml:space="preserve"> </w:t>
      </w:r>
      <w:r>
        <w:t xml:space="preserve">5.8%</w:t>
      </w:r>
      <w:r>
        <w:t xml:space="preserve"> </w:t>
      </w:r>
      <w:r>
        <w:t xml:space="preserve">5.8%</w:t>
      </w:r>
      <w:r>
        <w:t xml:space="preserve"> </w:t>
      </w:r>
      <w:r>
        <w:t xml:space="preserve">5.8%</w:t>
      </w:r>
      <w:r>
        <w:t xml:space="preserve"> </w:t>
      </w:r>
      <w:r>
        <w:t xml:space="preserve">Air</w:t>
      </w:r>
      <w:r>
        <w:t xml:space="preserve"> </w:t>
      </w:r>
      <w:r>
        <w:t xml:space="preserve">1.9%</w:t>
      </w:r>
      <w:r>
        <w:t xml:space="preserve"> </w:t>
      </w:r>
      <w:r>
        <w:t xml:space="preserve">2.5%</w:t>
      </w:r>
      <w:r>
        <w:t xml:space="preserve"> </w:t>
      </w:r>
      <w:r>
        <w:t xml:space="preserve">2.5%</w:t>
      </w:r>
      <w:r>
        <w:t xml:space="preserve"> </w:t>
      </w:r>
      <w:r>
        <w:t xml:space="preserve">2.5%</w:t>
      </w:r>
      <w:r>
        <w:t xml:space="preserve"> </w:t>
      </w:r>
      <w:r>
        <w:t xml:space="preserve">Freight</w:t>
      </w:r>
      <w:r>
        <w:br/>
      </w:r>
      <w:r>
        <w:t xml:space="preserve">Road</w:t>
      </w:r>
      <w:r>
        <w:t xml:space="preserve"> </w:t>
      </w:r>
      <w:r>
        <w:t xml:space="preserve">4.3%</w:t>
      </w:r>
      <w:r>
        <w:t xml:space="preserve"> </w:t>
      </w:r>
      <w:r>
        <w:t xml:space="preserve">6.2%</w:t>
      </w:r>
      <w:r>
        <w:t xml:space="preserve"> </w:t>
      </w:r>
      <w:r>
        <w:t xml:space="preserve">6.2%</w:t>
      </w:r>
      <w:r>
        <w:t xml:space="preserve"> </w:t>
      </w:r>
      <w:r>
        <w:t xml:space="preserve">7.5%</w:t>
      </w:r>
      <w:r>
        <w:t xml:space="preserve"> </w:t>
      </w:r>
      <w:r>
        <w:t xml:space="preserve">Rail</w:t>
      </w:r>
      <w:r>
        <w:t xml:space="preserve"> </w:t>
      </w:r>
      <w:r>
        <w:t xml:space="preserve">0.2%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Inland navigation</w:t>
      </w:r>
      <w:r>
        <w:t xml:space="preserve"> </w:t>
      </w:r>
      <w:r>
        <w:t xml:space="preserve">1.3%</w:t>
      </w:r>
      <w:r>
        <w:t xml:space="preserve"> </w:t>
      </w:r>
      <w:r>
        <w:t xml:space="preserve">2.2%</w:t>
      </w:r>
      <w:r>
        <w:t xml:space="preserve"> </w:t>
      </w:r>
      <w:r>
        <w:t xml:space="preserve">2.2%</w:t>
      </w:r>
      <w:r>
        <w:t xml:space="preserve"> </w:t>
      </w:r>
      <w:r>
        <w:t xml:space="preserve">2.2%</w:t>
      </w:r>
      <w:r>
        <w:t xml:space="preserve"> </w:t>
      </w:r>
      <w:r>
        <w:t xml:space="preserve">Maritime</w:t>
      </w:r>
      <w:r>
        <w:t xml:space="preserve"> </w:t>
      </w:r>
      <w:r>
        <w:t xml:space="preserve">7.2%</w:t>
      </w:r>
      <w:r>
        <w:t xml:space="preserve"> </w:t>
      </w:r>
      <w:r>
        <w:t xml:space="preserve">10.4%</w:t>
      </w:r>
      <w:r>
        <w:t xml:space="preserve"> </w:t>
      </w:r>
      <w:r>
        <w:t xml:space="preserve">10.4%</w:t>
      </w:r>
      <w:r>
        <w:t xml:space="preserve"> </w:t>
      </w:r>
      <w:r>
        <w:t xml:space="preserve">10.4%</w:t>
      </w:r>
      <w:r>
        <w:t xml:space="preserve"> </w:t>
      </w:r>
      <w:r>
        <w:t xml:space="preserve">Air and space</w:t>
      </w:r>
      <w:r>
        <w:t xml:space="preserve"> </w:t>
      </w:r>
      <w:r>
        <w:t xml:space="preserve">9.5%</w:t>
      </w:r>
      <w:r>
        <w:t xml:space="preserve"> </w:t>
      </w:r>
      <w:r>
        <w:t xml:space="preserve">12.1%</w:t>
      </w:r>
      <w:r>
        <w:t xml:space="preserve"> </w:t>
      </w:r>
      <w:r>
        <w:t xml:space="preserve">12.1%</w:t>
      </w:r>
      <w:r>
        <w:t xml:space="preserve"> </w:t>
      </w:r>
      <w:r>
        <w:t xml:space="preserve">12.1%</w:t>
      </w:r>
      <w:r>
        <w:t xml:space="preserve"> </w:t>
      </w:r>
      <w:r>
        <w:t xml:space="preserve">Postal activities</w:t>
      </w:r>
      <w:r>
        <w:t xml:space="preserve"> </w:t>
      </w:r>
      <w:r>
        <w:t xml:space="preserve">11.9%</w:t>
      </w:r>
      <w:r>
        <w:t xml:space="preserve"> </w:t>
      </w:r>
      <w:r>
        <w:t xml:space="preserve">18.6%</w:t>
      </w:r>
      <w:r>
        <w:t xml:space="preserve"> </w:t>
      </w:r>
      <w:r>
        <w:t xml:space="preserve">18.6%</w:t>
      </w:r>
      <w:r>
        <w:t xml:space="preserve"> </w:t>
      </w:r>
      <w:r>
        <w:t xml:space="preserve">18.6%</w:t>
      </w:r>
    </w:p>
    <w:p>
      <w:pPr>
        <w:pStyle w:val="BodyText"/>
      </w:pPr>
      <w:r>
        <w:t xml:space="preserve">96</w:t>
      </w:r>
    </w:p>
    <w:p>
      <w:pPr>
        <w:pStyle w:val="BodyText"/>
      </w:pPr>
      <w:r>
        <w:t xml:space="preserve">Hub operators</w:t>
      </w:r>
      <w:r>
        <w:t xml:space="preserve"> </w:t>
      </w:r>
      <w:r>
        <w:t xml:space="preserve">Warehousing and storage</w:t>
      </w:r>
      <w:r>
        <w:t xml:space="preserve"> </w:t>
      </w:r>
      <w:r>
        <w:t xml:space="preserve">0.2%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Support activities for transportation</w:t>
      </w:r>
      <w:r>
        <w:t xml:space="preserve"> </w:t>
      </w:r>
      <w:r>
        <w:t xml:space="preserve">0.2%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Other</w:t>
      </w:r>
      <w:r>
        <w:t xml:space="preserve"> </w:t>
      </w:r>
      <w:r>
        <w:t xml:space="preserve">Manufacturing</w:t>
      </w:r>
      <w:r>
        <w:t xml:space="preserve"> </w:t>
      </w:r>
      <w:r>
        <w:t xml:space="preserve">1.1%</w:t>
      </w:r>
      <w:r>
        <w:t xml:space="preserve"> </w:t>
      </w:r>
      <w:r>
        <w:t xml:space="preserve">1.8%</w:t>
      </w:r>
      <w:r>
        <w:t xml:space="preserve"> </w:t>
      </w:r>
      <w:r>
        <w:t xml:space="preserve">1.8%</w:t>
      </w:r>
      <w:r>
        <w:t xml:space="preserve"> </w:t>
      </w:r>
      <w:r>
        <w:t xml:space="preserve">1.8%</w:t>
      </w:r>
      <w:r>
        <w:t xml:space="preserve"> </w:t>
      </w:r>
      <w:r>
        <w:t xml:space="preserve">Wholesale and retail</w:t>
      </w:r>
      <w:r>
        <w:t xml:space="preserve"> </w:t>
      </w:r>
      <w:r>
        <w:t xml:space="preserve">1.1%</w:t>
      </w:r>
      <w:r>
        <w:t xml:space="preserve"> </w:t>
      </w:r>
      <w:r>
        <w:t xml:space="preserve">1.8%</w:t>
      </w:r>
      <w:r>
        <w:t xml:space="preserve"> </w:t>
      </w:r>
      <w:r>
        <w:t xml:space="preserve">1.8%</w:t>
      </w:r>
      <w:r>
        <w:t xml:space="preserve"> </w:t>
      </w:r>
      <w:r>
        <w:t xml:space="preserve">1.8%</w:t>
      </w:r>
      <w:r>
        <w:t xml:space="preserve"> </w:t>
      </w:r>
      <w:r>
        <w:t xml:space="preserve">Tourism</w:t>
      </w:r>
      <w:r>
        <w:t xml:space="preserve"> </w:t>
      </w:r>
      <w:r>
        <w:t xml:space="preserve">2.8%</w:t>
      </w:r>
      <w:r>
        <w:t xml:space="preserve"> </w:t>
      </w:r>
      <w:r>
        <w:t xml:space="preserve">5.0%</w:t>
      </w:r>
      <w:r>
        <w:t xml:space="preserve"> </w:t>
      </w:r>
      <w:r>
        <w:t xml:space="preserve">5.0%</w:t>
      </w:r>
      <w:r>
        <w:t xml:space="preserve"> </w:t>
      </w:r>
      <w:r>
        <w:t xml:space="preserve">5.0%</w:t>
      </w:r>
      <w:r>
        <w:t xml:space="preserve"> </w:t>
      </w:r>
      <w:r>
        <w:t xml:space="preserve">Total SMEs</w:t>
      </w:r>
    </w:p>
    <w:p>
      <w:pPr>
        <w:pStyle w:val="BodyText"/>
      </w:pPr>
      <w:r>
        <w:t xml:space="preserve">2.4%</w:t>
      </w:r>
      <w:r>
        <w:t xml:space="preserve"> </w:t>
      </w:r>
      <w:r>
        <w:t xml:space="preserve">3.6%</w:t>
      </w:r>
      <w:r>
        <w:t xml:space="preserve"> </w:t>
      </w:r>
      <w:r>
        <w:t xml:space="preserve">3.6%</w:t>
      </w:r>
      <w:r>
        <w:t xml:space="preserve"> </w:t>
      </w:r>
      <w:r>
        <w:t xml:space="preserve">4.0%</w:t>
      </w:r>
      <w:r>
        <w:t xml:space="preserve"> </w:t>
      </w:r>
      <w:r>
        <w:t xml:space="preserve">Large (250 or more)</w:t>
      </w:r>
    </w:p>
    <w:p>
      <w:pPr>
        <w:pStyle w:val="BodyText"/>
      </w:pPr>
      <w:r>
        <w:t xml:space="preserve">Passenger</w:t>
      </w:r>
      <w:r>
        <w:br/>
      </w:r>
      <w:r>
        <w:t xml:space="preserve">Interurban rail</w:t>
      </w:r>
      <w:r>
        <w:t xml:space="preserve"> </w:t>
      </w:r>
      <w:r>
        <w:t xml:space="preserve">22.9%</w:t>
      </w:r>
      <w:r>
        <w:t xml:space="preserve"> </w:t>
      </w:r>
      <w:r>
        <w:t xml:space="preserve">37.1%</w:t>
      </w:r>
      <w:r>
        <w:t xml:space="preserve"> </w:t>
      </w:r>
      <w:r>
        <w:t xml:space="preserve">37.1%</w:t>
      </w:r>
      <w:r>
        <w:t xml:space="preserve"> </w:t>
      </w:r>
      <w:r>
        <w:t xml:space="preserve">37.1%</w:t>
      </w:r>
      <w:r>
        <w:t xml:space="preserve"> </w:t>
      </w:r>
      <w:r>
        <w:t xml:space="preserve">Other transport over land</w:t>
      </w:r>
      <w:r>
        <w:t xml:space="preserve"> </w:t>
      </w:r>
      <w:r>
        <w:t xml:space="preserve">0.7%</w:t>
      </w:r>
      <w:r>
        <w:t xml:space="preserve"> </w:t>
      </w:r>
      <w:r>
        <w:t xml:space="preserve">0.7%</w:t>
      </w:r>
      <w:r>
        <w:t xml:space="preserve"> </w:t>
      </w:r>
      <w:r>
        <w:t xml:space="preserve">0.7%</w:t>
      </w:r>
      <w:r>
        <w:t xml:space="preserve"> </w:t>
      </w:r>
      <w:r>
        <w:t xml:space="preserve">0.7%</w:t>
      </w:r>
      <w:r>
        <w:t xml:space="preserve"> </w:t>
      </w:r>
      <w:r>
        <w:t xml:space="preserve">Maritime</w:t>
      </w:r>
      <w:r>
        <w:t xml:space="preserve"> </w:t>
      </w:r>
      <w:r>
        <w:t xml:space="preserve">28.9%</w:t>
      </w:r>
      <w:r>
        <w:t xml:space="preserve"> </w:t>
      </w:r>
      <w:r>
        <w:t xml:space="preserve">42.1%</w:t>
      </w:r>
      <w:r>
        <w:t xml:space="preserve"> </w:t>
      </w:r>
      <w:r>
        <w:t xml:space="preserve">42.1%</w:t>
      </w:r>
      <w:r>
        <w:t xml:space="preserve"> </w:t>
      </w:r>
      <w:r>
        <w:t xml:space="preserve">42.1%</w:t>
      </w:r>
      <w:r>
        <w:t xml:space="preserve"> </w:t>
      </w:r>
      <w:r>
        <w:t xml:space="preserve">Inland navigation</w:t>
      </w:r>
      <w:r>
        <w:t xml:space="preserve"> </w:t>
      </w:r>
      <w:r>
        <w:t xml:space="preserve">0.0%</w:t>
      </w:r>
      <w:r>
        <w:t xml:space="preserve"> </w:t>
      </w:r>
      <w:r>
        <w:t xml:space="preserve">50.0%</w:t>
      </w:r>
      <w:r>
        <w:t xml:space="preserve"> </w:t>
      </w:r>
      <w:r>
        <w:t xml:space="preserve">50.0%</w:t>
      </w:r>
      <w:r>
        <w:t xml:space="preserve"> </w:t>
      </w:r>
      <w:r>
        <w:t xml:space="preserve">50.0%</w:t>
      </w:r>
      <w:r>
        <w:t xml:space="preserve"> </w:t>
      </w:r>
      <w:r>
        <w:t xml:space="preserve">Air</w:t>
      </w:r>
      <w:r>
        <w:t xml:space="preserve"> </w:t>
      </w:r>
      <w:r>
        <w:t xml:space="preserve">37.1%</w:t>
      </w:r>
      <w:r>
        <w:t xml:space="preserve"> </w:t>
      </w:r>
      <w:r>
        <w:t xml:space="preserve">48.6%</w:t>
      </w:r>
      <w:r>
        <w:t xml:space="preserve"> </w:t>
      </w:r>
      <w:r>
        <w:t xml:space="preserve">48.6%</w:t>
      </w:r>
      <w:r>
        <w:t xml:space="preserve"> </w:t>
      </w:r>
      <w:r>
        <w:t xml:space="preserve">48.6%</w:t>
      </w:r>
      <w:r>
        <w:t xml:space="preserve"> </w:t>
      </w:r>
      <w:r>
        <w:t xml:space="preserve">Freight</w:t>
      </w:r>
      <w:r>
        <w:br/>
      </w:r>
      <w:r>
        <w:t xml:space="preserve">Road</w:t>
      </w:r>
      <w:r>
        <w:t xml:space="preserve"> </w:t>
      </w:r>
      <w:r>
        <w:t xml:space="preserve">29.0%</w:t>
      </w:r>
      <w:r>
        <w:t xml:space="preserve"> </w:t>
      </w:r>
      <w:r>
        <w:t xml:space="preserve">41.5%</w:t>
      </w:r>
      <w:r>
        <w:t xml:space="preserve"> </w:t>
      </w:r>
      <w:r>
        <w:t xml:space="preserve">41.5%</w:t>
      </w:r>
      <w:r>
        <w:t xml:space="preserve"> </w:t>
      </w:r>
      <w:r>
        <w:t xml:space="preserve">41.5%</w:t>
      </w:r>
      <w:r>
        <w:t xml:space="preserve"> </w:t>
      </w:r>
      <w:r>
        <w:t xml:space="preserve">Rail</w:t>
      </w:r>
      <w:r>
        <w:t xml:space="preserve"> </w:t>
      </w:r>
      <w:r>
        <w:t xml:space="preserve">24.3%</w:t>
      </w:r>
      <w:r>
        <w:t xml:space="preserve"> </w:t>
      </w:r>
      <w:r>
        <w:t xml:space="preserve">37.8%</w:t>
      </w:r>
      <w:r>
        <w:t xml:space="preserve"> </w:t>
      </w:r>
      <w:r>
        <w:t xml:space="preserve">37.8%</w:t>
      </w:r>
      <w:r>
        <w:t xml:space="preserve"> </w:t>
      </w:r>
      <w:r>
        <w:t xml:space="preserve">37.8%</w:t>
      </w:r>
      <w:r>
        <w:t xml:space="preserve"> </w:t>
      </w:r>
      <w:r>
        <w:t xml:space="preserve">Inland navigation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Maritime</w:t>
      </w:r>
      <w:r>
        <w:t xml:space="preserve"> </w:t>
      </w:r>
      <w:r>
        <w:t xml:space="preserve">29.4%</w:t>
      </w:r>
      <w:r>
        <w:t xml:space="preserve"> </w:t>
      </w:r>
      <w:r>
        <w:t xml:space="preserve">41.2%</w:t>
      </w:r>
      <w:r>
        <w:t xml:space="preserve"> </w:t>
      </w:r>
      <w:r>
        <w:t xml:space="preserve">41.2%</w:t>
      </w:r>
      <w:r>
        <w:t xml:space="preserve"> </w:t>
      </w:r>
      <w:r>
        <w:t xml:space="preserve">41.2%</w:t>
      </w:r>
      <w:r>
        <w:t xml:space="preserve"> </w:t>
      </w:r>
      <w:r>
        <w:t xml:space="preserve">Air and space</w:t>
      </w:r>
      <w:r>
        <w:t xml:space="preserve"> </w:t>
      </w:r>
      <w:r>
        <w:t xml:space="preserve">44.4%</w:t>
      </w:r>
      <w:r>
        <w:t xml:space="preserve"> </w:t>
      </w:r>
      <w:r>
        <w:t xml:space="preserve">55.6%</w:t>
      </w:r>
      <w:r>
        <w:t xml:space="preserve"> </w:t>
      </w:r>
      <w:r>
        <w:t xml:space="preserve">55.6%</w:t>
      </w:r>
      <w:r>
        <w:t xml:space="preserve"> </w:t>
      </w:r>
      <w:r>
        <w:t xml:space="preserve">55.6%</w:t>
      </w:r>
      <w:r>
        <w:t xml:space="preserve"> </w:t>
      </w:r>
      <w:r>
        <w:t xml:space="preserve">Postal activities</w:t>
      </w:r>
      <w:r>
        <w:t xml:space="preserve"> </w:t>
      </w:r>
      <w:r>
        <w:t xml:space="preserve">23.9%</w:t>
      </w:r>
      <w:r>
        <w:t xml:space="preserve"> </w:t>
      </w:r>
      <w:r>
        <w:t xml:space="preserve">37.3%</w:t>
      </w:r>
      <w:r>
        <w:t xml:space="preserve"> </w:t>
      </w:r>
      <w:r>
        <w:t xml:space="preserve">37.3%</w:t>
      </w:r>
      <w:r>
        <w:t xml:space="preserve"> </w:t>
      </w:r>
      <w:r>
        <w:t xml:space="preserve">37.3%</w:t>
      </w:r>
      <w:r>
        <w:t xml:space="preserve"> </w:t>
      </w:r>
      <w:r>
        <w:t xml:space="preserve">Hub operators</w:t>
      </w:r>
      <w:r>
        <w:t xml:space="preserve"> </w:t>
      </w:r>
      <w:r>
        <w:t xml:space="preserve">Warehousing and storage</w:t>
      </w:r>
      <w:r>
        <w:t xml:space="preserve"> </w:t>
      </w:r>
      <w:r>
        <w:t xml:space="preserve">20.5%</w:t>
      </w:r>
      <w:r>
        <w:t xml:space="preserve"> </w:t>
      </w:r>
      <w:r>
        <w:t xml:space="preserve">38.5%</w:t>
      </w:r>
      <w:r>
        <w:t xml:space="preserve"> </w:t>
      </w:r>
      <w:r>
        <w:t xml:space="preserve">38.5%</w:t>
      </w:r>
      <w:r>
        <w:t xml:space="preserve"> </w:t>
      </w:r>
      <w:r>
        <w:t xml:space="preserve">38.5%</w:t>
      </w:r>
      <w:r>
        <w:t xml:space="preserve"> </w:t>
      </w:r>
      <w:r>
        <w:t xml:space="preserve">Support activities for transportation</w:t>
      </w:r>
      <w:r>
        <w:t xml:space="preserve"> </w:t>
      </w:r>
      <w:r>
        <w:t xml:space="preserve">19.5%</w:t>
      </w:r>
      <w:r>
        <w:t xml:space="preserve"> </w:t>
      </w:r>
      <w:r>
        <w:t xml:space="preserve">38.0%</w:t>
      </w:r>
      <w:r>
        <w:t xml:space="preserve"> </w:t>
      </w:r>
      <w:r>
        <w:t xml:space="preserve">38.0%</w:t>
      </w:r>
      <w:r>
        <w:t xml:space="preserve"> </w:t>
      </w:r>
      <w:r>
        <w:t xml:space="preserve">38.0%</w:t>
      </w:r>
      <w:r>
        <w:t xml:space="preserve"> </w:t>
      </w:r>
      <w:r>
        <w:t xml:space="preserve">Other</w:t>
      </w:r>
      <w:r>
        <w:t xml:space="preserve"> </w:t>
      </w:r>
      <w:r>
        <w:t xml:space="preserve">Manufacturing</w:t>
      </w:r>
      <w:r>
        <w:t xml:space="preserve"> </w:t>
      </w:r>
      <w:r>
        <w:t xml:space="preserve">21.3%</w:t>
      </w:r>
      <w:r>
        <w:t xml:space="preserve"> </w:t>
      </w:r>
      <w:r>
        <w:t xml:space="preserve">35.2%</w:t>
      </w:r>
      <w:r>
        <w:t xml:space="preserve"> </w:t>
      </w:r>
      <w:r>
        <w:t xml:space="preserve">35.2%</w:t>
      </w:r>
      <w:r>
        <w:t xml:space="preserve"> </w:t>
      </w:r>
      <w:r>
        <w:t xml:space="preserve">35.2%</w:t>
      </w:r>
      <w:r>
        <w:t xml:space="preserve"> </w:t>
      </w:r>
      <w:r>
        <w:t xml:space="preserve">Wholesale and retail</w:t>
      </w:r>
      <w:r>
        <w:t xml:space="preserve"> </w:t>
      </w:r>
      <w:r>
        <w:t xml:space="preserve">21.4%</w:t>
      </w:r>
      <w:r>
        <w:t xml:space="preserve"> </w:t>
      </w:r>
      <w:r>
        <w:t xml:space="preserve">35.2%</w:t>
      </w:r>
      <w:r>
        <w:t xml:space="preserve"> </w:t>
      </w:r>
      <w:r>
        <w:t xml:space="preserve">35.2%</w:t>
      </w:r>
      <w:r>
        <w:t xml:space="preserve"> </w:t>
      </w:r>
      <w:r>
        <w:t xml:space="preserve">35.2%</w:t>
      </w:r>
      <w:r>
        <w:t xml:space="preserve"> </w:t>
      </w:r>
      <w:r>
        <w:t xml:space="preserve">Tourism</w:t>
      </w:r>
      <w:r>
        <w:t xml:space="preserve"> </w:t>
      </w:r>
      <w:r>
        <w:t xml:space="preserve">8.3%</w:t>
      </w:r>
      <w:r>
        <w:t xml:space="preserve"> </w:t>
      </w:r>
      <w:r>
        <w:t xml:space="preserve">14.7%</w:t>
      </w:r>
      <w:r>
        <w:t xml:space="preserve"> </w:t>
      </w:r>
      <w:r>
        <w:t xml:space="preserve">14.7%</w:t>
      </w:r>
      <w:r>
        <w:t xml:space="preserve"> </w:t>
      </w:r>
      <w:r>
        <w:t xml:space="preserve">14.7%</w:t>
      </w:r>
      <w:r>
        <w:t xml:space="preserve"> </w:t>
      </w:r>
      <w:r>
        <w:t xml:space="preserve">Total large companies (250 or more)</w:t>
      </w:r>
    </w:p>
    <w:p>
      <w:pPr>
        <w:pStyle w:val="BodyText"/>
      </w:pPr>
      <w:r>
        <w:t xml:space="preserve">19.2%</w:t>
      </w:r>
      <w:r>
        <w:t xml:space="preserve"> </w:t>
      </w:r>
      <w:r>
        <w:t xml:space="preserve">31.7%</w:t>
      </w:r>
      <w:r>
        <w:t xml:space="preserve"> </w:t>
      </w:r>
      <w:r>
        <w:t xml:space="preserve">31.7%</w:t>
      </w:r>
      <w:r>
        <w:t xml:space="preserve"> </w:t>
      </w:r>
      <w:r>
        <w:t xml:space="preserve">31.7%</w:t>
      </w:r>
      <w:r>
        <w:t xml:space="preserve"> </w:t>
      </w:r>
      <w:r>
        <w:t xml:space="preserve">Source: Ecorys and CE Delft (2023), Impact assessment support study</w:t>
      </w:r>
    </w:p>
    <w:p>
      <w:pPr>
        <w:pStyle w:val="BodyText"/>
      </w:pPr>
      <w:r>
        <w:t xml:space="preserve">Table 34: Increase in the share of enterprises performing GHG emissions accounting at service level in PO4</w:t>
      </w:r>
      <w:r>
        <w:t xml:space="preserve"> </w:t>
      </w:r>
      <w:r>
        <w:t xml:space="preserve">relative to the baseline (percentage points increase relative to the baseline)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SME</w:t>
      </w:r>
    </w:p>
    <w:p>
      <w:pPr>
        <w:pStyle w:val="BodyText"/>
      </w:pPr>
      <w:r>
        <w:t xml:space="preserve">Passenger</w:t>
      </w:r>
      <w:r>
        <w:br/>
      </w:r>
      <w:r>
        <w:t xml:space="preserve">Interurban rail</w:t>
      </w:r>
      <w:r>
        <w:t xml:space="preserve"> </w:t>
      </w:r>
      <w:r>
        <w:t xml:space="preserve">0.0%</w:t>
      </w:r>
      <w:r>
        <w:t xml:space="preserve"> </w:t>
      </w:r>
      <w:r>
        <w:t xml:space="preserve">0.7%</w:t>
      </w:r>
      <w:r>
        <w:t xml:space="preserve"> </w:t>
      </w:r>
      <w:r>
        <w:t xml:space="preserve">0.7%</w:t>
      </w:r>
      <w:r>
        <w:t xml:space="preserve"> </w:t>
      </w:r>
      <w:r>
        <w:t xml:space="preserve">0.7%</w:t>
      </w:r>
      <w:r>
        <w:t xml:space="preserve"> </w:t>
      </w:r>
      <w:r>
        <w:t xml:space="preserve">0.7%</w:t>
      </w:r>
      <w:r>
        <w:t xml:space="preserve"> </w:t>
      </w:r>
      <w:r>
        <w:t xml:space="preserve">0.0%</w:t>
      </w:r>
      <w:r>
        <w:t xml:space="preserve"> </w:t>
      </w:r>
      <w:r>
        <w:t xml:space="preserve">Other transport over land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Maritime</w:t>
      </w:r>
      <w:r>
        <w:t xml:space="preserve"> </w:t>
      </w:r>
      <w:r>
        <w:t xml:space="preserve">2.8%</w:t>
      </w:r>
      <w:r>
        <w:t xml:space="preserve"> </w:t>
      </w:r>
      <w:r>
        <w:t xml:space="preserve">5.0%</w:t>
      </w:r>
      <w:r>
        <w:t xml:space="preserve"> </w:t>
      </w:r>
      <w:r>
        <w:t xml:space="preserve">3.9%</w:t>
      </w:r>
      <w:r>
        <w:t xml:space="preserve"> </w:t>
      </w:r>
      <w:r>
        <w:t xml:space="preserve">3.0%</w:t>
      </w:r>
      <w:r>
        <w:t xml:space="preserve"> </w:t>
      </w:r>
      <w:r>
        <w:t xml:space="preserve">2.1%</w:t>
      </w:r>
      <w:r>
        <w:t xml:space="preserve"> </w:t>
      </w:r>
      <w:r>
        <w:t xml:space="preserve">1.2%</w:t>
      </w:r>
      <w:r>
        <w:t xml:space="preserve"> </w:t>
      </w:r>
      <w:r>
        <w:t xml:space="preserve">Inland navigation</w:t>
      </w:r>
      <w:r>
        <w:t xml:space="preserve"> </w:t>
      </w:r>
      <w:r>
        <w:t xml:space="preserve">0.3%</w:t>
      </w:r>
      <w:r>
        <w:t xml:space="preserve"> </w:t>
      </w:r>
      <w:r>
        <w:t xml:space="preserve">0.6%</w:t>
      </w:r>
      <w:r>
        <w:t xml:space="preserve"> </w:t>
      </w:r>
      <w:r>
        <w:t xml:space="preserve">0.4%</w:t>
      </w:r>
      <w:r>
        <w:t xml:space="preserve"> </w:t>
      </w:r>
      <w:r>
        <w:t xml:space="preserve">0.3%</w:t>
      </w:r>
      <w:r>
        <w:t xml:space="preserve"> </w:t>
      </w:r>
      <w:r>
        <w:t xml:space="preserve">0.1%</w:t>
      </w:r>
      <w:r>
        <w:t xml:space="preserve"> </w:t>
      </w:r>
      <w:r>
        <w:t xml:space="preserve">0.0%</w:t>
      </w:r>
      <w:r>
        <w:t xml:space="preserve"> </w:t>
      </w:r>
      <w:r>
        <w:t xml:space="preserve">Air</w:t>
      </w:r>
      <w:r>
        <w:t xml:space="preserve"> </w:t>
      </w:r>
      <w:r>
        <w:t xml:space="preserve">0.6%</w:t>
      </w:r>
      <w:r>
        <w:t xml:space="preserve"> </w:t>
      </w:r>
      <w:r>
        <w:t xml:space="preserve">1.0%</w:t>
      </w:r>
      <w:r>
        <w:t xml:space="preserve"> </w:t>
      </w:r>
      <w:r>
        <w:t xml:space="preserve">0.8%</w:t>
      </w:r>
      <w:r>
        <w:t xml:space="preserve"> </w:t>
      </w:r>
      <w:r>
        <w:t xml:space="preserve">0.6%</w:t>
      </w:r>
      <w:r>
        <w:t xml:space="preserve"> </w:t>
      </w:r>
      <w:r>
        <w:t xml:space="preserve">0.5%</w:t>
      </w:r>
      <w:r>
        <w:t xml:space="preserve"> </w:t>
      </w:r>
      <w:r>
        <w:t xml:space="preserve">0.3%</w:t>
      </w:r>
      <w:r>
        <w:t xml:space="preserve"> </w:t>
      </w:r>
      <w:r>
        <w:t xml:space="preserve">Freight</w:t>
      </w:r>
      <w:r>
        <w:br/>
      </w:r>
      <w:r>
        <w:t xml:space="preserve">Road</w:t>
      </w:r>
      <w:r>
        <w:t xml:space="preserve"> </w:t>
      </w:r>
      <w:r>
        <w:t xml:space="preserve">2.2%</w:t>
      </w:r>
      <w:r>
        <w:t xml:space="preserve"> </w:t>
      </w:r>
      <w:r>
        <w:t xml:space="preserve">4.0%</w:t>
      </w:r>
      <w:r>
        <w:t xml:space="preserve"> </w:t>
      </w:r>
      <w:r>
        <w:t xml:space="preserve">3.2%</w:t>
      </w:r>
      <w:r>
        <w:t xml:space="preserve"> </w:t>
      </w:r>
      <w:r>
        <w:t xml:space="preserve">2.4%</w:t>
      </w:r>
      <w:r>
        <w:t xml:space="preserve"> </w:t>
      </w:r>
      <w:r>
        <w:t xml:space="preserve">1.7%</w:t>
      </w:r>
      <w:r>
        <w:t xml:space="preserve"> </w:t>
      </w:r>
      <w:r>
        <w:t xml:space="preserve">1.0%</w:t>
      </w:r>
      <w:r>
        <w:t xml:space="preserve"> </w:t>
      </w:r>
      <w:r>
        <w:t xml:space="preserve">Rail</w:t>
      </w:r>
      <w:r>
        <w:t xml:space="preserve"> </w:t>
      </w:r>
      <w:r>
        <w:t xml:space="preserve">0.0%</w:t>
      </w:r>
      <w:r>
        <w:t xml:space="preserve"> </w:t>
      </w:r>
      <w:r>
        <w:t xml:space="preserve">0.2%</w:t>
      </w:r>
      <w:r>
        <w:t xml:space="preserve"> </w:t>
      </w:r>
      <w:r>
        <w:t xml:space="preserve">0.2%</w:t>
      </w:r>
      <w:r>
        <w:t xml:space="preserve"> </w:t>
      </w:r>
      <w:r>
        <w:t xml:space="preserve">0.2%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Inland navigation</w:t>
      </w:r>
      <w:r>
        <w:t xml:space="preserve"> </w:t>
      </w:r>
      <w:r>
        <w:t xml:space="preserve">0.7%</w:t>
      </w:r>
      <w:r>
        <w:t xml:space="preserve"> </w:t>
      </w:r>
      <w:r>
        <w:t xml:space="preserve">1.4%</w:t>
      </w:r>
      <w:r>
        <w:t xml:space="preserve"> </w:t>
      </w:r>
      <w:r>
        <w:t xml:space="preserve">1.1%</w:t>
      </w:r>
      <w:r>
        <w:t xml:space="preserve"> </w:t>
      </w:r>
      <w:r>
        <w:t xml:space="preserve">0.8%</w:t>
      </w:r>
      <w:r>
        <w:t xml:space="preserve"> </w:t>
      </w:r>
      <w:r>
        <w:t xml:space="preserve">0.5%</w:t>
      </w:r>
      <w:r>
        <w:t xml:space="preserve"> </w:t>
      </w:r>
      <w:r>
        <w:t xml:space="preserve">0.2%</w:t>
      </w:r>
      <w:r>
        <w:t xml:space="preserve"> </w:t>
      </w:r>
      <w:r>
        <w:t xml:space="preserve">Maritime</w:t>
      </w:r>
      <w:r>
        <w:t xml:space="preserve"> </w:t>
      </w:r>
      <w:r>
        <w:t xml:space="preserve">2.8%</w:t>
      </w:r>
      <w:r>
        <w:t xml:space="preserve"> </w:t>
      </w:r>
      <w:r>
        <w:t xml:space="preserve">5.0%</w:t>
      </w:r>
      <w:r>
        <w:t xml:space="preserve"> </w:t>
      </w:r>
      <w:r>
        <w:t xml:space="preserve">3.9%</w:t>
      </w:r>
      <w:r>
        <w:t xml:space="preserve"> </w:t>
      </w:r>
      <w:r>
        <w:t xml:space="preserve">3.0%</w:t>
      </w:r>
      <w:r>
        <w:t xml:space="preserve"> </w:t>
      </w:r>
      <w:r>
        <w:t xml:space="preserve">2.1%</w:t>
      </w:r>
      <w:r>
        <w:t xml:space="preserve"> </w:t>
      </w:r>
      <w:r>
        <w:t xml:space="preserve">1.2%</w:t>
      </w:r>
      <w:r>
        <w:t xml:space="preserve"> </w:t>
      </w:r>
      <w:r>
        <w:t xml:space="preserve">Air and space</w:t>
      </w:r>
      <w:r>
        <w:t xml:space="preserve"> </w:t>
      </w:r>
      <w:r>
        <w:t xml:space="preserve">3.0%</w:t>
      </w:r>
      <w:r>
        <w:t xml:space="preserve"> </w:t>
      </w:r>
      <w:r>
        <w:t xml:space="preserve">4.8%</w:t>
      </w:r>
      <w:r>
        <w:t xml:space="preserve"> </w:t>
      </w:r>
      <w:r>
        <w:t xml:space="preserve">3.8%</w:t>
      </w:r>
      <w:r>
        <w:t xml:space="preserve"> </w:t>
      </w:r>
      <w:r>
        <w:t xml:space="preserve">3.0%</w:t>
      </w:r>
      <w:r>
        <w:t xml:space="preserve"> </w:t>
      </w:r>
      <w:r>
        <w:t xml:space="preserve">2.2%</w:t>
      </w:r>
      <w:r>
        <w:t xml:space="preserve"> </w:t>
      </w:r>
      <w:r>
        <w:t xml:space="preserve">1.4%</w:t>
      </w:r>
      <w:r>
        <w:t xml:space="preserve"> </w:t>
      </w:r>
      <w:r>
        <w:t xml:space="preserve">Postal activities</w:t>
      </w:r>
      <w:r>
        <w:t xml:space="preserve"> </w:t>
      </w:r>
      <w:r>
        <w:t xml:space="preserve">5.4% 10.1%</w:t>
      </w:r>
      <w:r>
        <w:t xml:space="preserve"> </w:t>
      </w:r>
      <w:r>
        <w:t xml:space="preserve">7.9%</w:t>
      </w:r>
      <w:r>
        <w:t xml:space="preserve"> </w:t>
      </w:r>
      <w:r>
        <w:t xml:space="preserve">5.9%</w:t>
      </w:r>
      <w:r>
        <w:t xml:space="preserve"> </w:t>
      </w:r>
      <w:r>
        <w:t xml:space="preserve">4.0%</w:t>
      </w:r>
      <w:r>
        <w:t xml:space="preserve"> </w:t>
      </w:r>
      <w:r>
        <w:t xml:space="preserve">2.1%</w:t>
      </w:r>
      <w:r>
        <w:t xml:space="preserve"> </w:t>
      </w:r>
      <w:r>
        <w:t xml:space="preserve">Hub operators</w:t>
      </w:r>
      <w:r>
        <w:t xml:space="preserve"> </w:t>
      </w:r>
      <w:r>
        <w:t xml:space="preserve">Warehousing and storage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Support activities for</w:t>
      </w:r>
      <w:r>
        <w:t xml:space="preserve"> </w:t>
      </w:r>
      <w:r>
        <w:t xml:space="preserve">transportation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Other</w:t>
      </w:r>
      <w:r>
        <w:t xml:space="preserve"> </w:t>
      </w:r>
      <w:r>
        <w:t xml:space="preserve">Manufacturing</w:t>
      </w:r>
      <w:r>
        <w:t xml:space="preserve"> </w:t>
      </w:r>
      <w:r>
        <w:t xml:space="preserve">0.5%</w:t>
      </w:r>
      <w:r>
        <w:t xml:space="preserve"> </w:t>
      </w:r>
      <w:r>
        <w:t xml:space="preserve">1.0%</w:t>
      </w:r>
      <w:r>
        <w:t xml:space="preserve"> </w:t>
      </w:r>
      <w:r>
        <w:t xml:space="preserve">0.8%</w:t>
      </w:r>
      <w:r>
        <w:t xml:space="preserve"> </w:t>
      </w:r>
      <w:r>
        <w:t xml:space="preserve">0.6%</w:t>
      </w:r>
      <w:r>
        <w:t xml:space="preserve"> </w:t>
      </w:r>
      <w:r>
        <w:t xml:space="preserve">0.4%</w:t>
      </w:r>
      <w:r>
        <w:t xml:space="preserve"> </w:t>
      </w:r>
      <w:r>
        <w:t xml:space="preserve">0.2%</w:t>
      </w:r>
      <w:r>
        <w:t xml:space="preserve"> </w:t>
      </w:r>
      <w:r>
        <w:t xml:space="preserve">Wholesale and retail</w:t>
      </w:r>
      <w:r>
        <w:t xml:space="preserve"> </w:t>
      </w:r>
      <w:r>
        <w:t xml:space="preserve">0.5%</w:t>
      </w:r>
      <w:r>
        <w:t xml:space="preserve"> </w:t>
      </w:r>
      <w:r>
        <w:t xml:space="preserve">1.0%</w:t>
      </w:r>
      <w:r>
        <w:t xml:space="preserve"> </w:t>
      </w:r>
      <w:r>
        <w:t xml:space="preserve">0.8%</w:t>
      </w:r>
      <w:r>
        <w:t xml:space="preserve"> </w:t>
      </w:r>
      <w:r>
        <w:t xml:space="preserve">0.6%</w:t>
      </w:r>
      <w:r>
        <w:t xml:space="preserve"> </w:t>
      </w:r>
      <w:r>
        <w:t xml:space="preserve">0.4%</w:t>
      </w:r>
      <w:r>
        <w:t xml:space="preserve"> </w:t>
      </w:r>
      <w:r>
        <w:t xml:space="preserve">0.2%</w:t>
      </w:r>
      <w:r>
        <w:t xml:space="preserve"> </w:t>
      </w:r>
      <w:r>
        <w:t xml:space="preserve">Tourism</w:t>
      </w:r>
      <w:r>
        <w:t xml:space="preserve"> </w:t>
      </w:r>
      <w:r>
        <w:t xml:space="preserve">1.6%</w:t>
      </w:r>
      <w:r>
        <w:t xml:space="preserve"> </w:t>
      </w:r>
      <w:r>
        <w:t xml:space="preserve">3.1%</w:t>
      </w:r>
      <w:r>
        <w:t xml:space="preserve"> </w:t>
      </w:r>
      <w:r>
        <w:t xml:space="preserve">2.4%</w:t>
      </w:r>
      <w:r>
        <w:t xml:space="preserve"> </w:t>
      </w:r>
      <w:r>
        <w:t xml:space="preserve">1.8%</w:t>
      </w:r>
      <w:r>
        <w:t xml:space="preserve"> </w:t>
      </w:r>
      <w:r>
        <w:t xml:space="preserve">1.2%</w:t>
      </w:r>
      <w:r>
        <w:t xml:space="preserve"> </w:t>
      </w:r>
      <w:r>
        <w:t xml:space="preserve">0.6%</w:t>
      </w:r>
      <w:r>
        <w:t xml:space="preserve"> </w:t>
      </w:r>
      <w:r>
        <w:t xml:space="preserve">Large companies (250 or more)</w:t>
      </w:r>
    </w:p>
    <w:p>
      <w:pPr>
        <w:pStyle w:val="BodyText"/>
      </w:pPr>
      <w:r>
        <w:t xml:space="preserve">Passenger</w:t>
      </w:r>
      <w:r>
        <w:br/>
      </w:r>
      <w:r>
        <w:t xml:space="preserve">Interurban rail</w:t>
      </w:r>
      <w:r>
        <w:t xml:space="preserve"> </w:t>
      </w:r>
      <w:r>
        <w:t xml:space="preserve">8.6% 20.0% 14.3% 11.4%</w:t>
      </w:r>
      <w:r>
        <w:t xml:space="preserve"> </w:t>
      </w:r>
      <w:r>
        <w:t xml:space="preserve">5.7%</w:t>
      </w:r>
      <w:r>
        <w:t xml:space="preserve"> </w:t>
      </w:r>
      <w:r>
        <w:t xml:space="preserve">2.9%</w:t>
      </w:r>
      <w:r>
        <w:t xml:space="preserve"> </w:t>
      </w:r>
      <w:r>
        <w:t xml:space="preserve">Other transport over land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</w:p>
    <w:p>
      <w:pPr>
        <w:pStyle w:val="BodyText"/>
      </w:pPr>
      <w:r>
        <w:t xml:space="preserve">97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Maritime</w:t>
      </w:r>
      <w:r>
        <w:t xml:space="preserve"> </w:t>
      </w:r>
      <w:r>
        <w:t xml:space="preserve">10.5% 18.4% 15.8% 13.2%</w:t>
      </w:r>
      <w:r>
        <w:t xml:space="preserve"> </w:t>
      </w:r>
      <w:r>
        <w:t xml:space="preserve">7.9%</w:t>
      </w:r>
      <w:r>
        <w:t xml:space="preserve"> </w:t>
      </w:r>
      <w:r>
        <w:t xml:space="preserve">5.3%</w:t>
      </w:r>
      <w:r>
        <w:t xml:space="preserve"> </w:t>
      </w:r>
      <w:r>
        <w:t xml:space="preserve">Inland navigation</w:t>
      </w:r>
      <w:r>
        <w:t xml:space="preserve"> </w:t>
      </w:r>
      <w:r>
        <w:t xml:space="preserve">0.0% 50.0% 50.0% 50.0% 50.0% 50.0%</w:t>
      </w:r>
      <w:r>
        <w:t xml:space="preserve"> </w:t>
      </w:r>
      <w:r>
        <w:t xml:space="preserve">Air</w:t>
      </w:r>
      <w:r>
        <w:t xml:space="preserve"> </w:t>
      </w:r>
      <w:r>
        <w:t xml:space="preserve">11.4% 18.6% 14.3% 11.4%</w:t>
      </w:r>
      <w:r>
        <w:t xml:space="preserve"> </w:t>
      </w:r>
      <w:r>
        <w:t xml:space="preserve">8.6%</w:t>
      </w:r>
      <w:r>
        <w:t xml:space="preserve"> </w:t>
      </w:r>
      <w:r>
        <w:t xml:space="preserve">4.3%</w:t>
      </w:r>
      <w:r>
        <w:t xml:space="preserve"> </w:t>
      </w:r>
      <w:r>
        <w:t xml:space="preserve">Freight</w:t>
      </w:r>
      <w:r>
        <w:br/>
      </w:r>
      <w:r>
        <w:t xml:space="preserve">Road</w:t>
      </w:r>
      <w:r>
        <w:t xml:space="preserve"> </w:t>
      </w:r>
      <w:r>
        <w:t xml:space="preserve">10.8% 18.9% 14.8% 11.1%</w:t>
      </w:r>
      <w:r>
        <w:t xml:space="preserve"> </w:t>
      </w:r>
      <w:r>
        <w:t xml:space="preserve">7.3%</w:t>
      </w:r>
      <w:r>
        <w:t xml:space="preserve"> </w:t>
      </w:r>
      <w:r>
        <w:t xml:space="preserve">3.9%</w:t>
      </w:r>
      <w:r>
        <w:t xml:space="preserve"> </w:t>
      </w:r>
      <w:r>
        <w:t xml:space="preserve">Rail</w:t>
      </w:r>
      <w:r>
        <w:t xml:space="preserve"> </w:t>
      </w:r>
      <w:r>
        <w:t xml:space="preserve">10.8% 18.9% 16.2% 10.8%</w:t>
      </w:r>
      <w:r>
        <w:t xml:space="preserve"> </w:t>
      </w:r>
      <w:r>
        <w:t xml:space="preserve">8.1%</w:t>
      </w:r>
      <w:r>
        <w:t xml:space="preserve"> </w:t>
      </w:r>
      <w:r>
        <w:t xml:space="preserve">2.7%</w:t>
      </w:r>
      <w:r>
        <w:t xml:space="preserve"> </w:t>
      </w:r>
      <w:r>
        <w:t xml:space="preserve">Inland navigation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Maritime</w:t>
      </w:r>
      <w:r>
        <w:t xml:space="preserve"> </w:t>
      </w:r>
      <w:r>
        <w:t xml:space="preserve">11.8% 19.6% 13.7% 11.8%</w:t>
      </w:r>
      <w:r>
        <w:t xml:space="preserve"> </w:t>
      </w:r>
      <w:r>
        <w:t xml:space="preserve">7.8%</w:t>
      </w:r>
      <w:r>
        <w:t xml:space="preserve"> </w:t>
      </w:r>
      <w:r>
        <w:t xml:space="preserve">3.9%</w:t>
      </w:r>
      <w:r>
        <w:t xml:space="preserve"> </w:t>
      </w:r>
      <w:r>
        <w:t xml:space="preserve">Air and space</w:t>
      </w:r>
      <w:r>
        <w:t xml:space="preserve"> </w:t>
      </w:r>
      <w:r>
        <w:t xml:space="preserve">22.2% 22.2% 22.2% 11.1% 11.1% 11.1%</w:t>
      </w:r>
      <w:r>
        <w:t xml:space="preserve"> </w:t>
      </w:r>
      <w:r>
        <w:t xml:space="preserve">Postal activities</w:t>
      </w:r>
      <w:r>
        <w:t xml:space="preserve"> </w:t>
      </w:r>
      <w:r>
        <w:t xml:space="preserve">10.2% 19.1% 15.0% 10.8%</w:t>
      </w:r>
      <w:r>
        <w:t xml:space="preserve"> </w:t>
      </w:r>
      <w:r>
        <w:t xml:space="preserve">7.0%</w:t>
      </w:r>
      <w:r>
        <w:t xml:space="preserve"> </w:t>
      </w:r>
      <w:r>
        <w:t xml:space="preserve">3.2%</w:t>
      </w:r>
      <w:r>
        <w:t xml:space="preserve"> </w:t>
      </w:r>
      <w:r>
        <w:t xml:space="preserve">Hub operators</w:t>
      </w:r>
      <w:r>
        <w:t xml:space="preserve"> </w:t>
      </w:r>
      <w:r>
        <w:t xml:space="preserve">Warehousing and storage</w:t>
      </w:r>
      <w:r>
        <w:t xml:space="preserve"> </w:t>
      </w:r>
      <w:r>
        <w:t xml:space="preserve">17.4% 34.4% 33.3% 32.8% 31.8% 30.8%</w:t>
      </w:r>
      <w:r>
        <w:t xml:space="preserve"> </w:t>
      </w:r>
      <w:r>
        <w:t xml:space="preserve">Support activities for</w:t>
      </w:r>
      <w:r>
        <w:t xml:space="preserve"> </w:t>
      </w:r>
      <w:r>
        <w:t xml:space="preserve">transportation</w:t>
      </w:r>
      <w:r>
        <w:t xml:space="preserve"> </w:t>
      </w:r>
      <w:r>
        <w:t xml:space="preserve">17.4% 35.0% 34.0% 33.0% 32.2% 31.2%</w:t>
      </w:r>
      <w:r>
        <w:t xml:space="preserve"> </w:t>
      </w:r>
      <w:r>
        <w:t xml:space="preserve">Other</w:t>
      </w:r>
      <w:r>
        <w:t xml:space="preserve"> </w:t>
      </w:r>
      <w:r>
        <w:t xml:space="preserve">Manufacturing</w:t>
      </w:r>
      <w:r>
        <w:t xml:space="preserve"> </w:t>
      </w:r>
      <w:r>
        <w:t xml:space="preserve">10.2% 19.3% 14.9% 10.7%</w:t>
      </w:r>
      <w:r>
        <w:t xml:space="preserve"> </w:t>
      </w:r>
      <w:r>
        <w:t xml:space="preserve">6.8%</w:t>
      </w:r>
      <w:r>
        <w:t xml:space="preserve"> </w:t>
      </w:r>
      <w:r>
        <w:t xml:space="preserve">3.0%</w:t>
      </w:r>
      <w:r>
        <w:t xml:space="preserve"> </w:t>
      </w:r>
      <w:r>
        <w:t xml:space="preserve">Wholesale and retail</w:t>
      </w:r>
      <w:r>
        <w:t xml:space="preserve"> </w:t>
      </w:r>
      <w:r>
        <w:t xml:space="preserve">10.2% 19.3% 14.9% 10.7%</w:t>
      </w:r>
      <w:r>
        <w:t xml:space="preserve"> </w:t>
      </w:r>
      <w:r>
        <w:t xml:space="preserve">6.8%</w:t>
      </w:r>
      <w:r>
        <w:t xml:space="preserve"> </w:t>
      </w:r>
      <w:r>
        <w:t xml:space="preserve">3.0%</w:t>
      </w:r>
      <w:r>
        <w:t xml:space="preserve"> </w:t>
      </w:r>
      <w:r>
        <w:t xml:space="preserve">Tourism</w:t>
      </w:r>
      <w:r>
        <w:t xml:space="preserve"> </w:t>
      </w:r>
      <w:r>
        <w:t xml:space="preserve">4.4%</w:t>
      </w:r>
      <w:r>
        <w:t xml:space="preserve"> </w:t>
      </w:r>
      <w:r>
        <w:t xml:space="preserve">8.6%</w:t>
      </w:r>
      <w:r>
        <w:t xml:space="preserve"> </w:t>
      </w:r>
      <w:r>
        <w:t xml:space="preserve">6.6%</w:t>
      </w:r>
      <w:r>
        <w:t xml:space="preserve"> </w:t>
      </w:r>
      <w:r>
        <w:t xml:space="preserve">4.7%</w:t>
      </w:r>
      <w:r>
        <w:t xml:space="preserve"> </w:t>
      </w:r>
      <w:r>
        <w:t xml:space="preserve">2.9%</w:t>
      </w:r>
      <w:r>
        <w:t xml:space="preserve"> </w:t>
      </w:r>
      <w:r>
        <w:t xml:space="preserve">1.2%</w:t>
      </w:r>
      <w:r>
        <w:t xml:space="preserve"> </w:t>
      </w:r>
      <w:r>
        <w:t xml:space="preserve">Source: Ecorys and CE Delft (2023), Impact assessment support study</w:t>
      </w:r>
      <w:r>
        <w:t xml:space="preserve"> </w:t>
      </w:r>
      <w:r>
        <w:t xml:space="preserve">Table 35: Type and size of impacted enterprises in PO4 as a percentage of all enterprises targeted by CountEmissions EU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SME</w:t>
      </w:r>
    </w:p>
    <w:p>
      <w:pPr>
        <w:pStyle w:val="BodyText"/>
      </w:pPr>
      <w:r>
        <w:t xml:space="preserve">Passenger</w:t>
      </w:r>
      <w:r>
        <w:br/>
      </w:r>
      <w:r>
        <w:t xml:space="preserve">Interurban rail</w:t>
      </w:r>
      <w:r>
        <w:t xml:space="preserve"> </w:t>
      </w:r>
      <w:r>
        <w:t xml:space="preserve">0.0%</w:t>
      </w:r>
      <w:r>
        <w:t xml:space="preserve"> </w:t>
      </w:r>
      <w:r>
        <w:t xml:space="preserve">0.7%</w:t>
      </w:r>
      <w:r>
        <w:t xml:space="preserve"> </w:t>
      </w:r>
      <w:r>
        <w:t xml:space="preserve">0.7%</w:t>
      </w:r>
      <w:r>
        <w:t xml:space="preserve"> </w:t>
      </w:r>
      <w:r>
        <w:t xml:space="preserve">0.7%</w:t>
      </w:r>
      <w:r>
        <w:t xml:space="preserve"> </w:t>
      </w:r>
      <w:r>
        <w:t xml:space="preserve">Other transport over land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Maritime</w:t>
      </w:r>
      <w:r>
        <w:t xml:space="preserve"> </w:t>
      </w:r>
      <w:r>
        <w:t xml:space="preserve">7.4%</w:t>
      </w:r>
      <w:r>
        <w:t xml:space="preserve"> </w:t>
      </w:r>
      <w:r>
        <w:t xml:space="preserve">10.6%</w:t>
      </w:r>
      <w:r>
        <w:t xml:space="preserve"> </w:t>
      </w:r>
      <w:r>
        <w:t xml:space="preserve">10.6%</w:t>
      </w:r>
      <w:r>
        <w:t xml:space="preserve"> </w:t>
      </w:r>
      <w:r>
        <w:t xml:space="preserve">10.6%</w:t>
      </w:r>
      <w:r>
        <w:t xml:space="preserve"> </w:t>
      </w:r>
      <w:r>
        <w:t xml:space="preserve">Inland navigation</w:t>
      </w:r>
      <w:r>
        <w:t xml:space="preserve"> </w:t>
      </w:r>
      <w:r>
        <w:t xml:space="preserve">0.7%</w:t>
      </w:r>
      <w:r>
        <w:t xml:space="preserve"> </w:t>
      </w:r>
      <w:r>
        <w:t xml:space="preserve">1.1%</w:t>
      </w:r>
      <w:r>
        <w:t xml:space="preserve"> </w:t>
      </w:r>
      <w:r>
        <w:t xml:space="preserve">1.1%</w:t>
      </w:r>
      <w:r>
        <w:t xml:space="preserve"> </w:t>
      </w:r>
      <w:r>
        <w:t xml:space="preserve">1.1%</w:t>
      </w:r>
      <w:r>
        <w:t xml:space="preserve"> </w:t>
      </w:r>
      <w:r>
        <w:t xml:space="preserve">Air</w:t>
      </w:r>
      <w:r>
        <w:t xml:space="preserve"> </w:t>
      </w:r>
      <w:r>
        <w:t xml:space="preserve">1.9%</w:t>
      </w:r>
      <w:r>
        <w:t xml:space="preserve"> </w:t>
      </w:r>
      <w:r>
        <w:t xml:space="preserve">2.5%</w:t>
      </w:r>
      <w:r>
        <w:t xml:space="preserve"> </w:t>
      </w:r>
      <w:r>
        <w:t xml:space="preserve">2.5%</w:t>
      </w:r>
      <w:r>
        <w:t xml:space="preserve"> </w:t>
      </w:r>
      <w:r>
        <w:t xml:space="preserve">2.5%</w:t>
      </w:r>
      <w:r>
        <w:t xml:space="preserve"> </w:t>
      </w:r>
      <w:r>
        <w:t xml:space="preserve">Freight</w:t>
      </w:r>
      <w:r>
        <w:br/>
      </w:r>
      <w:r>
        <w:t xml:space="preserve">Road</w:t>
      </w:r>
      <w:r>
        <w:t xml:space="preserve"> </w:t>
      </w:r>
      <w:r>
        <w:t xml:space="preserve">5.9%</w:t>
      </w:r>
      <w:r>
        <w:t xml:space="preserve"> </w:t>
      </w:r>
      <w:r>
        <w:t xml:space="preserve">8.5%</w:t>
      </w:r>
      <w:r>
        <w:t xml:space="preserve"> </w:t>
      </w:r>
      <w:r>
        <w:t xml:space="preserve">8.5%</w:t>
      </w:r>
      <w:r>
        <w:t xml:space="preserve"> </w:t>
      </w:r>
      <w:r>
        <w:t xml:space="preserve">8.5%</w:t>
      </w:r>
      <w:r>
        <w:t xml:space="preserve"> </w:t>
      </w:r>
      <w:r>
        <w:t xml:space="preserve">Rail</w:t>
      </w:r>
      <w:r>
        <w:t xml:space="preserve"> </w:t>
      </w:r>
      <w:r>
        <w:t xml:space="preserve">0.2%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Inland navigation</w:t>
      </w:r>
      <w:r>
        <w:t xml:space="preserve"> </w:t>
      </w:r>
      <w:r>
        <w:t xml:space="preserve">1.4%</w:t>
      </w:r>
      <w:r>
        <w:t xml:space="preserve"> </w:t>
      </w:r>
      <w:r>
        <w:t xml:space="preserve">2.4%</w:t>
      </w:r>
      <w:r>
        <w:t xml:space="preserve"> </w:t>
      </w:r>
      <w:r>
        <w:t xml:space="preserve">2.4%</w:t>
      </w:r>
      <w:r>
        <w:t xml:space="preserve"> </w:t>
      </w:r>
      <w:r>
        <w:t xml:space="preserve">2.4%</w:t>
      </w:r>
      <w:r>
        <w:t xml:space="preserve"> </w:t>
      </w:r>
      <w:r>
        <w:t xml:space="preserve">Maritime</w:t>
      </w:r>
      <w:r>
        <w:t xml:space="preserve"> </w:t>
      </w:r>
      <w:r>
        <w:t xml:space="preserve">7.4%</w:t>
      </w:r>
      <w:r>
        <w:t xml:space="preserve"> </w:t>
      </w:r>
      <w:r>
        <w:t xml:space="preserve">10.6%</w:t>
      </w:r>
      <w:r>
        <w:t xml:space="preserve"> </w:t>
      </w:r>
      <w:r>
        <w:t xml:space="preserve">10.6%</w:t>
      </w:r>
      <w:r>
        <w:t xml:space="preserve"> </w:t>
      </w:r>
      <w:r>
        <w:t xml:space="preserve">10.6%</w:t>
      </w:r>
      <w:r>
        <w:t xml:space="preserve"> </w:t>
      </w:r>
      <w:r>
        <w:t xml:space="preserve">Air and space</w:t>
      </w:r>
      <w:r>
        <w:t xml:space="preserve"> </w:t>
      </w:r>
      <w:r>
        <w:t xml:space="preserve">9.5%</w:t>
      </w:r>
      <w:r>
        <w:t xml:space="preserve"> </w:t>
      </w:r>
      <w:r>
        <w:t xml:space="preserve">12.3%</w:t>
      </w:r>
      <w:r>
        <w:t xml:space="preserve"> </w:t>
      </w:r>
      <w:r>
        <w:t xml:space="preserve">12.3%</w:t>
      </w:r>
      <w:r>
        <w:t xml:space="preserve"> </w:t>
      </w:r>
      <w:r>
        <w:t xml:space="preserve">12.3%</w:t>
      </w:r>
      <w:r>
        <w:t xml:space="preserve"> </w:t>
      </w:r>
      <w:r>
        <w:t xml:space="preserve">Postal activities</w:t>
      </w:r>
      <w:r>
        <w:t xml:space="preserve"> </w:t>
      </w:r>
      <w:r>
        <w:t xml:space="preserve">12.2%</w:t>
      </w:r>
      <w:r>
        <w:t xml:space="preserve"> </w:t>
      </w:r>
      <w:r>
        <w:t xml:space="preserve">19.1%</w:t>
      </w:r>
      <w:r>
        <w:t xml:space="preserve"> </w:t>
      </w:r>
      <w:r>
        <w:t xml:space="preserve">19.1%</w:t>
      </w:r>
      <w:r>
        <w:t xml:space="preserve"> </w:t>
      </w:r>
      <w:r>
        <w:t xml:space="preserve">19.1%</w:t>
      </w:r>
      <w:r>
        <w:t xml:space="preserve"> </w:t>
      </w:r>
      <w:r>
        <w:t xml:space="preserve">Hub operators</w:t>
      </w:r>
      <w:r>
        <w:t xml:space="preserve"> </w:t>
      </w:r>
      <w:r>
        <w:t xml:space="preserve">Warehousing and storage</w:t>
      </w:r>
      <w:r>
        <w:t xml:space="preserve"> </w:t>
      </w:r>
      <w:r>
        <w:t xml:space="preserve">0.1%</w:t>
      </w:r>
      <w:r>
        <w:t xml:space="preserve"> </w:t>
      </w:r>
      <w:r>
        <w:t xml:space="preserve">0.1%</w:t>
      </w:r>
      <w:r>
        <w:t xml:space="preserve"> </w:t>
      </w:r>
      <w:r>
        <w:t xml:space="preserve">0.1%</w:t>
      </w:r>
      <w:r>
        <w:t xml:space="preserve"> </w:t>
      </w:r>
      <w:r>
        <w:t xml:space="preserve">0.1%</w:t>
      </w:r>
      <w:r>
        <w:t xml:space="preserve"> </w:t>
      </w:r>
      <w:r>
        <w:t xml:space="preserve">Support activities for transportation</w:t>
      </w:r>
      <w:r>
        <w:t xml:space="preserve"> </w:t>
      </w:r>
      <w:r>
        <w:t xml:space="preserve">0.0%</w:t>
      </w:r>
      <w:r>
        <w:t xml:space="preserve"> </w:t>
      </w:r>
      <w:r>
        <w:t xml:space="preserve">0.1%</w:t>
      </w:r>
      <w:r>
        <w:t xml:space="preserve"> </w:t>
      </w:r>
      <w:r>
        <w:t xml:space="preserve">0.1%</w:t>
      </w:r>
      <w:r>
        <w:t xml:space="preserve"> </w:t>
      </w:r>
      <w:r>
        <w:t xml:space="preserve">0.1%</w:t>
      </w:r>
      <w:r>
        <w:t xml:space="preserve"> </w:t>
      </w:r>
      <w:r>
        <w:t xml:space="preserve">Other</w:t>
      </w:r>
      <w:r>
        <w:t xml:space="preserve"> </w:t>
      </w:r>
      <w:r>
        <w:t xml:space="preserve">Manufacturing</w:t>
      </w:r>
      <w:r>
        <w:t xml:space="preserve"> </w:t>
      </w:r>
      <w:r>
        <w:t xml:space="preserve">1.1%</w:t>
      </w:r>
      <w:r>
        <w:t xml:space="preserve"> </w:t>
      </w:r>
      <w:r>
        <w:t xml:space="preserve">1.8%</w:t>
      </w:r>
      <w:r>
        <w:t xml:space="preserve"> </w:t>
      </w:r>
      <w:r>
        <w:t xml:space="preserve">1.8%</w:t>
      </w:r>
      <w:r>
        <w:t xml:space="preserve"> </w:t>
      </w:r>
      <w:r>
        <w:t xml:space="preserve">1.8%</w:t>
      </w:r>
      <w:r>
        <w:t xml:space="preserve"> </w:t>
      </w:r>
      <w:r>
        <w:t xml:space="preserve">Wholesale and retail</w:t>
      </w:r>
      <w:r>
        <w:t xml:space="preserve"> </w:t>
      </w:r>
      <w:r>
        <w:t xml:space="preserve">1.1%</w:t>
      </w:r>
      <w:r>
        <w:t xml:space="preserve"> </w:t>
      </w:r>
      <w:r>
        <w:t xml:space="preserve">1.8%</w:t>
      </w:r>
      <w:r>
        <w:t xml:space="preserve"> </w:t>
      </w:r>
      <w:r>
        <w:t xml:space="preserve">1.8%</w:t>
      </w:r>
      <w:r>
        <w:t xml:space="preserve"> </w:t>
      </w:r>
      <w:r>
        <w:t xml:space="preserve">1.8%</w:t>
      </w:r>
      <w:r>
        <w:t xml:space="preserve"> </w:t>
      </w:r>
      <w:r>
        <w:t xml:space="preserve">Tourism</w:t>
      </w:r>
      <w:r>
        <w:t xml:space="preserve"> </w:t>
      </w:r>
      <w:r>
        <w:t xml:space="preserve">2.9%</w:t>
      </w:r>
      <w:r>
        <w:t xml:space="preserve"> </w:t>
      </w:r>
      <w:r>
        <w:t xml:space="preserve">5.2%</w:t>
      </w:r>
      <w:r>
        <w:t xml:space="preserve"> </w:t>
      </w:r>
      <w:r>
        <w:t xml:space="preserve">5.2%</w:t>
      </w:r>
      <w:r>
        <w:t xml:space="preserve"> </w:t>
      </w:r>
      <w:r>
        <w:t xml:space="preserve">5.2%</w:t>
      </w:r>
      <w:r>
        <w:t xml:space="preserve"> </w:t>
      </w:r>
      <w:r>
        <w:t xml:space="preserve">Total SMEs</w:t>
      </w:r>
    </w:p>
    <w:p>
      <w:pPr>
        <w:pStyle w:val="BodyText"/>
      </w:pPr>
      <w:r>
        <w:t xml:space="preserve">2.9%</w:t>
      </w:r>
      <w:r>
        <w:t xml:space="preserve"> </w:t>
      </w:r>
      <w:r>
        <w:t xml:space="preserve">4.4%</w:t>
      </w:r>
      <w:r>
        <w:t xml:space="preserve"> </w:t>
      </w:r>
      <w:r>
        <w:t xml:space="preserve">4.4%</w:t>
      </w:r>
      <w:r>
        <w:t xml:space="preserve"> </w:t>
      </w:r>
      <w:r>
        <w:t xml:space="preserve">4.4%</w:t>
      </w:r>
      <w:r>
        <w:t xml:space="preserve"> </w:t>
      </w:r>
      <w:r>
        <w:t xml:space="preserve">Large (250 or more)</w:t>
      </w:r>
    </w:p>
    <w:p>
      <w:pPr>
        <w:pStyle w:val="BodyText"/>
      </w:pPr>
      <w:r>
        <w:t xml:space="preserve">Passenger</w:t>
      </w:r>
      <w:r>
        <w:br/>
      </w:r>
      <w:r>
        <w:t xml:space="preserve">Interurban rail</w:t>
      </w:r>
      <w:r>
        <w:t xml:space="preserve"> </w:t>
      </w:r>
      <w:r>
        <w:t xml:space="preserve">22.9%</w:t>
      </w:r>
      <w:r>
        <w:t xml:space="preserve"> </w:t>
      </w:r>
      <w:r>
        <w:t xml:space="preserve">37.1%</w:t>
      </w:r>
      <w:r>
        <w:t xml:space="preserve"> </w:t>
      </w:r>
      <w:r>
        <w:t xml:space="preserve">37.1%</w:t>
      </w:r>
      <w:r>
        <w:t xml:space="preserve"> </w:t>
      </w:r>
      <w:r>
        <w:t xml:space="preserve">37.1%</w:t>
      </w:r>
      <w:r>
        <w:t xml:space="preserve"> </w:t>
      </w:r>
      <w:r>
        <w:t xml:space="preserve">Other transport over land</w:t>
      </w:r>
      <w:r>
        <w:t xml:space="preserve"> </w:t>
      </w:r>
      <w:r>
        <w:t xml:space="preserve">0.7%</w:t>
      </w:r>
      <w:r>
        <w:t xml:space="preserve"> </w:t>
      </w:r>
      <w:r>
        <w:t xml:space="preserve">0.7%</w:t>
      </w:r>
      <w:r>
        <w:t xml:space="preserve"> </w:t>
      </w:r>
      <w:r>
        <w:t xml:space="preserve">0.7%</w:t>
      </w:r>
      <w:r>
        <w:t xml:space="preserve"> </w:t>
      </w:r>
      <w:r>
        <w:t xml:space="preserve">0.7%</w:t>
      </w:r>
      <w:r>
        <w:t xml:space="preserve"> </w:t>
      </w:r>
      <w:r>
        <w:t xml:space="preserve">Maritime</w:t>
      </w:r>
      <w:r>
        <w:t xml:space="preserve"> </w:t>
      </w:r>
      <w:r>
        <w:t xml:space="preserve">28.9%</w:t>
      </w:r>
      <w:r>
        <w:t xml:space="preserve"> </w:t>
      </w:r>
      <w:r>
        <w:t xml:space="preserve">42.1%</w:t>
      </w:r>
      <w:r>
        <w:t xml:space="preserve"> </w:t>
      </w:r>
      <w:r>
        <w:t xml:space="preserve">42.1%</w:t>
      </w:r>
      <w:r>
        <w:t xml:space="preserve"> </w:t>
      </w:r>
      <w:r>
        <w:t xml:space="preserve">42.1%</w:t>
      </w:r>
      <w:r>
        <w:t xml:space="preserve"> </w:t>
      </w:r>
      <w:r>
        <w:t xml:space="preserve">Inland navigation</w:t>
      </w:r>
      <w:r>
        <w:t xml:space="preserve"> </w:t>
      </w:r>
      <w:r>
        <w:t xml:space="preserve">0.0%</w:t>
      </w:r>
      <w:r>
        <w:t xml:space="preserve"> </w:t>
      </w:r>
      <w:r>
        <w:t xml:space="preserve">50.0%</w:t>
      </w:r>
      <w:r>
        <w:t xml:space="preserve"> </w:t>
      </w:r>
      <w:r>
        <w:t xml:space="preserve">50.0%</w:t>
      </w:r>
      <w:r>
        <w:t xml:space="preserve"> </w:t>
      </w:r>
      <w:r>
        <w:t xml:space="preserve">50.0%</w:t>
      </w:r>
      <w:r>
        <w:t xml:space="preserve"> </w:t>
      </w:r>
      <w:r>
        <w:t xml:space="preserve">Air</w:t>
      </w:r>
      <w:r>
        <w:t xml:space="preserve"> </w:t>
      </w:r>
      <w:r>
        <w:t xml:space="preserve">37.1%</w:t>
      </w:r>
      <w:r>
        <w:t xml:space="preserve"> </w:t>
      </w:r>
      <w:r>
        <w:t xml:space="preserve">48.6%</w:t>
      </w:r>
      <w:r>
        <w:t xml:space="preserve"> </w:t>
      </w:r>
      <w:r>
        <w:t xml:space="preserve">48.6%</w:t>
      </w:r>
      <w:r>
        <w:t xml:space="preserve"> </w:t>
      </w:r>
      <w:r>
        <w:t xml:space="preserve">48.6%</w:t>
      </w:r>
      <w:r>
        <w:t xml:space="preserve"> </w:t>
      </w:r>
      <w:r>
        <w:t xml:space="preserve">Freight</w:t>
      </w:r>
      <w:r>
        <w:br/>
      </w:r>
      <w:r>
        <w:t xml:space="preserve">Road</w:t>
      </w:r>
      <w:r>
        <w:t xml:space="preserve"> </w:t>
      </w:r>
      <w:r>
        <w:t xml:space="preserve">29.0%</w:t>
      </w:r>
      <w:r>
        <w:t xml:space="preserve"> </w:t>
      </w:r>
      <w:r>
        <w:t xml:space="preserve">41.5%</w:t>
      </w:r>
      <w:r>
        <w:t xml:space="preserve"> </w:t>
      </w:r>
      <w:r>
        <w:t xml:space="preserve">41.5%</w:t>
      </w:r>
      <w:r>
        <w:t xml:space="preserve"> </w:t>
      </w:r>
      <w:r>
        <w:t xml:space="preserve">41.5%</w:t>
      </w:r>
      <w:r>
        <w:t xml:space="preserve"> </w:t>
      </w:r>
      <w:r>
        <w:t xml:space="preserve">Rail</w:t>
      </w:r>
      <w:r>
        <w:t xml:space="preserve"> </w:t>
      </w:r>
      <w:r>
        <w:t xml:space="preserve">24.3%</w:t>
      </w:r>
      <w:r>
        <w:t xml:space="preserve"> </w:t>
      </w:r>
      <w:r>
        <w:t xml:space="preserve">37.8%</w:t>
      </w:r>
      <w:r>
        <w:t xml:space="preserve"> </w:t>
      </w:r>
      <w:r>
        <w:t xml:space="preserve">37.8%</w:t>
      </w:r>
      <w:r>
        <w:t xml:space="preserve"> </w:t>
      </w:r>
      <w:r>
        <w:t xml:space="preserve">37.8%</w:t>
      </w:r>
      <w:r>
        <w:t xml:space="preserve"> </w:t>
      </w:r>
      <w:r>
        <w:t xml:space="preserve">Inland navigation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Maritime</w:t>
      </w:r>
      <w:r>
        <w:t xml:space="preserve"> </w:t>
      </w:r>
      <w:r>
        <w:t xml:space="preserve">29.4%</w:t>
      </w:r>
      <w:r>
        <w:t xml:space="preserve"> </w:t>
      </w:r>
      <w:r>
        <w:t xml:space="preserve">41.2%</w:t>
      </w:r>
      <w:r>
        <w:t xml:space="preserve"> </w:t>
      </w:r>
      <w:r>
        <w:t xml:space="preserve">41.2%</w:t>
      </w:r>
      <w:r>
        <w:t xml:space="preserve"> </w:t>
      </w:r>
      <w:r>
        <w:t xml:space="preserve">41.2%</w:t>
      </w:r>
      <w:r>
        <w:t xml:space="preserve"> </w:t>
      </w:r>
      <w:r>
        <w:t xml:space="preserve">Air and space</w:t>
      </w:r>
      <w:r>
        <w:t xml:space="preserve"> </w:t>
      </w:r>
      <w:r>
        <w:t xml:space="preserve">44.4%</w:t>
      </w:r>
      <w:r>
        <w:t xml:space="preserve"> </w:t>
      </w:r>
      <w:r>
        <w:t xml:space="preserve">55.6%</w:t>
      </w:r>
      <w:r>
        <w:t xml:space="preserve"> </w:t>
      </w:r>
      <w:r>
        <w:t xml:space="preserve">55.6%</w:t>
      </w:r>
      <w:r>
        <w:t xml:space="preserve"> </w:t>
      </w:r>
      <w:r>
        <w:t xml:space="preserve">55.6%</w:t>
      </w:r>
      <w:r>
        <w:t xml:space="preserve"> </w:t>
      </w:r>
      <w:r>
        <w:t xml:space="preserve">Postal activities</w:t>
      </w:r>
      <w:r>
        <w:t xml:space="preserve"> </w:t>
      </w:r>
      <w:r>
        <w:t xml:space="preserve">23.9%</w:t>
      </w:r>
      <w:r>
        <w:t xml:space="preserve"> </w:t>
      </w:r>
      <w:r>
        <w:t xml:space="preserve">37.3%</w:t>
      </w:r>
      <w:r>
        <w:t xml:space="preserve"> </w:t>
      </w:r>
      <w:r>
        <w:t xml:space="preserve">37.3%</w:t>
      </w:r>
      <w:r>
        <w:t xml:space="preserve"> </w:t>
      </w:r>
      <w:r>
        <w:t xml:space="preserve">37.3%</w:t>
      </w:r>
    </w:p>
    <w:p>
      <w:pPr>
        <w:pStyle w:val="BodyText"/>
      </w:pPr>
      <w:r>
        <w:t xml:space="preserve">98</w:t>
      </w:r>
    </w:p>
    <w:p>
      <w:pPr>
        <w:pStyle w:val="BodyText"/>
      </w:pPr>
      <w:r>
        <w:t xml:space="preserve">Hub operators</w:t>
      </w:r>
      <w:r>
        <w:t xml:space="preserve"> </w:t>
      </w:r>
      <w:r>
        <w:t xml:space="preserve">Warehousing and storage</w:t>
      </w:r>
      <w:r>
        <w:t xml:space="preserve"> </w:t>
      </w:r>
      <w:r>
        <w:t xml:space="preserve">20.5%</w:t>
      </w:r>
      <w:r>
        <w:t xml:space="preserve"> </w:t>
      </w:r>
      <w:r>
        <w:t xml:space="preserve">38.5%</w:t>
      </w:r>
      <w:r>
        <w:t xml:space="preserve"> </w:t>
      </w:r>
      <w:r>
        <w:t xml:space="preserve">38.5%</w:t>
      </w:r>
      <w:r>
        <w:t xml:space="preserve"> </w:t>
      </w:r>
      <w:r>
        <w:t xml:space="preserve">38.5%</w:t>
      </w:r>
      <w:r>
        <w:t xml:space="preserve"> </w:t>
      </w:r>
      <w:r>
        <w:t xml:space="preserve">Support activities for transportation</w:t>
      </w:r>
      <w:r>
        <w:t xml:space="preserve"> </w:t>
      </w:r>
      <w:r>
        <w:t xml:space="preserve">19.5%</w:t>
      </w:r>
      <w:r>
        <w:t xml:space="preserve"> </w:t>
      </w:r>
      <w:r>
        <w:t xml:space="preserve">38.0%</w:t>
      </w:r>
      <w:r>
        <w:t xml:space="preserve"> </w:t>
      </w:r>
      <w:r>
        <w:t xml:space="preserve">38.0%</w:t>
      </w:r>
      <w:r>
        <w:t xml:space="preserve"> </w:t>
      </w:r>
      <w:r>
        <w:t xml:space="preserve">38.0%</w:t>
      </w:r>
      <w:r>
        <w:t xml:space="preserve"> </w:t>
      </w:r>
      <w:r>
        <w:t xml:space="preserve">Other</w:t>
      </w:r>
      <w:r>
        <w:t xml:space="preserve"> </w:t>
      </w:r>
      <w:r>
        <w:t xml:space="preserve">Manufacturing</w:t>
      </w:r>
      <w:r>
        <w:t xml:space="preserve"> </w:t>
      </w:r>
      <w:r>
        <w:t xml:space="preserve">21.3%</w:t>
      </w:r>
      <w:r>
        <w:t xml:space="preserve"> </w:t>
      </w:r>
      <w:r>
        <w:t xml:space="preserve">35.2%</w:t>
      </w:r>
      <w:r>
        <w:t xml:space="preserve"> </w:t>
      </w:r>
      <w:r>
        <w:t xml:space="preserve">35.2%</w:t>
      </w:r>
      <w:r>
        <w:t xml:space="preserve"> </w:t>
      </w:r>
      <w:r>
        <w:t xml:space="preserve">35.2%</w:t>
      </w:r>
      <w:r>
        <w:t xml:space="preserve"> </w:t>
      </w:r>
      <w:r>
        <w:t xml:space="preserve">Wholesale and retail</w:t>
      </w:r>
      <w:r>
        <w:t xml:space="preserve"> </w:t>
      </w:r>
      <w:r>
        <w:t xml:space="preserve">21.4%</w:t>
      </w:r>
      <w:r>
        <w:t xml:space="preserve"> </w:t>
      </w:r>
      <w:r>
        <w:t xml:space="preserve">35.2%</w:t>
      </w:r>
      <w:r>
        <w:t xml:space="preserve"> </w:t>
      </w:r>
      <w:r>
        <w:t xml:space="preserve">35.2%</w:t>
      </w:r>
      <w:r>
        <w:t xml:space="preserve"> </w:t>
      </w:r>
      <w:r>
        <w:t xml:space="preserve">35.2%</w:t>
      </w:r>
      <w:r>
        <w:t xml:space="preserve"> </w:t>
      </w:r>
      <w:r>
        <w:t xml:space="preserve">Tourism</w:t>
      </w:r>
      <w:r>
        <w:t xml:space="preserve"> </w:t>
      </w:r>
      <w:r>
        <w:t xml:space="preserve">8.3%</w:t>
      </w:r>
      <w:r>
        <w:t xml:space="preserve"> </w:t>
      </w:r>
      <w:r>
        <w:t xml:space="preserve">14.7%</w:t>
      </w:r>
      <w:r>
        <w:t xml:space="preserve"> </w:t>
      </w:r>
      <w:r>
        <w:t xml:space="preserve">14.7%</w:t>
      </w:r>
      <w:r>
        <w:t xml:space="preserve"> </w:t>
      </w:r>
      <w:r>
        <w:t xml:space="preserve">14.7%</w:t>
      </w:r>
      <w:r>
        <w:t xml:space="preserve"> </w:t>
      </w:r>
      <w:r>
        <w:t xml:space="preserve">Total large companies (250 or more)</w:t>
      </w:r>
    </w:p>
    <w:p>
      <w:pPr>
        <w:pStyle w:val="BodyText"/>
      </w:pPr>
      <w:r>
        <w:t xml:space="preserve">19.2%</w:t>
      </w:r>
      <w:r>
        <w:t xml:space="preserve"> </w:t>
      </w:r>
      <w:r>
        <w:t xml:space="preserve">31.7%</w:t>
      </w:r>
      <w:r>
        <w:t xml:space="preserve"> </w:t>
      </w:r>
      <w:r>
        <w:t xml:space="preserve">31.7%</w:t>
      </w:r>
      <w:r>
        <w:t xml:space="preserve"> </w:t>
      </w:r>
      <w:r>
        <w:t xml:space="preserve">31.7%</w:t>
      </w:r>
      <w:r>
        <w:t xml:space="preserve"> </w:t>
      </w:r>
      <w:r>
        <w:t xml:space="preserve">Source: Ecorys and CE Delft (2023), Impact assessment support study</w:t>
      </w:r>
      <w:r>
        <w:t xml:space="preserve"> </w:t>
      </w:r>
      <w:r>
        <w:t xml:space="preserve">Table 36: Increase in the share of enterprises performing GHG emissions accounting at service level in PO5</w:t>
      </w:r>
      <w:r>
        <w:t xml:space="preserve"> </w:t>
      </w:r>
      <w:r>
        <w:t xml:space="preserve">relative to the baseline (percentage points increase relative to the baseline)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SME</w:t>
      </w:r>
    </w:p>
    <w:p>
      <w:pPr>
        <w:pStyle w:val="BodyText"/>
      </w:pPr>
      <w:r>
        <w:t xml:space="preserve">Passenger</w:t>
      </w:r>
      <w:r>
        <w:br/>
      </w:r>
      <w:r>
        <w:t xml:space="preserve">Interurban rail</w:t>
      </w:r>
      <w:r>
        <w:t xml:space="preserve"> </w:t>
      </w:r>
      <w:r>
        <w:t xml:space="preserve">0.0%</w:t>
      </w:r>
      <w:r>
        <w:t xml:space="preserve"> </w:t>
      </w:r>
      <w:r>
        <w:t xml:space="preserve">0.7%</w:t>
      </w:r>
      <w:r>
        <w:t xml:space="preserve"> </w:t>
      </w:r>
      <w:r>
        <w:t xml:space="preserve">0.7%</w:t>
      </w:r>
      <w:r>
        <w:t xml:space="preserve"> </w:t>
      </w:r>
      <w:r>
        <w:t xml:space="preserve">0.7%</w:t>
      </w:r>
      <w:r>
        <w:t xml:space="preserve"> </w:t>
      </w:r>
      <w:r>
        <w:t xml:space="preserve">0.7%</w:t>
      </w:r>
      <w:r>
        <w:t xml:space="preserve"> </w:t>
      </w:r>
      <w:r>
        <w:t xml:space="preserve">0.0%</w:t>
      </w:r>
      <w:r>
        <w:t xml:space="preserve"> </w:t>
      </w:r>
      <w:r>
        <w:t xml:space="preserve">Other transport over land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Maritime</w:t>
      </w:r>
      <w:r>
        <w:t xml:space="preserve"> </w:t>
      </w:r>
      <w:r>
        <w:t xml:space="preserve">1.1%</w:t>
      </w:r>
      <w:r>
        <w:t xml:space="preserve"> </w:t>
      </w:r>
      <w:r>
        <w:t xml:space="preserve">2.5%</w:t>
      </w:r>
      <w:r>
        <w:t xml:space="preserve"> </w:t>
      </w:r>
      <w:r>
        <w:t xml:space="preserve">1.4%</w:t>
      </w:r>
      <w:r>
        <w:t xml:space="preserve"> </w:t>
      </w:r>
      <w:r>
        <w:t xml:space="preserve">0.5%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Inland navigation</w:t>
      </w:r>
      <w:r>
        <w:t xml:space="preserve"> </w:t>
      </w:r>
      <w:r>
        <w:t xml:space="preserve">2.6%</w:t>
      </w:r>
      <w:r>
        <w:t xml:space="preserve"> </w:t>
      </w:r>
      <w:r>
        <w:t xml:space="preserve">5.2%</w:t>
      </w:r>
      <w:r>
        <w:t xml:space="preserve"> </w:t>
      </w:r>
      <w:r>
        <w:t xml:space="preserve">5.1%</w:t>
      </w:r>
      <w:r>
        <w:t xml:space="preserve"> </w:t>
      </w:r>
      <w:r>
        <w:t xml:space="preserve">5.0%</w:t>
      </w:r>
      <w:r>
        <w:t xml:space="preserve"> </w:t>
      </w:r>
      <w:r>
        <w:t xml:space="preserve">4.8%</w:t>
      </w:r>
      <w:r>
        <w:t xml:space="preserve"> </w:t>
      </w:r>
      <w:r>
        <w:t xml:space="preserve">4.7%</w:t>
      </w:r>
      <w:r>
        <w:t xml:space="preserve"> </w:t>
      </w:r>
      <w:r>
        <w:t xml:space="preserve">Air</w:t>
      </w:r>
      <w:r>
        <w:t xml:space="preserve"> </w:t>
      </w:r>
      <w:r>
        <w:t xml:space="preserve">0.5%</w:t>
      </w:r>
      <w:r>
        <w:t xml:space="preserve"> </w:t>
      </w:r>
      <w:r>
        <w:t xml:space="preserve">0.9%</w:t>
      </w:r>
      <w:r>
        <w:t xml:space="preserve"> </w:t>
      </w:r>
      <w:r>
        <w:t xml:space="preserve">0.7%</w:t>
      </w:r>
      <w:r>
        <w:t xml:space="preserve"> </w:t>
      </w:r>
      <w:r>
        <w:t xml:space="preserve">0.5%</w:t>
      </w:r>
      <w:r>
        <w:t xml:space="preserve"> </w:t>
      </w:r>
      <w:r>
        <w:t xml:space="preserve">0.4%</w:t>
      </w:r>
      <w:r>
        <w:t xml:space="preserve"> </w:t>
      </w:r>
      <w:r>
        <w:t xml:space="preserve">0.2%</w:t>
      </w:r>
      <w:r>
        <w:t xml:space="preserve"> </w:t>
      </w:r>
      <w:r>
        <w:t xml:space="preserve">Freight</w:t>
      </w:r>
      <w:r>
        <w:br/>
      </w:r>
      <w:r>
        <w:t xml:space="preserve">Road</w:t>
      </w:r>
      <w:r>
        <w:t xml:space="preserve"> </w:t>
      </w:r>
      <w:r>
        <w:t xml:space="preserve">0.6%</w:t>
      </w:r>
      <w:r>
        <w:t xml:space="preserve"> </w:t>
      </w:r>
      <w:r>
        <w:t xml:space="preserve">1.6%</w:t>
      </w:r>
      <w:r>
        <w:t xml:space="preserve"> </w:t>
      </w:r>
      <w:r>
        <w:t xml:space="preserve">0.8%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Rail</w:t>
      </w:r>
      <w:r>
        <w:t xml:space="preserve"> </w:t>
      </w:r>
      <w:r>
        <w:t xml:space="preserve">0.0%</w:t>
      </w:r>
      <w:r>
        <w:t xml:space="preserve"> </w:t>
      </w:r>
      <w:r>
        <w:t xml:space="preserve">0.2%</w:t>
      </w:r>
      <w:r>
        <w:t xml:space="preserve"> </w:t>
      </w:r>
      <w:r>
        <w:t xml:space="preserve">0.2%</w:t>
      </w:r>
      <w:r>
        <w:t xml:space="preserve"> </w:t>
      </w:r>
      <w:r>
        <w:t xml:space="preserve">0.2%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Inland navigation</w:t>
      </w:r>
      <w:r>
        <w:t xml:space="preserve"> </w:t>
      </w:r>
      <w:r>
        <w:t xml:space="preserve">0.5%</w:t>
      </w:r>
      <w:r>
        <w:t xml:space="preserve"> </w:t>
      </w:r>
      <w:r>
        <w:t xml:space="preserve">1.0%</w:t>
      </w:r>
      <w:r>
        <w:t xml:space="preserve"> </w:t>
      </w:r>
      <w:r>
        <w:t xml:space="preserve">0.7%</w:t>
      </w:r>
      <w:r>
        <w:t xml:space="preserve"> </w:t>
      </w:r>
      <w:r>
        <w:t xml:space="preserve">0.4%</w:t>
      </w:r>
      <w:r>
        <w:t xml:space="preserve"> </w:t>
      </w:r>
      <w:r>
        <w:t xml:space="preserve">0.1%</w:t>
      </w:r>
      <w:r>
        <w:t xml:space="preserve"> </w:t>
      </w:r>
      <w:r>
        <w:t xml:space="preserve">0.0%</w:t>
      </w:r>
      <w:r>
        <w:t xml:space="preserve"> </w:t>
      </w:r>
      <w:r>
        <w:t xml:space="preserve">Maritime</w:t>
      </w:r>
      <w:r>
        <w:t xml:space="preserve"> </w:t>
      </w:r>
      <w:r>
        <w:t xml:space="preserve">2.6%</w:t>
      </w:r>
      <w:r>
        <w:t xml:space="preserve"> </w:t>
      </w:r>
      <w:r>
        <w:t xml:space="preserve">4.5%</w:t>
      </w:r>
      <w:r>
        <w:t xml:space="preserve"> </w:t>
      </w:r>
      <w:r>
        <w:t xml:space="preserve">3.5%</w:t>
      </w:r>
      <w:r>
        <w:t xml:space="preserve"> </w:t>
      </w:r>
      <w:r>
        <w:t xml:space="preserve">2.5%</w:t>
      </w:r>
      <w:r>
        <w:t xml:space="preserve"> </w:t>
      </w:r>
      <w:r>
        <w:t xml:space="preserve">1.6%</w:t>
      </w:r>
      <w:r>
        <w:t xml:space="preserve"> </w:t>
      </w:r>
      <w:r>
        <w:t xml:space="preserve">0.8%</w:t>
      </w:r>
      <w:r>
        <w:t xml:space="preserve"> </w:t>
      </w:r>
      <w:r>
        <w:t xml:space="preserve">Air and space</w:t>
      </w:r>
      <w:r>
        <w:t xml:space="preserve"> </w:t>
      </w:r>
      <w:r>
        <w:t xml:space="preserve">2.8%</w:t>
      </w:r>
      <w:r>
        <w:t xml:space="preserve"> </w:t>
      </w:r>
      <w:r>
        <w:t xml:space="preserve">4.4%</w:t>
      </w:r>
      <w:r>
        <w:t xml:space="preserve"> </w:t>
      </w:r>
      <w:r>
        <w:t xml:space="preserve">3.4%</w:t>
      </w:r>
      <w:r>
        <w:t xml:space="preserve"> </w:t>
      </w:r>
      <w:r>
        <w:t xml:space="preserve">2.6%</w:t>
      </w:r>
      <w:r>
        <w:t xml:space="preserve"> </w:t>
      </w:r>
      <w:r>
        <w:t xml:space="preserve">1.8%</w:t>
      </w:r>
      <w:r>
        <w:t xml:space="preserve"> </w:t>
      </w:r>
      <w:r>
        <w:t xml:space="preserve">1.0%</w:t>
      </w:r>
      <w:r>
        <w:t xml:space="preserve"> </w:t>
      </w:r>
      <w:r>
        <w:t xml:space="preserve">Postal activities</w:t>
      </w:r>
      <w:r>
        <w:t xml:space="preserve"> </w:t>
      </w:r>
      <w:r>
        <w:t xml:space="preserve">4.9%</w:t>
      </w:r>
      <w:r>
        <w:t xml:space="preserve"> </w:t>
      </w:r>
      <w:r>
        <w:t xml:space="preserve">9.1%</w:t>
      </w:r>
      <w:r>
        <w:t xml:space="preserve"> </w:t>
      </w:r>
      <w:r>
        <w:t xml:space="preserve">6.9%</w:t>
      </w:r>
      <w:r>
        <w:t xml:space="preserve"> </w:t>
      </w:r>
      <w:r>
        <w:t xml:space="preserve">4.9%</w:t>
      </w:r>
      <w:r>
        <w:t xml:space="preserve"> </w:t>
      </w:r>
      <w:r>
        <w:t xml:space="preserve">3.0%</w:t>
      </w:r>
      <w:r>
        <w:t xml:space="preserve"> </w:t>
      </w:r>
      <w:r>
        <w:t xml:space="preserve">1.1%</w:t>
      </w:r>
      <w:r>
        <w:t xml:space="preserve"> </w:t>
      </w:r>
      <w:r>
        <w:t xml:space="preserve">Hub operators</w:t>
      </w:r>
      <w:r>
        <w:t xml:space="preserve"> </w:t>
      </w:r>
      <w:r>
        <w:t xml:space="preserve">Warehousing and storage</w:t>
      </w:r>
      <w:r>
        <w:t xml:space="preserve"> </w:t>
      </w:r>
      <w:r>
        <w:t xml:space="preserve">0.2%</w:t>
      </w:r>
      <w:r>
        <w:t xml:space="preserve"> </w:t>
      </w:r>
      <w:r>
        <w:t xml:space="preserve">0.4%</w:t>
      </w:r>
      <w:r>
        <w:t xml:space="preserve"> </w:t>
      </w:r>
      <w:r>
        <w:t xml:space="preserve">0.3%</w:t>
      </w:r>
      <w:r>
        <w:t xml:space="preserve"> </w:t>
      </w:r>
      <w:r>
        <w:t xml:space="preserve">0.3%</w:t>
      </w:r>
      <w:r>
        <w:t xml:space="preserve"> </w:t>
      </w:r>
      <w:r>
        <w:t xml:space="preserve">0.3%</w:t>
      </w:r>
      <w:r>
        <w:t xml:space="preserve"> </w:t>
      </w:r>
      <w:r>
        <w:t xml:space="preserve">0.3%</w:t>
      </w:r>
      <w:r>
        <w:t xml:space="preserve"> </w:t>
      </w:r>
      <w:r>
        <w:t xml:space="preserve">Support activities for</w:t>
      </w:r>
      <w:r>
        <w:t xml:space="preserve"> </w:t>
      </w:r>
      <w:r>
        <w:t xml:space="preserve">transportation</w:t>
      </w:r>
      <w:r>
        <w:t xml:space="preserve"> </w:t>
      </w:r>
      <w:r>
        <w:t xml:space="preserve">0.2%</w:t>
      </w:r>
      <w:r>
        <w:t xml:space="preserve"> </w:t>
      </w:r>
      <w:r>
        <w:t xml:space="preserve">0.4%</w:t>
      </w:r>
      <w:r>
        <w:t xml:space="preserve"> </w:t>
      </w:r>
      <w:r>
        <w:t xml:space="preserve">0.3%</w:t>
      </w:r>
      <w:r>
        <w:t xml:space="preserve"> </w:t>
      </w:r>
      <w:r>
        <w:t xml:space="preserve">0.3%</w:t>
      </w:r>
      <w:r>
        <w:t xml:space="preserve"> </w:t>
      </w:r>
      <w:r>
        <w:t xml:space="preserve">0.3%</w:t>
      </w:r>
      <w:r>
        <w:t xml:space="preserve"> </w:t>
      </w:r>
      <w:r>
        <w:t xml:space="preserve">0.3%</w:t>
      </w:r>
      <w:r>
        <w:t xml:space="preserve"> </w:t>
      </w:r>
      <w:r>
        <w:t xml:space="preserve">Other</w:t>
      </w:r>
      <w:r>
        <w:t xml:space="preserve"> </w:t>
      </w:r>
      <w:r>
        <w:t xml:space="preserve">Manufacturing</w:t>
      </w:r>
      <w:r>
        <w:t xml:space="preserve"> </w:t>
      </w:r>
      <w:r>
        <w:t xml:space="preserve">0.5%</w:t>
      </w:r>
      <w:r>
        <w:t xml:space="preserve"> </w:t>
      </w:r>
      <w:r>
        <w:t xml:space="preserve">0.9%</w:t>
      </w:r>
      <w:r>
        <w:t xml:space="preserve"> </w:t>
      </w:r>
      <w:r>
        <w:t xml:space="preserve">0.7%</w:t>
      </w:r>
      <w:r>
        <w:t xml:space="preserve"> </w:t>
      </w:r>
      <w:r>
        <w:t xml:space="preserve">0.5%</w:t>
      </w:r>
      <w:r>
        <w:t xml:space="preserve"> </w:t>
      </w:r>
      <w:r>
        <w:t xml:space="preserve">0.3%</w:t>
      </w:r>
      <w:r>
        <w:t xml:space="preserve"> </w:t>
      </w:r>
      <w:r>
        <w:t xml:space="preserve">0.1%</w:t>
      </w:r>
      <w:r>
        <w:t xml:space="preserve"> </w:t>
      </w:r>
      <w:r>
        <w:t xml:space="preserve">Wholesale and retail</w:t>
      </w:r>
      <w:r>
        <w:t xml:space="preserve"> </w:t>
      </w:r>
      <w:r>
        <w:t xml:space="preserve">0.5%</w:t>
      </w:r>
      <w:r>
        <w:t xml:space="preserve"> </w:t>
      </w:r>
      <w:r>
        <w:t xml:space="preserve">0.9%</w:t>
      </w:r>
      <w:r>
        <w:t xml:space="preserve"> </w:t>
      </w:r>
      <w:r>
        <w:t xml:space="preserve">0.7%</w:t>
      </w:r>
      <w:r>
        <w:t xml:space="preserve"> </w:t>
      </w:r>
      <w:r>
        <w:t xml:space="preserve">0.5%</w:t>
      </w:r>
      <w:r>
        <w:t xml:space="preserve"> </w:t>
      </w:r>
      <w:r>
        <w:t xml:space="preserve">0.3%</w:t>
      </w:r>
      <w:r>
        <w:t xml:space="preserve"> </w:t>
      </w:r>
      <w:r>
        <w:t xml:space="preserve">0.1%</w:t>
      </w:r>
      <w:r>
        <w:t xml:space="preserve"> </w:t>
      </w:r>
      <w:r>
        <w:t xml:space="preserve">Tourism</w:t>
      </w:r>
      <w:r>
        <w:t xml:space="preserve"> </w:t>
      </w:r>
      <w:r>
        <w:t xml:space="preserve">1.4%</w:t>
      </w:r>
      <w:r>
        <w:t xml:space="preserve"> </w:t>
      </w:r>
      <w:r>
        <w:t xml:space="preserve">2.8%</w:t>
      </w:r>
      <w:r>
        <w:t xml:space="preserve"> </w:t>
      </w:r>
      <w:r>
        <w:t xml:space="preserve">2.1%</w:t>
      </w:r>
      <w:r>
        <w:t xml:space="preserve"> </w:t>
      </w:r>
      <w:r>
        <w:t xml:space="preserve">1.4%</w:t>
      </w:r>
      <w:r>
        <w:t xml:space="preserve"> </w:t>
      </w:r>
      <w:r>
        <w:t xml:space="preserve">0.8%</w:t>
      </w:r>
      <w:r>
        <w:t xml:space="preserve"> </w:t>
      </w:r>
      <w:r>
        <w:t xml:space="preserve">0.2%</w:t>
      </w:r>
      <w:r>
        <w:t xml:space="preserve"> </w:t>
      </w:r>
      <w:r>
        <w:t xml:space="preserve">Large companies (250 or more)</w:t>
      </w:r>
    </w:p>
    <w:p>
      <w:pPr>
        <w:pStyle w:val="BodyText"/>
      </w:pPr>
      <w:r>
        <w:t xml:space="preserve">Passenger</w:t>
      </w:r>
      <w:r>
        <w:br/>
      </w:r>
      <w:r>
        <w:t xml:space="preserve">Interurban rail</w:t>
      </w:r>
      <w:r>
        <w:t xml:space="preserve"> </w:t>
      </w:r>
      <w:r>
        <w:t xml:space="preserve">8.6% 20.0% 14.3% 11.4%</w:t>
      </w:r>
      <w:r>
        <w:t xml:space="preserve"> </w:t>
      </w:r>
      <w:r>
        <w:t xml:space="preserve">5.7%</w:t>
      </w:r>
      <w:r>
        <w:t xml:space="preserve"> </w:t>
      </w:r>
      <w:r>
        <w:t xml:space="preserve">2.9%</w:t>
      </w:r>
      <w:r>
        <w:t xml:space="preserve"> </w:t>
      </w:r>
      <w:r>
        <w:t xml:space="preserve">Other transport over land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Maritime</w:t>
      </w:r>
      <w:r>
        <w:t xml:space="preserve"> </w:t>
      </w:r>
      <w:r>
        <w:t xml:space="preserve">10.5% 15.8% 13.2% 10.5%</w:t>
      </w:r>
      <w:r>
        <w:t xml:space="preserve"> </w:t>
      </w:r>
      <w:r>
        <w:t xml:space="preserve">5.3%</w:t>
      </w:r>
      <w:r>
        <w:t xml:space="preserve"> </w:t>
      </w:r>
      <w:r>
        <w:t xml:space="preserve">2.6%</w:t>
      </w:r>
      <w:r>
        <w:t xml:space="preserve"> </w:t>
      </w:r>
      <w:r>
        <w:t xml:space="preserve">Inland navigation</w:t>
      </w:r>
      <w:r>
        <w:t xml:space="preserve"> </w:t>
      </w:r>
      <w:r>
        <w:t xml:space="preserve">0.0% 50.0% 50.0% 50.0% 50.0% 50.0%</w:t>
      </w:r>
      <w:r>
        <w:t xml:space="preserve"> </w:t>
      </w:r>
      <w:r>
        <w:t xml:space="preserve">Air</w:t>
      </w:r>
      <w:r>
        <w:t xml:space="preserve"> </w:t>
      </w:r>
      <w:r>
        <w:t xml:space="preserve">11.4% 17.1% 12.9% 10.0%</w:t>
      </w:r>
      <w:r>
        <w:t xml:space="preserve"> </w:t>
      </w:r>
      <w:r>
        <w:t xml:space="preserve">7.1%</w:t>
      </w:r>
      <w:r>
        <w:t xml:space="preserve"> </w:t>
      </w:r>
      <w:r>
        <w:t xml:space="preserve">2.9%</w:t>
      </w:r>
      <w:r>
        <w:t xml:space="preserve"> </w:t>
      </w:r>
      <w:r>
        <w:t xml:space="preserve">Freight</w:t>
      </w:r>
      <w:r>
        <w:br/>
      </w:r>
      <w:r>
        <w:t xml:space="preserve">Road</w:t>
      </w:r>
      <w:r>
        <w:t xml:space="preserve"> </w:t>
      </w:r>
      <w:r>
        <w:t xml:space="preserve">10.3% 17.9% 13.9% 10.1%</w:t>
      </w:r>
      <w:r>
        <w:t xml:space="preserve"> </w:t>
      </w:r>
      <w:r>
        <w:t xml:space="preserve">6.4%</w:t>
      </w:r>
      <w:r>
        <w:t xml:space="preserve"> </w:t>
      </w:r>
      <w:r>
        <w:t xml:space="preserve">3.0%</w:t>
      </w:r>
      <w:r>
        <w:t xml:space="preserve"> </w:t>
      </w:r>
      <w:r>
        <w:t xml:space="preserve">Rail</w:t>
      </w:r>
      <w:r>
        <w:t xml:space="preserve"> </w:t>
      </w:r>
      <w:r>
        <w:t xml:space="preserve">10.8% 16.2% 13.5%</w:t>
      </w:r>
      <w:r>
        <w:t xml:space="preserve"> </w:t>
      </w:r>
      <w:r>
        <w:t xml:space="preserve">8.1%</w:t>
      </w:r>
      <w:r>
        <w:t xml:space="preserve"> </w:t>
      </w:r>
      <w:r>
        <w:t xml:space="preserve">5.4%</w:t>
      </w:r>
      <w:r>
        <w:t xml:space="preserve"> </w:t>
      </w:r>
      <w:r>
        <w:t xml:space="preserve">0.0%</w:t>
      </w:r>
      <w:r>
        <w:t xml:space="preserve"> </w:t>
      </w:r>
      <w:r>
        <w:t xml:space="preserve">Inland navigation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Maritime</w:t>
      </w:r>
      <w:r>
        <w:t xml:space="preserve"> </w:t>
      </w:r>
      <w:r>
        <w:t xml:space="preserve">9.8% 19.6% 13.7% 11.8%</w:t>
      </w:r>
      <w:r>
        <w:t xml:space="preserve"> </w:t>
      </w:r>
      <w:r>
        <w:t xml:space="preserve">7.8%</w:t>
      </w:r>
      <w:r>
        <w:t xml:space="preserve"> </w:t>
      </w:r>
      <w:r>
        <w:t xml:space="preserve">3.9%</w:t>
      </w:r>
      <w:r>
        <w:t xml:space="preserve"> </w:t>
      </w:r>
      <w:r>
        <w:t xml:space="preserve">Air and space</w:t>
      </w:r>
      <w:r>
        <w:t xml:space="preserve"> </w:t>
      </w:r>
      <w:r>
        <w:t xml:space="preserve">22.2% 11.1% 11.1%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Postal activities</w:t>
      </w:r>
      <w:r>
        <w:t xml:space="preserve"> </w:t>
      </w:r>
      <w:r>
        <w:t xml:space="preserve">9.6% 18.2% 14.0%</w:t>
      </w:r>
      <w:r>
        <w:t xml:space="preserve"> </w:t>
      </w:r>
      <w:r>
        <w:t xml:space="preserve">9.9%</w:t>
      </w:r>
      <w:r>
        <w:t xml:space="preserve"> </w:t>
      </w:r>
      <w:r>
        <w:t xml:space="preserve">6.1%</w:t>
      </w:r>
      <w:r>
        <w:t xml:space="preserve"> </w:t>
      </w:r>
      <w:r>
        <w:t xml:space="preserve">2.2%</w:t>
      </w:r>
      <w:r>
        <w:t xml:space="preserve"> </w:t>
      </w:r>
      <w:r>
        <w:t xml:space="preserve">Hub operators</w:t>
      </w:r>
      <w:r>
        <w:t xml:space="preserve"> </w:t>
      </w:r>
      <w:r>
        <w:t xml:space="preserve">Warehousing and storage</w:t>
      </w:r>
      <w:r>
        <w:t xml:space="preserve"> </w:t>
      </w:r>
      <w:r>
        <w:t xml:space="preserve">17.4% 34.4% 33.3% 32.8% 31.8% 30.8%</w:t>
      </w:r>
      <w:r>
        <w:t xml:space="preserve"> </w:t>
      </w:r>
      <w:r>
        <w:t xml:space="preserve">Support activities for</w:t>
      </w:r>
      <w:r>
        <w:t xml:space="preserve"> </w:t>
      </w:r>
      <w:r>
        <w:t xml:space="preserve">transportation</w:t>
      </w:r>
      <w:r>
        <w:t xml:space="preserve"> </w:t>
      </w:r>
      <w:r>
        <w:t xml:space="preserve">17.4% 35.0% 34.0% 33.0% 32.2% 31.2%</w:t>
      </w:r>
      <w:r>
        <w:t xml:space="preserve"> </w:t>
      </w:r>
      <w:r>
        <w:t xml:space="preserve">Other</w:t>
      </w:r>
      <w:r>
        <w:t xml:space="preserve"> </w:t>
      </w:r>
      <w:r>
        <w:t xml:space="preserve">Manufacturing</w:t>
      </w:r>
      <w:r>
        <w:t xml:space="preserve"> </w:t>
      </w:r>
      <w:r>
        <w:t xml:space="preserve">9.6% 18.3% 13.9%</w:t>
      </w:r>
      <w:r>
        <w:t xml:space="preserve"> </w:t>
      </w:r>
      <w:r>
        <w:t xml:space="preserve">9.7%</w:t>
      </w:r>
      <w:r>
        <w:t xml:space="preserve"> </w:t>
      </w:r>
      <w:r>
        <w:t xml:space="preserve">5.7%</w:t>
      </w:r>
      <w:r>
        <w:t xml:space="preserve"> </w:t>
      </w:r>
      <w:r>
        <w:t xml:space="preserve">2.0%</w:t>
      </w:r>
      <w:r>
        <w:t xml:space="preserve"> </w:t>
      </w:r>
      <w:r>
        <w:t xml:space="preserve">Wholesale and retail</w:t>
      </w:r>
      <w:r>
        <w:t xml:space="preserve"> </w:t>
      </w:r>
      <w:r>
        <w:t xml:space="preserve">9.6% 18.3% 13.9%</w:t>
      </w:r>
      <w:r>
        <w:t xml:space="preserve"> </w:t>
      </w:r>
      <w:r>
        <w:t xml:space="preserve">9.7%</w:t>
      </w:r>
      <w:r>
        <w:t xml:space="preserve"> </w:t>
      </w:r>
      <w:r>
        <w:t xml:space="preserve">5.7%</w:t>
      </w:r>
      <w:r>
        <w:t xml:space="preserve"> </w:t>
      </w:r>
      <w:r>
        <w:t xml:space="preserve">2.0%</w:t>
      </w:r>
      <w:r>
        <w:t xml:space="preserve"> </w:t>
      </w:r>
      <w:r>
        <w:t xml:space="preserve">Tourism</w:t>
      </w:r>
      <w:r>
        <w:t xml:space="preserve"> </w:t>
      </w:r>
      <w:r>
        <w:t xml:space="preserve">4.2%</w:t>
      </w:r>
      <w:r>
        <w:t xml:space="preserve"> </w:t>
      </w:r>
      <w:r>
        <w:t xml:space="preserve">8.2%</w:t>
      </w:r>
      <w:r>
        <w:t xml:space="preserve"> </w:t>
      </w:r>
      <w:r>
        <w:t xml:space="preserve">6.1%</w:t>
      </w:r>
      <w:r>
        <w:t xml:space="preserve"> </w:t>
      </w:r>
      <w:r>
        <w:t xml:space="preserve">4.2%</w:t>
      </w:r>
      <w:r>
        <w:t xml:space="preserve"> </w:t>
      </w:r>
      <w:r>
        <w:t xml:space="preserve">2.4%</w:t>
      </w:r>
      <w:r>
        <w:t xml:space="preserve"> </w:t>
      </w:r>
      <w:r>
        <w:t xml:space="preserve">0.7%</w:t>
      </w:r>
      <w:r>
        <w:t xml:space="preserve"> </w:t>
      </w:r>
      <w:r>
        <w:t xml:space="preserve">Source: Ecorys and CE Delft (2023), Impact assessment support study</w:t>
      </w:r>
      <w:r>
        <w:t xml:space="preserve"> </w:t>
      </w:r>
      <w:r>
        <w:t xml:space="preserve">Table 37: Type and size of impacted enterprises in PO5 as a percentage of all enterprises targeted by CountEmissions EU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t xml:space="preserve">SME</w:t>
      </w:r>
    </w:p>
    <w:p>
      <w:pPr>
        <w:pStyle w:val="BodyText"/>
      </w:pPr>
      <w:r>
        <w:t xml:space="preserve">Passenger</w:t>
      </w:r>
      <w:r>
        <w:br/>
      </w:r>
      <w:r>
        <w:t xml:space="preserve">Interurban rail</w:t>
      </w:r>
      <w:r>
        <w:t xml:space="preserve"> </w:t>
      </w:r>
      <w:r>
        <w:t xml:space="preserve">0.0%</w:t>
      </w:r>
      <w:r>
        <w:t xml:space="preserve"> </w:t>
      </w:r>
      <w:r>
        <w:t xml:space="preserve">0.7%</w:t>
      </w:r>
      <w:r>
        <w:t xml:space="preserve"> </w:t>
      </w:r>
      <w:r>
        <w:t xml:space="preserve">0.7%</w:t>
      </w:r>
      <w:r>
        <w:t xml:space="preserve"> </w:t>
      </w:r>
      <w:r>
        <w:t xml:space="preserve">0.7%</w:t>
      </w:r>
      <w:r>
        <w:t xml:space="preserve"> </w:t>
      </w:r>
      <w:r>
        <w:t xml:space="preserve">Other transport over land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Maritime</w:t>
      </w:r>
      <w:r>
        <w:t xml:space="preserve"> </w:t>
      </w:r>
      <w:r>
        <w:t xml:space="preserve">5.7%</w:t>
      </w:r>
      <w:r>
        <w:t xml:space="preserve"> </w:t>
      </w:r>
      <w:r>
        <w:t xml:space="preserve">8.1%</w:t>
      </w:r>
      <w:r>
        <w:t xml:space="preserve"> </w:t>
      </w:r>
      <w:r>
        <w:t xml:space="preserve">8.1%</w:t>
      </w:r>
      <w:r>
        <w:t xml:space="preserve"> </w:t>
      </w:r>
      <w:r>
        <w:t xml:space="preserve">9.4%</w:t>
      </w:r>
      <w:r>
        <w:t xml:space="preserve"> </w:t>
      </w:r>
      <w:r>
        <w:t xml:space="preserve">Inland navigation</w:t>
      </w:r>
      <w:r>
        <w:t xml:space="preserve"> </w:t>
      </w:r>
      <w:r>
        <w:t xml:space="preserve">3.0%</w:t>
      </w:r>
      <w:r>
        <w:t xml:space="preserve"> </w:t>
      </w:r>
      <w:r>
        <w:t xml:space="preserve">5.8%</w:t>
      </w:r>
      <w:r>
        <w:t xml:space="preserve"> </w:t>
      </w:r>
      <w:r>
        <w:t xml:space="preserve">5.8%</w:t>
      </w:r>
      <w:r>
        <w:t xml:space="preserve"> </w:t>
      </w:r>
      <w:r>
        <w:t xml:space="preserve">5.8%</w:t>
      </w:r>
      <w:r>
        <w:t xml:space="preserve"> </w:t>
      </w:r>
      <w:r>
        <w:t xml:space="preserve">Air</w:t>
      </w:r>
      <w:r>
        <w:t xml:space="preserve"> </w:t>
      </w:r>
      <w:r>
        <w:t xml:space="preserve">1.9%</w:t>
      </w:r>
      <w:r>
        <w:t xml:space="preserve"> </w:t>
      </w:r>
      <w:r>
        <w:t xml:space="preserve">2.4%</w:t>
      </w:r>
      <w:r>
        <w:t xml:space="preserve"> </w:t>
      </w:r>
      <w:r>
        <w:t xml:space="preserve">2.4%</w:t>
      </w:r>
      <w:r>
        <w:t xml:space="preserve"> </w:t>
      </w:r>
      <w:r>
        <w:t xml:space="preserve">2.4%</w:t>
      </w:r>
      <w:r>
        <w:t xml:space="preserve"> </w:t>
      </w:r>
      <w:r>
        <w:t xml:space="preserve">Freight</w:t>
      </w:r>
      <w:r>
        <w:br/>
      </w:r>
      <w:r>
        <w:t xml:space="preserve">Road</w:t>
      </w:r>
      <w:r>
        <w:t xml:space="preserve"> </w:t>
      </w:r>
      <w:r>
        <w:t xml:space="preserve">4.3%</w:t>
      </w:r>
      <w:r>
        <w:t xml:space="preserve"> </w:t>
      </w:r>
      <w:r>
        <w:t xml:space="preserve">6.1%</w:t>
      </w:r>
      <w:r>
        <w:t xml:space="preserve"> </w:t>
      </w:r>
      <w:r>
        <w:t xml:space="preserve">6.1%</w:t>
      </w:r>
      <w:r>
        <w:t xml:space="preserve"> </w:t>
      </w:r>
      <w:r>
        <w:t xml:space="preserve">7.5%</w:t>
      </w:r>
      <w:r>
        <w:t xml:space="preserve"> </w:t>
      </w:r>
      <w:r>
        <w:t xml:space="preserve">Rail</w:t>
      </w:r>
      <w:r>
        <w:t xml:space="preserve"> </w:t>
      </w:r>
      <w:r>
        <w:t xml:space="preserve">0.2%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Inland navigation</w:t>
      </w:r>
      <w:r>
        <w:t xml:space="preserve"> </w:t>
      </w:r>
      <w:r>
        <w:t xml:space="preserve">1.2%</w:t>
      </w:r>
      <w:r>
        <w:t xml:space="preserve"> </w:t>
      </w:r>
      <w:r>
        <w:t xml:space="preserve">2.0%</w:t>
      </w:r>
      <w:r>
        <w:t xml:space="preserve"> </w:t>
      </w:r>
      <w:r>
        <w:t xml:space="preserve">2.0%</w:t>
      </w:r>
      <w:r>
        <w:t xml:space="preserve"> </w:t>
      </w:r>
      <w:r>
        <w:t xml:space="preserve">2.2%</w:t>
      </w:r>
      <w:r>
        <w:t xml:space="preserve"> </w:t>
      </w:r>
      <w:r>
        <w:t xml:space="preserve">Maritime</w:t>
      </w:r>
      <w:r>
        <w:t xml:space="preserve"> </w:t>
      </w:r>
      <w:r>
        <w:t xml:space="preserve">7.1%</w:t>
      </w:r>
      <w:r>
        <w:t xml:space="preserve"> </w:t>
      </w:r>
      <w:r>
        <w:t xml:space="preserve">10.1%</w:t>
      </w:r>
      <w:r>
        <w:t xml:space="preserve"> </w:t>
      </w:r>
      <w:r>
        <w:t xml:space="preserve">10.1%</w:t>
      </w:r>
      <w:r>
        <w:t xml:space="preserve"> </w:t>
      </w:r>
      <w:r>
        <w:t xml:space="preserve">10.1%</w:t>
      </w:r>
      <w:r>
        <w:t xml:space="preserve"> </w:t>
      </w:r>
      <w:r>
        <w:t xml:space="preserve">Air and space</w:t>
      </w:r>
      <w:r>
        <w:t xml:space="preserve"> </w:t>
      </w:r>
      <w:r>
        <w:t xml:space="preserve">9.3%</w:t>
      </w:r>
      <w:r>
        <w:t xml:space="preserve"> </w:t>
      </w:r>
      <w:r>
        <w:t xml:space="preserve">11.9%</w:t>
      </w:r>
      <w:r>
        <w:t xml:space="preserve"> </w:t>
      </w:r>
      <w:r>
        <w:t xml:space="preserve">11.9%</w:t>
      </w:r>
      <w:r>
        <w:t xml:space="preserve"> </w:t>
      </w:r>
      <w:r>
        <w:t xml:space="preserve">11.9%</w:t>
      </w:r>
      <w:r>
        <w:t xml:space="preserve"> </w:t>
      </w:r>
      <w:r>
        <w:t xml:space="preserve">Postal activities</w:t>
      </w:r>
      <w:r>
        <w:t xml:space="preserve"> </w:t>
      </w:r>
      <w:r>
        <w:t xml:space="preserve">11.7%</w:t>
      </w:r>
      <w:r>
        <w:t xml:space="preserve"> </w:t>
      </w:r>
      <w:r>
        <w:t xml:space="preserve">18.1%</w:t>
      </w:r>
      <w:r>
        <w:t xml:space="preserve"> </w:t>
      </w:r>
      <w:r>
        <w:t xml:space="preserve">18.1%</w:t>
      </w:r>
      <w:r>
        <w:t xml:space="preserve"> </w:t>
      </w:r>
      <w:r>
        <w:t xml:space="preserve">18.1%</w:t>
      </w:r>
      <w:r>
        <w:t xml:space="preserve"> </w:t>
      </w:r>
      <w:r>
        <w:t xml:space="preserve">Hub operators</w:t>
      </w:r>
      <w:r>
        <w:t xml:space="preserve"> </w:t>
      </w:r>
      <w:r>
        <w:t xml:space="preserve">Warehousing and storage</w:t>
      </w:r>
      <w:r>
        <w:t xml:space="preserve"> </w:t>
      </w:r>
      <w:r>
        <w:t xml:space="preserve">0.2%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Support activities for transportation</w:t>
      </w:r>
      <w:r>
        <w:t xml:space="preserve"> </w:t>
      </w:r>
      <w:r>
        <w:t xml:space="preserve">0.2%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Other</w:t>
      </w:r>
      <w:r>
        <w:t xml:space="preserve"> </w:t>
      </w:r>
      <w:r>
        <w:t xml:space="preserve">Manufacturing</w:t>
      </w:r>
      <w:r>
        <w:t xml:space="preserve"> </w:t>
      </w:r>
      <w:r>
        <w:t xml:space="preserve">1.0%</w:t>
      </w:r>
      <w:r>
        <w:t xml:space="preserve"> </w:t>
      </w:r>
      <w:r>
        <w:t xml:space="preserve">1.7%</w:t>
      </w:r>
      <w:r>
        <w:t xml:space="preserve"> </w:t>
      </w:r>
      <w:r>
        <w:t xml:space="preserve">1.7%</w:t>
      </w:r>
      <w:r>
        <w:t xml:space="preserve"> </w:t>
      </w:r>
      <w:r>
        <w:t xml:space="preserve">1.7%</w:t>
      </w:r>
      <w:r>
        <w:t xml:space="preserve"> </w:t>
      </w:r>
      <w:r>
        <w:t xml:space="preserve">Wholesale and retail</w:t>
      </w:r>
      <w:r>
        <w:t xml:space="preserve"> </w:t>
      </w:r>
      <w:r>
        <w:t xml:space="preserve">1.0%</w:t>
      </w:r>
      <w:r>
        <w:t xml:space="preserve"> </w:t>
      </w:r>
      <w:r>
        <w:t xml:space="preserve">1.7%</w:t>
      </w:r>
      <w:r>
        <w:t xml:space="preserve"> </w:t>
      </w:r>
      <w:r>
        <w:t xml:space="preserve">1.7%</w:t>
      </w:r>
      <w:r>
        <w:t xml:space="preserve"> </w:t>
      </w:r>
      <w:r>
        <w:t xml:space="preserve">1.7%</w:t>
      </w:r>
      <w:r>
        <w:t xml:space="preserve"> </w:t>
      </w:r>
      <w:r>
        <w:t xml:space="preserve">Tourism</w:t>
      </w:r>
      <w:r>
        <w:t xml:space="preserve"> </w:t>
      </w:r>
      <w:r>
        <w:t xml:space="preserve">2.8%</w:t>
      </w:r>
      <w:r>
        <w:t xml:space="preserve"> </w:t>
      </w:r>
      <w:r>
        <w:t xml:space="preserve">4.8%</w:t>
      </w:r>
      <w:r>
        <w:t xml:space="preserve"> </w:t>
      </w:r>
      <w:r>
        <w:t xml:space="preserve">4.8%</w:t>
      </w:r>
      <w:r>
        <w:t xml:space="preserve"> </w:t>
      </w:r>
      <w:r>
        <w:t xml:space="preserve">4.8%</w:t>
      </w:r>
      <w:r>
        <w:t xml:space="preserve"> </w:t>
      </w:r>
      <w:r>
        <w:t xml:space="preserve">Total SMEs</w:t>
      </w:r>
    </w:p>
    <w:p>
      <w:pPr>
        <w:pStyle w:val="BodyText"/>
      </w:pPr>
      <w:r>
        <w:t xml:space="preserve">2.4%</w:t>
      </w:r>
      <w:r>
        <w:t xml:space="preserve"> </w:t>
      </w:r>
      <w:r>
        <w:t xml:space="preserve">3.5%</w:t>
      </w:r>
      <w:r>
        <w:t xml:space="preserve"> </w:t>
      </w:r>
      <w:r>
        <w:t xml:space="preserve">3.6%</w:t>
      </w:r>
      <w:r>
        <w:t xml:space="preserve"> </w:t>
      </w:r>
      <w:r>
        <w:t xml:space="preserve">4.0%</w:t>
      </w:r>
      <w:r>
        <w:t xml:space="preserve"> </w:t>
      </w:r>
      <w:r>
        <w:t xml:space="preserve">Large (250 or more)</w:t>
      </w:r>
    </w:p>
    <w:p>
      <w:pPr>
        <w:pStyle w:val="BodyText"/>
      </w:pPr>
      <w:r>
        <w:t xml:space="preserve">Passenger</w:t>
      </w:r>
      <w:r>
        <w:br/>
      </w:r>
      <w:r>
        <w:t xml:space="preserve">Interurban rail</w:t>
      </w:r>
      <w:r>
        <w:t xml:space="preserve"> </w:t>
      </w:r>
      <w:r>
        <w:t xml:space="preserve">22.9%</w:t>
      </w:r>
      <w:r>
        <w:t xml:space="preserve"> </w:t>
      </w:r>
      <w:r>
        <w:t xml:space="preserve">37.1%</w:t>
      </w:r>
      <w:r>
        <w:t xml:space="preserve"> </w:t>
      </w:r>
      <w:r>
        <w:t xml:space="preserve">37.1%</w:t>
      </w:r>
      <w:r>
        <w:t xml:space="preserve"> </w:t>
      </w:r>
      <w:r>
        <w:t xml:space="preserve">37.1%</w:t>
      </w:r>
      <w:r>
        <w:t xml:space="preserve"> </w:t>
      </w:r>
      <w:r>
        <w:t xml:space="preserve">Other transport over land</w:t>
      </w:r>
      <w:r>
        <w:t xml:space="preserve"> </w:t>
      </w:r>
      <w:r>
        <w:t xml:space="preserve">0.7%</w:t>
      </w:r>
      <w:r>
        <w:t xml:space="preserve"> </w:t>
      </w:r>
      <w:r>
        <w:t xml:space="preserve">0.7%</w:t>
      </w:r>
      <w:r>
        <w:t xml:space="preserve"> </w:t>
      </w:r>
      <w:r>
        <w:t xml:space="preserve">0.7%</w:t>
      </w:r>
      <w:r>
        <w:t xml:space="preserve"> </w:t>
      </w:r>
      <w:r>
        <w:t xml:space="preserve">0.7%</w:t>
      </w:r>
      <w:r>
        <w:t xml:space="preserve"> </w:t>
      </w:r>
      <w:r>
        <w:t xml:space="preserve">Maritime</w:t>
      </w:r>
      <w:r>
        <w:t xml:space="preserve"> </w:t>
      </w:r>
      <w:r>
        <w:t xml:space="preserve">28.9%</w:t>
      </w:r>
      <w:r>
        <w:t xml:space="preserve"> </w:t>
      </w:r>
      <w:r>
        <w:t xml:space="preserve">39.5%</w:t>
      </w:r>
      <w:r>
        <w:t xml:space="preserve"> </w:t>
      </w:r>
      <w:r>
        <w:t xml:space="preserve">39.5%</w:t>
      </w:r>
      <w:r>
        <w:t xml:space="preserve"> </w:t>
      </w:r>
      <w:r>
        <w:t xml:space="preserve">39.5%</w:t>
      </w:r>
      <w:r>
        <w:t xml:space="preserve"> </w:t>
      </w:r>
      <w:r>
        <w:t xml:space="preserve">Inland navigation</w:t>
      </w:r>
      <w:r>
        <w:t xml:space="preserve"> </w:t>
      </w:r>
      <w:r>
        <w:t xml:space="preserve">0.0%</w:t>
      </w:r>
      <w:r>
        <w:t xml:space="preserve"> </w:t>
      </w:r>
      <w:r>
        <w:t xml:space="preserve">50.0%</w:t>
      </w:r>
      <w:r>
        <w:t xml:space="preserve"> </w:t>
      </w:r>
      <w:r>
        <w:t xml:space="preserve">50.0%</w:t>
      </w:r>
      <w:r>
        <w:t xml:space="preserve"> </w:t>
      </w:r>
      <w:r>
        <w:t xml:space="preserve">50.0%</w:t>
      </w:r>
      <w:r>
        <w:t xml:space="preserve"> </w:t>
      </w:r>
      <w:r>
        <w:t xml:space="preserve">Air</w:t>
      </w:r>
      <w:r>
        <w:t xml:space="preserve"> </w:t>
      </w:r>
      <w:r>
        <w:t xml:space="preserve">37.1%</w:t>
      </w:r>
      <w:r>
        <w:t xml:space="preserve"> </w:t>
      </w:r>
      <w:r>
        <w:t xml:space="preserve">47.1%</w:t>
      </w:r>
      <w:r>
        <w:t xml:space="preserve"> </w:t>
      </w:r>
      <w:r>
        <w:t xml:space="preserve">47.1%</w:t>
      </w:r>
      <w:r>
        <w:t xml:space="preserve"> </w:t>
      </w:r>
      <w:r>
        <w:t xml:space="preserve">47.1%</w:t>
      </w:r>
      <w:r>
        <w:t xml:space="preserve"> </w:t>
      </w:r>
      <w:r>
        <w:t xml:space="preserve">Freight</w:t>
      </w:r>
      <w:r>
        <w:br/>
      </w:r>
      <w:r>
        <w:t xml:space="preserve">Road</w:t>
      </w:r>
      <w:r>
        <w:t xml:space="preserve"> </w:t>
      </w:r>
      <w:r>
        <w:t xml:space="preserve">28.5%</w:t>
      </w:r>
      <w:r>
        <w:t xml:space="preserve"> </w:t>
      </w:r>
      <w:r>
        <w:t xml:space="preserve">40.6%</w:t>
      </w:r>
      <w:r>
        <w:t xml:space="preserve"> </w:t>
      </w:r>
      <w:r>
        <w:t xml:space="preserve">40.6%</w:t>
      </w:r>
      <w:r>
        <w:t xml:space="preserve"> </w:t>
      </w:r>
      <w:r>
        <w:t xml:space="preserve">40.6%</w:t>
      </w:r>
      <w:r>
        <w:t xml:space="preserve"> </w:t>
      </w:r>
      <w:r>
        <w:t xml:space="preserve">Rail</w:t>
      </w:r>
      <w:r>
        <w:t xml:space="preserve"> </w:t>
      </w:r>
      <w:r>
        <w:t xml:space="preserve">24.3%</w:t>
      </w:r>
      <w:r>
        <w:t xml:space="preserve"> </w:t>
      </w:r>
      <w:r>
        <w:t xml:space="preserve">35.1%</w:t>
      </w:r>
      <w:r>
        <w:t xml:space="preserve"> </w:t>
      </w:r>
      <w:r>
        <w:t xml:space="preserve">35.1%</w:t>
      </w:r>
      <w:r>
        <w:t xml:space="preserve"> </w:t>
      </w:r>
      <w:r>
        <w:t xml:space="preserve">35.1%</w:t>
      </w:r>
      <w:r>
        <w:t xml:space="preserve"> </w:t>
      </w:r>
      <w:r>
        <w:t xml:space="preserve">Inland navigation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Maritime</w:t>
      </w:r>
      <w:r>
        <w:t xml:space="preserve"> </w:t>
      </w:r>
      <w:r>
        <w:t xml:space="preserve">27.5%</w:t>
      </w:r>
      <w:r>
        <w:t xml:space="preserve"> </w:t>
      </w:r>
      <w:r>
        <w:t xml:space="preserve">41.2%</w:t>
      </w:r>
      <w:r>
        <w:t xml:space="preserve"> </w:t>
      </w:r>
      <w:r>
        <w:t xml:space="preserve">41.2%</w:t>
      </w:r>
      <w:r>
        <w:t xml:space="preserve"> </w:t>
      </w:r>
      <w:r>
        <w:t xml:space="preserve">41.2%</w:t>
      </w:r>
      <w:r>
        <w:t xml:space="preserve"> </w:t>
      </w:r>
      <w:r>
        <w:t xml:space="preserve">Air and space</w:t>
      </w:r>
      <w:r>
        <w:t xml:space="preserve"> </w:t>
      </w:r>
      <w:r>
        <w:t xml:space="preserve">44.4%</w:t>
      </w:r>
      <w:r>
        <w:t xml:space="preserve"> </w:t>
      </w:r>
      <w:r>
        <w:t xml:space="preserve">44.4%</w:t>
      </w:r>
      <w:r>
        <w:t xml:space="preserve"> </w:t>
      </w:r>
      <w:r>
        <w:t xml:space="preserve">44.4%</w:t>
      </w:r>
      <w:r>
        <w:t xml:space="preserve"> </w:t>
      </w:r>
      <w:r>
        <w:t xml:space="preserve">44.4%</w:t>
      </w:r>
      <w:r>
        <w:t xml:space="preserve"> </w:t>
      </w:r>
      <w:r>
        <w:t xml:space="preserve">Postal activities</w:t>
      </w:r>
      <w:r>
        <w:t xml:space="preserve"> </w:t>
      </w:r>
      <w:r>
        <w:t xml:space="preserve">23.2%</w:t>
      </w:r>
      <w:r>
        <w:t xml:space="preserve"> </w:t>
      </w:r>
      <w:r>
        <w:t xml:space="preserve">36.3%</w:t>
      </w:r>
      <w:r>
        <w:t xml:space="preserve"> </w:t>
      </w:r>
      <w:r>
        <w:t xml:space="preserve">36.3%</w:t>
      </w:r>
      <w:r>
        <w:t xml:space="preserve"> </w:t>
      </w:r>
      <w:r>
        <w:t xml:space="preserve">36.3%</w:t>
      </w:r>
      <w:r>
        <w:t xml:space="preserve"> </w:t>
      </w:r>
      <w:r>
        <w:t xml:space="preserve">Hub operators</w:t>
      </w:r>
      <w:r>
        <w:t xml:space="preserve"> </w:t>
      </w:r>
      <w:r>
        <w:t xml:space="preserve">Warehousing and storage</w:t>
      </w:r>
      <w:r>
        <w:t xml:space="preserve"> </w:t>
      </w:r>
      <w:r>
        <w:t xml:space="preserve">20.5%</w:t>
      </w:r>
      <w:r>
        <w:t xml:space="preserve"> </w:t>
      </w:r>
      <w:r>
        <w:t xml:space="preserve">38.5%</w:t>
      </w:r>
      <w:r>
        <w:t xml:space="preserve"> </w:t>
      </w:r>
      <w:r>
        <w:t xml:space="preserve">38.5%</w:t>
      </w:r>
      <w:r>
        <w:t xml:space="preserve"> </w:t>
      </w:r>
      <w:r>
        <w:t xml:space="preserve">38.5%</w:t>
      </w:r>
      <w:r>
        <w:t xml:space="preserve"> </w:t>
      </w:r>
      <w:r>
        <w:t xml:space="preserve">Support activities for transportation</w:t>
      </w:r>
      <w:r>
        <w:t xml:space="preserve"> </w:t>
      </w:r>
      <w:r>
        <w:t xml:space="preserve">19.5%</w:t>
      </w:r>
      <w:r>
        <w:t xml:space="preserve"> </w:t>
      </w:r>
      <w:r>
        <w:t xml:space="preserve">38.0%</w:t>
      </w:r>
      <w:r>
        <w:t xml:space="preserve"> </w:t>
      </w:r>
      <w:r>
        <w:t xml:space="preserve">38.0%</w:t>
      </w:r>
      <w:r>
        <w:t xml:space="preserve"> </w:t>
      </w:r>
      <w:r>
        <w:t xml:space="preserve">38.0%</w:t>
      </w:r>
      <w:r>
        <w:t xml:space="preserve"> </w:t>
      </w:r>
      <w:r>
        <w:t xml:space="preserve">Other</w:t>
      </w:r>
      <w:r>
        <w:t xml:space="preserve"> </w:t>
      </w:r>
      <w:r>
        <w:t xml:space="preserve">Manufacturing</w:t>
      </w:r>
      <w:r>
        <w:t xml:space="preserve"> </w:t>
      </w:r>
      <w:r>
        <w:t xml:space="preserve">20.8%</w:t>
      </w:r>
      <w:r>
        <w:t xml:space="preserve"> </w:t>
      </w:r>
      <w:r>
        <w:t xml:space="preserve">34.1%</w:t>
      </w:r>
      <w:r>
        <w:t xml:space="preserve"> </w:t>
      </w:r>
      <w:r>
        <w:t xml:space="preserve">34.1%</w:t>
      </w:r>
      <w:r>
        <w:t xml:space="preserve"> </w:t>
      </w:r>
      <w:r>
        <w:t xml:space="preserve">34.1%</w:t>
      </w:r>
      <w:r>
        <w:t xml:space="preserve"> </w:t>
      </w:r>
      <w:r>
        <w:t xml:space="preserve">Wholesale and retail</w:t>
      </w:r>
      <w:r>
        <w:t xml:space="preserve"> </w:t>
      </w:r>
      <w:r>
        <w:t xml:space="preserve">20.8%</w:t>
      </w:r>
      <w:r>
        <w:t xml:space="preserve"> </w:t>
      </w:r>
      <w:r>
        <w:t xml:space="preserve">34.2%</w:t>
      </w:r>
      <w:r>
        <w:t xml:space="preserve"> </w:t>
      </w:r>
      <w:r>
        <w:t xml:space="preserve">34.2%</w:t>
      </w:r>
      <w:r>
        <w:t xml:space="preserve"> </w:t>
      </w:r>
      <w:r>
        <w:t xml:space="preserve">34.2%</w:t>
      </w:r>
      <w:r>
        <w:t xml:space="preserve"> </w:t>
      </w:r>
      <w:r>
        <w:t xml:space="preserve">Tourism</w:t>
      </w:r>
      <w:r>
        <w:t xml:space="preserve"> </w:t>
      </w:r>
      <w:r>
        <w:t xml:space="preserve">8.1%</w:t>
      </w:r>
      <w:r>
        <w:t xml:space="preserve"> </w:t>
      </w:r>
      <w:r>
        <w:t xml:space="preserve">14.3%</w:t>
      </w:r>
      <w:r>
        <w:t xml:space="preserve"> </w:t>
      </w:r>
      <w:r>
        <w:t xml:space="preserve">14.3%</w:t>
      </w:r>
      <w:r>
        <w:t xml:space="preserve"> </w:t>
      </w:r>
      <w:r>
        <w:t xml:space="preserve">14.3%</w:t>
      </w:r>
      <w:r>
        <w:t xml:space="preserve"> </w:t>
      </w:r>
      <w:r>
        <w:t xml:space="preserve">Total large companies (250 or more)</w:t>
      </w:r>
    </w:p>
    <w:p>
      <w:pPr>
        <w:pStyle w:val="BodyText"/>
      </w:pPr>
      <w:r>
        <w:t xml:space="preserve">18.8%</w:t>
      </w:r>
      <w:r>
        <w:t xml:space="preserve"> </w:t>
      </w:r>
      <w:r>
        <w:t xml:space="preserve">31.1%</w:t>
      </w:r>
      <w:r>
        <w:t xml:space="preserve"> </w:t>
      </w:r>
      <w:r>
        <w:t xml:space="preserve">31.1%</w:t>
      </w:r>
      <w:r>
        <w:t xml:space="preserve"> </w:t>
      </w:r>
      <w:r>
        <w:t xml:space="preserve">31.1%</w:t>
      </w:r>
      <w:r>
        <w:t xml:space="preserve"> </w:t>
      </w:r>
      <w:r>
        <w:t xml:space="preserve">Source: Ecorys and CE Delft (2023), Impact assessment support study</w:t>
      </w:r>
    </w:p>
    <w:p>
      <w:pPr>
        <w:pStyle w:val="BodyText"/>
      </w:pPr>
      <w:r>
        <w:t xml:space="preserve">PM1: ISO 14083 is set as common reference methodology at EU level</w:t>
      </w:r>
      <w:r>
        <w:t xml:space="preserve"> </w:t>
      </w:r>
      <w:r>
        <w:t xml:space="preserve">In PM1 (included in PO2, PO4 and PO6), the ISO 14083 methodology is set as common</w:t>
      </w:r>
      <w:r>
        <w:t xml:space="preserve"> </w:t>
      </w:r>
      <w:r>
        <w:t xml:space="preserve">reference methodology for quantifying GHG emissions at EU level. It covers Well-to-Wheel</w:t>
      </w:r>
      <w:r>
        <w:t xml:space="preserve"> </w:t>
      </w:r>
      <w:r>
        <w:t xml:space="preserve">GHG emissions related to transport operations, including emissions from the production of fuels.</w:t>
      </w:r>
      <w:r>
        <w:t xml:space="preserve"> </w:t>
      </w:r>
      <w:r>
        <w:t xml:space="preserve">ISO provides a detailed methodology addressing the segmentation of the transport services and</w:t>
      </w:r>
      <w:r>
        <w:t xml:space="preserve"> </w:t>
      </w:r>
      <w:r>
        <w:t xml:space="preserve">shows high acceptability by stakeholders. It also provides for alignment to a global standard.</w:t>
      </w:r>
      <w:r>
        <w:t xml:space="preserve"> </w:t>
      </w:r>
      <w:r>
        <w:t xml:space="preserve">Adjustment costs for businesses</w:t>
      </w:r>
    </w:p>
    <w:p>
      <w:pPr>
        <w:pStyle w:val="BodyText"/>
      </w:pPr>
      <w:r>
        <w:t xml:space="preserve">100</w:t>
      </w:r>
    </w:p>
    <w:p>
      <w:pPr>
        <w:pStyle w:val="BodyText"/>
      </w:pPr>
      <w:r>
        <w:t xml:space="preserve">The setting of the ISO 14083 methodology as the common reference methodology to quantify</w:t>
      </w:r>
      <w:r>
        <w:t xml:space="preserve"> </w:t>
      </w:r>
      <w:r>
        <w:t xml:space="preserve">GHG emissions from transport services is expected to lead to additional costs relative to the</w:t>
      </w:r>
      <w:r>
        <w:t xml:space="preserve"> </w:t>
      </w:r>
      <w:r>
        <w:t xml:space="preserve">baseline for the new businesses performing GHG emissions accounting but also for the</w:t>
      </w:r>
      <w:r>
        <w:t xml:space="preserve"> </w:t>
      </w:r>
      <w:r>
        <w:t xml:space="preserve">businesses that are already quantifying GHG emissions and would need to switch to ISO 14083.</w:t>
      </w:r>
      <w:r>
        <w:t xml:space="preserve"> </w:t>
      </w:r>
      <w:r>
        <w:t xml:space="preserve">Businesses already quantifying GHG emissions in the baseline will need to adjust their processes</w:t>
      </w:r>
      <w:r>
        <w:t xml:space="preserve"> </w:t>
      </w:r>
      <w:r>
        <w:t xml:space="preserve">to be in line with the new ISO 14083 requirements, resulting in one-off adjustment costs that are</w:t>
      </w:r>
      <w:r>
        <w:t xml:space="preserve"> </w:t>
      </w:r>
      <w:r>
        <w:t xml:space="preserve">different per type and size of business195. The recurrent adjustment costs196 are expected to be</w:t>
      </w:r>
      <w:r>
        <w:t xml:space="preserve"> </w:t>
      </w:r>
      <w:r>
        <w:t xml:space="preserve">the same as in the baseline. New businesses performing GHG emissions accounting are expected</w:t>
      </w:r>
      <w:r>
        <w:t xml:space="preserve"> </w:t>
      </w:r>
      <w:r>
        <w:t xml:space="preserve">to be faced with both one-off adjustment costs for implementing the processes and annual</w:t>
      </w:r>
      <w:r>
        <w:t xml:space="preserve"> </w:t>
      </w:r>
      <w:r>
        <w:t xml:space="preserve">recurrent costs. Table 38 shows the different unit costs per type of business for adopting ISO</w:t>
      </w:r>
      <w:r>
        <w:t xml:space="preserve"> </w:t>
      </w:r>
      <w:r>
        <w:t xml:space="preserve">14083 as common reference methodology, based on stakeholder’s feedbacks and desk</w:t>
      </w:r>
      <w:r>
        <w:t xml:space="preserve"> </w:t>
      </w:r>
      <w:r>
        <w:t xml:space="preserve">research197. These costs cover labour costs and costs for obtaining the necessary documentation.</w:t>
      </w:r>
      <w:r>
        <w:br/>
      </w:r>
      <w:r>
        <w:t xml:space="preserve">Table 38: Unit adjustment costs per type of business due to PM1 in PO2, PO4 and PO6 (in EUR, 2022 prices)</w:t>
      </w:r>
      <w:r>
        <w:t xml:space="preserve"> </w:t>
      </w:r>
      <w:r>
        <w:t xml:space="preserve">TSO</w:t>
      </w:r>
      <w:r>
        <w:t xml:space="preserve"> </w:t>
      </w:r>
      <w:r>
        <w:t xml:space="preserve">(SME)</w:t>
      </w:r>
      <w:r>
        <w:t xml:space="preserve"> </w:t>
      </w:r>
      <w:r>
        <w:t xml:space="preserve">TSU</w:t>
      </w:r>
      <w:r>
        <w:t xml:space="preserve"> </w:t>
      </w:r>
      <w:r>
        <w:t xml:space="preserve">(SME)</w:t>
      </w:r>
      <w:r>
        <w:t xml:space="preserve"> </w:t>
      </w:r>
      <w:r>
        <w:t xml:space="preserve">HO</w:t>
      </w:r>
      <w:r>
        <w:t xml:space="preserve"> </w:t>
      </w:r>
      <w:r>
        <w:t xml:space="preserve">(SME)</w:t>
      </w:r>
      <w:r>
        <w:t xml:space="preserve"> </w:t>
      </w:r>
      <w:r>
        <w:t xml:space="preserve">TSO</w:t>
      </w:r>
      <w:r>
        <w:t xml:space="preserve"> </w:t>
      </w:r>
      <w:r>
        <w:t xml:space="preserve">(Large)</w:t>
      </w:r>
      <w:r>
        <w:t xml:space="preserve"> </w:t>
      </w:r>
      <w:r>
        <w:t xml:space="preserve">TSU</w:t>
      </w:r>
      <w:r>
        <w:t xml:space="preserve"> </w:t>
      </w:r>
      <w:r>
        <w:t xml:space="preserve">(Large)</w:t>
      </w:r>
      <w:r>
        <w:t xml:space="preserve"> </w:t>
      </w:r>
      <w:r>
        <w:t xml:space="preserve">HO</w:t>
      </w:r>
      <w:r>
        <w:t xml:space="preserve"> </w:t>
      </w:r>
      <w:r>
        <w:t xml:space="preserve">(Large)</w:t>
      </w:r>
      <w:r>
        <w:t xml:space="preserve"> </w:t>
      </w:r>
      <w:r>
        <w:t xml:space="preserve">One-off costs for starting implementing</w:t>
      </w:r>
      <w:r>
        <w:t xml:space="preserve"> </w:t>
      </w:r>
      <w:r>
        <w:t xml:space="preserve">the GHG emission accounting (i.e. ISO</w:t>
      </w:r>
      <w:r>
        <w:t xml:space="preserve"> </w:t>
      </w:r>
      <w:r>
        <w:t xml:space="preserve">14083)</w:t>
      </w:r>
      <w:r>
        <w:t xml:space="preserve"> </w:t>
      </w:r>
      <w:r>
        <w:t xml:space="preserve">1,748</w:t>
      </w:r>
      <w:r>
        <w:t xml:space="preserve"> </w:t>
      </w:r>
      <w:r>
        <w:t xml:space="preserve">2,033</w:t>
      </w:r>
      <w:r>
        <w:t xml:space="preserve"> </w:t>
      </w:r>
      <w:r>
        <w:t xml:space="preserve">1,748</w:t>
      </w:r>
      <w:r>
        <w:t xml:space="preserve"> </w:t>
      </w:r>
      <w:r>
        <w:t xml:space="preserve">4,802</w:t>
      </w:r>
      <w:r>
        <w:t xml:space="preserve"> </w:t>
      </w:r>
      <w:r>
        <w:t xml:space="preserve">6,625</w:t>
      </w:r>
      <w:r>
        <w:t xml:space="preserve"> </w:t>
      </w:r>
      <w:r>
        <w:t xml:space="preserve">4,802</w:t>
      </w:r>
      <w:r>
        <w:t xml:space="preserve"> </w:t>
      </w:r>
      <w:r>
        <w:t xml:space="preserve">One-off costs for switching to the ISO</w:t>
      </w:r>
      <w:r>
        <w:t xml:space="preserve"> </w:t>
      </w:r>
      <w:r>
        <w:t xml:space="preserve">14083 GHG emission accounting method</w:t>
      </w:r>
      <w:r>
        <w:t xml:space="preserve"> </w:t>
      </w:r>
      <w:r>
        <w:t xml:space="preserve">589</w:t>
      </w:r>
      <w:r>
        <w:t xml:space="preserve"> </w:t>
      </w:r>
      <w:r>
        <w:t xml:space="preserve">589</w:t>
      </w:r>
      <w:r>
        <w:t xml:space="preserve"> </w:t>
      </w:r>
      <w:r>
        <w:t xml:space="preserve">589</w:t>
      </w:r>
      <w:r>
        <w:t xml:space="preserve"> </w:t>
      </w:r>
      <w:r>
        <w:t xml:space="preserve">1,262</w:t>
      </w:r>
      <w:r>
        <w:t xml:space="preserve"> </w:t>
      </w:r>
      <w:r>
        <w:t xml:space="preserve">1,262</w:t>
      </w:r>
      <w:r>
        <w:t xml:space="preserve"> </w:t>
      </w:r>
      <w:r>
        <w:t xml:space="preserve">1,262</w:t>
      </w:r>
      <w:r>
        <w:t xml:space="preserve"> </w:t>
      </w:r>
      <w:r>
        <w:t xml:space="preserve">Annual recurrent costs</w:t>
      </w:r>
      <w:r>
        <w:t xml:space="preserve"> </w:t>
      </w:r>
      <w:r>
        <w:t xml:space="preserve">1,139</w:t>
      </w:r>
      <w:r>
        <w:t xml:space="preserve"> </w:t>
      </w:r>
      <w:r>
        <w:t xml:space="preserve">570</w:t>
      </w:r>
      <w:r>
        <w:t xml:space="preserve"> </w:t>
      </w:r>
      <w:r>
        <w:t xml:space="preserve">1,139</w:t>
      </w:r>
      <w:r>
        <w:t xml:space="preserve"> </w:t>
      </w:r>
      <w:r>
        <w:t xml:space="preserve">3,190</w:t>
      </w:r>
      <w:r>
        <w:t xml:space="preserve"> </w:t>
      </w:r>
      <w:r>
        <w:t xml:space="preserve">2,734</w:t>
      </w:r>
      <w:r>
        <w:t xml:space="preserve"> </w:t>
      </w:r>
      <w:r>
        <w:t xml:space="preserve">3,190</w:t>
      </w:r>
      <w:r>
        <w:t xml:space="preserve"> </w:t>
      </w:r>
      <w:r>
        <w:t xml:space="preserve">Source: Ecorys and CE Delft (2023), Impact assessment support study; Note: ‘Large’ stands for large businesses;</w:t>
      </w:r>
      <w:r>
        <w:t xml:space="preserve"> </w:t>
      </w:r>
      <w:r>
        <w:t xml:space="preserve">Annual recurrent costs for ISO 14083 are the same as for other methods used in the baseline.</w:t>
      </w:r>
      <w:r>
        <w:br/>
      </w:r>
      <w:r>
        <w:t xml:space="preserve">The total adjustment costs for PM1 in PO2 (in conjunction with the voluntary application of</w:t>
      </w:r>
      <w:r>
        <w:t xml:space="preserve"> </w:t>
      </w:r>
      <w:r>
        <w:t xml:space="preserve">CountEmissions EU, due to PM15) are different from those in PO4 (in conjunction with the</w:t>
      </w:r>
      <w:r>
        <w:t xml:space="preserve"> </w:t>
      </w:r>
      <w:r>
        <w:t xml:space="preserve">binding opt-in application of CountEmissions EU, due to PM14) and in PO6 (in conjunction with</w:t>
      </w:r>
      <w:r>
        <w:t xml:space="preserve"> </w:t>
      </w:r>
      <w:r>
        <w:t xml:space="preserve">the mandatory application of CountEmissions EU, due to PM13). The one-off and recurrent</w:t>
      </w:r>
      <w:r>
        <w:t xml:space="preserve"> </w:t>
      </w:r>
      <w:r>
        <w:t xml:space="preserve">adjustment costs for businesses due to PM1 in PO2 for 2025, 2030, 2040 and 2050 relative to</w:t>
      </w:r>
      <w:r>
        <w:t xml:space="preserve"> </w:t>
      </w:r>
      <w:r>
        <w:t xml:space="preserve">the baseline are provided in Table 39, together with the number of companies that switch from</w:t>
      </w:r>
      <w:r>
        <w:t xml:space="preserve"> </w:t>
      </w:r>
      <w:r>
        <w:t xml:space="preserve">other methods to ISO 14083 and the additional number of companies that implement ISO 14083</w:t>
      </w:r>
      <w:r>
        <w:t xml:space="preserve"> </w:t>
      </w:r>
      <w:r>
        <w:t xml:space="preserve">relative to the baseline. The costs are also provided by company size (large and SME). Expressed</w:t>
      </w:r>
      <w:r>
        <w:t xml:space="preserve"> </w:t>
      </w:r>
      <w:r>
        <w:t xml:space="preserve">as present value over 2025-2050, the total adjustment costs due to PM1 are estimated at EUR 0.9 billion</w:t>
      </w:r>
      <w:r>
        <w:t xml:space="preserve"> </w:t>
      </w:r>
      <w:r>
        <w:t xml:space="preserve">in PO2 relative to the baseline, of which EUR 0.6 billion one-off adjustment costs.</w:t>
      </w:r>
      <w:r>
        <w:t xml:space="preserve"> </w:t>
      </w:r>
      <w:r>
        <w:t xml:space="preserve">Table 39: One-off and recurrent adjustment costs for business due to PM1 in PO2 (in million EUR, 2022 prices),</w:t>
      </w:r>
      <w:r>
        <w:t xml:space="preserve"> </w:t>
      </w:r>
      <w:r>
        <w:t xml:space="preserve">relative to the baseline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companies that switch from other methods to ISO 14083</w:t>
      </w:r>
      <w:r>
        <w:br/>
      </w:r>
      <w:r>
        <w:t xml:space="preserve">6,152</w:t>
      </w:r>
      <w:r>
        <w:t xml:space="preserve"> </w:t>
      </w:r>
      <w:r>
        <w:t xml:space="preserve">1,720</w:t>
      </w:r>
      <w:r>
        <w:t xml:space="preserve"> </w:t>
      </w:r>
      <w:r>
        <w:t xml:space="preserve">1,546</w:t>
      </w:r>
      <w:r>
        <w:t xml:space="preserve"> </w:t>
      </w:r>
      <w:r>
        <w:t xml:space="preserve">1,389</w:t>
      </w:r>
      <w:r>
        <w:t xml:space="preserve"> </w:t>
      </w:r>
      <w:r>
        <w:t xml:space="preserve">SMEs</w:t>
      </w:r>
      <w:r>
        <w:t xml:space="preserve"> </w:t>
      </w:r>
      <w:r>
        <w:t xml:space="preserve">6,051</w:t>
      </w:r>
      <w:r>
        <w:t xml:space="preserve"> </w:t>
      </w:r>
      <w:r>
        <w:t xml:space="preserve">1,686</w:t>
      </w:r>
      <w:r>
        <w:t xml:space="preserve"> </w:t>
      </w:r>
      <w:r>
        <w:t xml:space="preserve">1,515</w:t>
      </w:r>
      <w:r>
        <w:t xml:space="preserve"> </w:t>
      </w:r>
      <w:r>
        <w:t xml:space="preserve">1,361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101</w:t>
      </w:r>
      <w:r>
        <w:t xml:space="preserve"> </w:t>
      </w:r>
      <w:r>
        <w:t xml:space="preserve">34</w:t>
      </w:r>
      <w:r>
        <w:t xml:space="preserve"> </w:t>
      </w:r>
      <w:r>
        <w:t xml:space="preserve">31</w:t>
      </w:r>
      <w:r>
        <w:t xml:space="preserve"> </w:t>
      </w:r>
      <w:r>
        <w:t xml:space="preserve">28</w:t>
      </w:r>
    </w:p>
    <w:p>
      <w:pPr>
        <w:pStyle w:val="BodyText"/>
      </w:pPr>
      <w:r>
        <w:t xml:space="preserve">195 The adjustment is assumed to be gradual over time, i.e. 20% of the companies that are quantifying GHG</w:t>
      </w:r>
      <w:r>
        <w:t xml:space="preserve"> </w:t>
      </w:r>
      <w:r>
        <w:t xml:space="preserve">emissions at service level in the baseline are assumed to switch to the new methodology each year between 2025</w:t>
      </w:r>
      <w:r>
        <w:t xml:space="preserve"> </w:t>
      </w:r>
      <w:r>
        <w:t xml:space="preserve">and 2030. Post-2030, only the additional number of companies that are quantifying GHG emissions at service level</w:t>
      </w:r>
      <w:r>
        <w:t xml:space="preserve"> </w:t>
      </w:r>
      <w:r>
        <w:t xml:space="preserve">in the baseline relative to the previous year are assumed to switch to the new methodology.</w:t>
      </w:r>
      <w:r>
        <w:br/>
      </w:r>
      <w:r>
        <w:t xml:space="preserve">196 The cost of ISO certification, ISOUpdate.com, 8 July 2020.</w:t>
      </w:r>
      <w:r>
        <w:br/>
      </w:r>
      <w:r>
        <w:t xml:space="preserve">197 The number of hours worked and thus the unit costs per transport service are assumed to go down over time, by</w:t>
      </w:r>
      <w:r>
        <w:t xml:space="preserve"> </w:t>
      </w:r>
      <w:r>
        <w:t xml:space="preserve">15% by 2050 relative to 2020, due to the learning effects.</w:t>
      </w:r>
    </w:p>
    <w:p>
      <w:pPr>
        <w:pStyle w:val="BodyText"/>
      </w:pPr>
      <w:r>
        <w:t xml:space="preserve">101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Additional number of companies that implement ISO 14083</w:t>
      </w:r>
      <w:r>
        <w:t xml:space="preserve"> </w:t>
      </w:r>
      <w:r>
        <w:t xml:space="preserve">relative to the baseline</w:t>
      </w:r>
      <w:r>
        <w:t xml:space="preserve"> </w:t>
      </w:r>
      <w:r>
        <w:t xml:space="preserve">14,868</w:t>
      </w:r>
      <w:r>
        <w:t xml:space="preserve"> </w:t>
      </w:r>
      <w:r>
        <w:t xml:space="preserve">30,219</w:t>
      </w:r>
      <w:r>
        <w:t xml:space="preserve"> </w:t>
      </w:r>
      <w:r>
        <w:t xml:space="preserve">14,302</w:t>
      </w:r>
      <w:r>
        <w:t xml:space="preserve"> </w:t>
      </w:r>
      <w:r>
        <w:t xml:space="preserve">1,388</w:t>
      </w:r>
      <w:r>
        <w:t xml:space="preserve"> </w:t>
      </w:r>
      <w:r>
        <w:t xml:space="preserve">SMEs</w:t>
      </w:r>
      <w:r>
        <w:t xml:space="preserve"> </w:t>
      </w:r>
      <w:r>
        <w:t xml:space="preserve">14,557</w:t>
      </w:r>
      <w:r>
        <w:t xml:space="preserve"> </w:t>
      </w:r>
      <w:r>
        <w:t xml:space="preserve">29,586</w:t>
      </w:r>
      <w:r>
        <w:t xml:space="preserve"> </w:t>
      </w:r>
      <w:r>
        <w:t xml:space="preserve">14,000</w:t>
      </w:r>
      <w:r>
        <w:t xml:space="preserve"> </w:t>
      </w:r>
      <w:r>
        <w:t xml:space="preserve">1,361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311</w:t>
      </w:r>
      <w:r>
        <w:t xml:space="preserve"> </w:t>
      </w:r>
      <w:r>
        <w:t xml:space="preserve">633</w:t>
      </w:r>
      <w:r>
        <w:t xml:space="preserve"> </w:t>
      </w:r>
      <w:r>
        <w:t xml:space="preserve">302</w:t>
      </w:r>
      <w:r>
        <w:t xml:space="preserve"> </w:t>
      </w:r>
      <w:r>
        <w:t xml:space="preserve">27</w:t>
      </w:r>
      <w:r>
        <w:t xml:space="preserve"> </w:t>
      </w:r>
      <w:r>
        <w:t xml:space="preserve">One-off adjustment costs (in million EUR)</w:t>
      </w:r>
      <w:r>
        <w:t xml:space="preserve"> </w:t>
      </w:r>
      <w:r>
        <w:t xml:space="preserve">31.8</w:t>
      </w:r>
      <w:r>
        <w:t xml:space="preserve"> </w:t>
      </w:r>
      <w:r>
        <w:t xml:space="preserve">56.4</w:t>
      </w:r>
      <w:r>
        <w:t xml:space="preserve"> </w:t>
      </w:r>
      <w:r>
        <w:t xml:space="preserve">25.4</w:t>
      </w:r>
      <w:r>
        <w:t xml:space="preserve"> </w:t>
      </w:r>
      <w:r>
        <w:t xml:space="preserve">2.9</w:t>
      </w:r>
      <w:r>
        <w:t xml:space="preserve"> </w:t>
      </w:r>
      <w:r>
        <w:t xml:space="preserve">SMEs</w:t>
      </w:r>
      <w:r>
        <w:t xml:space="preserve"> </w:t>
      </w:r>
      <w:r>
        <w:t xml:space="preserve">29.8</w:t>
      </w:r>
      <w:r>
        <w:t xml:space="preserve"> </w:t>
      </w:r>
      <w:r>
        <w:t xml:space="preserve">52.7</w:t>
      </w:r>
      <w:r>
        <w:t xml:space="preserve"> </w:t>
      </w:r>
      <w:r>
        <w:t xml:space="preserve">23.8</w:t>
      </w:r>
      <w:r>
        <w:t xml:space="preserve"> </w:t>
      </w:r>
      <w:r>
        <w:t xml:space="preserve">2.8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2.0</w:t>
      </w:r>
      <w:r>
        <w:t xml:space="preserve"> </w:t>
      </w:r>
      <w:r>
        <w:t xml:space="preserve">3.7</w:t>
      </w:r>
      <w:r>
        <w:t xml:space="preserve"> </w:t>
      </w:r>
      <w:r>
        <w:t xml:space="preserve">1.7</w:t>
      </w:r>
      <w:r>
        <w:t xml:space="preserve"> </w:t>
      </w:r>
      <w:r>
        <w:t xml:space="preserve">0.2</w:t>
      </w:r>
      <w:r>
        <w:t xml:space="preserve"> </w:t>
      </w:r>
      <w:r>
        <w:t xml:space="preserve">Recurrent adjustment costs (in million EUR)</w:t>
      </w:r>
      <w:r>
        <w:t xml:space="preserve"> </w:t>
      </w:r>
      <w:r>
        <w:t xml:space="preserve">15.9</w:t>
      </w:r>
      <w:r>
        <w:t xml:space="preserve"> </w:t>
      </w:r>
      <w:r>
        <w:t xml:space="preserve">31.3</w:t>
      </w:r>
      <w:r>
        <w:t xml:space="preserve"> </w:t>
      </w:r>
      <w:r>
        <w:t xml:space="preserve">13.9</w:t>
      </w:r>
      <w:r>
        <w:t xml:space="preserve"> </w:t>
      </w:r>
      <w:r>
        <w:t xml:space="preserve">1.3</w:t>
      </w:r>
      <w:r>
        <w:t xml:space="preserve"> </w:t>
      </w:r>
      <w:r>
        <w:t xml:space="preserve">SMEs</w:t>
      </w:r>
      <w:r>
        <w:t xml:space="preserve"> </w:t>
      </w:r>
      <w:r>
        <w:t xml:space="preserve">15.0</w:t>
      </w:r>
      <w:r>
        <w:t xml:space="preserve"> </w:t>
      </w:r>
      <w:r>
        <w:t xml:space="preserve">29.6</w:t>
      </w:r>
      <w:r>
        <w:t xml:space="preserve"> </w:t>
      </w:r>
      <w:r>
        <w:t xml:space="preserve">13.1</w:t>
      </w:r>
      <w:r>
        <w:t xml:space="preserve"> </w:t>
      </w:r>
      <w:r>
        <w:t xml:space="preserve">1.2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0.9</w:t>
      </w:r>
      <w:r>
        <w:t xml:space="preserve"> </w:t>
      </w:r>
      <w:r>
        <w:t xml:space="preserve">1.8</w:t>
      </w:r>
      <w:r>
        <w:t xml:space="preserve"> </w:t>
      </w:r>
      <w:r>
        <w:t xml:space="preserve">0.8</w:t>
      </w:r>
      <w:r>
        <w:t xml:space="preserve"> </w:t>
      </w:r>
      <w:r>
        <w:t xml:space="preserve">0.1</w:t>
      </w:r>
      <w:r>
        <w:t xml:space="preserve"> </w:t>
      </w:r>
      <w:r>
        <w:t xml:space="preserve">Total adjustment costs (in million EUR)</w:t>
      </w:r>
      <w:r>
        <w:t xml:space="preserve"> </w:t>
      </w:r>
      <w:r>
        <w:t xml:space="preserve">47.7</w:t>
      </w:r>
      <w:r>
        <w:t xml:space="preserve"> </w:t>
      </w:r>
      <w:r>
        <w:t xml:space="preserve">87.7</w:t>
      </w:r>
      <w:r>
        <w:t xml:space="preserve"> </w:t>
      </w:r>
      <w:r>
        <w:t xml:space="preserve">39.4</w:t>
      </w:r>
      <w:r>
        <w:t xml:space="preserve"> </w:t>
      </w:r>
      <w:r>
        <w:t xml:space="preserve">4.2</w:t>
      </w:r>
      <w:r>
        <w:t xml:space="preserve"> </w:t>
      </w:r>
      <w:r>
        <w:t xml:space="preserve">SMEs</w:t>
      </w:r>
      <w:r>
        <w:t xml:space="preserve"> </w:t>
      </w:r>
      <w:r>
        <w:t xml:space="preserve">44.8</w:t>
      </w:r>
      <w:r>
        <w:t xml:space="preserve"> </w:t>
      </w:r>
      <w:r>
        <w:t xml:space="preserve">82.2</w:t>
      </w:r>
      <w:r>
        <w:t xml:space="preserve"> </w:t>
      </w:r>
      <w:r>
        <w:t xml:space="preserve">36.9</w:t>
      </w:r>
      <w:r>
        <w:t xml:space="preserve"> </w:t>
      </w:r>
      <w:r>
        <w:t xml:space="preserve">4.0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2.9</w:t>
      </w:r>
      <w:r>
        <w:t xml:space="preserve"> </w:t>
      </w:r>
      <w:r>
        <w:t xml:space="preserve">5.5</w:t>
      </w:r>
      <w:r>
        <w:t xml:space="preserve"> </w:t>
      </w:r>
      <w:r>
        <w:t xml:space="preserve">2.5</w:t>
      </w:r>
      <w:r>
        <w:t xml:space="preserve"> </w:t>
      </w:r>
      <w:r>
        <w:t xml:space="preserve">0.2</w:t>
      </w:r>
      <w:r>
        <w:t xml:space="preserve"> </w:t>
      </w:r>
      <w:r>
        <w:t xml:space="preserve">Source: Ecorys and CE Delft (2023), Impact assessment support study</w:t>
      </w:r>
      <w:r>
        <w:br/>
      </w:r>
      <w:r>
        <w:t xml:space="preserve">Table 40: type and size of impacted enterprises due to PM1 in PO2 of all enterprises targeted with CountEmissions EU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companies switching or implementing ISO 14083</w:t>
      </w:r>
      <w:r>
        <w:t xml:space="preserve"> </w:t>
      </w:r>
      <w:r>
        <w:t xml:space="preserve">2.6%</w:t>
      </w:r>
      <w:r>
        <w:t xml:space="preserve"> </w:t>
      </w:r>
      <w:r>
        <w:t xml:space="preserve">3.9%</w:t>
      </w:r>
      <w:r>
        <w:t xml:space="preserve"> </w:t>
      </w:r>
      <w:r>
        <w:t xml:space="preserve">3.9%</w:t>
      </w:r>
      <w:r>
        <w:t xml:space="preserve"> </w:t>
      </w:r>
      <w:r>
        <w:t xml:space="preserve">4.0%</w:t>
      </w:r>
      <w:r>
        <w:t xml:space="preserve"> </w:t>
      </w:r>
      <w:r>
        <w:t xml:space="preserve">SMEs</w:t>
      </w:r>
      <w:r>
        <w:t xml:space="preserve"> </w:t>
      </w:r>
      <w:r>
        <w:t xml:space="preserve">2.5%</w:t>
      </w:r>
      <w:r>
        <w:t xml:space="preserve"> </w:t>
      </w:r>
      <w:r>
        <w:t xml:space="preserve">3.9%</w:t>
      </w:r>
      <w:r>
        <w:t xml:space="preserve"> </w:t>
      </w:r>
      <w:r>
        <w:t xml:space="preserve">3.9%</w:t>
      </w:r>
      <w:r>
        <w:t xml:space="preserve"> </w:t>
      </w:r>
      <w:r>
        <w:t xml:space="preserve">3.9%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14.3%</w:t>
      </w:r>
      <w:r>
        <w:t xml:space="preserve"> </w:t>
      </w:r>
      <w:r>
        <w:t xml:space="preserve">23.0%</w:t>
      </w:r>
      <w:r>
        <w:t xml:space="preserve"> </w:t>
      </w:r>
      <w:r>
        <w:t xml:space="preserve">23.0%</w:t>
      </w:r>
      <w:r>
        <w:t xml:space="preserve"> </w:t>
      </w:r>
      <w:r>
        <w:t xml:space="preserve">23.5%</w:t>
      </w:r>
      <w:r>
        <w:t xml:space="preserve"> </w:t>
      </w:r>
      <w:r>
        <w:t xml:space="preserve">Source: Ecorys and CE Delft (2023), Impact assessment support study</w:t>
      </w:r>
      <w:r>
        <w:br/>
      </w:r>
      <w:r>
        <w:t xml:space="preserve">The one-off and recurrent adjustment costs for businesses due to PM1 in PO4 (in conjunction</w:t>
      </w:r>
      <w:r>
        <w:t xml:space="preserve"> </w:t>
      </w:r>
      <w:r>
        <w:t xml:space="preserve">with the binding opt-in application of CountEmissions EU, due to PM14) for 2025, 2030, 2040</w:t>
      </w:r>
      <w:r>
        <w:t xml:space="preserve"> </w:t>
      </w:r>
      <w:r>
        <w:t xml:space="preserve">and 2050 relative to the baseline are provided in Table 41, together with the number of companies</w:t>
      </w:r>
      <w:r>
        <w:t xml:space="preserve"> </w:t>
      </w:r>
      <w:r>
        <w:t xml:space="preserve">that switch from other methods to ISO 14083 and the additional number of companies that</w:t>
      </w:r>
      <w:r>
        <w:t xml:space="preserve"> </w:t>
      </w:r>
      <w:r>
        <w:t xml:space="preserve">implement ISO 14083 relative to the baseline. Expressed as present value over 2025-2050, the total</w:t>
      </w:r>
      <w:r>
        <w:t xml:space="preserve"> </w:t>
      </w:r>
      <w:r>
        <w:t xml:space="preserve">adjustment costs due to PM1 are estimated at EUR 1.4 billion in PO4 relative to the baseline, of which</w:t>
      </w:r>
      <w:r>
        <w:t xml:space="preserve"> </w:t>
      </w:r>
      <w:r>
        <w:t xml:space="preserve">EUR 0.9 billion one-off adjustment costs.</w:t>
      </w:r>
      <w:r>
        <w:t xml:space="preserve"> </w:t>
      </w:r>
      <w:r>
        <w:t xml:space="preserve">Table 41: One-off and recurrent adjustment costs for business due to PM1 in PO4 (in million EUR, 2022 prices),</w:t>
      </w:r>
      <w:r>
        <w:t xml:space="preserve"> </w:t>
      </w:r>
      <w:r>
        <w:t xml:space="preserve">relative to the baseline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companies that switch from other methods to ISO 14083</w:t>
      </w:r>
      <w:r>
        <w:br/>
      </w:r>
      <w:r>
        <w:t xml:space="preserve">6,152</w:t>
      </w:r>
      <w:r>
        <w:t xml:space="preserve"> </w:t>
      </w:r>
      <w:r>
        <w:t xml:space="preserve">1,720</w:t>
      </w:r>
      <w:r>
        <w:t xml:space="preserve"> </w:t>
      </w:r>
      <w:r>
        <w:t xml:space="preserve">1,546</w:t>
      </w:r>
      <w:r>
        <w:t xml:space="preserve"> </w:t>
      </w:r>
      <w:r>
        <w:t xml:space="preserve">1,389</w:t>
      </w:r>
      <w:r>
        <w:t xml:space="preserve"> </w:t>
      </w:r>
      <w:r>
        <w:t xml:space="preserve">SMEs</w:t>
      </w:r>
      <w:r>
        <w:t xml:space="preserve"> </w:t>
      </w:r>
      <w:r>
        <w:t xml:space="preserve">6,051</w:t>
      </w:r>
      <w:r>
        <w:t xml:space="preserve"> </w:t>
      </w:r>
      <w:r>
        <w:t xml:space="preserve">1,686</w:t>
      </w:r>
      <w:r>
        <w:t xml:space="preserve"> </w:t>
      </w:r>
      <w:r>
        <w:t xml:space="preserve">1,515</w:t>
      </w:r>
      <w:r>
        <w:t xml:space="preserve"> </w:t>
      </w:r>
      <w:r>
        <w:t xml:space="preserve">1,361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101</w:t>
      </w:r>
      <w:r>
        <w:t xml:space="preserve"> </w:t>
      </w:r>
      <w:r>
        <w:t xml:space="preserve">34</w:t>
      </w:r>
      <w:r>
        <w:t xml:space="preserve"> </w:t>
      </w:r>
      <w:r>
        <w:t xml:space="preserve">31</w:t>
      </w:r>
      <w:r>
        <w:t xml:space="preserve"> </w:t>
      </w:r>
      <w:r>
        <w:t xml:space="preserve">28</w:t>
      </w:r>
      <w:r>
        <w:t xml:space="preserve"> </w:t>
      </w:r>
      <w:r>
        <w:t xml:space="preserve">Additional number of companies that implement ISO 14083</w:t>
      </w:r>
      <w:r>
        <w:t xml:space="preserve"> </w:t>
      </w:r>
      <w:r>
        <w:t xml:space="preserve">relative to the baseline</w:t>
      </w:r>
      <w:r>
        <w:t xml:space="preserve"> </w:t>
      </w:r>
      <w:r>
        <w:t xml:space="preserve">21,595</w:t>
      </w:r>
      <w:r>
        <w:t xml:space="preserve"> </w:t>
      </w:r>
      <w:r>
        <w:t xml:space="preserve">39,358</w:t>
      </w:r>
      <w:r>
        <w:t xml:space="preserve"> </w:t>
      </w:r>
      <w:r>
        <w:t xml:space="preserve">23,441</w:t>
      </w:r>
      <w:r>
        <w:t xml:space="preserve"> </w:t>
      </w:r>
      <w:r>
        <w:t xml:space="preserve">9,139</w:t>
      </w:r>
      <w:r>
        <w:t xml:space="preserve"> </w:t>
      </w:r>
      <w:r>
        <w:t xml:space="preserve">SMEs</w:t>
      </w:r>
      <w:r>
        <w:t xml:space="preserve"> </w:t>
      </w:r>
      <w:r>
        <w:t xml:space="preserve">21,003</w:t>
      </w:r>
      <w:r>
        <w:t xml:space="preserve"> </w:t>
      </w:r>
      <w:r>
        <w:t xml:space="preserve">38,224</w:t>
      </w:r>
      <w:r>
        <w:t xml:space="preserve"> </w:t>
      </w:r>
      <w:r>
        <w:t xml:space="preserve">22,638</w:t>
      </w:r>
      <w:r>
        <w:t xml:space="preserve"> </w:t>
      </w:r>
      <w:r>
        <w:t xml:space="preserve">8,638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592</w:t>
      </w:r>
      <w:r>
        <w:t xml:space="preserve"> </w:t>
      </w:r>
      <w:r>
        <w:t xml:space="preserve">1,134</w:t>
      </w:r>
      <w:r>
        <w:t xml:space="preserve"> </w:t>
      </w:r>
      <w:r>
        <w:t xml:space="preserve">803</w:t>
      </w:r>
      <w:r>
        <w:t xml:space="preserve"> </w:t>
      </w:r>
      <w:r>
        <w:t xml:space="preserve">501</w:t>
      </w:r>
      <w:r>
        <w:t xml:space="preserve"> </w:t>
      </w:r>
      <w:r>
        <w:t xml:space="preserve">One-off adjustment costs (in million EUR)</w:t>
      </w:r>
      <w:r>
        <w:t xml:space="preserve"> </w:t>
      </w:r>
      <w:r>
        <w:t xml:space="preserve">44.8</w:t>
      </w:r>
      <w:r>
        <w:t xml:space="preserve"> </w:t>
      </w:r>
      <w:r>
        <w:t xml:space="preserve">73.9</w:t>
      </w:r>
      <w:r>
        <w:t xml:space="preserve"> </w:t>
      </w:r>
      <w:r>
        <w:t xml:space="preserve">41.9</w:t>
      </w:r>
      <w:r>
        <w:t xml:space="preserve"> </w:t>
      </w:r>
      <w:r>
        <w:t xml:space="preserve">16.0</w:t>
      </w:r>
      <w:r>
        <w:t xml:space="preserve"> </w:t>
      </w:r>
      <w:r>
        <w:t xml:space="preserve">SMEs</w:t>
      </w:r>
      <w:r>
        <w:t xml:space="preserve"> </w:t>
      </w:r>
      <w:r>
        <w:t xml:space="preserve">41.3</w:t>
      </w:r>
      <w:r>
        <w:t xml:space="preserve"> </w:t>
      </w:r>
      <w:r>
        <w:t xml:space="preserve">67.7</w:t>
      </w:r>
      <w:r>
        <w:t xml:space="preserve"> </w:t>
      </w:r>
      <w:r>
        <w:t xml:space="preserve">37.9</w:t>
      </w:r>
      <w:r>
        <w:t xml:space="preserve"> </w:t>
      </w:r>
      <w:r>
        <w:t xml:space="preserve">13.8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3.4</w:t>
      </w:r>
      <w:r>
        <w:t xml:space="preserve"> </w:t>
      </w:r>
      <w:r>
        <w:t xml:space="preserve">6.2</w:t>
      </w:r>
      <w:r>
        <w:t xml:space="preserve"> </w:t>
      </w:r>
      <w:r>
        <w:t xml:space="preserve">4.0</w:t>
      </w:r>
      <w:r>
        <w:t xml:space="preserve"> </w:t>
      </w:r>
      <w:r>
        <w:t xml:space="preserve">2.2</w:t>
      </w:r>
      <w:r>
        <w:t xml:space="preserve"> </w:t>
      </w:r>
      <w:r>
        <w:t xml:space="preserve">Recurrent adjustment costs (in million EUR)</w:t>
      </w:r>
      <w:r>
        <w:t xml:space="preserve"> </w:t>
      </w:r>
      <w:r>
        <w:t xml:space="preserve">23.6</w:t>
      </w:r>
      <w:r>
        <w:t xml:space="preserve"> </w:t>
      </w:r>
      <w:r>
        <w:t xml:space="preserve">41.6</w:t>
      </w:r>
      <w:r>
        <w:t xml:space="preserve"> </w:t>
      </w:r>
      <w:r>
        <w:t xml:space="preserve">23.6</w:t>
      </w:r>
      <w:r>
        <w:t xml:space="preserve"> </w:t>
      </w:r>
      <w:r>
        <w:t xml:space="preserve">9.0</w:t>
      </w:r>
      <w:r>
        <w:t xml:space="preserve"> </w:t>
      </w:r>
      <w:r>
        <w:t xml:space="preserve">SMEs</w:t>
      </w:r>
      <w:r>
        <w:t xml:space="preserve"> </w:t>
      </w:r>
      <w:r>
        <w:t xml:space="preserve">21.8</w:t>
      </w:r>
      <w:r>
        <w:t xml:space="preserve"> </w:t>
      </w:r>
      <w:r>
        <w:t xml:space="preserve">38.3</w:t>
      </w:r>
      <w:r>
        <w:t xml:space="preserve"> </w:t>
      </w:r>
      <w:r>
        <w:t xml:space="preserve">21.4</w:t>
      </w:r>
      <w:r>
        <w:t xml:space="preserve"> </w:t>
      </w:r>
      <w:r>
        <w:t xml:space="preserve">7.7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1.8</w:t>
      </w:r>
      <w:r>
        <w:t xml:space="preserve"> </w:t>
      </w:r>
      <w:r>
        <w:t xml:space="preserve">3.3</w:t>
      </w:r>
      <w:r>
        <w:t xml:space="preserve"> </w:t>
      </w:r>
      <w:r>
        <w:t xml:space="preserve">2.2</w:t>
      </w:r>
      <w:r>
        <w:t xml:space="preserve"> </w:t>
      </w:r>
      <w:r>
        <w:t xml:space="preserve">1.3</w:t>
      </w:r>
      <w:r>
        <w:t xml:space="preserve"> </w:t>
      </w:r>
      <w:r>
        <w:t xml:space="preserve">Total adjustment costs (in million EUR)</w:t>
      </w:r>
      <w:r>
        <w:t xml:space="preserve"> </w:t>
      </w:r>
      <w:r>
        <w:t xml:space="preserve">68.4</w:t>
      </w:r>
      <w:r>
        <w:t xml:space="preserve"> </w:t>
      </w:r>
      <w:r>
        <w:t xml:space="preserve">115.5</w:t>
      </w:r>
      <w:r>
        <w:t xml:space="preserve"> </w:t>
      </w:r>
      <w:r>
        <w:t xml:space="preserve">65.4</w:t>
      </w:r>
      <w:r>
        <w:t xml:space="preserve"> </w:t>
      </w:r>
      <w:r>
        <w:t xml:space="preserve">25.1</w:t>
      </w:r>
      <w:r>
        <w:t xml:space="preserve"> </w:t>
      </w:r>
      <w:r>
        <w:t xml:space="preserve">SMEs</w:t>
      </w:r>
      <w:r>
        <w:t xml:space="preserve"> </w:t>
      </w:r>
      <w:r>
        <w:t xml:space="preserve">63.2</w:t>
      </w:r>
      <w:r>
        <w:t xml:space="preserve"> </w:t>
      </w:r>
      <w:r>
        <w:t xml:space="preserve">106.1</w:t>
      </w:r>
      <w:r>
        <w:t xml:space="preserve"> </w:t>
      </w:r>
      <w:r>
        <w:t xml:space="preserve">59.2</w:t>
      </w:r>
      <w:r>
        <w:t xml:space="preserve"> </w:t>
      </w:r>
      <w:r>
        <w:t xml:space="preserve">21.5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5.2</w:t>
      </w:r>
      <w:r>
        <w:t xml:space="preserve"> </w:t>
      </w:r>
      <w:r>
        <w:t xml:space="preserve">9.5</w:t>
      </w:r>
      <w:r>
        <w:t xml:space="preserve"> </w:t>
      </w:r>
      <w:r>
        <w:t xml:space="preserve">6.2</w:t>
      </w:r>
      <w:r>
        <w:t xml:space="preserve"> </w:t>
      </w:r>
      <w:r>
        <w:t xml:space="preserve">3.5</w:t>
      </w:r>
    </w:p>
    <w:p>
      <w:pPr>
        <w:pStyle w:val="BodyText"/>
      </w:pPr>
      <w:r>
        <w:t xml:space="preserve">102</w:t>
      </w:r>
    </w:p>
    <w:p>
      <w:pPr>
        <w:pStyle w:val="BodyText"/>
      </w:pPr>
      <w:r>
        <w:t xml:space="preserve">Source: Ecorys and CE Delft (2023), Impact assessment support study</w:t>
      </w:r>
      <w:r>
        <w:br/>
      </w:r>
      <w:r>
        <w:t xml:space="preserve">Table 42: type and size of impacted enterprises due to PM1 in PO4 of all enterprises targeted with CountEmissions EU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companies switching or implementing ISO 14083</w:t>
      </w:r>
      <w:r>
        <w:t xml:space="preserve"> </w:t>
      </w:r>
      <w:r>
        <w:t xml:space="preserve">3.0%</w:t>
      </w:r>
      <w:r>
        <w:t xml:space="preserve"> </w:t>
      </w:r>
      <w:r>
        <w:t xml:space="preserve">4.4%</w:t>
      </w:r>
      <w:r>
        <w:t xml:space="preserve"> </w:t>
      </w:r>
      <w:r>
        <w:t xml:space="preserve">4.4%</w:t>
      </w:r>
      <w:r>
        <w:t xml:space="preserve"> </w:t>
      </w:r>
      <w:r>
        <w:t xml:space="preserve">4.4%</w:t>
      </w:r>
      <w:r>
        <w:t xml:space="preserve"> </w:t>
      </w:r>
      <w:r>
        <w:t xml:space="preserve">SMEs</w:t>
      </w:r>
      <w:r>
        <w:t xml:space="preserve"> </w:t>
      </w:r>
      <w:r>
        <w:t xml:space="preserve">2.9%</w:t>
      </w:r>
      <w:r>
        <w:t xml:space="preserve"> </w:t>
      </w:r>
      <w:r>
        <w:t xml:space="preserve">4.4%</w:t>
      </w:r>
      <w:r>
        <w:t xml:space="preserve"> </w:t>
      </w:r>
      <w:r>
        <w:t xml:space="preserve">4.4%</w:t>
      </w:r>
      <w:r>
        <w:t xml:space="preserve"> </w:t>
      </w:r>
      <w:r>
        <w:t xml:space="preserve">4.4%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19.2%</w:t>
      </w:r>
      <w:r>
        <w:t xml:space="preserve"> </w:t>
      </w:r>
      <w:r>
        <w:t xml:space="preserve">31.7%</w:t>
      </w:r>
      <w:r>
        <w:t xml:space="preserve"> </w:t>
      </w:r>
      <w:r>
        <w:t xml:space="preserve">31.7%</w:t>
      </w:r>
      <w:r>
        <w:t xml:space="preserve"> </w:t>
      </w:r>
      <w:r>
        <w:t xml:space="preserve">31.7%</w:t>
      </w:r>
      <w:r>
        <w:t xml:space="preserve"> </w:t>
      </w:r>
      <w:r>
        <w:t xml:space="preserve">Source: Ecorys and CE Delft (2023), Impact assessment support study</w:t>
      </w:r>
      <w:r>
        <w:br/>
      </w:r>
      <w:r>
        <w:t xml:space="preserve">The one-off and recurrent adjustment costs for businesses due to PM1 in PO6 (in conjunction</w:t>
      </w:r>
      <w:r>
        <w:t xml:space="preserve"> </w:t>
      </w:r>
      <w:r>
        <w:t xml:space="preserve">with the mandatory application of CountEmissions EU, due to PM13) for 2025, 2030, 2040 and</w:t>
      </w:r>
      <w:r>
        <w:t xml:space="preserve"> </w:t>
      </w:r>
      <w:r>
        <w:t xml:space="preserve">2050 relative to the baseline are provided in Table 43, together with the number of companies</w:t>
      </w:r>
      <w:r>
        <w:t xml:space="preserve"> </w:t>
      </w:r>
      <w:r>
        <w:t xml:space="preserve">that switch from other methods to ISO 14083 and the additional number of companies that</w:t>
      </w:r>
      <w:r>
        <w:t xml:space="preserve"> </w:t>
      </w:r>
      <w:r>
        <w:t xml:space="preserve">implement ISO 14083 relative to the baseline. Expressed as present value over 2025-2050, the total</w:t>
      </w:r>
      <w:r>
        <w:t xml:space="preserve"> </w:t>
      </w:r>
      <w:r>
        <w:t xml:space="preserve">adjustment costs due to PM1 are estimated at EUR 60.5 billion in PO6 relative to the baseline, of which</w:t>
      </w:r>
      <w:r>
        <w:t xml:space="preserve"> </w:t>
      </w:r>
      <w:r>
        <w:t xml:space="preserve">EUR 40.3 billion one-off adjustment costs.</w:t>
      </w:r>
      <w:r>
        <w:t xml:space="preserve"> </w:t>
      </w:r>
      <w:r>
        <w:t xml:space="preserve">Table 43: One-off and recurrent adjustment costs for business due to PM1 in PO6 (in million EUR, 2022 prices),</w:t>
      </w:r>
      <w:r>
        <w:t xml:space="preserve"> </w:t>
      </w:r>
      <w:r>
        <w:t xml:space="preserve">relative to the baseline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companies that switch from other methods to ISO 14083</w:t>
      </w:r>
      <w:r>
        <w:br/>
      </w:r>
      <w:r>
        <w:t xml:space="preserve">6,152</w:t>
      </w:r>
      <w:r>
        <w:t xml:space="preserve"> </w:t>
      </w:r>
      <w:r>
        <w:t xml:space="preserve">1,720</w:t>
      </w:r>
      <w:r>
        <w:t xml:space="preserve"> </w:t>
      </w:r>
      <w:r>
        <w:t xml:space="preserve">1,546</w:t>
      </w:r>
      <w:r>
        <w:t xml:space="preserve"> </w:t>
      </w:r>
      <w:r>
        <w:t xml:space="preserve">1,389</w:t>
      </w:r>
      <w:r>
        <w:t xml:space="preserve"> </w:t>
      </w:r>
      <w:r>
        <w:t xml:space="preserve">SMEs</w:t>
      </w:r>
      <w:r>
        <w:t xml:space="preserve"> </w:t>
      </w:r>
      <w:r>
        <w:t xml:space="preserve">6,051</w:t>
      </w:r>
      <w:r>
        <w:t xml:space="preserve"> </w:t>
      </w:r>
      <w:r>
        <w:t xml:space="preserve">1,686</w:t>
      </w:r>
      <w:r>
        <w:t xml:space="preserve"> </w:t>
      </w:r>
      <w:r>
        <w:t xml:space="preserve">1,515</w:t>
      </w:r>
      <w:r>
        <w:t xml:space="preserve"> </w:t>
      </w:r>
      <w:r>
        <w:t xml:space="preserve">1,361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101</w:t>
      </w:r>
      <w:r>
        <w:t xml:space="preserve"> </w:t>
      </w:r>
      <w:r>
        <w:t xml:space="preserve">34</w:t>
      </w:r>
      <w:r>
        <w:t xml:space="preserve"> </w:t>
      </w:r>
      <w:r>
        <w:t xml:space="preserve">31</w:t>
      </w:r>
      <w:r>
        <w:t xml:space="preserve"> </w:t>
      </w:r>
      <w:r>
        <w:t xml:space="preserve">28</w:t>
      </w:r>
      <w:r>
        <w:t xml:space="preserve"> </w:t>
      </w:r>
      <w:r>
        <w:t xml:space="preserve">Additional number of companies that implement ISO 14083</w:t>
      </w:r>
      <w:r>
        <w:t xml:space="preserve"> </w:t>
      </w:r>
      <w:r>
        <w:t xml:space="preserve">relative to the baseline</w:t>
      </w:r>
      <w:r>
        <w:t xml:space="preserve"> </w:t>
      </w:r>
      <w:r>
        <w:t xml:space="preserve">110,570</w:t>
      </w:r>
      <w:r>
        <w:t xml:space="preserve"> </w:t>
      </w:r>
      <w:r>
        <w:t xml:space="preserve">918,003</w:t>
      </w:r>
      <w:r>
        <w:t xml:space="preserve"> </w:t>
      </w:r>
      <w:r>
        <w:t xml:space="preserve">1,718,143</w:t>
      </w:r>
      <w:r>
        <w:t xml:space="preserve"> </w:t>
      </w:r>
      <w:r>
        <w:t xml:space="preserve">1,703,841</w:t>
      </w:r>
      <w:r>
        <w:t xml:space="preserve"> </w:t>
      </w:r>
      <w:r>
        <w:t xml:space="preserve">SMEs</w:t>
      </w:r>
      <w:r>
        <w:t xml:space="preserve"> </w:t>
      </w:r>
      <w:r>
        <w:t xml:space="preserve">109,689</w:t>
      </w:r>
      <w:r>
        <w:t xml:space="preserve"> </w:t>
      </w:r>
      <w:r>
        <w:t xml:space="preserve">915,130</w:t>
      </w:r>
      <w:r>
        <w:t xml:space="preserve"> </w:t>
      </w:r>
      <w:r>
        <w:t xml:space="preserve">1,713,423</w:t>
      </w:r>
      <w:r>
        <w:t xml:space="preserve"> </w:t>
      </w:r>
      <w:r>
        <w:t xml:space="preserve">1,699,423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881</w:t>
      </w:r>
      <w:r>
        <w:t xml:space="preserve"> </w:t>
      </w:r>
      <w:r>
        <w:t xml:space="preserve">2,873</w:t>
      </w:r>
      <w:r>
        <w:t xml:space="preserve"> </w:t>
      </w:r>
      <w:r>
        <w:t xml:space="preserve">4,720</w:t>
      </w:r>
      <w:r>
        <w:t xml:space="preserve"> </w:t>
      </w:r>
      <w:r>
        <w:t xml:space="preserve">4,418</w:t>
      </w:r>
      <w:r>
        <w:t xml:space="preserve"> </w:t>
      </w:r>
      <w:r>
        <w:t xml:space="preserve">One-off adjustment costs (in million EUR)</w:t>
      </w:r>
      <w:r>
        <w:t xml:space="preserve"> </w:t>
      </w:r>
      <w:r>
        <w:t xml:space="preserve">210.5</w:t>
      </w:r>
      <w:r>
        <w:t xml:space="preserve"> </w:t>
      </w:r>
      <w:r>
        <w:t xml:space="preserve">1,660.2</w:t>
      </w:r>
      <w:r>
        <w:t xml:space="preserve"> </w:t>
      </w:r>
      <w:r>
        <w:t xml:space="preserve">2,913.4</w:t>
      </w:r>
      <w:r>
        <w:t xml:space="preserve"> </w:t>
      </w:r>
      <w:r>
        <w:t xml:space="preserve">2,698.2</w:t>
      </w:r>
      <w:r>
        <w:t xml:space="preserve"> </w:t>
      </w:r>
      <w:r>
        <w:t xml:space="preserve">SMEs</w:t>
      </w:r>
      <w:r>
        <w:t xml:space="preserve"> </w:t>
      </w:r>
      <w:r>
        <w:t xml:space="preserve">205.4</w:t>
      </w:r>
      <w:r>
        <w:t xml:space="preserve"> </w:t>
      </w:r>
      <w:r>
        <w:t xml:space="preserve">1,644.5</w:t>
      </w:r>
      <w:r>
        <w:t xml:space="preserve"> </w:t>
      </w:r>
      <w:r>
        <w:t xml:space="preserve">2,889.1</w:t>
      </w:r>
      <w:r>
        <w:t xml:space="preserve"> </w:t>
      </w:r>
      <w:r>
        <w:t xml:space="preserve">2,677.1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5.1</w:t>
      </w:r>
      <w:r>
        <w:t xml:space="preserve"> </w:t>
      </w:r>
      <w:r>
        <w:t xml:space="preserve">15.8</w:t>
      </w:r>
      <w:r>
        <w:t xml:space="preserve"> </w:t>
      </w:r>
      <w:r>
        <w:t xml:space="preserve">24.3</w:t>
      </w:r>
      <w:r>
        <w:t xml:space="preserve"> </w:t>
      </w:r>
      <w:r>
        <w:t xml:space="preserve">21.1</w:t>
      </w:r>
      <w:r>
        <w:t xml:space="preserve"> </w:t>
      </w:r>
      <w:r>
        <w:t xml:space="preserve">Recurrent adjustment costs (in million EUR)</w:t>
      </w:r>
      <w:r>
        <w:t xml:space="preserve"> </w:t>
      </w:r>
      <w:r>
        <w:t xml:space="preserve">107.3</w:t>
      </w:r>
      <w:r>
        <w:t xml:space="preserve"> </w:t>
      </w:r>
      <w:r>
        <w:t xml:space="preserve">835.5</w:t>
      </w:r>
      <w:r>
        <w:t xml:space="preserve"> </w:t>
      </w:r>
      <w:r>
        <w:t xml:space="preserve">1,463.0</w:t>
      </w:r>
      <w:r>
        <w:t xml:space="preserve"> </w:t>
      </w:r>
      <w:r>
        <w:t xml:space="preserve">1,353.5</w:t>
      </w:r>
      <w:r>
        <w:t xml:space="preserve"> </w:t>
      </w:r>
      <w:r>
        <w:t xml:space="preserve">SMEs</w:t>
      </w:r>
      <w:r>
        <w:t xml:space="preserve"> </w:t>
      </w:r>
      <w:r>
        <w:t xml:space="preserve">104.7</w:t>
      </w:r>
      <w:r>
        <w:t xml:space="preserve"> </w:t>
      </w:r>
      <w:r>
        <w:t xml:space="preserve">827.2</w:t>
      </w:r>
      <w:r>
        <w:t xml:space="preserve"> </w:t>
      </w:r>
      <w:r>
        <w:t xml:space="preserve">1,450.2</w:t>
      </w:r>
      <w:r>
        <w:t xml:space="preserve"> </w:t>
      </w:r>
      <w:r>
        <w:t xml:space="preserve">1,342.3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2.6</w:t>
      </w:r>
      <w:r>
        <w:t xml:space="preserve"> </w:t>
      </w:r>
      <w:r>
        <w:t xml:space="preserve">8.3</w:t>
      </w:r>
      <w:r>
        <w:t xml:space="preserve"> </w:t>
      </w:r>
      <w:r>
        <w:t xml:space="preserve">12.8</w:t>
      </w:r>
      <w:r>
        <w:t xml:space="preserve"> </w:t>
      </w:r>
      <w:r>
        <w:t xml:space="preserve">11.2</w:t>
      </w:r>
      <w:r>
        <w:t xml:space="preserve"> </w:t>
      </w:r>
      <w:r>
        <w:t xml:space="preserve">Total adjustment costs (in million EUR)</w:t>
      </w:r>
      <w:r>
        <w:t xml:space="preserve"> </w:t>
      </w:r>
      <w:r>
        <w:t xml:space="preserve">317.8</w:t>
      </w:r>
      <w:r>
        <w:t xml:space="preserve"> </w:t>
      </w:r>
      <w:r>
        <w:t xml:space="preserve">2,495.8</w:t>
      </w:r>
      <w:r>
        <w:t xml:space="preserve"> </w:t>
      </w:r>
      <w:r>
        <w:t xml:space="preserve">4,376.3</w:t>
      </w:r>
      <w:r>
        <w:t xml:space="preserve"> </w:t>
      </w:r>
      <w:r>
        <w:t xml:space="preserve">4,051.7</w:t>
      </w:r>
      <w:r>
        <w:t xml:space="preserve"> </w:t>
      </w:r>
      <w:r>
        <w:t xml:space="preserve">SMEs</w:t>
      </w:r>
      <w:r>
        <w:t xml:space="preserve"> </w:t>
      </w:r>
      <w:r>
        <w:t xml:space="preserve">310.1</w:t>
      </w:r>
      <w:r>
        <w:t xml:space="preserve"> </w:t>
      </w:r>
      <w:r>
        <w:t xml:space="preserve">2,471.7</w:t>
      </w:r>
      <w:r>
        <w:t xml:space="preserve"> </w:t>
      </w:r>
      <w:r>
        <w:t xml:space="preserve">4,339.3</w:t>
      </w:r>
      <w:r>
        <w:t xml:space="preserve"> </w:t>
      </w:r>
      <w:r>
        <w:t xml:space="preserve">4,019.4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7.7</w:t>
      </w:r>
      <w:r>
        <w:t xml:space="preserve"> </w:t>
      </w:r>
      <w:r>
        <w:t xml:space="preserve">24.1</w:t>
      </w:r>
      <w:r>
        <w:t xml:space="preserve"> </w:t>
      </w:r>
      <w:r>
        <w:t xml:space="preserve">37.1</w:t>
      </w:r>
      <w:r>
        <w:t xml:space="preserve"> </w:t>
      </w:r>
      <w:r>
        <w:t xml:space="preserve">32.3</w:t>
      </w:r>
      <w:r>
        <w:t xml:space="preserve"> </w:t>
      </w:r>
      <w:r>
        <w:t xml:space="preserve">Source: Ecorys and CE Delft (2023), Impact assessment support study</w:t>
      </w:r>
      <w:r>
        <w:br/>
      </w:r>
      <w:r>
        <w:t xml:space="preserve">Table 44: type and size of impacted enterprises due to PM1 in PO4 of all enterprises targeted with CountEmissions EU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companies switching or implementing ISO 14083</w:t>
      </w:r>
      <w:r>
        <w:t xml:space="preserve"> </w:t>
      </w:r>
      <w:r>
        <w:t xml:space="preserve">8.0%</w:t>
      </w:r>
      <w:r>
        <w:t xml:space="preserve"> </w:t>
      </w:r>
      <w:r>
        <w:t xml:space="preserve">54.0%</w:t>
      </w:r>
      <w:r>
        <w:t xml:space="preserve"> </w:t>
      </w:r>
      <w:r>
        <w:t xml:space="preserve">100.0%</w:t>
      </w:r>
      <w:r>
        <w:t xml:space="preserve"> </w:t>
      </w:r>
      <w:r>
        <w:t xml:space="preserve">100.0%</w:t>
      </w:r>
      <w:r>
        <w:t xml:space="preserve"> </w:t>
      </w:r>
      <w:r>
        <w:t xml:space="preserve">SMEs</w:t>
      </w:r>
      <w:r>
        <w:t xml:space="preserve"> </w:t>
      </w:r>
      <w:r>
        <w:t xml:space="preserve">7.9%</w:t>
      </w:r>
      <w:r>
        <w:t xml:space="preserve"> </w:t>
      </w:r>
      <w:r>
        <w:t xml:space="preserve">54.0%</w:t>
      </w:r>
      <w:r>
        <w:t xml:space="preserve"> </w:t>
      </w:r>
      <w:r>
        <w:t xml:space="preserve">100.0%</w:t>
      </w:r>
      <w:r>
        <w:t xml:space="preserve"> </w:t>
      </w:r>
      <w:r>
        <w:t xml:space="preserve">100.0%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24.2%</w:t>
      </w:r>
      <w:r>
        <w:t xml:space="preserve"> </w:t>
      </w:r>
      <w:r>
        <w:t xml:space="preserve">62.0%</w:t>
      </w:r>
      <w:r>
        <w:t xml:space="preserve"> </w:t>
      </w:r>
      <w:r>
        <w:t xml:space="preserve">100.0%</w:t>
      </w:r>
      <w:r>
        <w:t xml:space="preserve"> </w:t>
      </w:r>
      <w:r>
        <w:t xml:space="preserve">100.0%</w:t>
      </w:r>
      <w:r>
        <w:t xml:space="preserve"> </w:t>
      </w:r>
      <w:r>
        <w:t xml:space="preserve">Source: Ecorys and CE Delft (2023), Impact assessment support study</w:t>
      </w:r>
      <w:r>
        <w:br/>
      </w:r>
      <w:r>
        <w:t xml:space="preserve">According to stakeholders’ feedback, meetings with experts and desk research, the alignment</w:t>
      </w:r>
      <w:r>
        <w:t xml:space="preserve"> </w:t>
      </w:r>
      <w:r>
        <w:t xml:space="preserve">with a global standard provided by ISO 14083 would allow for better comparability and usability</w:t>
      </w:r>
      <w:r>
        <w:t xml:space="preserve"> </w:t>
      </w:r>
      <w:r>
        <w:t xml:space="preserve">by the businesses across the world.</w:t>
      </w:r>
    </w:p>
    <w:p>
      <w:pPr>
        <w:pStyle w:val="BodyText"/>
      </w:pPr>
      <w:r>
        <w:t xml:space="preserve">103</w:t>
      </w:r>
    </w:p>
    <w:p>
      <w:pPr>
        <w:pStyle w:val="BodyText"/>
      </w:pPr>
      <w:r>
        <w:t xml:space="preserve">PM2: Product Environmental Footprint Category Rules (PEFCR) for GHG emissions in</w:t>
      </w:r>
      <w:r>
        <w:t xml:space="preserve"> </w:t>
      </w:r>
      <w:r>
        <w:t xml:space="preserve">transport, including rules for transport services, is set as common reference methodology at</w:t>
      </w:r>
      <w:r>
        <w:t xml:space="preserve"> </w:t>
      </w:r>
      <w:r>
        <w:t xml:space="preserve">EU level</w:t>
      </w:r>
      <w:r>
        <w:t xml:space="preserve"> </w:t>
      </w:r>
      <w:r>
        <w:t xml:space="preserve">In PM2 (included in PO5), the PEFCR methodology is set as common reference methodology</w:t>
      </w:r>
      <w:r>
        <w:t xml:space="preserve"> </w:t>
      </w:r>
      <w:r>
        <w:t xml:space="preserve">for quantifying GHG emissions at EU level. It covers Life Cycle GHG emissions related to</w:t>
      </w:r>
      <w:r>
        <w:t xml:space="preserve"> </w:t>
      </w:r>
      <w:r>
        <w:t xml:space="preserve">transport operations, including emissions from the production of fuels, vehicles and equipment.</w:t>
      </w:r>
      <w:r>
        <w:t xml:space="preserve"> </w:t>
      </w:r>
      <w:r>
        <w:t xml:space="preserve">PEFCR is taken as the basis to develop Product Environmental Footprint Category Rules for the</w:t>
      </w:r>
      <w:r>
        <w:t xml:space="preserve"> </w:t>
      </w:r>
      <w:r>
        <w:t xml:space="preserve">transport sector, with a focus on GHG emissions.</w:t>
      </w:r>
      <w:r>
        <w:t xml:space="preserve"> </w:t>
      </w:r>
      <w:r>
        <w:t xml:space="preserve">Adjustment costs for European Commission</w:t>
      </w:r>
      <w:r>
        <w:t xml:space="preserve"> </w:t>
      </w:r>
      <w:r>
        <w:t xml:space="preserve">The Category Rules for transport of the Product Environmental Footprint methodology have not been</w:t>
      </w:r>
      <w:r>
        <w:t xml:space="preserve"> </w:t>
      </w:r>
      <w:r>
        <w:t xml:space="preserve">yet developed. The budget to be dedicated to studies to develop the Category Rules for transport is</w:t>
      </w:r>
      <w:r>
        <w:t xml:space="preserve"> </w:t>
      </w:r>
      <w:r>
        <w:t xml:space="preserve">estimated at EUR 1.5 million per Category Rule.</w:t>
      </w:r>
      <w:r>
        <w:br/>
      </w:r>
      <w:r>
        <w:t xml:space="preserve">Based on previous work done in the context of ESPR198 and aviation label, for covering all transport</w:t>
      </w:r>
      <w:r>
        <w:t xml:space="preserve"> </w:t>
      </w:r>
      <w:r>
        <w:t xml:space="preserve">services 4 Category Rules are needed (road, maritime and IWW, aviation, rail). However, the work on</w:t>
      </w:r>
      <w:r>
        <w:t xml:space="preserve"> </w:t>
      </w:r>
      <w:r>
        <w:t xml:space="preserve">aviation has already started and part of these costs (50%) are included in the baseline. Thus, the one-</w:t>
      </w:r>
      <w:r>
        <w:t xml:space="preserve"> </w:t>
      </w:r>
      <w:r>
        <w:t xml:space="preserve">off adjustment costs for the European Commission in 2025 are estimated at EUR 5.25 million relative</w:t>
      </w:r>
      <w:r>
        <w:t xml:space="preserve"> </w:t>
      </w:r>
      <w:r>
        <w:t xml:space="preserve">to the baseline (in 2022 prices).</w:t>
      </w:r>
      <w:r>
        <w:br/>
      </w:r>
      <w:r>
        <w:t xml:space="preserve">Adjustment costs for businesses</w:t>
      </w:r>
      <w:r>
        <w:t xml:space="preserve"> </w:t>
      </w:r>
      <w:r>
        <w:t xml:space="preserve">The setting of the Product Environmental Footprint (PEF) Category Rules as common reference</w:t>
      </w:r>
      <w:r>
        <w:t xml:space="preserve"> </w:t>
      </w:r>
      <w:r>
        <w:t xml:space="preserve">methodology for CountEmissions EU to quantify GHG emissions from transport services, driven</w:t>
      </w:r>
      <w:r>
        <w:t xml:space="preserve"> </w:t>
      </w:r>
      <w:r>
        <w:t xml:space="preserve">by PM2 (in PO5), is expected to lead to additional costs relative to the baseline for the new</w:t>
      </w:r>
      <w:r>
        <w:t xml:space="preserve"> </w:t>
      </w:r>
      <w:r>
        <w:t xml:space="preserve">businesses performing GHG emissions accounting but also for the businesses that are already</w:t>
      </w:r>
      <w:r>
        <w:t xml:space="preserve"> </w:t>
      </w:r>
      <w:r>
        <w:t xml:space="preserve">quantifying GHG emissions and would need to switch to PEFCR.</w:t>
      </w:r>
      <w:r>
        <w:br/>
      </w:r>
      <w:r>
        <w:t xml:space="preserve">Businesses already quantifying GHG emissions in the baseline will need to adjust their processes</w:t>
      </w:r>
      <w:r>
        <w:t xml:space="preserve"> </w:t>
      </w:r>
      <w:r>
        <w:t xml:space="preserve">to be in line with the PEF requirements, once the Category Rules for transport are developed,</w:t>
      </w:r>
      <w:r>
        <w:t xml:space="preserve"> </w:t>
      </w:r>
      <w:r>
        <w:t xml:space="preserve">resulting in one-off adjustment costs that are different per type and size of business199. The</w:t>
      </w:r>
      <w:r>
        <w:t xml:space="preserve"> </w:t>
      </w:r>
      <w:r>
        <w:t xml:space="preserve">recurrent adjustment costs are also expected to be higher than in the baseline. New businesses</w:t>
      </w:r>
      <w:r>
        <w:t xml:space="preserve"> </w:t>
      </w:r>
      <w:r>
        <w:t xml:space="preserve">performing GHG emissions accounting are also expected to be faced with one-off adjustment</w:t>
      </w:r>
      <w:r>
        <w:t xml:space="preserve"> </w:t>
      </w:r>
      <w:r>
        <w:t xml:space="preserve">costs for implementing the processes and annual recurrent costs. Table 45 shows the different</w:t>
      </w:r>
      <w:r>
        <w:t xml:space="preserve"> </w:t>
      </w:r>
      <w:r>
        <w:t xml:space="preserve">unit costs per type of business for adopting PEFCR as common reference methodology, based</w:t>
      </w:r>
      <w:r>
        <w:t xml:space="preserve"> </w:t>
      </w:r>
      <w:r>
        <w:t xml:space="preserve">on stakeholder’s feedbacks and desk research200. These costs cover labour costs. The</w:t>
      </w:r>
      <w:r>
        <w:t xml:space="preserve"> </w:t>
      </w:r>
      <w:r>
        <w:t xml:space="preserve">documentation for PEFCR is assumed to be free of charge.</w:t>
      </w:r>
    </w:p>
    <w:p>
      <w:pPr>
        <w:pStyle w:val="BodyText"/>
      </w:pPr>
      <w:r>
        <w:t xml:space="preserve">198 COM(2022) 142 final</w:t>
      </w:r>
      <w:r>
        <w:t xml:space="preserve"> </w:t>
      </w:r>
      <w:r>
        <w:t xml:space="preserve">199 The adjustment is assumed to be gradual over time, i.e. 20% of the companies that are quantifying GHG</w:t>
      </w:r>
      <w:r>
        <w:t xml:space="preserve"> </w:t>
      </w:r>
      <w:r>
        <w:t xml:space="preserve">emissions at service level in the baseline are assumed to switch to the new methodology each year between 2025</w:t>
      </w:r>
      <w:r>
        <w:t xml:space="preserve"> </w:t>
      </w:r>
      <w:r>
        <w:t xml:space="preserve">and 2030. Post-2030, only the additional number of companies that are quantifying GHG emissions at service level</w:t>
      </w:r>
      <w:r>
        <w:t xml:space="preserve"> </w:t>
      </w:r>
      <w:r>
        <w:t xml:space="preserve">in the baseline relative to the previous year are assumed to switch to the new methodology.</w:t>
      </w:r>
      <w:r>
        <w:br/>
      </w:r>
      <w:r>
        <w:t xml:space="preserve">200 The number of hours worked and thus the unit costs per transport service are assumed to go down over time, by</w:t>
      </w:r>
      <w:r>
        <w:t xml:space="preserve"> </w:t>
      </w:r>
      <w:r>
        <w:t xml:space="preserve">15% by 2050 relative to 2020, due to the learning effects.</w:t>
      </w:r>
    </w:p>
    <w:p>
      <w:pPr>
        <w:pStyle w:val="BodyText"/>
      </w:pPr>
      <w:r>
        <w:t xml:space="preserve">104</w:t>
      </w:r>
    </w:p>
    <w:p>
      <w:pPr>
        <w:pStyle w:val="BodyText"/>
      </w:pPr>
      <w:r>
        <w:t xml:space="preserve">Table 45: Unit adjustment costs per type of business due to PM2 in PO5 (in EUR, 2022 prices)</w:t>
      </w:r>
      <w:r>
        <w:t xml:space="preserve"> </w:t>
      </w:r>
      <w:r>
        <w:t xml:space="preserve">Costs associated with calculation (in</w:t>
      </w:r>
      <w:r>
        <w:t xml:space="preserve"> </w:t>
      </w:r>
      <w:r>
        <w:t xml:space="preserve">EUR), in 2022 prices</w:t>
      </w:r>
      <w:r>
        <w:t xml:space="preserve"> </w:t>
      </w:r>
      <w:r>
        <w:t xml:space="preserve">TSO</w:t>
      </w:r>
      <w:r>
        <w:t xml:space="preserve"> </w:t>
      </w:r>
      <w:r>
        <w:t xml:space="preserve">(SME)</w:t>
      </w:r>
      <w:r>
        <w:t xml:space="preserve"> </w:t>
      </w:r>
      <w:r>
        <w:t xml:space="preserve">TSU</w:t>
      </w:r>
      <w:r>
        <w:t xml:space="preserve"> </w:t>
      </w:r>
      <w:r>
        <w:t xml:space="preserve">(SME)</w:t>
      </w:r>
      <w:r>
        <w:t xml:space="preserve"> </w:t>
      </w:r>
      <w:r>
        <w:t xml:space="preserve">HO</w:t>
      </w:r>
      <w:r>
        <w:t xml:space="preserve"> </w:t>
      </w:r>
      <w:r>
        <w:t xml:space="preserve">(SME)</w:t>
      </w:r>
      <w:r>
        <w:t xml:space="preserve"> </w:t>
      </w:r>
      <w:r>
        <w:t xml:space="preserve">TSO</w:t>
      </w:r>
      <w:r>
        <w:t xml:space="preserve"> </w:t>
      </w:r>
      <w:r>
        <w:t xml:space="preserve">(Large)</w:t>
      </w:r>
      <w:r>
        <w:t xml:space="preserve"> </w:t>
      </w:r>
      <w:r>
        <w:t xml:space="preserve">TSU</w:t>
      </w:r>
      <w:r>
        <w:t xml:space="preserve"> </w:t>
      </w:r>
      <w:r>
        <w:t xml:space="preserve">(Large)</w:t>
      </w:r>
      <w:r>
        <w:t xml:space="preserve"> </w:t>
      </w:r>
      <w:r>
        <w:t xml:space="preserve">HO</w:t>
      </w:r>
      <w:r>
        <w:t xml:space="preserve"> </w:t>
      </w:r>
      <w:r>
        <w:t xml:space="preserve">(Large)</w:t>
      </w:r>
      <w:r>
        <w:t xml:space="preserve"> </w:t>
      </w:r>
      <w:r>
        <w:t xml:space="preserve">One-off costs for starting implementing</w:t>
      </w:r>
      <w:r>
        <w:t xml:space="preserve"> </w:t>
      </w:r>
      <w:r>
        <w:t xml:space="preserve">the GHG emission accounting (i.e. </w:t>
      </w:r>
      <w:r>
        <w:t xml:space="preserve"> </w:t>
      </w:r>
      <w:r>
        <w:t xml:space="preserve">PEFCR)</w:t>
      </w:r>
      <w:r>
        <w:t xml:space="preserve"> </w:t>
      </w:r>
      <w:r>
        <w:t xml:space="preserve">3,092</w:t>
      </w:r>
      <w:r>
        <w:t xml:space="preserve"> </w:t>
      </w:r>
      <w:r>
        <w:t xml:space="preserve">3,619</w:t>
      </w:r>
      <w:r>
        <w:t xml:space="preserve"> </w:t>
      </w:r>
      <w:r>
        <w:t xml:space="preserve">3,092</w:t>
      </w:r>
      <w:r>
        <w:t xml:space="preserve"> </w:t>
      </w:r>
      <w:r>
        <w:t xml:space="preserve">11,502</w:t>
      </w:r>
      <w:r>
        <w:t xml:space="preserve"> </w:t>
      </w:r>
      <w:r>
        <w:t xml:space="preserve">16,560</w:t>
      </w:r>
      <w:r>
        <w:t xml:space="preserve"> </w:t>
      </w:r>
      <w:r>
        <w:t xml:space="preserve">11,502</w:t>
      </w:r>
      <w:r>
        <w:t xml:space="preserve"> </w:t>
      </w:r>
      <w:r>
        <w:t xml:space="preserve">One-off costs for switching to the PEFCR</w:t>
      </w:r>
      <w:r>
        <w:t xml:space="preserve"> </w:t>
      </w:r>
      <w:r>
        <w:t xml:space="preserve">GHG emission accounting method</w:t>
      </w:r>
      <w:r>
        <w:t xml:space="preserve"> </w:t>
      </w:r>
      <w:r>
        <w:t xml:space="preserve">2,671</w:t>
      </w:r>
      <w:r>
        <w:t xml:space="preserve"> </w:t>
      </w:r>
      <w:r>
        <w:t xml:space="preserve">3,066</w:t>
      </w:r>
      <w:r>
        <w:t xml:space="preserve"> </w:t>
      </w:r>
      <w:r>
        <w:t xml:space="preserve">2,671</w:t>
      </w:r>
      <w:r>
        <w:t xml:space="preserve"> </w:t>
      </w:r>
      <w:r>
        <w:t xml:space="preserve">9,447</w:t>
      </w:r>
      <w:r>
        <w:t xml:space="preserve"> </w:t>
      </w:r>
      <w:r>
        <w:t xml:space="preserve">13,241</w:t>
      </w:r>
      <w:r>
        <w:t xml:space="preserve"> </w:t>
      </w:r>
      <w:r>
        <w:t xml:space="preserve">9,447</w:t>
      </w:r>
      <w:r>
        <w:t xml:space="preserve"> </w:t>
      </w:r>
      <w:r>
        <w:t xml:space="preserve">Annual recurrent costs</w:t>
      </w:r>
      <w:r>
        <w:t xml:space="preserve"> </w:t>
      </w:r>
      <w:r>
        <w:t xml:space="preserve">2,108</w:t>
      </w:r>
      <w:r>
        <w:t xml:space="preserve"> </w:t>
      </w:r>
      <w:r>
        <w:t xml:space="preserve">1,054</w:t>
      </w:r>
      <w:r>
        <w:t xml:space="preserve"> </w:t>
      </w:r>
      <w:r>
        <w:t xml:space="preserve">2,108</w:t>
      </w:r>
      <w:r>
        <w:t xml:space="preserve"> </w:t>
      </w:r>
      <w:r>
        <w:t xml:space="preserve">5,901</w:t>
      </w:r>
      <w:r>
        <w:t xml:space="preserve"> </w:t>
      </w:r>
      <w:r>
        <w:t xml:space="preserve">5,058</w:t>
      </w:r>
      <w:r>
        <w:t xml:space="preserve"> </w:t>
      </w:r>
      <w:r>
        <w:t xml:space="preserve">5,901</w:t>
      </w:r>
      <w:r>
        <w:t xml:space="preserve"> </w:t>
      </w:r>
      <w:r>
        <w:t xml:space="preserve">Source: Ecorys and CE Delft (2023), Impact assessment support study; Note: ‘Large’ stands for large businesses</w:t>
      </w:r>
      <w:r>
        <w:t xml:space="preserve"> </w:t>
      </w:r>
      <w:r>
        <w:t xml:space="preserve">The total one-off and recurrent adjustment costs for businesses due to PM2 in PO5 (in</w:t>
      </w:r>
      <w:r>
        <w:t xml:space="preserve"> </w:t>
      </w:r>
      <w:r>
        <w:t xml:space="preserve">conjunction with the binding opt-in application of CountEmissions EU, due to PM14) for 2025,</w:t>
      </w:r>
      <w:r>
        <w:t xml:space="preserve"> </w:t>
      </w:r>
      <w:r>
        <w:t xml:space="preserve">2030, 2040 and 2050 relative to the baseline are provided in Table 46, together with the number</w:t>
      </w:r>
      <w:r>
        <w:t xml:space="preserve"> </w:t>
      </w:r>
      <w:r>
        <w:t xml:space="preserve">of companies that switch from other methods to PEFCR and the additional number of companies</w:t>
      </w:r>
      <w:r>
        <w:t xml:space="preserve"> </w:t>
      </w:r>
      <w:r>
        <w:t xml:space="preserve">that implement PEFCR relative to the baseline. The costs are also provided by company size</w:t>
      </w:r>
      <w:r>
        <w:t xml:space="preserve"> </w:t>
      </w:r>
      <w:r>
        <w:t xml:space="preserve">(large and SME). Expressed as present value over 2025-2050, the total adjustment costs due to PM2</w:t>
      </w:r>
      <w:r>
        <w:t xml:space="preserve"> </w:t>
      </w:r>
      <w:r>
        <w:t xml:space="preserve">are estimated at EUR 1.6 billion in PO5 relative to the baseline, of which EUR 1.1 billion one-off</w:t>
      </w:r>
      <w:r>
        <w:t xml:space="preserve"> </w:t>
      </w:r>
      <w:r>
        <w:t xml:space="preserve">adjustment costs.</w:t>
      </w:r>
      <w:r>
        <w:br/>
      </w:r>
      <w:r>
        <w:t xml:space="preserve">Table 46: One-off and recurrent adjustment costs for business due to PM2 in PO5 (in million EUR, 2022 prices),</w:t>
      </w:r>
      <w:r>
        <w:t xml:space="preserve"> </w:t>
      </w:r>
      <w:r>
        <w:t xml:space="preserve">relative to the baseline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companies that switch from other methods to PEFCR</w:t>
      </w:r>
      <w:r>
        <w:t xml:space="preserve"> </w:t>
      </w:r>
      <w:r>
        <w:t xml:space="preserve">6,152</w:t>
      </w:r>
      <w:r>
        <w:t xml:space="preserve"> </w:t>
      </w:r>
      <w:r>
        <w:t xml:space="preserve">1,720</w:t>
      </w:r>
      <w:r>
        <w:t xml:space="preserve"> </w:t>
      </w:r>
      <w:r>
        <w:t xml:space="preserve">1,546</w:t>
      </w:r>
      <w:r>
        <w:t xml:space="preserve"> </w:t>
      </w:r>
      <w:r>
        <w:t xml:space="preserve">1,389</w:t>
      </w:r>
      <w:r>
        <w:t xml:space="preserve"> </w:t>
      </w:r>
      <w:r>
        <w:t xml:space="preserve">SMEs</w:t>
      </w:r>
      <w:r>
        <w:t xml:space="preserve"> </w:t>
      </w:r>
      <w:r>
        <w:t xml:space="preserve">6,051</w:t>
      </w:r>
      <w:r>
        <w:t xml:space="preserve"> </w:t>
      </w:r>
      <w:r>
        <w:t xml:space="preserve">1,686</w:t>
      </w:r>
      <w:r>
        <w:t xml:space="preserve"> </w:t>
      </w:r>
      <w:r>
        <w:t xml:space="preserve">1,515</w:t>
      </w:r>
      <w:r>
        <w:t xml:space="preserve"> </w:t>
      </w:r>
      <w:r>
        <w:t xml:space="preserve">1,361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101</w:t>
      </w:r>
      <w:r>
        <w:t xml:space="preserve"> </w:t>
      </w:r>
      <w:r>
        <w:t xml:space="preserve">34</w:t>
      </w:r>
      <w:r>
        <w:t xml:space="preserve"> </w:t>
      </w:r>
      <w:r>
        <w:t xml:space="preserve">31</w:t>
      </w:r>
      <w:r>
        <w:t xml:space="preserve"> </w:t>
      </w:r>
      <w:r>
        <w:t xml:space="preserve">28</w:t>
      </w:r>
      <w:r>
        <w:t xml:space="preserve"> </w:t>
      </w:r>
      <w:r>
        <w:t xml:space="preserve">Additional number of companies that implement PEFCR</w:t>
      </w:r>
      <w:r>
        <w:t xml:space="preserve"> </w:t>
      </w:r>
      <w:r>
        <w:t xml:space="preserve">relative to the baseline</w:t>
      </w:r>
      <w:r>
        <w:t xml:space="preserve"> </w:t>
      </w:r>
      <w:r>
        <w:t xml:space="preserve">12,202</w:t>
      </w:r>
      <w:r>
        <w:t xml:space="preserve"> </w:t>
      </w:r>
      <w:r>
        <w:t xml:space="preserve">25,102</w:t>
      </w:r>
      <w:r>
        <w:t xml:space="preserve"> </w:t>
      </w:r>
      <w:r>
        <w:t xml:space="preserve">9,278</w:t>
      </w:r>
      <w:r>
        <w:t xml:space="preserve"> </w:t>
      </w:r>
      <w:r>
        <w:t xml:space="preserve">2,783</w:t>
      </w:r>
      <w:r>
        <w:t xml:space="preserve"> </w:t>
      </w:r>
      <w:r>
        <w:t xml:space="preserve">SMEs</w:t>
      </w:r>
      <w:r>
        <w:t xml:space="preserve"> </w:t>
      </w:r>
      <w:r>
        <w:t xml:space="preserve">11,629</w:t>
      </w:r>
      <w:r>
        <w:t xml:space="preserve"> </w:t>
      </w:r>
      <w:r>
        <w:t xml:space="preserve">24,006</w:t>
      </w:r>
      <w:r>
        <w:t xml:space="preserve"> </w:t>
      </w:r>
      <w:r>
        <w:t xml:space="preserve">8,513</w:t>
      </w:r>
      <w:r>
        <w:t xml:space="preserve"> </w:t>
      </w:r>
      <w:r>
        <w:t xml:space="preserve">2,320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573</w:t>
      </w:r>
      <w:r>
        <w:t xml:space="preserve"> </w:t>
      </w:r>
      <w:r>
        <w:t xml:space="preserve">1,096</w:t>
      </w:r>
      <w:r>
        <w:t xml:space="preserve"> </w:t>
      </w:r>
      <w:r>
        <w:t xml:space="preserve">765</w:t>
      </w:r>
      <w:r>
        <w:t xml:space="preserve"> </w:t>
      </w:r>
      <w:r>
        <w:t xml:space="preserve">463</w:t>
      </w:r>
      <w:r>
        <w:t xml:space="preserve"> </w:t>
      </w:r>
      <w:r>
        <w:t xml:space="preserve">One-off adjustment costs (in million EUR)</w:t>
      </w:r>
      <w:r>
        <w:t xml:space="preserve"> </w:t>
      </w:r>
      <w:r>
        <w:t xml:space="preserve">63.1</w:t>
      </w:r>
      <w:r>
        <w:t xml:space="preserve"> </w:t>
      </w:r>
      <w:r>
        <w:t xml:space="preserve">94.6</w:t>
      </w:r>
      <w:r>
        <w:t xml:space="preserve"> </w:t>
      </w:r>
      <w:r>
        <w:t xml:space="preserve">38.8</w:t>
      </w:r>
      <w:r>
        <w:t xml:space="preserve"> </w:t>
      </w:r>
      <w:r>
        <w:t xml:space="preserve">14.6</w:t>
      </w:r>
      <w:r>
        <w:t xml:space="preserve"> </w:t>
      </w:r>
      <w:r>
        <w:t xml:space="preserve">SMEs</w:t>
      </w:r>
      <w:r>
        <w:t xml:space="preserve"> </w:t>
      </w:r>
      <w:r>
        <w:t xml:space="preserve">54.2</w:t>
      </w:r>
      <w:r>
        <w:t xml:space="preserve"> </w:t>
      </w:r>
      <w:r>
        <w:t xml:space="preserve">79.7</w:t>
      </w:r>
      <w:r>
        <w:t xml:space="preserve"> </w:t>
      </w:r>
      <w:r>
        <w:t xml:space="preserve">29.3</w:t>
      </w:r>
      <w:r>
        <w:t xml:space="preserve"> </w:t>
      </w:r>
      <w:r>
        <w:t xml:space="preserve">9.6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8.9</w:t>
      </w:r>
      <w:r>
        <w:t xml:space="preserve"> </w:t>
      </w:r>
      <w:r>
        <w:t xml:space="preserve">14.8</w:t>
      </w:r>
      <w:r>
        <w:t xml:space="preserve"> </w:t>
      </w:r>
      <w:r>
        <w:t xml:space="preserve">9.4</w:t>
      </w:r>
      <w:r>
        <w:t xml:space="preserve"> </w:t>
      </w:r>
      <w:r>
        <w:t xml:space="preserve">5.0</w:t>
      </w:r>
      <w:r>
        <w:t xml:space="preserve"> </w:t>
      </w:r>
      <w:r>
        <w:t xml:space="preserve">Recurrent adjustment costs (in million EUR)</w:t>
      </w:r>
      <w:r>
        <w:t xml:space="preserve"> </w:t>
      </w:r>
      <w:r>
        <w:t xml:space="preserve">29.9</w:t>
      </w:r>
      <w:r>
        <w:t xml:space="preserve"> </w:t>
      </w:r>
      <w:r>
        <w:t xml:space="preserve">50.0</w:t>
      </w:r>
      <w:r>
        <w:t xml:space="preserve"> </w:t>
      </w:r>
      <w:r>
        <w:t xml:space="preserve">18.3</w:t>
      </w:r>
      <w:r>
        <w:t xml:space="preserve"> </w:t>
      </w:r>
      <w:r>
        <w:t xml:space="preserve">6.9</w:t>
      </w:r>
      <w:r>
        <w:t xml:space="preserve"> </w:t>
      </w:r>
      <w:r>
        <w:t xml:space="preserve">SMEs</w:t>
      </w:r>
      <w:r>
        <w:t xml:space="preserve"> </w:t>
      </w:r>
      <w:r>
        <w:t xml:space="preserve">26.5</w:t>
      </w:r>
      <w:r>
        <w:t xml:space="preserve"> </w:t>
      </w:r>
      <w:r>
        <w:t xml:space="preserve">44.0</w:t>
      </w:r>
      <w:r>
        <w:t xml:space="preserve"> </w:t>
      </w:r>
      <w:r>
        <w:t xml:space="preserve">14.3</w:t>
      </w:r>
      <w:r>
        <w:t xml:space="preserve"> </w:t>
      </w:r>
      <w:r>
        <w:t xml:space="preserve">4.6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3.4</w:t>
      </w:r>
      <w:r>
        <w:t xml:space="preserve"> </w:t>
      </w:r>
      <w:r>
        <w:t xml:space="preserve">6.0</w:t>
      </w:r>
      <w:r>
        <w:t xml:space="preserve"> </w:t>
      </w:r>
      <w:r>
        <w:t xml:space="preserve">4.0</w:t>
      </w:r>
      <w:r>
        <w:t xml:space="preserve"> </w:t>
      </w:r>
      <w:r>
        <w:t xml:space="preserve">2.3</w:t>
      </w:r>
      <w:r>
        <w:t xml:space="preserve"> </w:t>
      </w:r>
      <w:r>
        <w:t xml:space="preserve">Total adjustment costs (in million EUR)</w:t>
      </w:r>
      <w:r>
        <w:t xml:space="preserve"> </w:t>
      </w:r>
      <w:r>
        <w:t xml:space="preserve">93.0</w:t>
      </w:r>
      <w:r>
        <w:t xml:space="preserve"> </w:t>
      </w:r>
      <w:r>
        <w:t xml:space="preserve">144.6</w:t>
      </w:r>
      <w:r>
        <w:t xml:space="preserve"> </w:t>
      </w:r>
      <w:r>
        <w:t xml:space="preserve">57.1</w:t>
      </w:r>
      <w:r>
        <w:t xml:space="preserve"> </w:t>
      </w:r>
      <w:r>
        <w:t xml:space="preserve">21.5</w:t>
      </w:r>
      <w:r>
        <w:t xml:space="preserve"> </w:t>
      </w:r>
      <w:r>
        <w:t xml:space="preserve">SMEs</w:t>
      </w:r>
      <w:r>
        <w:t xml:space="preserve"> </w:t>
      </w:r>
      <w:r>
        <w:t xml:space="preserve">80.7</w:t>
      </w:r>
      <w:r>
        <w:t xml:space="preserve"> </w:t>
      </w:r>
      <w:r>
        <w:t xml:space="preserve">123.8</w:t>
      </w:r>
      <w:r>
        <w:t xml:space="preserve"> </w:t>
      </w:r>
      <w:r>
        <w:t xml:space="preserve">43.7</w:t>
      </w:r>
      <w:r>
        <w:t xml:space="preserve"> </w:t>
      </w:r>
      <w:r>
        <w:t xml:space="preserve">14.1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12.4</w:t>
      </w:r>
      <w:r>
        <w:t xml:space="preserve"> </w:t>
      </w:r>
      <w:r>
        <w:t xml:space="preserve">20.8</w:t>
      </w:r>
      <w:r>
        <w:t xml:space="preserve"> </w:t>
      </w:r>
      <w:r>
        <w:t xml:space="preserve">13.4</w:t>
      </w:r>
      <w:r>
        <w:t xml:space="preserve"> </w:t>
      </w:r>
      <w:r>
        <w:t xml:space="preserve">7.4</w:t>
      </w:r>
      <w:r>
        <w:t xml:space="preserve"> </w:t>
      </w:r>
      <w:r>
        <w:t xml:space="preserve">Source: Ecorys and CE Delft (2023), Impact assessment support study</w:t>
      </w:r>
      <w:r>
        <w:t xml:space="preserve"> </w:t>
      </w:r>
      <w:r>
        <w:t xml:space="preserve">Table 47: type and size of impacted enterprises due to PM2 in PO5 of all enterprises targeted with CountEmissions EU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companies switching or implementing PEF CR</w:t>
      </w:r>
      <w:r>
        <w:t xml:space="preserve"> </w:t>
      </w:r>
      <w:r>
        <w:t xml:space="preserve">2.4%</w:t>
      </w:r>
      <w:r>
        <w:t xml:space="preserve"> </w:t>
      </w:r>
      <w:r>
        <w:t xml:space="preserve">3.6%</w:t>
      </w:r>
      <w:r>
        <w:t xml:space="preserve"> </w:t>
      </w:r>
      <w:r>
        <w:t xml:space="preserve">3.6%</w:t>
      </w:r>
      <w:r>
        <w:t xml:space="preserve"> </w:t>
      </w:r>
      <w:r>
        <w:t xml:space="preserve">4.1%</w:t>
      </w:r>
      <w:r>
        <w:t xml:space="preserve"> </w:t>
      </w:r>
      <w:r>
        <w:t xml:space="preserve">SMEs</w:t>
      </w:r>
      <w:r>
        <w:t xml:space="preserve"> </w:t>
      </w:r>
      <w:r>
        <w:t xml:space="preserve">2.4%</w:t>
      </w:r>
      <w:r>
        <w:t xml:space="preserve"> </w:t>
      </w:r>
      <w:r>
        <w:t xml:space="preserve">3.5%</w:t>
      </w:r>
      <w:r>
        <w:t xml:space="preserve"> </w:t>
      </w:r>
      <w:r>
        <w:t xml:space="preserve">3.6%</w:t>
      </w:r>
      <w:r>
        <w:t xml:space="preserve"> </w:t>
      </w:r>
      <w:r>
        <w:t xml:space="preserve">4.0%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18.8%</w:t>
      </w:r>
      <w:r>
        <w:t xml:space="preserve"> </w:t>
      </w:r>
      <w:r>
        <w:t xml:space="preserve">31.1%</w:t>
      </w:r>
      <w:r>
        <w:t xml:space="preserve"> </w:t>
      </w:r>
      <w:r>
        <w:t xml:space="preserve">31.1%</w:t>
      </w:r>
      <w:r>
        <w:t xml:space="preserve"> </w:t>
      </w:r>
      <w:r>
        <w:t xml:space="preserve">31.1%</w:t>
      </w:r>
      <w:r>
        <w:t xml:space="preserve"> </w:t>
      </w:r>
      <w:r>
        <w:t xml:space="preserve">Source: Ecorys and CE Delft (2023), Impact assessment support study</w:t>
      </w:r>
      <w:r>
        <w:t xml:space="preserve"> </w:t>
      </w:r>
      <w:r>
        <w:t xml:space="preserve">According to stakeholders’ feedback, meetings with experts and desk research, this measure will</w:t>
      </w:r>
      <w:r>
        <w:t xml:space="preserve"> </w:t>
      </w:r>
      <w:r>
        <w:t xml:space="preserve">not ensure alignment to a global standard, which may lead to difficulties for the aviation and the</w:t>
      </w:r>
      <w:r>
        <w:t xml:space="preserve"> </w:t>
      </w:r>
      <w:r>
        <w:t xml:space="preserve">maritime transport sectors that are global in nature. Due to the fact that Category Rules are still</w:t>
      </w:r>
    </w:p>
    <w:p>
      <w:pPr>
        <w:pStyle w:val="BodyText"/>
      </w:pPr>
      <w:r>
        <w:t xml:space="preserve">105</w:t>
      </w:r>
    </w:p>
    <w:p>
      <w:pPr>
        <w:pStyle w:val="BodyText"/>
      </w:pPr>
      <w:r>
        <w:t xml:space="preserve">to be developed, the costs reported are highly dependent on the future developments of the</w:t>
      </w:r>
      <w:r>
        <w:t xml:space="preserve"> </w:t>
      </w:r>
      <w:r>
        <w:t xml:space="preserve">methodology.</w:t>
      </w:r>
      <w:r>
        <w:t xml:space="preserve"> </w:t>
      </w:r>
      <w:r>
        <w:t xml:space="preserve">PM3: A common reference methodology is set at EU level, based on ISO 14083 but with</w:t>
      </w:r>
      <w:r>
        <w:t xml:space="preserve"> </w:t>
      </w:r>
      <w:r>
        <w:t xml:space="preserve">additional elements and increased accuracy</w:t>
      </w:r>
      <w:r>
        <w:t xml:space="preserve"> </w:t>
      </w:r>
      <w:r>
        <w:t xml:space="preserve">In PM3 (included in PO1 and PO3), a methodology based on ISO 14083 but with additional</w:t>
      </w:r>
      <w:r>
        <w:t xml:space="preserve"> </w:t>
      </w:r>
      <w:r>
        <w:t xml:space="preserve">granularity and coverage, i.e. LCA for battery vehicles, is developed and set as common</w:t>
      </w:r>
      <w:r>
        <w:t xml:space="preserve"> </w:t>
      </w:r>
      <w:r>
        <w:t xml:space="preserve">reference methodology for quantifying GHG emissions at EU level.</w:t>
      </w:r>
      <w:r>
        <w:br/>
      </w:r>
      <w:r>
        <w:t xml:space="preserve">Adjustment costs for European Commission</w:t>
      </w:r>
      <w:r>
        <w:t xml:space="preserve"> </w:t>
      </w:r>
      <w:r>
        <w:t xml:space="preserve">As for PM2, the additional specifications needed to increase the accuracy and stringency of the new</w:t>
      </w:r>
      <w:r>
        <w:t xml:space="preserve"> </w:t>
      </w:r>
      <w:r>
        <w:t xml:space="preserve">methodology building on ISO 14083, will require as explained in Annex 8 additional investments in</w:t>
      </w:r>
      <w:r>
        <w:t xml:space="preserve"> </w:t>
      </w:r>
      <w:r>
        <w:t xml:space="preserve">research and development. The budget to be dedicated to such study is included in PM3 and is</w:t>
      </w:r>
      <w:r>
        <w:t xml:space="preserve"> </w:t>
      </w:r>
      <w:r>
        <w:t xml:space="preserve">estimated at EUR 2.4 million. Thus, the one-off adjustment costs for the European Commission in</w:t>
      </w:r>
      <w:r>
        <w:t xml:space="preserve"> </w:t>
      </w:r>
      <w:r>
        <w:t xml:space="preserve">2025 are estimated at EUR 2.4 million relative to the baseline (in 2022 prices).</w:t>
      </w:r>
      <w:r>
        <w:br/>
      </w:r>
      <w:r>
        <w:t xml:space="preserve">Adjustment costs for businesses</w:t>
      </w:r>
      <w:r>
        <w:t xml:space="preserve"> </w:t>
      </w:r>
      <w:r>
        <w:t xml:space="preserve">The setting of the new methodology based on ISO 14083, but with additional elements and</w:t>
      </w:r>
      <w:r>
        <w:t xml:space="preserve"> </w:t>
      </w:r>
      <w:r>
        <w:t xml:space="preserve">increased accuracy, as common reference methodology for CountEmissions EU to quantify</w:t>
      </w:r>
      <w:r>
        <w:t xml:space="preserve"> </w:t>
      </w:r>
      <w:r>
        <w:t xml:space="preserve">GHG emissions from transport services, driven by PM3 (in PO1 and PO3), is expected to lead</w:t>
      </w:r>
      <w:r>
        <w:t xml:space="preserve"> </w:t>
      </w:r>
      <w:r>
        <w:t xml:space="preserve">to additional costs relative to the baseline for the new businesses performing GHG emissions</w:t>
      </w:r>
      <w:r>
        <w:t xml:space="preserve"> </w:t>
      </w:r>
      <w:r>
        <w:t xml:space="preserve">accounting but also for the businesses that are already quantifying GHG emissions and would</w:t>
      </w:r>
      <w:r>
        <w:t xml:space="preserve"> </w:t>
      </w:r>
      <w:r>
        <w:t xml:space="preserve">need to switch to the new methodology.</w:t>
      </w:r>
      <w:r>
        <w:br/>
      </w:r>
      <w:r>
        <w:t xml:space="preserve">Businesses already quantifying GHG emissions in the baseline will need to adjust their processes</w:t>
      </w:r>
      <w:r>
        <w:t xml:space="preserve"> </w:t>
      </w:r>
      <w:r>
        <w:t xml:space="preserve">to be in line with the new methodology, once the additional requirements to increase accuracy</w:t>
      </w:r>
      <w:r>
        <w:t xml:space="preserve"> </w:t>
      </w:r>
      <w:r>
        <w:t xml:space="preserve">of data are developed, resulting in one-off adjustment costs that are different per type and size</w:t>
      </w:r>
      <w:r>
        <w:t xml:space="preserve"> </w:t>
      </w:r>
      <w:r>
        <w:t xml:space="preserve">of business201. The recurrent adjustment costs are also expected to be higher than in the baseline.</w:t>
      </w:r>
      <w:r>
        <w:t xml:space="preserve"> </w:t>
      </w:r>
      <w:r>
        <w:t xml:space="preserve">New businesses performing GHG emissions accounting are also expected to be faced with one-</w:t>
      </w:r>
      <w:r>
        <w:t xml:space="preserve"> </w:t>
      </w:r>
      <w:r>
        <w:t xml:space="preserve">off adjustment costs for implementing the processes and with annual recurrent costs. Table 48</w:t>
      </w:r>
      <w:r>
        <w:t xml:space="preserve"> </w:t>
      </w:r>
      <w:r>
        <w:t xml:space="preserve">shows the different unit costs per type of business for adopting the modified ISO 14083 as</w:t>
      </w:r>
      <w:r>
        <w:t xml:space="preserve"> </w:t>
      </w:r>
      <w:r>
        <w:t xml:space="preserve">common reference methodology, based on stakeholder’s feedbacks and desk research202. These</w:t>
      </w:r>
      <w:r>
        <w:t xml:space="preserve"> </w:t>
      </w:r>
      <w:r>
        <w:t xml:space="preserve">costs cover labour costs and the costs for obtaining the necessary documentation.</w:t>
      </w:r>
    </w:p>
    <w:p>
      <w:pPr>
        <w:pStyle w:val="BodyText"/>
      </w:pPr>
      <w:r>
        <w:t xml:space="preserve">201 The adjustment is assumed to be gradual over time, i.e. 20% of the companies that are quantifying GHG</w:t>
      </w:r>
      <w:r>
        <w:t xml:space="preserve"> </w:t>
      </w:r>
      <w:r>
        <w:t xml:space="preserve">emissions at service level in the baseline are assumed to switch to the new methodology each year between 2025</w:t>
      </w:r>
      <w:r>
        <w:t xml:space="preserve"> </w:t>
      </w:r>
      <w:r>
        <w:t xml:space="preserve">and 2030. Post-2030, only the additional number of companies that are quantifying GHG emissions at service level</w:t>
      </w:r>
      <w:r>
        <w:t xml:space="preserve"> </w:t>
      </w:r>
      <w:r>
        <w:t xml:space="preserve">in the baseline relative to the previous year are assumed to switch to the new methodology.</w:t>
      </w:r>
      <w:r>
        <w:br/>
      </w:r>
      <w:r>
        <w:t xml:space="preserve">202 The number of hours worked and thus the unit costs per transport service are assumed to go down over time, by</w:t>
      </w:r>
      <w:r>
        <w:t xml:space="preserve"> </w:t>
      </w:r>
      <w:r>
        <w:t xml:space="preserve">15% by 2050 relative to 2020, due to the learning effects.</w:t>
      </w:r>
    </w:p>
    <w:p>
      <w:pPr>
        <w:pStyle w:val="BodyText"/>
      </w:pPr>
      <w:r>
        <w:t xml:space="preserve">106</w:t>
      </w:r>
    </w:p>
    <w:p>
      <w:pPr>
        <w:pStyle w:val="BodyText"/>
      </w:pPr>
      <w:r>
        <w:t xml:space="preserve">Table 48: Unit adjustment costs per type of business due to PM3 in PO1 and PO3 (in EUR, 2022 prices)</w:t>
      </w:r>
    </w:p>
    <w:p>
      <w:pPr>
        <w:pStyle w:val="BodyText"/>
      </w:pPr>
      <w:r>
        <w:t xml:space="preserve">TSO</w:t>
      </w:r>
      <w:r>
        <w:t xml:space="preserve"> </w:t>
      </w:r>
      <w:r>
        <w:t xml:space="preserve">(SME)</w:t>
      </w:r>
      <w:r>
        <w:t xml:space="preserve"> </w:t>
      </w:r>
      <w:r>
        <w:t xml:space="preserve">TSU</w:t>
      </w:r>
      <w:r>
        <w:t xml:space="preserve"> </w:t>
      </w:r>
      <w:r>
        <w:t xml:space="preserve">(SME)</w:t>
      </w:r>
      <w:r>
        <w:t xml:space="preserve"> </w:t>
      </w:r>
      <w:r>
        <w:t xml:space="preserve">HO</w:t>
      </w:r>
      <w:r>
        <w:t xml:space="preserve"> </w:t>
      </w:r>
      <w:r>
        <w:t xml:space="preserve">(SME)</w:t>
      </w:r>
      <w:r>
        <w:t xml:space="preserve"> </w:t>
      </w:r>
      <w:r>
        <w:t xml:space="preserve">TSO</w:t>
      </w:r>
      <w:r>
        <w:t xml:space="preserve"> </w:t>
      </w:r>
      <w:r>
        <w:t xml:space="preserve">(Large)</w:t>
      </w:r>
      <w:r>
        <w:t xml:space="preserve"> </w:t>
      </w:r>
      <w:r>
        <w:t xml:space="preserve">TSU</w:t>
      </w:r>
      <w:r>
        <w:t xml:space="preserve"> </w:t>
      </w:r>
      <w:r>
        <w:t xml:space="preserve">(Large)</w:t>
      </w:r>
      <w:r>
        <w:t xml:space="preserve"> </w:t>
      </w:r>
      <w:r>
        <w:t xml:space="preserve">HO</w:t>
      </w:r>
      <w:r>
        <w:t xml:space="preserve"> </w:t>
      </w:r>
      <w:r>
        <w:t xml:space="preserve">(Large)</w:t>
      </w:r>
      <w:r>
        <w:t xml:space="preserve"> </w:t>
      </w:r>
      <w:r>
        <w:t xml:space="preserve">One-off costs for starting implementing</w:t>
      </w:r>
      <w:r>
        <w:t xml:space="preserve"> </w:t>
      </w:r>
      <w:r>
        <w:t xml:space="preserve">the GHG emission accounting (i.e. ISO</w:t>
      </w:r>
      <w:r>
        <w:t xml:space="preserve"> </w:t>
      </w:r>
      <w:r>
        <w:t xml:space="preserve">14083 with additional elements and</w:t>
      </w:r>
      <w:r>
        <w:t xml:space="preserve"> </w:t>
      </w:r>
      <w:r>
        <w:t xml:space="preserve">increased accuracy)</w:t>
      </w:r>
      <w:r>
        <w:t xml:space="preserve"> </w:t>
      </w:r>
      <w:r>
        <w:t xml:space="preserve">2,439</w:t>
      </w:r>
      <w:r>
        <w:t xml:space="preserve"> </w:t>
      </w:r>
      <w:r>
        <w:t xml:space="preserve">2,781</w:t>
      </w:r>
      <w:r>
        <w:t xml:space="preserve"> </w:t>
      </w:r>
      <w:r>
        <w:t xml:space="preserve">2,439</w:t>
      </w:r>
      <w:r>
        <w:t xml:space="preserve"> </w:t>
      </w:r>
      <w:r>
        <w:t xml:space="preserve">9,044</w:t>
      </w:r>
      <w:r>
        <w:t xml:space="preserve"> </w:t>
      </w:r>
      <w:r>
        <w:t xml:space="preserve">13,418</w:t>
      </w:r>
      <w:r>
        <w:t xml:space="preserve"> </w:t>
      </w:r>
      <w:r>
        <w:t xml:space="preserve">9,044</w:t>
      </w:r>
      <w:r>
        <w:t xml:space="preserve"> </w:t>
      </w:r>
      <w:r>
        <w:t xml:space="preserve">One-off costs for switching to the ISO</w:t>
      </w:r>
      <w:r>
        <w:t xml:space="preserve"> </w:t>
      </w:r>
      <w:r>
        <w:t xml:space="preserve">14083 with additional elements and</w:t>
      </w:r>
      <w:r>
        <w:t xml:space="preserve"> </w:t>
      </w:r>
      <w:r>
        <w:t xml:space="preserve">increased accuracy GHG emission</w:t>
      </w:r>
      <w:r>
        <w:t xml:space="preserve"> </w:t>
      </w:r>
      <w:r>
        <w:t xml:space="preserve">accounting method</w:t>
      </w:r>
      <w:r>
        <w:t xml:space="preserve"> </w:t>
      </w:r>
      <w:r>
        <w:t xml:space="preserve">912</w:t>
      </w:r>
      <w:r>
        <w:t xml:space="preserve"> </w:t>
      </w:r>
      <w:r>
        <w:t xml:space="preserve">912</w:t>
      </w:r>
      <w:r>
        <w:t xml:space="preserve"> </w:t>
      </w:r>
      <w:r>
        <w:t xml:space="preserve">912</w:t>
      </w:r>
      <w:r>
        <w:t xml:space="preserve"> </w:t>
      </w:r>
      <w:r>
        <w:t xml:space="preserve">1,514</w:t>
      </w:r>
      <w:r>
        <w:t xml:space="preserve"> </w:t>
      </w:r>
      <w:r>
        <w:t xml:space="preserve">1,514</w:t>
      </w:r>
      <w:r>
        <w:t xml:space="preserve"> </w:t>
      </w:r>
      <w:r>
        <w:t xml:space="preserve">1,514</w:t>
      </w:r>
      <w:r>
        <w:t xml:space="preserve"> </w:t>
      </w:r>
      <w:r>
        <w:t xml:space="preserve">Annual recurrent costs</w:t>
      </w:r>
      <w:r>
        <w:t xml:space="preserve"> </w:t>
      </w:r>
      <w:r>
        <w:t xml:space="preserve">1,367</w:t>
      </w:r>
      <w:r>
        <w:t xml:space="preserve"> </w:t>
      </w:r>
      <w:r>
        <w:t xml:space="preserve">684</w:t>
      </w:r>
      <w:r>
        <w:t xml:space="preserve"> </w:t>
      </w:r>
      <w:r>
        <w:t xml:space="preserve">1,367</w:t>
      </w:r>
      <w:r>
        <w:t xml:space="preserve"> </w:t>
      </w:r>
      <w:r>
        <w:t xml:space="preserve">3,828</w:t>
      </w:r>
      <w:r>
        <w:t xml:space="preserve"> </w:t>
      </w:r>
      <w:r>
        <w:t xml:space="preserve">3,281</w:t>
      </w:r>
      <w:r>
        <w:t xml:space="preserve"> </w:t>
      </w:r>
      <w:r>
        <w:t xml:space="preserve">3,828</w:t>
      </w:r>
      <w:r>
        <w:t xml:space="preserve"> </w:t>
      </w:r>
      <w:r>
        <w:t xml:space="preserve">Source: Ecorys and CE Delft (2023), Impact assessment support study; Note: ‘Large’ stands for large businesses.</w:t>
      </w:r>
      <w:r>
        <w:t xml:space="preserve"> </w:t>
      </w:r>
      <w:r>
        <w:t xml:space="preserve">The total adjustment costs for PM3 in PO1 (in conjunction with the mandatory application of</w:t>
      </w:r>
      <w:r>
        <w:t xml:space="preserve"> </w:t>
      </w:r>
      <w:r>
        <w:t xml:space="preserve">CountEmissions EU, due to PM13) are different from those in PO3 (in conjunction with the</w:t>
      </w:r>
      <w:r>
        <w:t xml:space="preserve"> </w:t>
      </w:r>
      <w:r>
        <w:t xml:space="preserve">binding opt-in application of CountEmissions EU, due to PM14). The one-off and recurrent</w:t>
      </w:r>
      <w:r>
        <w:t xml:space="preserve"> </w:t>
      </w:r>
      <w:r>
        <w:t xml:space="preserve">adjustment costs for businesses due to PM3 in PO1 for 2025, 2030, 2040 and 2050 relative to</w:t>
      </w:r>
      <w:r>
        <w:t xml:space="preserve"> </w:t>
      </w:r>
      <w:r>
        <w:t xml:space="preserve">the baseline are provided in Table 49, together with the number of companies that switch from</w:t>
      </w:r>
      <w:r>
        <w:t xml:space="preserve"> </w:t>
      </w:r>
      <w:r>
        <w:t xml:space="preserve">other methods to ISO 14083 with additional elements and increased accuracy, and the additional</w:t>
      </w:r>
      <w:r>
        <w:t xml:space="preserve"> </w:t>
      </w:r>
      <w:r>
        <w:t xml:space="preserve">number of companies that implement ISO 14083 with additional elements and increased</w:t>
      </w:r>
      <w:r>
        <w:t xml:space="preserve"> </w:t>
      </w:r>
      <w:r>
        <w:t xml:space="preserve">accuracy relative to the baseline. The costs are also provided by company size (large and SME).</w:t>
      </w:r>
      <w:r>
        <w:br/>
      </w:r>
      <w:r>
        <w:t xml:space="preserve">Expressed as present value over 2025-2050, the total adjustment costs due to PM3 are estimated at</w:t>
      </w:r>
      <w:r>
        <w:t xml:space="preserve"> </w:t>
      </w:r>
      <w:r>
        <w:t xml:space="preserve">EUR 80.3 billion in PO1 relative to the baseline, of which EUR 56 billion one-off adjustment costs.</w:t>
      </w:r>
      <w:r>
        <w:t xml:space="preserve"> </w:t>
      </w:r>
      <w:r>
        <w:t xml:space="preserve">Table 49: One-off and recurrent adjustment costs for business due to PM3 in PO1 (in million EUR, 2022 prices),</w:t>
      </w:r>
      <w:r>
        <w:t xml:space="preserve"> </w:t>
      </w:r>
      <w:r>
        <w:t xml:space="preserve">relative to the baseline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companies that switch from other methods</w:t>
      </w:r>
      <w:r>
        <w:t xml:space="preserve"> </w:t>
      </w:r>
      <w:r>
        <w:t xml:space="preserve">to ISO 14083 with additional elements and increased</w:t>
      </w:r>
      <w:r>
        <w:t xml:space="preserve"> </w:t>
      </w:r>
      <w:r>
        <w:t xml:space="preserve">accuracy</w:t>
      </w:r>
      <w:r>
        <w:t xml:space="preserve"> </w:t>
      </w:r>
      <w:r>
        <w:t xml:space="preserve">6,152</w:t>
      </w:r>
      <w:r>
        <w:t xml:space="preserve"> </w:t>
      </w:r>
      <w:r>
        <w:t xml:space="preserve">1,720</w:t>
      </w:r>
      <w:r>
        <w:t xml:space="preserve"> </w:t>
      </w:r>
      <w:r>
        <w:t xml:space="preserve">1,546</w:t>
      </w:r>
      <w:r>
        <w:t xml:space="preserve"> </w:t>
      </w:r>
      <w:r>
        <w:t xml:space="preserve">1,389</w:t>
      </w:r>
      <w:r>
        <w:t xml:space="preserve"> </w:t>
      </w:r>
      <w:r>
        <w:t xml:space="preserve">SMEs</w:t>
      </w:r>
      <w:r>
        <w:t xml:space="preserve"> </w:t>
      </w:r>
      <w:r>
        <w:t xml:space="preserve">6,051</w:t>
      </w:r>
      <w:r>
        <w:t xml:space="preserve"> </w:t>
      </w:r>
      <w:r>
        <w:t xml:space="preserve">1,686</w:t>
      </w:r>
      <w:r>
        <w:t xml:space="preserve"> </w:t>
      </w:r>
      <w:r>
        <w:t xml:space="preserve">1,515</w:t>
      </w:r>
      <w:r>
        <w:t xml:space="preserve"> </w:t>
      </w:r>
      <w:r>
        <w:t xml:space="preserve">1,361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101</w:t>
      </w:r>
      <w:r>
        <w:t xml:space="preserve"> </w:t>
      </w:r>
      <w:r>
        <w:t xml:space="preserve">34</w:t>
      </w:r>
      <w:r>
        <w:t xml:space="preserve"> </w:t>
      </w:r>
      <w:r>
        <w:t xml:space="preserve">31</w:t>
      </w:r>
      <w:r>
        <w:t xml:space="preserve"> </w:t>
      </w:r>
      <w:r>
        <w:t xml:space="preserve">28</w:t>
      </w:r>
      <w:r>
        <w:t xml:space="preserve"> </w:t>
      </w:r>
      <w:r>
        <w:t xml:space="preserve">Additional number of companies that implement</w:t>
      </w:r>
      <w:r>
        <w:t xml:space="preserve"> </w:t>
      </w:r>
      <w:r>
        <w:t xml:space="preserve">ISO 14083 with additional elements and increased</w:t>
      </w:r>
      <w:r>
        <w:t xml:space="preserve"> </w:t>
      </w:r>
      <w:r>
        <w:t xml:space="preserve">accuracy, relative to the baseline</w:t>
      </w:r>
      <w:r>
        <w:t xml:space="preserve"> </w:t>
      </w:r>
      <w:r>
        <w:t xml:space="preserve">110,570</w:t>
      </w:r>
      <w:r>
        <w:t xml:space="preserve"> </w:t>
      </w:r>
      <w:r>
        <w:t xml:space="preserve">918,003</w:t>
      </w:r>
      <w:r>
        <w:t xml:space="preserve"> </w:t>
      </w:r>
      <w:r>
        <w:t xml:space="preserve">1,718,143</w:t>
      </w:r>
      <w:r>
        <w:t xml:space="preserve"> </w:t>
      </w:r>
      <w:r>
        <w:t xml:space="preserve">1,703,841</w:t>
      </w:r>
      <w:r>
        <w:t xml:space="preserve"> </w:t>
      </w:r>
      <w:r>
        <w:t xml:space="preserve">SMEs</w:t>
      </w:r>
      <w:r>
        <w:t xml:space="preserve"> </w:t>
      </w:r>
      <w:r>
        <w:t xml:space="preserve">109,689</w:t>
      </w:r>
      <w:r>
        <w:t xml:space="preserve"> </w:t>
      </w:r>
      <w:r>
        <w:t xml:space="preserve">915,130</w:t>
      </w:r>
      <w:r>
        <w:t xml:space="preserve"> </w:t>
      </w:r>
      <w:r>
        <w:t xml:space="preserve">1,713,423</w:t>
      </w:r>
      <w:r>
        <w:t xml:space="preserve"> </w:t>
      </w:r>
      <w:r>
        <w:t xml:space="preserve">1,699,423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881</w:t>
      </w:r>
      <w:r>
        <w:t xml:space="preserve"> </w:t>
      </w:r>
      <w:r>
        <w:t xml:space="preserve">2,873</w:t>
      </w:r>
      <w:r>
        <w:t xml:space="preserve"> </w:t>
      </w:r>
      <w:r>
        <w:t xml:space="preserve">4,720</w:t>
      </w:r>
      <w:r>
        <w:t xml:space="preserve"> </w:t>
      </w:r>
      <w:r>
        <w:t xml:space="preserve">4,418</w:t>
      </w:r>
      <w:r>
        <w:t xml:space="preserve"> </w:t>
      </w:r>
      <w:r>
        <w:t xml:space="preserve">One-off adjustment costs (in million EUR)</w:t>
      </w:r>
      <w:r>
        <w:t xml:space="preserve"> </w:t>
      </w:r>
      <w:r>
        <w:t xml:space="preserve">295.0</w:t>
      </w:r>
      <w:r>
        <w:t xml:space="preserve"> </w:t>
      </w:r>
      <w:r>
        <w:t xml:space="preserve">2,308.0</w:t>
      </w:r>
      <w:r>
        <w:t xml:space="preserve"> </w:t>
      </w:r>
      <w:r>
        <w:t xml:space="preserve">4,047.6</w:t>
      </w:r>
      <w:r>
        <w:t xml:space="preserve"> </w:t>
      </w:r>
      <w:r>
        <w:t xml:space="preserve">3,747.8</w:t>
      </w:r>
      <w:r>
        <w:t xml:space="preserve"> </w:t>
      </w:r>
      <w:r>
        <w:t xml:space="preserve">SMEs</w:t>
      </w:r>
      <w:r>
        <w:t xml:space="preserve"> </w:t>
      </w:r>
      <w:r>
        <w:t xml:space="preserve">285.2</w:t>
      </w:r>
      <w:r>
        <w:t xml:space="preserve"> </w:t>
      </w:r>
      <w:r>
        <w:t xml:space="preserve">2,277.1</w:t>
      </w:r>
      <w:r>
        <w:t xml:space="preserve"> </w:t>
      </w:r>
      <w:r>
        <w:t xml:space="preserve">4,000.1</w:t>
      </w:r>
      <w:r>
        <w:t xml:space="preserve"> </w:t>
      </w:r>
      <w:r>
        <w:t xml:space="preserve">3,706.4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9.8</w:t>
      </w:r>
      <w:r>
        <w:t xml:space="preserve"> </w:t>
      </w:r>
      <w:r>
        <w:t xml:space="preserve">30.9</w:t>
      </w:r>
      <w:r>
        <w:t xml:space="preserve"> </w:t>
      </w:r>
      <w:r>
        <w:t xml:space="preserve">47.5</w:t>
      </w:r>
      <w:r>
        <w:t xml:space="preserve"> </w:t>
      </w:r>
      <w:r>
        <w:t xml:space="preserve">41.3</w:t>
      </w:r>
      <w:r>
        <w:t xml:space="preserve"> </w:t>
      </w:r>
      <w:r>
        <w:t xml:space="preserve">Recurrent adjustment costs (in million EUR)</w:t>
      </w:r>
      <w:r>
        <w:t xml:space="preserve"> </w:t>
      </w:r>
      <w:r>
        <w:t xml:space="preserve">130.2</w:t>
      </w:r>
      <w:r>
        <w:t xml:space="preserve"> </w:t>
      </w:r>
      <w:r>
        <w:t xml:space="preserve">1,003.0</w:t>
      </w:r>
      <w:r>
        <w:t xml:space="preserve"> </w:t>
      </w:r>
      <w:r>
        <w:t xml:space="preserve">1,755.9</w:t>
      </w:r>
      <w:r>
        <w:t xml:space="preserve"> </w:t>
      </w:r>
      <w:r>
        <w:t xml:space="preserve">1,624.5</w:t>
      </w:r>
      <w:r>
        <w:t xml:space="preserve"> </w:t>
      </w:r>
      <w:r>
        <w:t xml:space="preserve">SMEs</w:t>
      </w:r>
      <w:r>
        <w:t xml:space="preserve"> </w:t>
      </w:r>
      <w:r>
        <w:t xml:space="preserve">126.9</w:t>
      </w:r>
      <w:r>
        <w:t xml:space="preserve"> </w:t>
      </w:r>
      <w:r>
        <w:t xml:space="preserve">993.0</w:t>
      </w:r>
      <w:r>
        <w:t xml:space="preserve"> </w:t>
      </w:r>
      <w:r>
        <w:t xml:space="preserve">1,740.5</w:t>
      </w:r>
      <w:r>
        <w:t xml:space="preserve"> </w:t>
      </w:r>
      <w:r>
        <w:t xml:space="preserve">1,611.0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3.2</w:t>
      </w:r>
      <w:r>
        <w:t xml:space="preserve"> </w:t>
      </w:r>
      <w:r>
        <w:t xml:space="preserve">10.0</w:t>
      </w:r>
      <w:r>
        <w:t xml:space="preserve"> </w:t>
      </w:r>
      <w:r>
        <w:t xml:space="preserve">15.4</w:t>
      </w:r>
      <w:r>
        <w:t xml:space="preserve"> </w:t>
      </w:r>
      <w:r>
        <w:t xml:space="preserve">13.5</w:t>
      </w:r>
      <w:r>
        <w:t xml:space="preserve"> </w:t>
      </w:r>
      <w:r>
        <w:t xml:space="preserve">Total adjustment costs (in million EUR)</w:t>
      </w:r>
      <w:r>
        <w:t xml:space="preserve"> </w:t>
      </w:r>
      <w:r>
        <w:t xml:space="preserve">425.2</w:t>
      </w:r>
      <w:r>
        <w:t xml:space="preserve"> </w:t>
      </w:r>
      <w:r>
        <w:t xml:space="preserve">3,311.0</w:t>
      </w:r>
      <w:r>
        <w:t xml:space="preserve"> </w:t>
      </w:r>
      <w:r>
        <w:t xml:space="preserve">5,803.5</w:t>
      </w:r>
      <w:r>
        <w:t xml:space="preserve"> </w:t>
      </w:r>
      <w:r>
        <w:t xml:space="preserve">5,372.2</w:t>
      </w:r>
      <w:r>
        <w:t xml:space="preserve"> </w:t>
      </w:r>
      <w:r>
        <w:t xml:space="preserve">SMEs</w:t>
      </w:r>
      <w:r>
        <w:t xml:space="preserve"> </w:t>
      </w:r>
      <w:r>
        <w:t xml:space="preserve">412.2</w:t>
      </w:r>
      <w:r>
        <w:t xml:space="preserve"> </w:t>
      </w:r>
      <w:r>
        <w:t xml:space="preserve">3,270.1</w:t>
      </w:r>
      <w:r>
        <w:t xml:space="preserve"> </w:t>
      </w:r>
      <w:r>
        <w:t xml:space="preserve">5,740.6</w:t>
      </w:r>
      <w:r>
        <w:t xml:space="preserve"> </w:t>
      </w:r>
      <w:r>
        <w:t xml:space="preserve">5,317.4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13.0</w:t>
      </w:r>
      <w:r>
        <w:t xml:space="preserve"> </w:t>
      </w:r>
      <w:r>
        <w:t xml:space="preserve">40.9</w:t>
      </w:r>
      <w:r>
        <w:t xml:space="preserve"> </w:t>
      </w:r>
      <w:r>
        <w:t xml:space="preserve">62.9</w:t>
      </w:r>
      <w:r>
        <w:t xml:space="preserve"> </w:t>
      </w:r>
      <w:r>
        <w:t xml:space="preserve">54.8</w:t>
      </w:r>
      <w:r>
        <w:t xml:space="preserve"> </w:t>
      </w:r>
      <w:r>
        <w:t xml:space="preserve">Source: Ecorys and CE Delft (2023), Impact assessment support study</w:t>
      </w:r>
      <w:r>
        <w:t xml:space="preserve"> </w:t>
      </w:r>
      <w:r>
        <w:t xml:space="preserve">Table 50: type and size of impacted enterprises due to PM3 in PO1 of all enterprises targeted with CountEmissions</w:t>
      </w:r>
      <w:r>
        <w:t xml:space="preserve"> </w:t>
      </w:r>
      <w:r>
        <w:t xml:space="preserve">EU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</w:p>
    <w:p>
      <w:pPr>
        <w:pStyle w:val="BodyText"/>
      </w:pPr>
      <w:r>
        <w:t xml:space="preserve">107</w:t>
      </w:r>
    </w:p>
    <w:p>
      <w:pPr>
        <w:pStyle w:val="BodyText"/>
      </w:pPr>
      <w:r>
        <w:t xml:space="preserve">Number companies switching or implementing to ISO 14083 with</w:t>
      </w:r>
      <w:r>
        <w:t xml:space="preserve"> </w:t>
      </w:r>
      <w:r>
        <w:t xml:space="preserve">additional elements and increased accuracy</w:t>
      </w:r>
      <w:r>
        <w:t xml:space="preserve"> </w:t>
      </w:r>
      <w:r>
        <w:t xml:space="preserve">8.0%</w:t>
      </w:r>
      <w:r>
        <w:t xml:space="preserve"> </w:t>
      </w:r>
      <w:r>
        <w:t xml:space="preserve">54.0%</w:t>
      </w:r>
      <w:r>
        <w:t xml:space="preserve"> </w:t>
      </w:r>
      <w:r>
        <w:t xml:space="preserve">100.0%</w:t>
      </w:r>
      <w:r>
        <w:t xml:space="preserve"> </w:t>
      </w:r>
      <w:r>
        <w:t xml:space="preserve">100.0%</w:t>
      </w:r>
      <w:r>
        <w:t xml:space="preserve"> </w:t>
      </w:r>
      <w:r>
        <w:t xml:space="preserve">SMEs</w:t>
      </w:r>
      <w:r>
        <w:t xml:space="preserve"> </w:t>
      </w:r>
      <w:r>
        <w:t xml:space="preserve">7.9%</w:t>
      </w:r>
      <w:r>
        <w:t xml:space="preserve"> </w:t>
      </w:r>
      <w:r>
        <w:t xml:space="preserve">54.0%</w:t>
      </w:r>
      <w:r>
        <w:t xml:space="preserve"> </w:t>
      </w:r>
      <w:r>
        <w:t xml:space="preserve">100.0%</w:t>
      </w:r>
      <w:r>
        <w:t xml:space="preserve"> </w:t>
      </w:r>
      <w:r>
        <w:t xml:space="preserve">100.0%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24.2%</w:t>
      </w:r>
      <w:r>
        <w:t xml:space="preserve"> </w:t>
      </w:r>
      <w:r>
        <w:t xml:space="preserve">62.0%</w:t>
      </w:r>
      <w:r>
        <w:t xml:space="preserve"> </w:t>
      </w:r>
      <w:r>
        <w:t xml:space="preserve">100.0%</w:t>
      </w:r>
      <w:r>
        <w:t xml:space="preserve"> </w:t>
      </w:r>
      <w:r>
        <w:t xml:space="preserve">100.0%</w:t>
      </w:r>
      <w:r>
        <w:t xml:space="preserve"> </w:t>
      </w:r>
      <w:r>
        <w:t xml:space="preserve">Source: Ecorys and CE Delft (2023), Impact assessment support study</w:t>
      </w:r>
      <w:r>
        <w:t xml:space="preserve"> </w:t>
      </w:r>
      <w:r>
        <w:t xml:space="preserve">The one-off and recurrent adjustment costs for businesses due to PM3 in PO3 (in conjunction</w:t>
      </w:r>
      <w:r>
        <w:t xml:space="preserve"> </w:t>
      </w:r>
      <w:r>
        <w:t xml:space="preserve">with the binding opt-in application of CountEmissions EU, due to PM14) for 2025, 2030, 2040</w:t>
      </w:r>
      <w:r>
        <w:t xml:space="preserve"> </w:t>
      </w:r>
      <w:r>
        <w:t xml:space="preserve">and 2050 relative to the baseline are provided in Table 51, together with the number of companies</w:t>
      </w:r>
      <w:r>
        <w:t xml:space="preserve"> </w:t>
      </w:r>
      <w:r>
        <w:t xml:space="preserve">that switch from other methods to ISO 14083 with additional elements and increased accuracy,</w:t>
      </w:r>
      <w:r>
        <w:t xml:space="preserve"> </w:t>
      </w:r>
      <w:r>
        <w:t xml:space="preserve">and the additional number of companies that implement ISO 14083 with additional elements and</w:t>
      </w:r>
      <w:r>
        <w:t xml:space="preserve"> </w:t>
      </w:r>
      <w:r>
        <w:t xml:space="preserve">increased accuracy relative to the baseline. Expressed as present value over 2025-2050, the total</w:t>
      </w:r>
      <w:r>
        <w:t xml:space="preserve"> </w:t>
      </w:r>
      <w:r>
        <w:t xml:space="preserve">adjustment costs due to PM3 are estimated at EUR 1.2 billion in PO3 relative to the baseline, of which</w:t>
      </w:r>
      <w:r>
        <w:t xml:space="preserve"> </w:t>
      </w:r>
      <w:r>
        <w:t xml:space="preserve">EUR 0.8 billion one-off adjustment costs.</w:t>
      </w:r>
      <w:r>
        <w:t xml:space="preserve"> </w:t>
      </w:r>
      <w:r>
        <w:t xml:space="preserve">Table 51: One-off and recurrent adjustment costs for business due to PM3 in PO3 (in million EUR, 2022 prices),</w:t>
      </w:r>
      <w:r>
        <w:t xml:space="preserve"> </w:t>
      </w:r>
      <w:r>
        <w:t xml:space="preserve">relative to the baseline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companies that switch from other methods</w:t>
      </w:r>
      <w:r>
        <w:t xml:space="preserve"> </w:t>
      </w:r>
      <w:r>
        <w:t xml:space="preserve">to ISO 14083 with additional elements and increased</w:t>
      </w:r>
      <w:r>
        <w:t xml:space="preserve"> </w:t>
      </w:r>
      <w:r>
        <w:t xml:space="preserve">accuracy</w:t>
      </w:r>
      <w:r>
        <w:t xml:space="preserve"> </w:t>
      </w:r>
      <w:r>
        <w:t xml:space="preserve">6,152</w:t>
      </w:r>
      <w:r>
        <w:t xml:space="preserve"> </w:t>
      </w:r>
      <w:r>
        <w:t xml:space="preserve">1,720</w:t>
      </w:r>
      <w:r>
        <w:t xml:space="preserve"> </w:t>
      </w:r>
      <w:r>
        <w:t xml:space="preserve">1,546</w:t>
      </w:r>
      <w:r>
        <w:t xml:space="preserve"> </w:t>
      </w:r>
      <w:r>
        <w:t xml:space="preserve">1,389</w:t>
      </w:r>
      <w:r>
        <w:t xml:space="preserve"> </w:t>
      </w:r>
      <w:r>
        <w:t xml:space="preserve">SMEs</w:t>
      </w:r>
      <w:r>
        <w:t xml:space="preserve"> </w:t>
      </w:r>
      <w:r>
        <w:t xml:space="preserve">6,051</w:t>
      </w:r>
      <w:r>
        <w:t xml:space="preserve"> </w:t>
      </w:r>
      <w:r>
        <w:t xml:space="preserve">1,686</w:t>
      </w:r>
      <w:r>
        <w:t xml:space="preserve"> </w:t>
      </w:r>
      <w:r>
        <w:t xml:space="preserve">1,515</w:t>
      </w:r>
      <w:r>
        <w:t xml:space="preserve"> </w:t>
      </w:r>
      <w:r>
        <w:t xml:space="preserve">1,361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101</w:t>
      </w:r>
      <w:r>
        <w:t xml:space="preserve"> </w:t>
      </w:r>
      <w:r>
        <w:t xml:space="preserve">34</w:t>
      </w:r>
      <w:r>
        <w:t xml:space="preserve"> </w:t>
      </w:r>
      <w:r>
        <w:t xml:space="preserve">31</w:t>
      </w:r>
      <w:r>
        <w:t xml:space="preserve"> </w:t>
      </w:r>
      <w:r>
        <w:t xml:space="preserve">28</w:t>
      </w:r>
      <w:r>
        <w:t xml:space="preserve"> </w:t>
      </w:r>
      <w:r>
        <w:t xml:space="preserve">Additional number of companies that implement</w:t>
      </w:r>
      <w:r>
        <w:t xml:space="preserve"> </w:t>
      </w:r>
      <w:r>
        <w:t xml:space="preserve">ISO 14083 with additional elements and increased</w:t>
      </w:r>
      <w:r>
        <w:t xml:space="preserve"> </w:t>
      </w:r>
      <w:r>
        <w:t xml:space="preserve">accuracy, relative to the baseline</w:t>
      </w:r>
      <w:r>
        <w:t xml:space="preserve"> </w:t>
      </w:r>
      <w:r>
        <w:t xml:space="preserve">13,023</w:t>
      </w:r>
      <w:r>
        <w:t xml:space="preserve"> </w:t>
      </w:r>
      <w:r>
        <w:t xml:space="preserve">26,745</w:t>
      </w:r>
      <w:r>
        <w:t xml:space="preserve"> </w:t>
      </w:r>
      <w:r>
        <w:t xml:space="preserve">10,828</w:t>
      </w:r>
      <w:r>
        <w:t xml:space="preserve"> </w:t>
      </w:r>
      <w:r>
        <w:t xml:space="preserve">3,640</w:t>
      </w:r>
      <w:r>
        <w:t xml:space="preserve"> </w:t>
      </w:r>
      <w:r>
        <w:t xml:space="preserve">SMEs</w:t>
      </w:r>
      <w:r>
        <w:t xml:space="preserve"> </w:t>
      </w:r>
      <w:r>
        <w:t xml:space="preserve">12,431</w:t>
      </w:r>
      <w:r>
        <w:t xml:space="preserve"> </w:t>
      </w:r>
      <w:r>
        <w:t xml:space="preserve">25,611</w:t>
      </w:r>
      <w:r>
        <w:t xml:space="preserve"> </w:t>
      </w:r>
      <w:r>
        <w:t xml:space="preserve">10,025</w:t>
      </w:r>
      <w:r>
        <w:t xml:space="preserve"> </w:t>
      </w:r>
      <w:r>
        <w:t xml:space="preserve">3,139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592</w:t>
      </w:r>
      <w:r>
        <w:t xml:space="preserve"> </w:t>
      </w:r>
      <w:r>
        <w:t xml:space="preserve">1,134</w:t>
      </w:r>
      <w:r>
        <w:t xml:space="preserve"> </w:t>
      </w:r>
      <w:r>
        <w:t xml:space="preserve">803</w:t>
      </w:r>
      <w:r>
        <w:t xml:space="preserve"> </w:t>
      </w:r>
      <w:r>
        <w:t xml:space="preserve">501</w:t>
      </w:r>
      <w:r>
        <w:t xml:space="preserve"> </w:t>
      </w:r>
      <w:r>
        <w:t xml:space="preserve">One-off adjustment costs (in million EUR)</w:t>
      </w:r>
      <w:r>
        <w:t xml:space="preserve"> </w:t>
      </w:r>
      <w:r>
        <w:t xml:space="preserve">43.6</w:t>
      </w:r>
      <w:r>
        <w:t xml:space="preserve"> </w:t>
      </w:r>
      <w:r>
        <w:t xml:space="preserve">76.3</w:t>
      </w:r>
      <w:r>
        <w:t xml:space="preserve"> </w:t>
      </w:r>
      <w:r>
        <w:t xml:space="preserve">32.4</w:t>
      </w:r>
      <w:r>
        <w:t xml:space="preserve"> </w:t>
      </w:r>
      <w:r>
        <w:t xml:space="preserve">12.0</w:t>
      </w:r>
      <w:r>
        <w:t xml:space="preserve"> </w:t>
      </w:r>
      <w:r>
        <w:t xml:space="preserve">SMEs</w:t>
      </w:r>
      <w:r>
        <w:t xml:space="preserve"> </w:t>
      </w:r>
      <w:r>
        <w:t xml:space="preserve">37.0</w:t>
      </w:r>
      <w:r>
        <w:t xml:space="preserve"> </w:t>
      </w:r>
      <w:r>
        <w:t xml:space="preserve">64.3</w:t>
      </w:r>
      <w:r>
        <w:t xml:space="preserve"> </w:t>
      </w:r>
      <w:r>
        <w:t xml:space="preserve">24.7</w:t>
      </w:r>
      <w:r>
        <w:t xml:space="preserve"> </w:t>
      </w:r>
      <w:r>
        <w:t xml:space="preserve">7.9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6.6</w:t>
      </w:r>
      <w:r>
        <w:t xml:space="preserve"> </w:t>
      </w:r>
      <w:r>
        <w:t xml:space="preserve">12.0</w:t>
      </w:r>
      <w:r>
        <w:t xml:space="preserve"> </w:t>
      </w:r>
      <w:r>
        <w:t xml:space="preserve">7.7</w:t>
      </w:r>
      <w:r>
        <w:t xml:space="preserve"> </w:t>
      </w:r>
      <w:r>
        <w:t xml:space="preserve">4.2</w:t>
      </w:r>
      <w:r>
        <w:t xml:space="preserve"> </w:t>
      </w:r>
      <w:r>
        <w:t xml:space="preserve">Recurrent adjustment costs (in million EUR)</w:t>
      </w:r>
      <w:r>
        <w:t xml:space="preserve"> </w:t>
      </w:r>
      <w:r>
        <w:t xml:space="preserve">18.1</w:t>
      </w:r>
      <w:r>
        <w:t xml:space="preserve"> </w:t>
      </w:r>
      <w:r>
        <w:t xml:space="preserve">33.8</w:t>
      </w:r>
      <w:r>
        <w:t xml:space="preserve"> </w:t>
      </w:r>
      <w:r>
        <w:t xml:space="preserve">13.1</w:t>
      </w:r>
      <w:r>
        <w:t xml:space="preserve"> </w:t>
      </w:r>
      <w:r>
        <w:t xml:space="preserve">4.9</w:t>
      </w:r>
      <w:r>
        <w:t xml:space="preserve"> </w:t>
      </w:r>
      <w:r>
        <w:t xml:space="preserve">SMEs</w:t>
      </w:r>
      <w:r>
        <w:t xml:space="preserve"> </w:t>
      </w:r>
      <w:r>
        <w:t xml:space="preserve">15.9</w:t>
      </w:r>
      <w:r>
        <w:t xml:space="preserve"> </w:t>
      </w:r>
      <w:r>
        <w:t xml:space="preserve">29.9</w:t>
      </w:r>
      <w:r>
        <w:t xml:space="preserve"> </w:t>
      </w:r>
      <w:r>
        <w:t xml:space="preserve">10.4</w:t>
      </w:r>
      <w:r>
        <w:t xml:space="preserve"> </w:t>
      </w:r>
      <w:r>
        <w:t xml:space="preserve">3.3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2.2</w:t>
      </w:r>
      <w:r>
        <w:t xml:space="preserve"> </w:t>
      </w:r>
      <w:r>
        <w:t xml:space="preserve">4.0</w:t>
      </w:r>
      <w:r>
        <w:t xml:space="preserve"> </w:t>
      </w:r>
      <w:r>
        <w:t xml:space="preserve">2.7</w:t>
      </w:r>
      <w:r>
        <w:t xml:space="preserve"> </w:t>
      </w:r>
      <w:r>
        <w:t xml:space="preserve">1.6</w:t>
      </w:r>
      <w:r>
        <w:t xml:space="preserve"> </w:t>
      </w:r>
      <w:r>
        <w:t xml:space="preserve">Total adjustment costs (in million EUR)</w:t>
      </w:r>
      <w:r>
        <w:t xml:space="preserve"> </w:t>
      </w:r>
      <w:r>
        <w:t xml:space="preserve">61.7</w:t>
      </w:r>
      <w:r>
        <w:t xml:space="preserve"> </w:t>
      </w:r>
      <w:r>
        <w:t xml:space="preserve">110.2</w:t>
      </w:r>
      <w:r>
        <w:t xml:space="preserve"> </w:t>
      </w:r>
      <w:r>
        <w:t xml:space="preserve">45.5</w:t>
      </w:r>
      <w:r>
        <w:t xml:space="preserve"> </w:t>
      </w:r>
      <w:r>
        <w:t xml:space="preserve">16.9</w:t>
      </w:r>
      <w:r>
        <w:t xml:space="preserve"> </w:t>
      </w:r>
      <w:r>
        <w:t xml:space="preserve">SMEs</w:t>
      </w:r>
      <w:r>
        <w:t xml:space="preserve"> </w:t>
      </w:r>
      <w:r>
        <w:t xml:space="preserve">52.9</w:t>
      </w:r>
      <w:r>
        <w:t xml:space="preserve"> </w:t>
      </w:r>
      <w:r>
        <w:t xml:space="preserve">94.2</w:t>
      </w:r>
      <w:r>
        <w:t xml:space="preserve"> </w:t>
      </w:r>
      <w:r>
        <w:t xml:space="preserve">35.1</w:t>
      </w:r>
      <w:r>
        <w:t xml:space="preserve"> </w:t>
      </w:r>
      <w:r>
        <w:t xml:space="preserve">11.2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8.8</w:t>
      </w:r>
      <w:r>
        <w:t xml:space="preserve"> </w:t>
      </w:r>
      <w:r>
        <w:t xml:space="preserve">16.0</w:t>
      </w:r>
      <w:r>
        <w:t xml:space="preserve"> </w:t>
      </w:r>
      <w:r>
        <w:t xml:space="preserve">10.4</w:t>
      </w:r>
      <w:r>
        <w:t xml:space="preserve"> </w:t>
      </w:r>
      <w:r>
        <w:t xml:space="preserve">5.8</w:t>
      </w:r>
      <w:r>
        <w:t xml:space="preserve"> </w:t>
      </w:r>
      <w:r>
        <w:t xml:space="preserve">Source: Ecorys and CE Delft (2023), Impact assessment support study</w:t>
      </w:r>
      <w:r>
        <w:t xml:space="preserve"> </w:t>
      </w:r>
      <w:r>
        <w:t xml:space="preserve">Table 52: type and size of impacted enterprises due to PM3 in PO3 of all enterprises targeted with CountEmissions</w:t>
      </w:r>
      <w:r>
        <w:t xml:space="preserve"> </w:t>
      </w:r>
      <w:r>
        <w:t xml:space="preserve">EU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companies switching or implementing to ISO 14083 with</w:t>
      </w:r>
      <w:r>
        <w:t xml:space="preserve"> </w:t>
      </w:r>
      <w:r>
        <w:t xml:space="preserve">additional elements and increased accuracy</w:t>
      </w:r>
      <w:r>
        <w:t xml:space="preserve"> </w:t>
      </w:r>
      <w:r>
        <w:t xml:space="preserve">2.5%</w:t>
      </w:r>
      <w:r>
        <w:t xml:space="preserve"> </w:t>
      </w:r>
      <w:r>
        <w:t xml:space="preserve">3.7%</w:t>
      </w:r>
      <w:r>
        <w:t xml:space="preserve"> </w:t>
      </w:r>
      <w:r>
        <w:t xml:space="preserve">3.7%</w:t>
      </w:r>
      <w:r>
        <w:t xml:space="preserve"> </w:t>
      </w:r>
      <w:r>
        <w:t xml:space="preserve">4.1%</w:t>
      </w:r>
      <w:r>
        <w:t xml:space="preserve"> </w:t>
      </w:r>
      <w:r>
        <w:t xml:space="preserve">SMEs</w:t>
      </w:r>
      <w:r>
        <w:t xml:space="preserve"> </w:t>
      </w:r>
      <w:r>
        <w:t xml:space="preserve">2.4%</w:t>
      </w:r>
      <w:r>
        <w:t xml:space="preserve"> </w:t>
      </w:r>
      <w:r>
        <w:t xml:space="preserve">3.6%</w:t>
      </w:r>
      <w:r>
        <w:t xml:space="preserve"> </w:t>
      </w:r>
      <w:r>
        <w:t xml:space="preserve">3.6%</w:t>
      </w:r>
      <w:r>
        <w:t xml:space="preserve"> </w:t>
      </w:r>
      <w:r>
        <w:t xml:space="preserve">4.0%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19.2%</w:t>
      </w:r>
      <w:r>
        <w:t xml:space="preserve"> </w:t>
      </w:r>
      <w:r>
        <w:t xml:space="preserve">31.7%</w:t>
      </w:r>
      <w:r>
        <w:t xml:space="preserve"> </w:t>
      </w:r>
      <w:r>
        <w:t xml:space="preserve">31.7%</w:t>
      </w:r>
      <w:r>
        <w:t xml:space="preserve"> </w:t>
      </w:r>
      <w:r>
        <w:t xml:space="preserve">31.7%</w:t>
      </w:r>
      <w:r>
        <w:t xml:space="preserve"> </w:t>
      </w:r>
      <w:r>
        <w:t xml:space="preserve">Source: Ecorys and CE Delft (2023), Impact assessment support study</w:t>
      </w:r>
      <w:r>
        <w:t xml:space="preserve"> </w:t>
      </w:r>
      <w:r>
        <w:t xml:space="preserve">According to stakeholders’ feedback, meetings with experts and desk research, the stricter</w:t>
      </w:r>
      <w:r>
        <w:t xml:space="preserve"> </w:t>
      </w:r>
      <w:r>
        <w:t xml:space="preserve">requirements relative to the global standard are not likely to be followed at global level, which may</w:t>
      </w:r>
      <w:r>
        <w:t xml:space="preserve"> </w:t>
      </w:r>
      <w:r>
        <w:t xml:space="preserve">lead to challenges for the aviation and maritime transport sectors that are global in nature. The costs</w:t>
      </w:r>
      <w:r>
        <w:t xml:space="preserve"> </w:t>
      </w:r>
      <w:r>
        <w:t xml:space="preserve">estimates above are dependent on the additional requirements that are still to be developed.</w:t>
      </w:r>
    </w:p>
    <w:p>
      <w:pPr>
        <w:pStyle w:val="BodyText"/>
      </w:pPr>
      <w:r>
        <w:t xml:space="preserve">108</w:t>
      </w:r>
    </w:p>
    <w:p>
      <w:pPr>
        <w:pStyle w:val="BodyText"/>
      </w:pPr>
      <w:r>
        <w:t xml:space="preserve">PM4: The use of primary data is incentivised and centralised databases for default values</w:t>
      </w:r>
      <w:r>
        <w:t xml:space="preserve"> </w:t>
      </w:r>
      <w:r>
        <w:t xml:space="preserve">and energy emission factors are established at EU level (by European Environmental</w:t>
      </w:r>
      <w:r>
        <w:t xml:space="preserve"> </w:t>
      </w:r>
      <w:r>
        <w:t xml:space="preserve">Agency)</w:t>
      </w:r>
      <w:r>
        <w:t xml:space="preserve"> </w:t>
      </w:r>
      <w:r>
        <w:t xml:space="preserve">Adjustment costs for European Environmental Agency</w:t>
      </w:r>
      <w:r>
        <w:t xml:space="preserve"> </w:t>
      </w:r>
      <w:r>
        <w:t xml:space="preserve">In PM4 (included in PO1,PO2 and PO5) primary data on transport operations shall be used with</w:t>
      </w:r>
      <w:r>
        <w:t xml:space="preserve"> </w:t>
      </w:r>
      <w:r>
        <w:t xml:space="preserve">priority. In case this is not possible, the use of emission intensity factors from a centralised EU database</w:t>
      </w:r>
      <w:r>
        <w:t xml:space="preserve"> </w:t>
      </w:r>
      <w:r>
        <w:t xml:space="preserve">created and maintained by European Environmental Agency (EEA) is allowed. The energy/fuel</w:t>
      </w:r>
      <w:r>
        <w:t xml:space="preserve"> </w:t>
      </w:r>
      <w:r>
        <w:t xml:space="preserve">emission factors database will also be maintained at EU level, by EEA.</w:t>
      </w:r>
      <w:r>
        <w:br/>
      </w:r>
      <w:r>
        <w:t xml:space="preserve">For developing the databases, 1 full time equivalent (FTEs) is estimated to be needed by EEA in 2025,</w:t>
      </w:r>
      <w:r>
        <w:t xml:space="preserve"> </w:t>
      </w:r>
      <w:r>
        <w:t xml:space="preserve">2026 and 2027, in addition to EUR 200,000 in infrastructure costs203. The one-off costs associated to</w:t>
      </w:r>
      <w:r>
        <w:t xml:space="preserve"> </w:t>
      </w:r>
      <w:r>
        <w:t xml:space="preserve">the development of the databases are thus estimated at EUR 693,149. In addition, one FTE and</w:t>
      </w:r>
      <w:r>
        <w:t xml:space="preserve"> </w:t>
      </w:r>
      <w:r>
        <w:t xml:space="preserve">operational costs for maintenance would be required for maintaining and updating the databases from</w:t>
      </w:r>
      <w:r>
        <w:t xml:space="preserve"> </w:t>
      </w:r>
      <w:r>
        <w:t xml:space="preserve">2026 onwards. The recurrent adjustment costs for EEA are estimated at EUR 186,000 per year from</w:t>
      </w:r>
      <w:r>
        <w:t xml:space="preserve"> </w:t>
      </w:r>
      <w:r>
        <w:t xml:space="preserve">2026 onwards relative to the baseline.</w:t>
      </w:r>
      <w:r>
        <w:br/>
      </w:r>
      <w:r>
        <w:t xml:space="preserve">As explained above, PM4 is included in PO1, PO2 and PO5. The total adjustment costs for EEA due</w:t>
      </w:r>
      <w:r>
        <w:t xml:space="preserve"> </w:t>
      </w:r>
      <w:r>
        <w:t xml:space="preserve">to PM4 relative to the baseline, expressed as present value over 2025-2050, are estimated at EUR 3.6</w:t>
      </w:r>
      <w:r>
        <w:t xml:space="preserve"> </w:t>
      </w:r>
      <w:r>
        <w:t xml:space="preserve">million of which EUR 0.7 million one-off costs.</w:t>
      </w:r>
      <w:r>
        <w:br/>
      </w:r>
      <w:r>
        <w:t xml:space="preserve">PM5: The use of primary data is incentivised and centralised databases for default values are</w:t>
      </w:r>
      <w:r>
        <w:t xml:space="preserve"> </w:t>
      </w:r>
      <w:r>
        <w:t xml:space="preserve">established at EU level. Quality assurance of external databases operated by third parties is</w:t>
      </w:r>
      <w:r>
        <w:t xml:space="preserve"> </w:t>
      </w:r>
      <w:r>
        <w:t xml:space="preserve">provided at EU level (by European Environmental Agency).</w:t>
      </w:r>
      <w:r>
        <w:t xml:space="preserve"> </w:t>
      </w:r>
      <w:r>
        <w:t xml:space="preserve">Adjustment costs for European Environmental Agency</w:t>
      </w:r>
      <w:r>
        <w:t xml:space="preserve"> </w:t>
      </w:r>
      <w:r>
        <w:t xml:space="preserve">Similarly to PM4, primary data for transport operations shall be used with priority in PM5 (included</w:t>
      </w:r>
      <w:r>
        <w:t xml:space="preserve"> </w:t>
      </w:r>
      <w:r>
        <w:t xml:space="preserve">in PO3, PO4 and PO6). In case this is not possible, the use of emission intensity factors from a</w:t>
      </w:r>
      <w:r>
        <w:t xml:space="preserve"> </w:t>
      </w:r>
      <w:r>
        <w:t xml:space="preserve">centralised EU database created and maintained by EEA is allowed. Use of data from sectorial specific</w:t>
      </w:r>
      <w:r>
        <w:t xml:space="preserve"> </w:t>
      </w:r>
      <w:r>
        <w:t xml:space="preserve">dataset, recognised according to a quality check made by EEA is allowed as well. The energy/fuel</w:t>
      </w:r>
      <w:r>
        <w:t xml:space="preserve"> </w:t>
      </w:r>
      <w:r>
        <w:t xml:space="preserve">emission factors database will also be maintained at EU level, by EEA.</w:t>
      </w:r>
      <w:r>
        <w:t xml:space="preserve"> </w:t>
      </w:r>
      <w:r>
        <w:t xml:space="preserve">As for PM4, for developing the databases 1 full time equivalent (FTEs) is estimated to be needed</w:t>
      </w:r>
      <w:r>
        <w:t xml:space="preserve"> </w:t>
      </w:r>
      <w:r>
        <w:t xml:space="preserve">by EEA in 2025, 2026 and 2027, in addition to EUR 200,000 in infrastructure costs204. The one-off</w:t>
      </w:r>
      <w:r>
        <w:t xml:space="preserve"> </w:t>
      </w:r>
      <w:r>
        <w:t xml:space="preserve">costs associated to the development of the databases are thus estimated at EUR 693,149. In</w:t>
      </w:r>
      <w:r>
        <w:t xml:space="preserve"> </w:t>
      </w:r>
      <w:r>
        <w:t xml:space="preserve">addition, one FTE and operational costs would be required for maintaining and updating the</w:t>
      </w:r>
      <w:r>
        <w:t xml:space="preserve"> </w:t>
      </w:r>
      <w:r>
        <w:t xml:space="preserve">databases from 2026 onwards. The recurrent adjustment costs for EEA are estimated at EUR</w:t>
      </w:r>
      <w:r>
        <w:t xml:space="preserve"> </w:t>
      </w:r>
      <w:r>
        <w:t xml:space="preserve">186,000 per year from 2026 onwards relative to the baseline.</w:t>
      </w:r>
      <w:r>
        <w:br/>
      </w:r>
      <w:r>
        <w:t xml:space="preserve">In addition, quality assurance of external databases operated by third parties will be provided at EU</w:t>
      </w:r>
      <w:r>
        <w:t xml:space="preserve"> </w:t>
      </w:r>
      <w:r>
        <w:t xml:space="preserve">level by European Environmental Agency. For each dataset, 15 hours are assumed to be needed for</w:t>
      </w:r>
      <w:r>
        <w:t xml:space="preserve"> </w:t>
      </w:r>
      <w:r>
        <w:t xml:space="preserve">performing the quality check. The quality check is assumed to be performed for the first time in 2026,</w:t>
      </w:r>
      <w:r>
        <w:t xml:space="preserve"> </w:t>
      </w:r>
      <w:r>
        <w:t xml:space="preserve">for 24 datasets (more than one for each sector involved in the quantification). The quality check of each</w:t>
      </w:r>
    </w:p>
    <w:p>
      <w:pPr>
        <w:pStyle w:val="BodyText"/>
      </w:pPr>
      <w:r>
        <w:t xml:space="preserve">203 Source: EEA</w:t>
      </w:r>
      <w:r>
        <w:t xml:space="preserve"> </w:t>
      </w:r>
      <w:r>
        <w:t xml:space="preserve">204 Source: EEA</w:t>
      </w:r>
    </w:p>
    <w:p>
      <w:pPr>
        <w:pStyle w:val="BodyText"/>
      </w:pPr>
      <w:r>
        <w:t xml:space="preserve">109</w:t>
      </w:r>
    </w:p>
    <w:p>
      <w:pPr>
        <w:pStyle w:val="BodyText"/>
      </w:pPr>
      <w:r>
        <w:t xml:space="preserve">dataset is estimated to occur every two years. Thus, operational costs are estimated to be needed every</w:t>
      </w:r>
      <w:r>
        <w:t xml:space="preserve"> </w:t>
      </w:r>
      <w:r>
        <w:t xml:space="preserve">two years, equivalent to EUR 35,791 every two years205.</w:t>
      </w:r>
      <w:r>
        <w:br/>
      </w:r>
      <w:r>
        <w:t xml:space="preserve">The total one-off adjustment costs for the EEA are estimated at EUR 693,149 in the period 2025-</w:t>
      </w:r>
      <w:r>
        <w:t xml:space="preserve"> </w:t>
      </w:r>
      <w:r>
        <w:t xml:space="preserve">2027, while the recurrent annual costs at EUR 221,791 in 2030 and in 2050. Expressed as present</w:t>
      </w:r>
      <w:r>
        <w:t xml:space="preserve"> </w:t>
      </w:r>
      <w:r>
        <w:t xml:space="preserve">value over 2025-2050, the total adjustment costs are estimated at EUR 3.2 million.</w:t>
      </w:r>
      <w:r>
        <w:br/>
      </w:r>
      <w:r>
        <w:t xml:space="preserve">Administrative costs for business sector associations</w:t>
      </w:r>
      <w:r>
        <w:t xml:space="preserve"> </w:t>
      </w:r>
      <w:r>
        <w:t xml:space="preserve">The possibility of using data from sectorial specific datasets recognised through the quality check</w:t>
      </w:r>
      <w:r>
        <w:t xml:space="preserve"> </w:t>
      </w:r>
      <w:r>
        <w:t xml:space="preserve">performed by EEA will create additional administrative costs for the businesses willing to use this</w:t>
      </w:r>
      <w:r>
        <w:t xml:space="preserve"> </w:t>
      </w:r>
      <w:r>
        <w:t xml:space="preserve">alternative. According to the feedback received during the stakeholders’ consultation, this option will</w:t>
      </w:r>
      <w:r>
        <w:t xml:space="preserve"> </w:t>
      </w:r>
      <w:r>
        <w:t xml:space="preserve">not be used at single business level, but rather by sector associations that will collect the data from their</w:t>
      </w:r>
      <w:r>
        <w:t xml:space="preserve"> </w:t>
      </w:r>
      <w:r>
        <w:t xml:space="preserve">associates and submit them to the EEA for the quality check.</w:t>
      </w:r>
      <w:r>
        <w:br/>
      </w:r>
      <w:r>
        <w:t xml:space="preserve">Estimates of costs were based on similar initiatives such as FuelEU Maritime206 and EMSWe207, and</w:t>
      </w:r>
      <w:r>
        <w:t xml:space="preserve"> </w:t>
      </w:r>
      <w:r>
        <w:t xml:space="preserve">feedback from stakeholders. The time needed for businesses to submit the databases is estimated at 24</w:t>
      </w:r>
      <w:r>
        <w:t xml:space="preserve"> </w:t>
      </w:r>
      <w:r>
        <w:t xml:space="preserve">hours per database, and the cost per hour is estimated at EUR 40.9208 in 2022 prices for ISCO 2</w:t>
      </w:r>
      <w:r>
        <w:t xml:space="preserve"> </w:t>
      </w:r>
      <w:r>
        <w:t xml:space="preserve">category (Professionals), and it is assumed to remain constant over time in real prices. A number of 17</w:t>
      </w:r>
      <w:r>
        <w:t xml:space="preserve"> </w:t>
      </w:r>
      <w:r>
        <w:t xml:space="preserve">databases is assumed to be submitted, in line with the number of involved sectors. Databases are</w:t>
      </w:r>
      <w:r>
        <w:t xml:space="preserve"> </w:t>
      </w:r>
      <w:r>
        <w:t xml:space="preserve">expected to be submitted every two years.</w:t>
      </w:r>
      <w:r>
        <w:t xml:space="preserve"> </w:t>
      </w:r>
      <w:r>
        <w:t xml:space="preserve">The recurrent administrative costs for business sector associations are estimated at EUR 16,686</w:t>
      </w:r>
      <w:r>
        <w:t xml:space="preserve"> </w:t>
      </w:r>
      <w:r>
        <w:t xml:space="preserve">in 2026 relative to baseline, and every two years up to 2050. Expressed as present value over 2025-</w:t>
      </w:r>
      <w:r>
        <w:t xml:space="preserve"> </w:t>
      </w:r>
      <w:r>
        <w:t xml:space="preserve">2050, the total administrative costs are estimated at EUR 177,452.</w:t>
      </w:r>
      <w:r>
        <w:br/>
      </w:r>
      <w:r>
        <w:t xml:space="preserve">For the purpose of reporting on the application of the ‘one in, one out’ approach209, the annual</w:t>
      </w:r>
      <w:r>
        <w:t xml:space="preserve"> </w:t>
      </w:r>
      <w:r>
        <w:t xml:space="preserve">average number of hours per database for businesses to submit the databases has been estimated at</w:t>
      </w:r>
      <w:r>
        <w:t xml:space="preserve"> </w:t>
      </w:r>
      <w:r>
        <w:t xml:space="preserve">12 hours each year (instead of every two years). The cost per hour is estimated at EUR 40.9 and a</w:t>
      </w:r>
      <w:r>
        <w:t xml:space="preserve"> </w:t>
      </w:r>
      <w:r>
        <w:t xml:space="preserve">number of 17 databases is assumed to be submitted. The cost per database for preparing the submission</w:t>
      </w:r>
      <w:r>
        <w:t xml:space="preserve"> </w:t>
      </w:r>
      <w:r>
        <w:t xml:space="preserve">is estimated at EUR 490.76 per database. Thus, for the purpose of ‘one in, one out’ approach, the</w:t>
      </w:r>
      <w:r>
        <w:t xml:space="preserve"> </w:t>
      </w:r>
      <w:r>
        <w:t xml:space="preserve">recurrent administrative costs for business sector associations are estimated at EUR 8,343 per</w:t>
      </w:r>
      <w:r>
        <w:t xml:space="preserve"> </w:t>
      </w:r>
      <w:r>
        <w:t xml:space="preserve">year.</w:t>
      </w:r>
      <w:r>
        <w:br/>
      </w:r>
      <w:r>
        <w:t xml:space="preserve">PM6: Harmonised GHG output data formats and metrics are provided at EU level, together</w:t>
      </w:r>
      <w:r>
        <w:t xml:space="preserve"> </w:t>
      </w:r>
      <w:r>
        <w:t xml:space="preserve">with common rules on the communication and transparency</w:t>
      </w:r>
      <w:r>
        <w:t xml:space="preserve"> </w:t>
      </w:r>
      <w:r>
        <w:t xml:space="preserve">In PM6, minimum requirements for harmonised formats (unit of measures) are mandated. This</w:t>
      </w:r>
      <w:r>
        <w:t xml:space="preserve"> </w:t>
      </w:r>
      <w:r>
        <w:t xml:space="preserve">will facilitate the sharing of comparable data between entities along the supply chain, which may</w:t>
      </w:r>
      <w:r>
        <w:t xml:space="preserve"> </w:t>
      </w:r>
      <w:r>
        <w:t xml:space="preserve">be particularly beneficial as companies have to request/provide data to a large number of other</w:t>
      </w:r>
      <w:r>
        <w:t xml:space="preserve"> </w:t>
      </w:r>
      <w:r>
        <w:t xml:space="preserve">companies, all using their own data output formats. The reference to the source of the data output</w:t>
      </w:r>
      <w:r>
        <w:t xml:space="preserve"> </w:t>
      </w:r>
      <w:r>
        <w:t xml:space="preserve">(CountEmissions EU) and its scope (GHG emissions from transport services) will be mandated.</w:t>
      </w:r>
      <w:r>
        <w:t xml:space="preserve"> </w:t>
      </w:r>
      <w:r>
        <w:t xml:space="preserve">This will enhance transparent communication. Specific requirements for the communication and</w:t>
      </w:r>
    </w:p>
    <w:p>
      <w:pPr>
        <w:pStyle w:val="BodyText"/>
      </w:pPr>
      <w:r>
        <w:t xml:space="preserve">205 Source: EEA</w:t>
      </w:r>
      <w:r>
        <w:t xml:space="preserve"> </w:t>
      </w:r>
      <w:r>
        <w:t xml:space="preserve">206 COM(2021)562</w:t>
      </w:r>
      <w:r>
        <w:t xml:space="preserve"> </w:t>
      </w:r>
      <w:r>
        <w:t xml:space="preserve">207 Regulation (EU) 2019/1239 establishing a European Maritime Single Window environment</w:t>
      </w:r>
      <w:r>
        <w:t xml:space="preserve"> </w:t>
      </w:r>
      <w:r>
        <w:t xml:space="preserve">208 Eurostat Structure of earnings survey, Labour Force Survey data for Non-Wage Labour</w:t>
      </w:r>
      <w:r>
        <w:t xml:space="preserve"> </w:t>
      </w:r>
      <w:r>
        <w:t xml:space="preserve">209 https://ec.europa.eu/info/law/law-making-process/planning-and-proposing-law/better-regulation-why-and-</w:t>
      </w:r>
      <w:r>
        <w:t xml:space="preserve"> </w:t>
      </w:r>
      <w:r>
        <w:t xml:space="preserve">how_en</w:t>
      </w:r>
    </w:p>
    <w:p>
      <w:pPr>
        <w:pStyle w:val="BodyText"/>
      </w:pPr>
      <w:r>
        <w:t xml:space="preserve">110</w:t>
      </w:r>
    </w:p>
    <w:p>
      <w:pPr>
        <w:pStyle w:val="BodyText"/>
      </w:pPr>
      <w:r>
        <w:t xml:space="preserve">transparency related to any GHG claims on the performance of transport services are included.</w:t>
      </w:r>
      <w:r>
        <w:t xml:space="preserve"> </w:t>
      </w:r>
      <w:r>
        <w:t xml:space="preserve">This measure is common to all policy measures.</w:t>
      </w:r>
      <w:r>
        <w:t xml:space="preserve"> </w:t>
      </w:r>
      <w:r>
        <w:t xml:space="preserve">Adjustment costs for national public authorities</w:t>
      </w:r>
      <w:r>
        <w:t xml:space="preserve"> </w:t>
      </w:r>
      <w:r>
        <w:t xml:space="preserve">The time required for the national statistical offices that are collecting and storing data on transport</w:t>
      </w:r>
      <w:r>
        <w:t xml:space="preserve"> </w:t>
      </w:r>
      <w:r>
        <w:t xml:space="preserve">GHG emissions to implement the new rules, switching to a unique format for the data resulting from</w:t>
      </w:r>
      <w:r>
        <w:t xml:space="preserve"> </w:t>
      </w:r>
      <w:r>
        <w:t xml:space="preserve">the calculations, is estimated at 120 hours per statistical office. The average cost per hour is estimated</w:t>
      </w:r>
      <w:r>
        <w:t xml:space="preserve"> </w:t>
      </w:r>
      <w:r>
        <w:t xml:space="preserve">at EUR 40.9210 in 2022 prices for ISCO 2 category (Professionals) and it is assumed to remain constant</w:t>
      </w:r>
      <w:r>
        <w:t xml:space="preserve"> </w:t>
      </w:r>
      <w:r>
        <w:t xml:space="preserve">over time in real prices. Thus, the one-off adjustment costs for the national public authorities in 2025</w:t>
      </w:r>
      <w:r>
        <w:t xml:space="preserve"> </w:t>
      </w:r>
      <w:r>
        <w:t xml:space="preserve">are estimated at EUR 132,504 relative to the baseline (in 2022 prices). This should be regarded as an</w:t>
      </w:r>
      <w:r>
        <w:t xml:space="preserve"> </w:t>
      </w:r>
      <w:r>
        <w:t xml:space="preserve">upper-bound estimate, as it is very likely that familiarising with the new rules would take place in the</w:t>
      </w:r>
      <w:r>
        <w:t xml:space="preserve"> </w:t>
      </w:r>
      <w:r>
        <w:t xml:space="preserve">context of the regular activities performed by the statistical offices.</w:t>
      </w:r>
      <w:r>
        <w:t xml:space="preserve"> </w:t>
      </w:r>
      <w:r>
        <w:t xml:space="preserve">PM7: Horizontal guidelines for the harmonised implementation of CountEmissions EU in</w:t>
      </w:r>
      <w:r>
        <w:t xml:space="preserve"> </w:t>
      </w:r>
      <w:r>
        <w:t xml:space="preserve">various sectors and segments of the transport market are provided at EU level</w:t>
      </w:r>
      <w:r>
        <w:t xml:space="preserve"> </w:t>
      </w:r>
      <w:r>
        <w:t xml:space="preserve">In PM7 guidance is provided at EU level on how to calculate emissions using CountEmissions</w:t>
      </w:r>
      <w:r>
        <w:t xml:space="preserve"> </w:t>
      </w:r>
      <w:r>
        <w:t xml:space="preserve">EU, how to apply primary data and default values, how to develop sectorial guidelines, how to</w:t>
      </w:r>
      <w:r>
        <w:t xml:space="preserve"> </w:t>
      </w:r>
      <w:r>
        <w:t xml:space="preserve">go through the verification process, and how to safely share emissions data, preserving privacy</w:t>
      </w:r>
      <w:r>
        <w:t xml:space="preserve"> </w:t>
      </w:r>
      <w:r>
        <w:t xml:space="preserve">and confidentiality (e.g. SCF &amp; CEFIC (2021) for the chemical sector)211. This measure is</w:t>
      </w:r>
      <w:r>
        <w:t xml:space="preserve"> </w:t>
      </w:r>
      <w:r>
        <w:t xml:space="preserve">common to all policy options.</w:t>
      </w:r>
      <w:r>
        <w:t xml:space="preserve"> </w:t>
      </w:r>
      <w:r>
        <w:t xml:space="preserve">Adjustment costs for business sector associations</w:t>
      </w:r>
      <w:r>
        <w:t xml:space="preserve"> </w:t>
      </w:r>
      <w:r>
        <w:t xml:space="preserve">The workload required by businesses sector associations to adapt sector processes in line with the</w:t>
      </w:r>
      <w:r>
        <w:t xml:space="preserve"> </w:t>
      </w:r>
      <w:r>
        <w:t xml:space="preserve">guidelines set in the implementing act of CountEmissions EU is estimated at 90 hours per sector</w:t>
      </w:r>
      <w:r>
        <w:t xml:space="preserve"> </w:t>
      </w:r>
      <w:r>
        <w:t xml:space="preserve">association. The average cost per hour is estimated at EUR 40.9212 in 2022 prices for ISCO 2 category</w:t>
      </w:r>
      <w:r>
        <w:t xml:space="preserve"> </w:t>
      </w:r>
      <w:r>
        <w:t xml:space="preserve">(Professionals). The number of sectors that will need to adapt processes is estimated to be 17, which</w:t>
      </w:r>
      <w:r>
        <w:t xml:space="preserve"> </w:t>
      </w:r>
      <w:r>
        <w:t xml:space="preserve">represents an upper bound estimation (including all NACE categories). Thus, the one-off adjustment</w:t>
      </w:r>
      <w:r>
        <w:t xml:space="preserve"> </w:t>
      </w:r>
      <w:r>
        <w:t xml:space="preserve">costs for business sector associations in 2025 are estimated at EUR 62,571 relative to the baseline (in</w:t>
      </w:r>
      <w:r>
        <w:t xml:space="preserve"> </w:t>
      </w:r>
      <w:r>
        <w:t xml:space="preserve">2022 prices).</w:t>
      </w:r>
      <w:r>
        <w:br/>
      </w:r>
      <w:r>
        <w:t xml:space="preserve">PM8: A mandatory process and data verification for all entities is established at EU level</w:t>
      </w:r>
      <w:r>
        <w:t xml:space="preserve"> </w:t>
      </w:r>
      <w:r>
        <w:t xml:space="preserve">In PM8, the data and calculation processes of GHG emissions from entities must be verified</w:t>
      </w:r>
      <w:r>
        <w:t xml:space="preserve"> </w:t>
      </w:r>
      <w:r>
        <w:t xml:space="preserve">annually by bodies accredited at EU level. These bodies are bound by non disclosure. The</w:t>
      </w:r>
      <w:r>
        <w:t xml:space="preserve"> </w:t>
      </w:r>
      <w:r>
        <w:t xml:space="preserve">verification is done by bodies that are accredited by MS accreditation bodies, following specific</w:t>
      </w:r>
      <w:r>
        <w:t xml:space="preserve"> </w:t>
      </w:r>
      <w:r>
        <w:t xml:space="preserve">EU rules. These bodies follow the verification rules provided at the EU level, both for data (with</w:t>
      </w:r>
      <w:r>
        <w:t xml:space="preserve"> </w:t>
      </w:r>
      <w:r>
        <w:t xml:space="preserve">the support of EEA) and processes. Verification for data will be done in conformity with the</w:t>
      </w:r>
      <w:r>
        <w:t xml:space="preserve"> </w:t>
      </w:r>
      <w:r>
        <w:t xml:space="preserve">requirements for the input data and methodology.</w:t>
      </w:r>
    </w:p>
    <w:p>
      <w:pPr>
        <w:pStyle w:val="BodyText"/>
      </w:pPr>
      <w:r>
        <w:t xml:space="preserve">210 Eurostat Structure of earnings survey, Labour Force Survey data for Non-Wage Labour</w:t>
      </w:r>
      <w:r>
        <w:t xml:space="preserve"> </w:t>
      </w:r>
      <w:r>
        <w:t xml:space="preserve">211 TFS, The Product Carbon Footprint Guideline for the Chemical Industry, 2021</w:t>
      </w:r>
      <w:r>
        <w:t xml:space="preserve"> </w:t>
      </w:r>
      <w:r>
        <w:t xml:space="preserve">212 Eurostat Structure of earnings survey, Labour Force Survey data for Non-Wage Labour</w:t>
      </w:r>
    </w:p>
    <w:p>
      <w:pPr>
        <w:pStyle w:val="BodyText"/>
      </w:pPr>
      <w:r>
        <w:t xml:space="preserve">111</w:t>
      </w:r>
    </w:p>
    <w:p>
      <w:pPr>
        <w:pStyle w:val="BodyText"/>
      </w:pPr>
      <w:r>
        <w:t xml:space="preserve">Administrative costs for National Accreditation Bodies – NABs213</w:t>
      </w:r>
      <w:r>
        <w:t xml:space="preserve"> </w:t>
      </w:r>
      <w:r>
        <w:t xml:space="preserve">PM8 mandates for all businesses to be verified by a verifier accredited in line with Regulation</w:t>
      </w:r>
      <w:r>
        <w:t xml:space="preserve"> </w:t>
      </w:r>
      <w:r>
        <w:t xml:space="preserve">2016/2072214, which can be extended to the whole transport sector with very small modifications.</w:t>
      </w:r>
      <w:r>
        <w:t xml:space="preserve"> </w:t>
      </w:r>
      <w:r>
        <w:t xml:space="preserve">Verification is performed by bodies that are accredited by NABs, dealing with accreditation following</w:t>
      </w:r>
      <w:r>
        <w:t xml:space="preserve"> </w:t>
      </w:r>
      <w:r>
        <w:t xml:space="preserve">specific EU rules.</w:t>
      </w:r>
      <w:r>
        <w:br/>
      </w:r>
      <w:r>
        <w:t xml:space="preserve">As regards accreditation, the workload associated to PM8 (included in PO1) for national public</w:t>
      </w:r>
      <w:r>
        <w:t xml:space="preserve"> </w:t>
      </w:r>
      <w:r>
        <w:t xml:space="preserve">authorities is estimated at 120 hours per Member State. The average cost per hour is estimated at EUR</w:t>
      </w:r>
      <w:r>
        <w:t xml:space="preserve"> </w:t>
      </w:r>
      <w:r>
        <w:t xml:space="preserve">40.9215 in 2022 prices for ISCO 2 category (Professionals). Thus, the one-off administrative costs for</w:t>
      </w:r>
      <w:r>
        <w:t xml:space="preserve"> </w:t>
      </w:r>
      <w:r>
        <w:t xml:space="preserve">NABs in 2025 at EU level are estimated at EUR 132,504 relative to the baseline.</w:t>
      </w:r>
      <w:r>
        <w:t xml:space="preserve"> </w:t>
      </w:r>
      <w:r>
        <w:t xml:space="preserve">Adjustment costs for businesses</w:t>
      </w:r>
      <w:r>
        <w:t xml:space="preserve"> </w:t>
      </w:r>
      <w:r>
        <w:t xml:space="preserve">As regards verification, in the baseline scenario 80% of large companies and 20% of the SMEs that</w:t>
      </w:r>
      <w:r>
        <w:t xml:space="preserve"> </w:t>
      </w:r>
      <w:r>
        <w:t xml:space="preserve">perform GHG emissions accounting undergo verification. PM8 mandates the verification of GHG</w:t>
      </w:r>
      <w:r>
        <w:t xml:space="preserve"> </w:t>
      </w:r>
      <w:r>
        <w:t xml:space="preserve">emissions output data for all businesses. Verification is performed by bodies that are accredited by MS</w:t>
      </w:r>
      <w:r>
        <w:t xml:space="preserve"> </w:t>
      </w:r>
      <w:r>
        <w:t xml:space="preserve">accreditation bodies, following specific EU rules. A secondary act will define the accreditation rules</w:t>
      </w:r>
      <w:r>
        <w:t xml:space="preserve"> </w:t>
      </w:r>
      <w:r>
        <w:t xml:space="preserve">and the verification rules for verification bodies. Verification will be performed on annual basis.</w:t>
      </w:r>
      <w:r>
        <w:t xml:space="preserve"> </w:t>
      </w:r>
      <w:r>
        <w:t xml:space="preserve">The costs for PM8 (included in PO1) build on estimates from the impact assessments accompanying</w:t>
      </w:r>
      <w:r>
        <w:t xml:space="preserve"> </w:t>
      </w:r>
      <w:r>
        <w:t xml:space="preserve">the Fuel EU Maritime initiative and the MRV Regulation, and inputs from the stakeholder consultation</w:t>
      </w:r>
      <w:r>
        <w:t xml:space="preserve"> </w:t>
      </w:r>
      <w:r>
        <w:t xml:space="preserve">activities. The unit costs by size of business are provided in Table 53216.</w:t>
      </w:r>
      <w:r>
        <w:t xml:space="preserve"> </w:t>
      </w:r>
      <w:r>
        <w:t xml:space="preserve">Table 53: Unit costs for verification activities per business type, due to PM8 in PO1 (in EUR)</w:t>
      </w:r>
      <w:r>
        <w:t xml:space="preserve"> </w:t>
      </w:r>
      <w:r>
        <w:t xml:space="preserve">TSO</w:t>
      </w:r>
      <w:r>
        <w:t xml:space="preserve"> </w:t>
      </w:r>
      <w:r>
        <w:t xml:space="preserve">(SME)</w:t>
      </w:r>
      <w:r>
        <w:t xml:space="preserve"> </w:t>
      </w:r>
      <w:r>
        <w:t xml:space="preserve">TSU</w:t>
      </w:r>
      <w:r>
        <w:t xml:space="preserve"> </w:t>
      </w:r>
      <w:r>
        <w:t xml:space="preserve">(SME)</w:t>
      </w:r>
      <w:r>
        <w:t xml:space="preserve"> </w:t>
      </w:r>
      <w:r>
        <w:t xml:space="preserve">HO</w:t>
      </w:r>
      <w:r>
        <w:t xml:space="preserve"> </w:t>
      </w:r>
      <w:r>
        <w:t xml:space="preserve">(SME)</w:t>
      </w:r>
      <w:r>
        <w:t xml:space="preserve"> </w:t>
      </w:r>
      <w:r>
        <w:t xml:space="preserve">TSO</w:t>
      </w:r>
      <w:r>
        <w:t xml:space="preserve"> </w:t>
      </w:r>
      <w:r>
        <w:t xml:space="preserve">(Large)</w:t>
      </w:r>
      <w:r>
        <w:t xml:space="preserve"> </w:t>
      </w:r>
      <w:r>
        <w:t xml:space="preserve">TSU</w:t>
      </w:r>
      <w:r>
        <w:t xml:space="preserve"> </w:t>
      </w:r>
      <w:r>
        <w:t xml:space="preserve">(Large)</w:t>
      </w:r>
      <w:r>
        <w:t xml:space="preserve"> </w:t>
      </w:r>
      <w:r>
        <w:t xml:space="preserve">HO</w:t>
      </w:r>
      <w:r>
        <w:t xml:space="preserve"> </w:t>
      </w:r>
      <w:r>
        <w:t xml:space="preserve">(Large)</w:t>
      </w:r>
      <w:r>
        <w:t xml:space="preserve"> </w:t>
      </w:r>
      <w:r>
        <w:t xml:space="preserve">Baseline</w:t>
      </w:r>
      <w:r>
        <w:t xml:space="preserve"> </w:t>
      </w:r>
      <w:r>
        <w:t xml:space="preserve">399</w:t>
      </w:r>
      <w:r>
        <w:t xml:space="preserve"> </w:t>
      </w:r>
      <w:r>
        <w:t xml:space="preserve">570</w:t>
      </w:r>
      <w:r>
        <w:t xml:space="preserve"> </w:t>
      </w:r>
      <w:r>
        <w:t xml:space="preserve">399</w:t>
      </w:r>
      <w:r>
        <w:t xml:space="preserve"> </w:t>
      </w:r>
      <w:r>
        <w:t xml:space="preserve">638</w:t>
      </w:r>
      <w:r>
        <w:t xml:space="preserve"> </w:t>
      </w:r>
      <w:r>
        <w:t xml:space="preserve">1,048</w:t>
      </w:r>
      <w:r>
        <w:t xml:space="preserve"> </w:t>
      </w:r>
      <w:r>
        <w:t xml:space="preserve">638</w:t>
      </w:r>
      <w:r>
        <w:t xml:space="preserve"> </w:t>
      </w:r>
      <w:r>
        <w:t xml:space="preserve">PO1</w:t>
      </w:r>
      <w:r>
        <w:t xml:space="preserve"> </w:t>
      </w:r>
      <w:r>
        <w:t xml:space="preserve">273</w:t>
      </w:r>
      <w:r>
        <w:t xml:space="preserve"> </w:t>
      </w:r>
      <w:r>
        <w:t xml:space="preserve">410</w:t>
      </w:r>
      <w:r>
        <w:t xml:space="preserve"> </w:t>
      </w:r>
      <w:r>
        <w:t xml:space="preserve">273</w:t>
      </w:r>
      <w:r>
        <w:t xml:space="preserve"> </w:t>
      </w:r>
      <w:r>
        <w:t xml:space="preserve">465</w:t>
      </w:r>
      <w:r>
        <w:t xml:space="preserve"> </w:t>
      </w:r>
      <w:r>
        <w:t xml:space="preserve">684</w:t>
      </w:r>
      <w:r>
        <w:t xml:space="preserve"> </w:t>
      </w:r>
      <w:r>
        <w:t xml:space="preserve">465</w:t>
      </w:r>
      <w:r>
        <w:t xml:space="preserve"> </w:t>
      </w:r>
      <w:r>
        <w:t xml:space="preserve">Source: Ecorys and CE Delft (2023), Impact assessment support study; Note: ‘Large’ stands for large businesses.</w:t>
      </w:r>
      <w:r>
        <w:t xml:space="preserve"> </w:t>
      </w:r>
      <w:r>
        <w:t xml:space="preserve">Businesses that already perform verification activities in the baseline are expected to be faced with</w:t>
      </w:r>
      <w:r>
        <w:t xml:space="preserve"> </w:t>
      </w:r>
      <w:r>
        <w:t xml:space="preserve">costs savings due to the fact that the unit costs per company217 for verification activities are expected</w:t>
      </w:r>
      <w:r>
        <w:t xml:space="preserve"> </w:t>
      </w:r>
      <w:r>
        <w:t xml:space="preserve">to be lower in PM8 relative to the baseline. On the other hand, the additional number of companies that</w:t>
      </w:r>
      <w:r>
        <w:t xml:space="preserve"> </w:t>
      </w:r>
      <w:r>
        <w:t xml:space="preserve">perform verification activities (in conjunction with the mandatory application of CountEmissions</w:t>
      </w:r>
      <w:r>
        <w:t xml:space="preserve"> </w:t>
      </w:r>
      <w:r>
        <w:t xml:space="preserve">EU, due to PM13) lead to an overall increase in adjustment costs for PM8 (see Table 54). Expressed</w:t>
      </w:r>
    </w:p>
    <w:p>
      <w:pPr>
        <w:pStyle w:val="BodyText"/>
      </w:pPr>
      <w:r>
        <w:t xml:space="preserve">213 A National Accreditation Body (NAB) is an institution which attests to the competence and impartiality of</w:t>
      </w:r>
      <w:r>
        <w:t xml:space="preserve"> </w:t>
      </w:r>
      <w:r>
        <w:t xml:space="preserve">conformity assessment bodies (testing and calibration laboratories, certification and inspection bodies), according</w:t>
      </w:r>
      <w:r>
        <w:t xml:space="preserve"> </w:t>
      </w:r>
      <w:r>
        <w:t xml:space="preserve">to</w:t>
      </w:r>
      <w:r>
        <w:t xml:space="preserve"> </w:t>
      </w:r>
      <w:r>
        <w:t xml:space="preserve">international</w:t>
      </w:r>
      <w:r>
        <w:t xml:space="preserve"> </w:t>
      </w:r>
      <w:r>
        <w:t xml:space="preserve">standards</w:t>
      </w:r>
      <w:r>
        <w:t xml:space="preserve"> </w:t>
      </w:r>
      <w:r>
        <w:t xml:space="preserve">such</w:t>
      </w:r>
      <w:r>
        <w:t xml:space="preserve"> </w:t>
      </w:r>
      <w:r>
        <w:t xml:space="preserve">as</w:t>
      </w:r>
      <w:r>
        <w:t xml:space="preserve"> </w:t>
      </w:r>
      <w:r>
        <w:t xml:space="preserve">ISO/IEC.</w:t>
      </w:r>
      <w:r>
        <w:t xml:space="preserve"> </w:t>
      </w:r>
      <w:r>
        <w:t xml:space="preserve">https://ec.europa.eu/growth/tools-</w:t>
      </w:r>
      <w:r>
        <w:t xml:space="preserve"> </w:t>
      </w:r>
      <w:r>
        <w:t xml:space="preserve">databases/nando/index.cfm?fuseaction=ab.main</w:t>
      </w:r>
      <w:r>
        <w:br/>
      </w:r>
      <w:r>
        <w:t xml:space="preserve">214 Commission Delegated Regulation (EU) 2016/2072 of 22 September 2016 on the verification activities and</w:t>
      </w:r>
      <w:r>
        <w:t xml:space="preserve"> </w:t>
      </w:r>
      <w:r>
        <w:t xml:space="preserve">accreditation of verifiers pursuant to Regulation (EU) 2015/757 of the European Parliament and of the Council on</w:t>
      </w:r>
      <w:r>
        <w:t xml:space="preserve"> </w:t>
      </w:r>
      <w:r>
        <w:t xml:space="preserve">the monitoring, reporting and verification of carbon dioxide emissions from maritime transport https://eur-</w:t>
      </w:r>
      <w:r>
        <w:t xml:space="preserve"> </w:t>
      </w:r>
      <w:r>
        <w:t xml:space="preserve">lex.europa.eu/legal-content/EN/TXT/?uri=CELEX:32016R2072</w:t>
      </w:r>
      <w:r>
        <w:br/>
      </w:r>
      <w:r>
        <w:t xml:space="preserve">215 Eurostat Structure of earnings survey, Labour Force Survey data for Non-Wage Labour</w:t>
      </w:r>
      <w:r>
        <w:t xml:space="preserve"> </w:t>
      </w:r>
      <w:r>
        <w:t xml:space="preserve">216 The number of hours worked and thus the unit costs are assumed to go down over time, by 15% by 2050 relative</w:t>
      </w:r>
      <w:r>
        <w:t xml:space="preserve"> </w:t>
      </w:r>
      <w:r>
        <w:t xml:space="preserve">to 2020, due to the learning effects.</w:t>
      </w:r>
      <w:r>
        <w:t xml:space="preserve"> </w:t>
      </w:r>
      <w:r>
        <w:t xml:space="preserve">217 The provision of a single standardised set of rules will lead to savings in time to support verification activities.</w:t>
      </w:r>
      <w:r>
        <w:t xml:space="preserve"> </w:t>
      </w:r>
      <w:r>
        <w:t xml:space="preserve">The verification is conducted on annual basis on random samplings of quantifications. The verifiers will be provided</w:t>
      </w:r>
      <w:r>
        <w:t xml:space="preserve"> </w:t>
      </w:r>
      <w:r>
        <w:t xml:space="preserve">with specific standardised rules to perform verifications. Source: CE Delft et al. (2023), Impact assessment support</w:t>
      </w:r>
      <w:r>
        <w:t xml:space="preserve"> </w:t>
      </w:r>
      <w:r>
        <w:t xml:space="preserve">study</w:t>
      </w:r>
    </w:p>
    <w:p>
      <w:pPr>
        <w:pStyle w:val="BodyText"/>
      </w:pPr>
      <w:r>
        <w:t xml:space="preserve">112</w:t>
      </w:r>
    </w:p>
    <w:p>
      <w:pPr>
        <w:pStyle w:val="BodyText"/>
      </w:pPr>
      <w:r>
        <w:t xml:space="preserve">as present value over 2025-2050, the total adjustment costs for PM8 in PO1 are estimated at EUR 7.2</w:t>
      </w:r>
      <w:r>
        <w:t xml:space="preserve"> </w:t>
      </w:r>
      <w:r>
        <w:t xml:space="preserve">billion relative to the baseline.</w:t>
      </w:r>
      <w:r>
        <w:t xml:space="preserve"> </w:t>
      </w:r>
      <w:r>
        <w:t xml:space="preserve">Table 54: Recurrent adjustment costs for business due to PM8 in PO1 (in EUR)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of companies that perform</w:t>
      </w:r>
      <w:r>
        <w:t xml:space="preserve"> </w:t>
      </w:r>
      <w:r>
        <w:t xml:space="preserve">verification activities in the baseline</w:t>
      </w:r>
      <w:r>
        <w:t xml:space="preserve"> </w:t>
      </w:r>
      <w:r>
        <w:t xml:space="preserve">6,457</w:t>
      </w:r>
      <w:r>
        <w:t xml:space="preserve"> </w:t>
      </w:r>
      <w:r>
        <w:t xml:space="preserve">8,290</w:t>
      </w:r>
      <w:r>
        <w:t xml:space="preserve"> </w:t>
      </w:r>
      <w:r>
        <w:t xml:space="preserve">11,670</w:t>
      </w:r>
      <w:r>
        <w:t xml:space="preserve"> </w:t>
      </w:r>
      <w:r>
        <w:t xml:space="preserve">14,711</w:t>
      </w:r>
      <w:r>
        <w:t xml:space="preserve"> </w:t>
      </w:r>
      <w:r>
        <w:t xml:space="preserve">SMEs</w:t>
      </w:r>
      <w:r>
        <w:t xml:space="preserve"> </w:t>
      </w:r>
      <w:r>
        <w:t xml:space="preserve">6,051</w:t>
      </w:r>
      <w:r>
        <w:t xml:space="preserve"> </w:t>
      </w:r>
      <w:r>
        <w:t xml:space="preserve">7,739</w:t>
      </w:r>
      <w:r>
        <w:t xml:space="preserve"> </w:t>
      </w:r>
      <w:r>
        <w:t xml:space="preserve">10,856</w:t>
      </w:r>
      <w:r>
        <w:t xml:space="preserve"> </w:t>
      </w:r>
      <w:r>
        <w:t xml:space="preserve">13,654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406</w:t>
      </w:r>
      <w:r>
        <w:t xml:space="preserve"> </w:t>
      </w:r>
      <w:r>
        <w:t xml:space="preserve">551</w:t>
      </w:r>
      <w:r>
        <w:t xml:space="preserve"> </w:t>
      </w:r>
      <w:r>
        <w:t xml:space="preserve">814</w:t>
      </w:r>
      <w:r>
        <w:t xml:space="preserve"> </w:t>
      </w:r>
      <w:r>
        <w:t xml:space="preserve">1,057</w:t>
      </w:r>
      <w:r>
        <w:t xml:space="preserve"> </w:t>
      </w:r>
      <w:r>
        <w:t xml:space="preserve">Costs for companies switching to ISO+</w:t>
      </w:r>
      <w:r>
        <w:t xml:space="preserve"> </w:t>
      </w:r>
      <w:r>
        <w:t xml:space="preserve">verification (in million EUR) relative to the</w:t>
      </w:r>
      <w:r>
        <w:t xml:space="preserve"> </w:t>
      </w:r>
      <w:r>
        <w:t xml:space="preserve">baseline</w:t>
      </w:r>
      <w:r>
        <w:t xml:space="preserve"> </w:t>
      </w:r>
      <w:r>
        <w:t xml:space="preserve">-0.9</w:t>
      </w:r>
      <w:r>
        <w:t xml:space="preserve"> </w:t>
      </w:r>
      <w:r>
        <w:t xml:space="preserve">-1.1</w:t>
      </w:r>
      <w:r>
        <w:t xml:space="preserve"> </w:t>
      </w:r>
      <w:r>
        <w:t xml:space="preserve">-1.5</w:t>
      </w:r>
      <w:r>
        <w:t xml:space="preserve"> </w:t>
      </w:r>
      <w:r>
        <w:t xml:space="preserve">-1.8</w:t>
      </w:r>
      <w:r>
        <w:t xml:space="preserve"> </w:t>
      </w:r>
      <w:r>
        <w:t xml:space="preserve">SMEs</w:t>
      </w:r>
      <w:r>
        <w:t xml:space="preserve"> </w:t>
      </w:r>
      <w:r>
        <w:t xml:space="preserve">-0.8</w:t>
      </w:r>
      <w:r>
        <w:t xml:space="preserve"> </w:t>
      </w:r>
      <w:r>
        <w:t xml:space="preserve">-1.0</w:t>
      </w:r>
      <w:r>
        <w:t xml:space="preserve"> </w:t>
      </w:r>
      <w:r>
        <w:t xml:space="preserve">-1.3</w:t>
      </w:r>
      <w:r>
        <w:t xml:space="preserve"> </w:t>
      </w:r>
      <w:r>
        <w:t xml:space="preserve">-1.5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-0.1</w:t>
      </w:r>
      <w:r>
        <w:t xml:space="preserve"> </w:t>
      </w:r>
      <w:r>
        <w:t xml:space="preserve">-0.1</w:t>
      </w:r>
      <w:r>
        <w:t xml:space="preserve"> </w:t>
      </w:r>
      <w:r>
        <w:t xml:space="preserve">-0.2</w:t>
      </w:r>
      <w:r>
        <w:t xml:space="preserve"> </w:t>
      </w:r>
      <w:r>
        <w:t xml:space="preserve">-0.3</w:t>
      </w:r>
      <w:r>
        <w:t xml:space="preserve"> </w:t>
      </w:r>
      <w:r>
        <w:t xml:space="preserve">Additional number of companies that perform</w:t>
      </w:r>
      <w:r>
        <w:t xml:space="preserve"> </w:t>
      </w:r>
      <w:r>
        <w:t xml:space="preserve">verification in PM8</w:t>
      </w:r>
      <w:r>
        <w:br/>
      </w:r>
      <w:r>
        <w:t xml:space="preserve">134,873</w:t>
      </w:r>
      <w:r>
        <w:t xml:space="preserve"> </w:t>
      </w:r>
      <w:r>
        <w:t xml:space="preserve">949,093</w:t>
      </w:r>
      <w:r>
        <w:t xml:space="preserve"> </w:t>
      </w:r>
      <w:r>
        <w:t xml:space="preserve">1,761,770</w:t>
      </w:r>
      <w:r>
        <w:t xml:space="preserve"> </w:t>
      </w:r>
      <w:r>
        <w:t xml:space="preserve">1,758,729</w:t>
      </w:r>
      <w:r>
        <w:t xml:space="preserve"> </w:t>
      </w:r>
      <w:r>
        <w:t xml:space="preserve">SMEs</w:t>
      </w:r>
      <w:r>
        <w:t xml:space="preserve"> </w:t>
      </w:r>
      <w:r>
        <w:t xml:space="preserve">133,891</w:t>
      </w:r>
      <w:r>
        <w:t xml:space="preserve"> </w:t>
      </w:r>
      <w:r>
        <w:t xml:space="preserve">946,084</w:t>
      </w:r>
      <w:r>
        <w:t xml:space="preserve"> </w:t>
      </w:r>
      <w:r>
        <w:t xml:space="preserve">1,756,846</w:t>
      </w:r>
      <w:r>
        <w:t xml:space="preserve"> </w:t>
      </w:r>
      <w:r>
        <w:t xml:space="preserve">1,754,048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982</w:t>
      </w:r>
      <w:r>
        <w:t xml:space="preserve"> </w:t>
      </w:r>
      <w:r>
        <w:t xml:space="preserve">3,009</w:t>
      </w:r>
      <w:r>
        <w:t xml:space="preserve"> </w:t>
      </w:r>
      <w:r>
        <w:t xml:space="preserve">4,924</w:t>
      </w:r>
      <w:r>
        <w:t xml:space="preserve"> </w:t>
      </w:r>
      <w:r>
        <w:t xml:space="preserve">4,681</w:t>
      </w:r>
      <w:r>
        <w:t xml:space="preserve"> </w:t>
      </w:r>
      <w:r>
        <w:t xml:space="preserve">Costs for additional companies that perform</w:t>
      </w:r>
      <w:r>
        <w:t xml:space="preserve"> </w:t>
      </w:r>
      <w:r>
        <w:t xml:space="preserve">verification (in million EUR) relative to the</w:t>
      </w:r>
      <w:r>
        <w:t xml:space="preserve"> </w:t>
      </w:r>
      <w:r>
        <w:t xml:space="preserve">baseline</w:t>
      </w:r>
      <w:r>
        <w:t xml:space="preserve"> </w:t>
      </w:r>
      <w:r>
        <w:t xml:space="preserve">42.4</w:t>
      </w:r>
      <w:r>
        <w:t xml:space="preserve"> </w:t>
      </w:r>
      <w:r>
        <w:t xml:space="preserve">297.3</w:t>
      </w:r>
      <w:r>
        <w:t xml:space="preserve"> </w:t>
      </w:r>
      <w:r>
        <w:t xml:space="preserve">518.7</w:t>
      </w:r>
      <w:r>
        <w:t xml:space="preserve"> </w:t>
      </w:r>
      <w:r>
        <w:t xml:space="preserve">483.7</w:t>
      </w:r>
      <w:r>
        <w:t xml:space="preserve"> </w:t>
      </w:r>
      <w:r>
        <w:t xml:space="preserve">SMEs</w:t>
      </w:r>
      <w:r>
        <w:t xml:space="preserve"> </w:t>
      </w:r>
      <w:r>
        <w:t xml:space="preserve">41.9</w:t>
      </w:r>
      <w:r>
        <w:t xml:space="preserve"> </w:t>
      </w:r>
      <w:r>
        <w:t xml:space="preserve">295.6</w:t>
      </w:r>
      <w:r>
        <w:t xml:space="preserve"> </w:t>
      </w:r>
      <w:r>
        <w:t xml:space="preserve">516.2</w:t>
      </w:r>
      <w:r>
        <w:t xml:space="preserve"> </w:t>
      </w:r>
      <w:r>
        <w:t xml:space="preserve">481.5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0.6</w:t>
      </w:r>
      <w:r>
        <w:t xml:space="preserve"> </w:t>
      </w:r>
      <w:r>
        <w:t xml:space="preserve">1.7</w:t>
      </w:r>
      <w:r>
        <w:t xml:space="preserve"> </w:t>
      </w:r>
      <w:r>
        <w:t xml:space="preserve">2.5</w:t>
      </w:r>
      <w:r>
        <w:t xml:space="preserve"> </w:t>
      </w:r>
      <w:r>
        <w:t xml:space="preserve">2.2</w:t>
      </w:r>
      <w:r>
        <w:t xml:space="preserve"> </w:t>
      </w:r>
      <w:r>
        <w:t xml:space="preserve">Total additional costs relative to the baseline</w:t>
      </w:r>
      <w:r>
        <w:t xml:space="preserve"> </w:t>
      </w:r>
      <w:r>
        <w:t xml:space="preserve">(in million EUR) relative to the baseline</w:t>
      </w:r>
      <w:r>
        <w:t xml:space="preserve"> </w:t>
      </w:r>
      <w:r>
        <w:t xml:space="preserve">41.5</w:t>
      </w:r>
      <w:r>
        <w:t xml:space="preserve"> </w:t>
      </w:r>
      <w:r>
        <w:t xml:space="preserve">296.2</w:t>
      </w:r>
      <w:r>
        <w:t xml:space="preserve"> </w:t>
      </w:r>
      <w:r>
        <w:t xml:space="preserve">517.2</w:t>
      </w:r>
      <w:r>
        <w:t xml:space="preserve"> </w:t>
      </w:r>
      <w:r>
        <w:t xml:space="preserve">481.9</w:t>
      </w:r>
      <w:r>
        <w:t xml:space="preserve"> </w:t>
      </w:r>
      <w:r>
        <w:t xml:space="preserve">SMEs</w:t>
      </w:r>
      <w:r>
        <w:t xml:space="preserve"> </w:t>
      </w:r>
      <w:r>
        <w:t xml:space="preserve">41.1</w:t>
      </w:r>
      <w:r>
        <w:t xml:space="preserve"> </w:t>
      </w:r>
      <w:r>
        <w:t xml:space="preserve">294.7</w:t>
      </w:r>
      <w:r>
        <w:t xml:space="preserve"> </w:t>
      </w:r>
      <w:r>
        <w:t xml:space="preserve">514.9</w:t>
      </w:r>
      <w:r>
        <w:t xml:space="preserve"> </w:t>
      </w:r>
      <w:r>
        <w:t xml:space="preserve">479.9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0.4</w:t>
      </w:r>
      <w:r>
        <w:t xml:space="preserve"> </w:t>
      </w:r>
      <w:r>
        <w:t xml:space="preserve">1.5</w:t>
      </w:r>
      <w:r>
        <w:t xml:space="preserve"> </w:t>
      </w:r>
      <w:r>
        <w:t xml:space="preserve">2.3</w:t>
      </w:r>
      <w:r>
        <w:t xml:space="preserve"> </w:t>
      </w:r>
      <w:r>
        <w:t xml:space="preserve">2.0</w:t>
      </w:r>
      <w:r>
        <w:t xml:space="preserve"> </w:t>
      </w:r>
      <w:r>
        <w:t xml:space="preserve">Source: Ecorys and CE Delft (2023), Impact assessment support study</w:t>
      </w:r>
      <w:r>
        <w:t xml:space="preserve"> </w:t>
      </w:r>
      <w:r>
        <w:t xml:space="preserve">Table 55: type and size of impacted enterprises due to PM8 in PO1 of all enterprises targeted with CountEmissions</w:t>
      </w:r>
      <w:r>
        <w:t xml:space="preserve"> </w:t>
      </w:r>
      <w:r>
        <w:t xml:space="preserve">EU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companies performing verification</w:t>
      </w:r>
      <w:r>
        <w:t xml:space="preserve"> </w:t>
      </w:r>
      <w:r>
        <w:t xml:space="preserve">8.0%</w:t>
      </w:r>
      <w:r>
        <w:t xml:space="preserve"> </w:t>
      </w:r>
      <w:r>
        <w:t xml:space="preserve">54.0%</w:t>
      </w:r>
      <w:r>
        <w:t xml:space="preserve"> </w:t>
      </w:r>
      <w:r>
        <w:t xml:space="preserve">100.0%</w:t>
      </w:r>
      <w:r>
        <w:t xml:space="preserve"> </w:t>
      </w:r>
      <w:r>
        <w:t xml:space="preserve">100.0%</w:t>
      </w:r>
      <w:r>
        <w:t xml:space="preserve"> </w:t>
      </w:r>
      <w:r>
        <w:t xml:space="preserve">SMEs</w:t>
      </w:r>
      <w:r>
        <w:t xml:space="preserve"> </w:t>
      </w:r>
      <w:r>
        <w:t xml:space="preserve">7.9%</w:t>
      </w:r>
      <w:r>
        <w:t xml:space="preserve"> </w:t>
      </w:r>
      <w:r>
        <w:t xml:space="preserve">54.0%</w:t>
      </w:r>
      <w:r>
        <w:t xml:space="preserve"> </w:t>
      </w:r>
      <w:r>
        <w:t xml:space="preserve">100.0%</w:t>
      </w:r>
      <w:r>
        <w:t xml:space="preserve"> </w:t>
      </w:r>
      <w:r>
        <w:t xml:space="preserve">100.0%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24.2%</w:t>
      </w:r>
      <w:r>
        <w:t xml:space="preserve"> </w:t>
      </w:r>
      <w:r>
        <w:t xml:space="preserve">62.0%</w:t>
      </w:r>
      <w:r>
        <w:t xml:space="preserve"> </w:t>
      </w:r>
      <w:r>
        <w:t xml:space="preserve">100.0%</w:t>
      </w:r>
      <w:r>
        <w:t xml:space="preserve"> </w:t>
      </w:r>
      <w:r>
        <w:t xml:space="preserve">100.0%</w:t>
      </w:r>
      <w:r>
        <w:t xml:space="preserve"> </w:t>
      </w:r>
      <w:r>
        <w:t xml:space="preserve">Source: Ecorys and CE Delft (2023), Impact assessment support study</w:t>
      </w:r>
      <w:r>
        <w:t xml:space="preserve"> </w:t>
      </w:r>
      <w:r>
        <w:t xml:space="preserve">PM9: A mandatory process and data verification for entities above certain size are</w:t>
      </w:r>
      <w:r>
        <w:t xml:space="preserve"> </w:t>
      </w:r>
      <w:r>
        <w:t xml:space="preserve">established at EU level</w:t>
      </w:r>
      <w:r>
        <w:t xml:space="preserve"> </w:t>
      </w:r>
      <w:r>
        <w:t xml:space="preserve">Administrative costs for National Accreditation Bodies – NABs218</w:t>
      </w:r>
      <w:r>
        <w:t xml:space="preserve"> </w:t>
      </w:r>
      <w:r>
        <w:t xml:space="preserve">PM9 (included in PO3, PO4, PO5 and PO6) mandates for businesses above certain size alone to be</w:t>
      </w:r>
      <w:r>
        <w:t xml:space="preserve"> </w:t>
      </w:r>
      <w:r>
        <w:t xml:space="preserve">verified by a verifier accredited via Regulation 2016/2072219. Verification is performed by bodies that</w:t>
      </w:r>
    </w:p>
    <w:p>
      <w:pPr>
        <w:pStyle w:val="BodyText"/>
      </w:pPr>
      <w:r>
        <w:t xml:space="preserve">218 A National Accreditation Body (NAB) is an institution which attests to the competence and impartiality of</w:t>
      </w:r>
      <w:r>
        <w:t xml:space="preserve"> </w:t>
      </w:r>
      <w:r>
        <w:t xml:space="preserve">confor- mity assessment bodies (testing and calibration laboratories, certification and inspection bodies), according</w:t>
      </w:r>
      <w:r>
        <w:t xml:space="preserve"> </w:t>
      </w:r>
      <w:r>
        <w:t xml:space="preserve">to</w:t>
      </w:r>
      <w:r>
        <w:t xml:space="preserve"> </w:t>
      </w:r>
      <w:r>
        <w:t xml:space="preserve">interna-</w:t>
      </w:r>
      <w:r>
        <w:t xml:space="preserve"> </w:t>
      </w:r>
      <w:r>
        <w:t xml:space="preserve">tional</w:t>
      </w:r>
      <w:r>
        <w:t xml:space="preserve"> </w:t>
      </w:r>
      <w:r>
        <w:t xml:space="preserve">standards</w:t>
      </w:r>
      <w:r>
        <w:t xml:space="preserve"> </w:t>
      </w:r>
      <w:r>
        <w:t xml:space="preserve">such</w:t>
      </w:r>
      <w:r>
        <w:t xml:space="preserve"> </w:t>
      </w:r>
      <w:r>
        <w:t xml:space="preserve">as</w:t>
      </w:r>
      <w:r>
        <w:t xml:space="preserve"> </w:t>
      </w:r>
      <w:r>
        <w:t xml:space="preserve">ISO/IEC.</w:t>
      </w:r>
      <w:r>
        <w:t xml:space="preserve"> </w:t>
      </w:r>
      <w:r>
        <w:t xml:space="preserve">https://ec.europa.eu/growth/tools-</w:t>
      </w:r>
      <w:r>
        <w:t xml:space="preserve"> </w:t>
      </w:r>
      <w:r>
        <w:t xml:space="preserve">databases/nando/index.cfm?fuseaction=ab.main</w:t>
      </w:r>
      <w:r>
        <w:br/>
      </w:r>
      <w:r>
        <w:t xml:space="preserve">219 Commission Delegated Regulation (EU) 2016/2072 of 22 September 2016 on the verification activities and</w:t>
      </w:r>
      <w:r>
        <w:t xml:space="preserve"> </w:t>
      </w:r>
      <w:r>
        <w:t xml:space="preserve">accreditation of verifiers pursuant to Regulation (EU) 2015/757 of the European Parliament and of the Council on</w:t>
      </w:r>
    </w:p>
    <w:p>
      <w:pPr>
        <w:pStyle w:val="BodyText"/>
      </w:pPr>
      <w:r>
        <w:t xml:space="preserve">113</w:t>
      </w:r>
    </w:p>
    <w:p>
      <w:pPr>
        <w:pStyle w:val="BodyText"/>
      </w:pPr>
      <w:r>
        <w:t xml:space="preserve">are accredited by NABs dealing with accreditation following specific EU rules. A secondary act will</w:t>
      </w:r>
      <w:r>
        <w:t xml:space="preserve"> </w:t>
      </w:r>
      <w:r>
        <w:t xml:space="preserve">define the accreditation rules and the verification rules for verification bodies.</w:t>
      </w:r>
      <w:r>
        <w:br/>
      </w:r>
      <w:r>
        <w:t xml:space="preserve">As regards accreditation, the workload associated to PM9 (included in PO3, PO4, PO5 and PO6) for</w:t>
      </w:r>
      <w:r>
        <w:t xml:space="preserve"> </w:t>
      </w:r>
      <w:r>
        <w:t xml:space="preserve">national public authorities is estimated at 120 hours per Member State. The average cost per hour is</w:t>
      </w:r>
      <w:r>
        <w:t xml:space="preserve"> </w:t>
      </w:r>
      <w:r>
        <w:t xml:space="preserve">estimated at EUR 40.9220 in 2022 prices for ISCO 2 category (Professionals). Thus, the one-off</w:t>
      </w:r>
      <w:r>
        <w:t xml:space="preserve"> </w:t>
      </w:r>
      <w:r>
        <w:t xml:space="preserve">administrative costs for NABs in 2025 at EU level are estimated at EUR 132,504 relative to the</w:t>
      </w:r>
      <w:r>
        <w:t xml:space="preserve"> </w:t>
      </w:r>
      <w:r>
        <w:t xml:space="preserve">baseline.</w:t>
      </w:r>
      <w:r>
        <w:t xml:space="preserve"> </w:t>
      </w:r>
      <w:r>
        <w:t xml:space="preserve">Adjustment costs for businesses</w:t>
      </w:r>
      <w:r>
        <w:t xml:space="preserve"> </w:t>
      </w:r>
      <w:r>
        <w:t xml:space="preserve">PM9 sets the verification of GHG emissions as mandatory only for companies above a certain size, i.e. </w:t>
      </w:r>
      <w:r>
        <w:t xml:space="preserve"> </w:t>
      </w:r>
      <w:r>
        <w:t xml:space="preserve">non SMEs. As for PM8, the verification is performed by bodies that are accredited by Member States</w:t>
      </w:r>
      <w:r>
        <w:t xml:space="preserve"> </w:t>
      </w:r>
      <w:r>
        <w:t xml:space="preserve">accreditation bodies, following specific EU rules. Verification is performed on annual basis.</w:t>
      </w:r>
      <w:r>
        <w:t xml:space="preserve"> </w:t>
      </w:r>
      <w:r>
        <w:t xml:space="preserve">Notwithstanding its voluntary nature for SMEs, due to their involvement in the supply chain, it is</w:t>
      </w:r>
      <w:r>
        <w:t xml:space="preserve"> </w:t>
      </w:r>
      <w:r>
        <w:t xml:space="preserve">assumed that 20% of those performing GHG emissions accounting will undergo verification. All large</w:t>
      </w:r>
      <w:r>
        <w:t xml:space="preserve"> </w:t>
      </w:r>
      <w:r>
        <w:t xml:space="preserve">companies will undergo verification.</w:t>
      </w:r>
      <w:r>
        <w:br/>
      </w:r>
      <w:r>
        <w:t xml:space="preserve">The total adjustment costs due to PM9 are different between policy options (in PO3, PO4, PO5 and</w:t>
      </w:r>
      <w:r>
        <w:t xml:space="preserve"> </w:t>
      </w:r>
      <w:r>
        <w:t xml:space="preserve">PO6) due to the different unit costs per company for verification activities in each option, linked to the</w:t>
      </w:r>
      <w:r>
        <w:t xml:space="preserve"> </w:t>
      </w:r>
      <w:r>
        <w:t xml:space="preserve">method for GHG accounting applied (ISO 14083 with additional elements and increased accuracy in</w:t>
      </w:r>
      <w:r>
        <w:t xml:space="preserve"> </w:t>
      </w:r>
      <w:r>
        <w:t xml:space="preserve">PO3 due to PM3, ISO 14083 in PO4 and PO6 due to PM1 and PEFCR in PO5 due to PM2). The unit</w:t>
      </w:r>
      <w:r>
        <w:t xml:space="preserve"> </w:t>
      </w:r>
      <w:r>
        <w:t xml:space="preserve">costs by size of business and by policy option are provided in Table 56221.</w:t>
      </w:r>
      <w:r>
        <w:t xml:space="preserve"> </w:t>
      </w:r>
      <w:r>
        <w:t xml:space="preserve">Table 56: Unit costs for verification activities per business type, due to PM9 in PO3, PO4, PO5 and PO6 (in EUR)</w:t>
      </w:r>
    </w:p>
    <w:p>
      <w:pPr>
        <w:pStyle w:val="BodyText"/>
      </w:pPr>
      <w:r>
        <w:t xml:space="preserve">TSO (SME)</w:t>
      </w:r>
      <w:r>
        <w:t xml:space="preserve"> </w:t>
      </w:r>
      <w:r>
        <w:t xml:space="preserve">TSU (SME)</w:t>
      </w:r>
      <w:r>
        <w:t xml:space="preserve"> </w:t>
      </w:r>
      <w:r>
        <w:t xml:space="preserve">HO (SME)</w:t>
      </w:r>
      <w:r>
        <w:t xml:space="preserve"> </w:t>
      </w:r>
      <w:r>
        <w:t xml:space="preserve">TSO (Large)</w:t>
      </w:r>
      <w:r>
        <w:t xml:space="preserve"> </w:t>
      </w:r>
      <w:r>
        <w:t xml:space="preserve">TSU (Large)</w:t>
      </w:r>
      <w:r>
        <w:t xml:space="preserve"> </w:t>
      </w:r>
      <w:r>
        <w:t xml:space="preserve">HO (Large)</w:t>
      </w:r>
      <w:r>
        <w:t xml:space="preserve"> </w:t>
      </w:r>
      <w:r>
        <w:t xml:space="preserve">Baseline</w:t>
      </w:r>
      <w:r>
        <w:t xml:space="preserve"> </w:t>
      </w:r>
      <w:r>
        <w:t xml:space="preserve">399</w:t>
      </w:r>
      <w:r>
        <w:t xml:space="preserve"> </w:t>
      </w:r>
      <w:r>
        <w:t xml:space="preserve">570</w:t>
      </w:r>
      <w:r>
        <w:t xml:space="preserve"> </w:t>
      </w:r>
      <w:r>
        <w:t xml:space="preserve">399</w:t>
      </w:r>
      <w:r>
        <w:t xml:space="preserve"> </w:t>
      </w:r>
      <w:r>
        <w:t xml:space="preserve">638</w:t>
      </w:r>
      <w:r>
        <w:t xml:space="preserve"> </w:t>
      </w:r>
      <w:r>
        <w:t xml:space="preserve">1,048</w:t>
      </w:r>
      <w:r>
        <w:t xml:space="preserve"> </w:t>
      </w:r>
      <w:r>
        <w:t xml:space="preserve">638</w:t>
      </w:r>
      <w:r>
        <w:t xml:space="preserve"> </w:t>
      </w:r>
      <w:r>
        <w:t xml:space="preserve">PO3</w:t>
      </w:r>
      <w:r>
        <w:t xml:space="preserve"> </w:t>
      </w:r>
      <w:r>
        <w:t xml:space="preserve">273</w:t>
      </w:r>
      <w:r>
        <w:t xml:space="preserve"> </w:t>
      </w:r>
      <w:r>
        <w:t xml:space="preserve">410</w:t>
      </w:r>
      <w:r>
        <w:t xml:space="preserve"> </w:t>
      </w:r>
      <w:r>
        <w:t xml:space="preserve">273</w:t>
      </w:r>
      <w:r>
        <w:t xml:space="preserve"> </w:t>
      </w:r>
      <w:r>
        <w:t xml:space="preserve">465</w:t>
      </w:r>
      <w:r>
        <w:t xml:space="preserve"> </w:t>
      </w:r>
      <w:r>
        <w:t xml:space="preserve">684</w:t>
      </w:r>
      <w:r>
        <w:t xml:space="preserve"> </w:t>
      </w:r>
      <w:r>
        <w:t xml:space="preserve">465</w:t>
      </w:r>
      <w:r>
        <w:t xml:space="preserve"> </w:t>
      </w:r>
      <w:r>
        <w:t xml:space="preserve">PO4</w:t>
      </w:r>
      <w:r>
        <w:t xml:space="preserve"> </w:t>
      </w:r>
      <w:r>
        <w:t xml:space="preserve">228</w:t>
      </w:r>
      <w:r>
        <w:t xml:space="preserve"> </w:t>
      </w:r>
      <w:r>
        <w:t xml:space="preserve">342</w:t>
      </w:r>
      <w:r>
        <w:t xml:space="preserve"> </w:t>
      </w:r>
      <w:r>
        <w:t xml:space="preserve">228</w:t>
      </w:r>
      <w:r>
        <w:t xml:space="preserve"> </w:t>
      </w:r>
      <w:r>
        <w:t xml:space="preserve">387</w:t>
      </w:r>
      <w:r>
        <w:t xml:space="preserve"> </w:t>
      </w:r>
      <w:r>
        <w:t xml:space="preserve">570</w:t>
      </w:r>
      <w:r>
        <w:t xml:space="preserve"> </w:t>
      </w:r>
      <w:r>
        <w:t xml:space="preserve">387</w:t>
      </w:r>
      <w:r>
        <w:t xml:space="preserve"> </w:t>
      </w:r>
      <w:r>
        <w:t xml:space="preserve">PO5</w:t>
      </w:r>
      <w:r>
        <w:t xml:space="preserve"> </w:t>
      </w:r>
      <w:r>
        <w:t xml:space="preserve">948</w:t>
      </w:r>
      <w:r>
        <w:t xml:space="preserve"> </w:t>
      </w:r>
      <w:r>
        <w:t xml:space="preserve">1,265</w:t>
      </w:r>
      <w:r>
        <w:t xml:space="preserve"> </w:t>
      </w:r>
      <w:r>
        <w:t xml:space="preserve">948</w:t>
      </w:r>
      <w:r>
        <w:t xml:space="preserve"> </w:t>
      </w:r>
      <w:r>
        <w:t xml:space="preserve">1,391</w:t>
      </w:r>
      <w:r>
        <w:t xml:space="preserve"> </w:t>
      </w:r>
      <w:r>
        <w:t xml:space="preserve">2,150</w:t>
      </w:r>
      <w:r>
        <w:t xml:space="preserve"> </w:t>
      </w:r>
      <w:r>
        <w:t xml:space="preserve">1,391</w:t>
      </w:r>
      <w:r>
        <w:t xml:space="preserve"> </w:t>
      </w:r>
      <w:r>
        <w:t xml:space="preserve">PO6</w:t>
      </w:r>
      <w:r>
        <w:t xml:space="preserve"> </w:t>
      </w:r>
      <w:r>
        <w:t xml:space="preserve">228</w:t>
      </w:r>
      <w:r>
        <w:t xml:space="preserve"> </w:t>
      </w:r>
      <w:r>
        <w:t xml:space="preserve">342</w:t>
      </w:r>
      <w:r>
        <w:t xml:space="preserve"> </w:t>
      </w:r>
      <w:r>
        <w:t xml:space="preserve">228</w:t>
      </w:r>
      <w:r>
        <w:t xml:space="preserve"> </w:t>
      </w:r>
      <w:r>
        <w:t xml:space="preserve">387</w:t>
      </w:r>
      <w:r>
        <w:t xml:space="preserve"> </w:t>
      </w:r>
      <w:r>
        <w:t xml:space="preserve">570</w:t>
      </w:r>
      <w:r>
        <w:t xml:space="preserve"> </w:t>
      </w:r>
      <w:r>
        <w:t xml:space="preserve">387</w:t>
      </w:r>
      <w:r>
        <w:t xml:space="preserve"> </w:t>
      </w:r>
      <w:r>
        <w:t xml:space="preserve">Source: Ecorys and CE Delft (2023), Impact assessment support study</w:t>
      </w:r>
      <w:r>
        <w:t xml:space="preserve"> </w:t>
      </w:r>
      <w:r>
        <w:t xml:space="preserve">In PO3, businesses that already perform verification activities in the baseline are expected to be faced</w:t>
      </w:r>
      <w:r>
        <w:t xml:space="preserve"> </w:t>
      </w:r>
      <w:r>
        <w:t xml:space="preserve">with costs savings due to the fact that unit costs per company222 for verification activities are expected</w:t>
      </w:r>
      <w:r>
        <w:t xml:space="preserve"> </w:t>
      </w:r>
      <w:r>
        <w:t xml:space="preserve">to be lower in PM9 relative to the baseline. On the other hand, the additional number of companies that</w:t>
      </w:r>
      <w:r>
        <w:t xml:space="preserve"> </w:t>
      </w:r>
      <w:r>
        <w:t xml:space="preserve">perform verification activities (in conjunction with the binding opt-in application of</w:t>
      </w:r>
      <w:r>
        <w:t xml:space="preserve"> </w:t>
      </w:r>
      <w:r>
        <w:t xml:space="preserve">CountEmissions EU, due to PM14) leads to an increase in the adjustment costs for PM9 (see Table</w:t>
      </w:r>
    </w:p>
    <w:p>
      <w:pPr>
        <w:pStyle w:val="BodyText"/>
      </w:pPr>
      <w:r>
        <w:t xml:space="preserve">the monitoring, reporting and verification of carbon dioxide emissions from maritime transport https://eur-</w:t>
      </w:r>
      <w:r>
        <w:t xml:space="preserve"> </w:t>
      </w:r>
      <w:r>
        <w:t xml:space="preserve">lex.europa.eu/legal-content/EN/TXT/?uri=CELEX:32016R2072</w:t>
      </w:r>
      <w:r>
        <w:br/>
      </w:r>
      <w:r>
        <w:t xml:space="preserve">220 Eurostat Structure of earnings survey, Labour Force Survey data for Non-Wage Labour</w:t>
      </w:r>
      <w:r>
        <w:t xml:space="preserve"> </w:t>
      </w:r>
      <w:r>
        <w:t xml:space="preserve">221 The number of hours worked and thus the unit costs are assumed to go down over time, by 15% by 2050 relative</w:t>
      </w:r>
      <w:r>
        <w:t xml:space="preserve"> </w:t>
      </w:r>
      <w:r>
        <w:t xml:space="preserve">to 2020, due to the learning effects.</w:t>
      </w:r>
      <w:r>
        <w:t xml:space="preserve"> </w:t>
      </w:r>
      <w:r>
        <w:t xml:space="preserve">222 The provision of a single standardised set of rules will lead to savings in time to support verification activities.</w:t>
      </w:r>
      <w:r>
        <w:t xml:space="preserve"> </w:t>
      </w:r>
      <w:r>
        <w:t xml:space="preserve">The verification is conducted on annual basis on random samplings of quantifications. The verifiers will be provided</w:t>
      </w:r>
      <w:r>
        <w:t xml:space="preserve"> </w:t>
      </w:r>
      <w:r>
        <w:t xml:space="preserve">with specific standardised rules to perform verifications. Source: Ecorys and CE Delft (2023), Impact assessment</w:t>
      </w:r>
      <w:r>
        <w:t xml:space="preserve"> </w:t>
      </w:r>
      <w:r>
        <w:t xml:space="preserve">support study.</w:t>
      </w:r>
    </w:p>
    <w:p>
      <w:pPr>
        <w:pStyle w:val="BodyText"/>
      </w:pPr>
      <w:r>
        <w:t xml:space="preserve">114</w:t>
      </w:r>
    </w:p>
    <w:p>
      <w:pPr>
        <w:pStyle w:val="BodyText"/>
      </w:pPr>
      <w:r>
        <w:t xml:space="preserve">57). Expressed as present value over 2025-2050, PM9 results in total adjustment costs estimated at</w:t>
      </w:r>
      <w:r>
        <w:t xml:space="preserve"> </w:t>
      </w:r>
      <w:r>
        <w:t xml:space="preserve">EUR 1 million in PO3 relative to the baseline.</w:t>
      </w:r>
      <w:r>
        <w:t xml:space="preserve"> </w:t>
      </w:r>
      <w:r>
        <w:t xml:space="preserve">Table 57: Recurrent adjustment costs for business due to PM9 in PO3 (in EUR)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of companies that perform verification</w:t>
      </w:r>
      <w:r>
        <w:t xml:space="preserve"> </w:t>
      </w:r>
      <w:r>
        <w:t xml:space="preserve">activities in the baseline</w:t>
      </w:r>
      <w:r>
        <w:t xml:space="preserve"> </w:t>
      </w:r>
      <w:r>
        <w:t xml:space="preserve">6,457</w:t>
      </w:r>
      <w:r>
        <w:t xml:space="preserve"> </w:t>
      </w:r>
      <w:r>
        <w:t xml:space="preserve">8,290</w:t>
      </w:r>
      <w:r>
        <w:t xml:space="preserve"> </w:t>
      </w:r>
      <w:r>
        <w:t xml:space="preserve">11,670</w:t>
      </w:r>
      <w:r>
        <w:t xml:space="preserve"> </w:t>
      </w:r>
      <w:r>
        <w:t xml:space="preserve">14,711</w:t>
      </w:r>
      <w:r>
        <w:t xml:space="preserve"> </w:t>
      </w:r>
      <w:r>
        <w:t xml:space="preserve">SMEs</w:t>
      </w:r>
      <w:r>
        <w:t xml:space="preserve"> </w:t>
      </w:r>
      <w:r>
        <w:t xml:space="preserve">6,051</w:t>
      </w:r>
      <w:r>
        <w:t xml:space="preserve"> </w:t>
      </w:r>
      <w:r>
        <w:t xml:space="preserve">7,739</w:t>
      </w:r>
      <w:r>
        <w:t xml:space="preserve"> </w:t>
      </w:r>
      <w:r>
        <w:t xml:space="preserve">10,856</w:t>
      </w:r>
      <w:r>
        <w:t xml:space="preserve"> </w:t>
      </w:r>
      <w:r>
        <w:t xml:space="preserve">13,654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406</w:t>
      </w:r>
      <w:r>
        <w:t xml:space="preserve"> </w:t>
      </w:r>
      <w:r>
        <w:t xml:space="preserve">551</w:t>
      </w:r>
      <w:r>
        <w:t xml:space="preserve"> </w:t>
      </w:r>
      <w:r>
        <w:t xml:space="preserve">814</w:t>
      </w:r>
      <w:r>
        <w:t xml:space="preserve"> </w:t>
      </w:r>
      <w:r>
        <w:t xml:space="preserve">1,057</w:t>
      </w:r>
      <w:r>
        <w:t xml:space="preserve"> </w:t>
      </w:r>
      <w:r>
        <w:t xml:space="preserve">Costs for companies switching to ISO+</w:t>
      </w:r>
      <w:r>
        <w:t xml:space="preserve"> </w:t>
      </w:r>
      <w:r>
        <w:t xml:space="preserve">verification (in million EUR) relative to the</w:t>
      </w:r>
      <w:r>
        <w:t xml:space="preserve"> </w:t>
      </w:r>
      <w:r>
        <w:t xml:space="preserve">baseline</w:t>
      </w:r>
      <w:r>
        <w:t xml:space="preserve"> </w:t>
      </w:r>
      <w:r>
        <w:t xml:space="preserve">-0.9</w:t>
      </w:r>
      <w:r>
        <w:t xml:space="preserve"> </w:t>
      </w:r>
      <w:r>
        <w:t xml:space="preserve">-1.1</w:t>
      </w:r>
      <w:r>
        <w:t xml:space="preserve"> </w:t>
      </w:r>
      <w:r>
        <w:t xml:space="preserve">-1.5</w:t>
      </w:r>
      <w:r>
        <w:t xml:space="preserve"> </w:t>
      </w:r>
      <w:r>
        <w:t xml:space="preserve">-1.8</w:t>
      </w:r>
      <w:r>
        <w:t xml:space="preserve"> </w:t>
      </w:r>
      <w:r>
        <w:t xml:space="preserve">SMEs</w:t>
      </w:r>
      <w:r>
        <w:t xml:space="preserve"> </w:t>
      </w:r>
      <w:r>
        <w:t xml:space="preserve">-0.8</w:t>
      </w:r>
      <w:r>
        <w:t xml:space="preserve"> </w:t>
      </w:r>
      <w:r>
        <w:t xml:space="preserve">-1.0</w:t>
      </w:r>
      <w:r>
        <w:t xml:space="preserve"> </w:t>
      </w:r>
      <w:r>
        <w:t xml:space="preserve">-1.3</w:t>
      </w:r>
      <w:r>
        <w:t xml:space="preserve"> </w:t>
      </w:r>
      <w:r>
        <w:t xml:space="preserve">-1.5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-0.1</w:t>
      </w:r>
      <w:r>
        <w:t xml:space="preserve"> </w:t>
      </w:r>
      <w:r>
        <w:t xml:space="preserve">-0.1</w:t>
      </w:r>
      <w:r>
        <w:t xml:space="preserve"> </w:t>
      </w:r>
      <w:r>
        <w:t xml:space="preserve">-0.2</w:t>
      </w:r>
      <w:r>
        <w:t xml:space="preserve"> </w:t>
      </w:r>
      <w:r>
        <w:t xml:space="preserve">-0.3</w:t>
      </w:r>
      <w:r>
        <w:t xml:space="preserve"> </w:t>
      </w:r>
      <w:r>
        <w:t xml:space="preserve">Additional number of companies that perform</w:t>
      </w:r>
      <w:r>
        <w:t xml:space="preserve"> </w:t>
      </w:r>
      <w:r>
        <w:t xml:space="preserve">verification in PM9</w:t>
      </w:r>
      <w:r>
        <w:br/>
      </w:r>
      <w:r>
        <w:t xml:space="preserve">3,179</w:t>
      </w:r>
      <w:r>
        <w:t xml:space="preserve"> </w:t>
      </w:r>
      <w:r>
        <w:t xml:space="preserve">6,393</w:t>
      </w:r>
      <w:r>
        <w:t xml:space="preserve"> </w:t>
      </w:r>
      <w:r>
        <w:t xml:space="preserve">3,013</w:t>
      </w:r>
      <w:r>
        <w:t xml:space="preserve"> </w:t>
      </w:r>
      <w:r>
        <w:t xml:space="preserve">1,395</w:t>
      </w:r>
      <w:r>
        <w:t xml:space="preserve"> </w:t>
      </w:r>
      <w:r>
        <w:t xml:space="preserve">SMEs</w:t>
      </w:r>
      <w:r>
        <w:t xml:space="preserve"> </w:t>
      </w:r>
      <w:r>
        <w:t xml:space="preserve">2,486</w:t>
      </w:r>
      <w:r>
        <w:t xml:space="preserve"> </w:t>
      </w:r>
      <w:r>
        <w:t xml:space="preserve">5,123</w:t>
      </w:r>
      <w:r>
        <w:t xml:space="preserve"> </w:t>
      </w:r>
      <w:r>
        <w:t xml:space="preserve">2,006</w:t>
      </w:r>
      <w:r>
        <w:t xml:space="preserve"> </w:t>
      </w:r>
      <w:r>
        <w:t xml:space="preserve">631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693</w:t>
      </w:r>
      <w:r>
        <w:t xml:space="preserve"> </w:t>
      </w:r>
      <w:r>
        <w:t xml:space="preserve">1,270</w:t>
      </w:r>
      <w:r>
        <w:t xml:space="preserve"> </w:t>
      </w:r>
      <w:r>
        <w:t xml:space="preserve">1,007</w:t>
      </w:r>
      <w:r>
        <w:t xml:space="preserve"> </w:t>
      </w:r>
      <w:r>
        <w:t xml:space="preserve">764</w:t>
      </w:r>
      <w:r>
        <w:t xml:space="preserve"> </w:t>
      </w:r>
      <w:r>
        <w:t xml:space="preserve">Costs for additional companies that perform</w:t>
      </w:r>
      <w:r>
        <w:t xml:space="preserve"> </w:t>
      </w:r>
      <w:r>
        <w:t xml:space="preserve">verification (in million EUR) relative to the</w:t>
      </w:r>
      <w:r>
        <w:t xml:space="preserve"> </w:t>
      </w:r>
      <w:r>
        <w:t xml:space="preserve">baseline</w:t>
      </w:r>
      <w:r>
        <w:t xml:space="preserve"> </w:t>
      </w:r>
      <w:r>
        <w:t xml:space="preserve">1.2</w:t>
      </w:r>
      <w:r>
        <w:t xml:space="preserve"> </w:t>
      </w:r>
      <w:r>
        <w:t xml:space="preserve">2.2</w:t>
      </w:r>
      <w:r>
        <w:t xml:space="preserve"> </w:t>
      </w:r>
      <w:r>
        <w:t xml:space="preserve">1.1</w:t>
      </w:r>
      <w:r>
        <w:t xml:space="preserve"> </w:t>
      </w:r>
      <w:r>
        <w:t xml:space="preserve">0.5</w:t>
      </w:r>
      <w:r>
        <w:t xml:space="preserve"> </w:t>
      </w:r>
      <w:r>
        <w:t xml:space="preserve">SMEs</w:t>
      </w:r>
      <w:r>
        <w:t xml:space="preserve"> </w:t>
      </w:r>
      <w:r>
        <w:t xml:space="preserve">0.8</w:t>
      </w:r>
      <w:r>
        <w:t xml:space="preserve"> </w:t>
      </w:r>
      <w:r>
        <w:t xml:space="preserve">1.5</w:t>
      </w:r>
      <w:r>
        <w:t xml:space="preserve"> </w:t>
      </w:r>
      <w:r>
        <w:t xml:space="preserve">0.6</w:t>
      </w:r>
      <w:r>
        <w:t xml:space="preserve"> </w:t>
      </w:r>
      <w:r>
        <w:t xml:space="preserve">0.2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0.4</w:t>
      </w:r>
      <w:r>
        <w:t xml:space="preserve"> </w:t>
      </w:r>
      <w:r>
        <w:t xml:space="preserve">0.7</w:t>
      </w:r>
      <w:r>
        <w:t xml:space="preserve"> </w:t>
      </w:r>
      <w:r>
        <w:t xml:space="preserve">0.5</w:t>
      </w:r>
      <w:r>
        <w:t xml:space="preserve"> </w:t>
      </w:r>
      <w:r>
        <w:t xml:space="preserve">0.3</w:t>
      </w:r>
      <w:r>
        <w:t xml:space="preserve"> </w:t>
      </w:r>
      <w:r>
        <w:t xml:space="preserve">Total additional costs relative to the baseline (in</w:t>
      </w:r>
      <w:r>
        <w:t xml:space="preserve"> </w:t>
      </w:r>
      <w:r>
        <w:t xml:space="preserve">million EUR) relative to the baseline</w:t>
      </w:r>
      <w:r>
        <w:t xml:space="preserve"> </w:t>
      </w:r>
      <w:r>
        <w:t xml:space="preserve">0.3</w:t>
      </w:r>
      <w:r>
        <w:t xml:space="preserve"> </w:t>
      </w:r>
      <w:r>
        <w:t xml:space="preserve">1.1</w:t>
      </w:r>
      <w:r>
        <w:t xml:space="preserve"> </w:t>
      </w:r>
      <w:r>
        <w:t xml:space="preserve">-0.4</w:t>
      </w:r>
      <w:r>
        <w:t xml:space="preserve"> </w:t>
      </w:r>
      <w:r>
        <w:t xml:space="preserve">-1.3</w:t>
      </w:r>
      <w:r>
        <w:t xml:space="preserve"> </w:t>
      </w:r>
      <w:r>
        <w:t xml:space="preserve">SMEs</w:t>
      </w:r>
      <w:r>
        <w:t xml:space="preserve"> </w:t>
      </w:r>
      <w:r>
        <w:t xml:space="preserve">0.0</w:t>
      </w:r>
      <w:r>
        <w:t xml:space="preserve"> </w:t>
      </w:r>
      <w:r>
        <w:t xml:space="preserve">0.6</w:t>
      </w:r>
      <w:r>
        <w:t xml:space="preserve"> </w:t>
      </w:r>
      <w:r>
        <w:t xml:space="preserve">-0.7</w:t>
      </w:r>
      <w:r>
        <w:t xml:space="preserve"> </w:t>
      </w:r>
      <w:r>
        <w:t xml:space="preserve">-1.3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0.3</w:t>
      </w:r>
      <w:r>
        <w:t xml:space="preserve"> </w:t>
      </w:r>
      <w:r>
        <w:t xml:space="preserve">0.5</w:t>
      </w:r>
      <w:r>
        <w:t xml:space="preserve"> </w:t>
      </w:r>
      <w:r>
        <w:t xml:space="preserve">0.3</w:t>
      </w:r>
      <w:r>
        <w:t xml:space="preserve"> </w:t>
      </w:r>
      <w:r>
        <w:t xml:space="preserve">0.1</w:t>
      </w:r>
      <w:r>
        <w:t xml:space="preserve"> </w:t>
      </w:r>
      <w:r>
        <w:t xml:space="preserve">Source: Ecorys and CE Delft (2023), Impact assessment support study; Note: negative values reflect costs savings,</w:t>
      </w:r>
      <w:r>
        <w:t xml:space="preserve"> </w:t>
      </w:r>
      <w:r>
        <w:t xml:space="preserve">where relevant.</w:t>
      </w:r>
      <w:r>
        <w:br/>
      </w:r>
      <w:r>
        <w:t xml:space="preserve">Table 58: type and size of impacted enterprises due to PM9 in PO3 of all enterprises targeted with CountEmissions</w:t>
      </w:r>
      <w:r>
        <w:t xml:space="preserve"> </w:t>
      </w:r>
      <w:r>
        <w:t xml:space="preserve">EU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companies performing verification</w:t>
      </w:r>
      <w:r>
        <w:t xml:space="preserve"> </w:t>
      </w:r>
      <w:r>
        <w:t xml:space="preserve">0.5%</w:t>
      </w:r>
      <w:r>
        <w:t xml:space="preserve"> </w:t>
      </w:r>
      <w:r>
        <w:t xml:space="preserve">0.8%</w:t>
      </w:r>
      <w:r>
        <w:t xml:space="preserve"> </w:t>
      </w:r>
      <w:r>
        <w:t xml:space="preserve">0.8%</w:t>
      </w:r>
      <w:r>
        <w:t xml:space="preserve"> </w:t>
      </w:r>
      <w:r>
        <w:t xml:space="preserve">0.9%</w:t>
      </w:r>
      <w:r>
        <w:t xml:space="preserve"> </w:t>
      </w:r>
      <w:r>
        <w:t xml:space="preserve">SMEs</w:t>
      </w:r>
      <w:r>
        <w:t xml:space="preserve"> </w:t>
      </w:r>
      <w:r>
        <w:t xml:space="preserve">0.5%</w:t>
      </w:r>
      <w:r>
        <w:t xml:space="preserve"> </w:t>
      </w:r>
      <w:r>
        <w:t xml:space="preserve">0.7%</w:t>
      </w:r>
      <w:r>
        <w:t xml:space="preserve"> </w:t>
      </w:r>
      <w:r>
        <w:t xml:space="preserve">0.7%</w:t>
      </w:r>
      <w:r>
        <w:t xml:space="preserve"> </w:t>
      </w:r>
      <w:r>
        <w:t xml:space="preserve">0.8%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19.2%</w:t>
      </w:r>
      <w:r>
        <w:t xml:space="preserve"> </w:t>
      </w:r>
      <w:r>
        <w:t xml:space="preserve">31.7%</w:t>
      </w:r>
      <w:r>
        <w:t xml:space="preserve"> </w:t>
      </w:r>
      <w:r>
        <w:t xml:space="preserve">31.7%</w:t>
      </w:r>
      <w:r>
        <w:t xml:space="preserve"> </w:t>
      </w:r>
      <w:r>
        <w:t xml:space="preserve">31.7%</w:t>
      </w:r>
      <w:r>
        <w:t xml:space="preserve"> </w:t>
      </w:r>
      <w:r>
        <w:t xml:space="preserve">Source: Ecorys and CE Delft (2023), Impact assessment support study</w:t>
      </w:r>
      <w:r>
        <w:t xml:space="preserve"> </w:t>
      </w:r>
      <w:r>
        <w:t xml:space="preserve">The recurrent adjustment costs/costs savings for business due to PM9 in PO4 are provided in Table 59.</w:t>
      </w:r>
      <w:r>
        <w:t xml:space="preserve"> </w:t>
      </w:r>
      <w:r>
        <w:t xml:space="preserve">Expressed as present value over 2025-2050, PM9 results in adjustment costs savings estimated at EUR</w:t>
      </w:r>
      <w:r>
        <w:t xml:space="preserve"> </w:t>
      </w:r>
      <w:r>
        <w:t xml:space="preserve">3.6 million in PO4 relative to the baseline.</w:t>
      </w:r>
      <w:r>
        <w:t xml:space="preserve"> </w:t>
      </w:r>
      <w:r>
        <w:t xml:space="preserve">Table 59: Recurrent adjustment costs/costs savings for business due to PM9 in PO4 (in EUR)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of companies that perform verification</w:t>
      </w:r>
      <w:r>
        <w:t xml:space="preserve"> </w:t>
      </w:r>
      <w:r>
        <w:t xml:space="preserve">activities in the baseline</w:t>
      </w:r>
      <w:r>
        <w:t xml:space="preserve"> </w:t>
      </w:r>
      <w:r>
        <w:t xml:space="preserve">6,457</w:t>
      </w:r>
      <w:r>
        <w:t xml:space="preserve"> </w:t>
      </w:r>
      <w:r>
        <w:t xml:space="preserve">8,290</w:t>
      </w:r>
      <w:r>
        <w:t xml:space="preserve"> </w:t>
      </w:r>
      <w:r>
        <w:t xml:space="preserve">11,670</w:t>
      </w:r>
      <w:r>
        <w:t xml:space="preserve"> </w:t>
      </w:r>
      <w:r>
        <w:t xml:space="preserve">14,711</w:t>
      </w:r>
      <w:r>
        <w:t xml:space="preserve"> </w:t>
      </w:r>
      <w:r>
        <w:t xml:space="preserve">SMEs</w:t>
      </w:r>
      <w:r>
        <w:t xml:space="preserve"> </w:t>
      </w:r>
      <w:r>
        <w:t xml:space="preserve">6,051</w:t>
      </w:r>
      <w:r>
        <w:t xml:space="preserve"> </w:t>
      </w:r>
      <w:r>
        <w:t xml:space="preserve">7,739</w:t>
      </w:r>
      <w:r>
        <w:t xml:space="preserve"> </w:t>
      </w:r>
      <w:r>
        <w:t xml:space="preserve">10,856</w:t>
      </w:r>
      <w:r>
        <w:t xml:space="preserve"> </w:t>
      </w:r>
      <w:r>
        <w:t xml:space="preserve">13,654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406</w:t>
      </w:r>
      <w:r>
        <w:t xml:space="preserve"> </w:t>
      </w:r>
      <w:r>
        <w:t xml:space="preserve">551</w:t>
      </w:r>
      <w:r>
        <w:t xml:space="preserve"> </w:t>
      </w:r>
      <w:r>
        <w:t xml:space="preserve">814</w:t>
      </w:r>
      <w:r>
        <w:t xml:space="preserve"> </w:t>
      </w:r>
      <w:r>
        <w:t xml:space="preserve">1,057</w:t>
      </w:r>
      <w:r>
        <w:t xml:space="preserve"> </w:t>
      </w:r>
      <w:r>
        <w:t xml:space="preserve">Costs for companies switching to ISO</w:t>
      </w:r>
      <w:r>
        <w:t xml:space="preserve"> </w:t>
      </w:r>
      <w:r>
        <w:t xml:space="preserve">verification (in million EUR) relative to the</w:t>
      </w:r>
      <w:r>
        <w:t xml:space="preserve"> </w:t>
      </w:r>
      <w:r>
        <w:t xml:space="preserve">baseline</w:t>
      </w:r>
      <w:r>
        <w:t xml:space="preserve"> </w:t>
      </w:r>
      <w:r>
        <w:t xml:space="preserve">-1.2</w:t>
      </w:r>
      <w:r>
        <w:t xml:space="preserve"> </w:t>
      </w:r>
      <w:r>
        <w:t xml:space="preserve">-1.5</w:t>
      </w:r>
      <w:r>
        <w:t xml:space="preserve"> </w:t>
      </w:r>
      <w:r>
        <w:t xml:space="preserve">-2.1</w:t>
      </w:r>
      <w:r>
        <w:t xml:space="preserve"> </w:t>
      </w:r>
      <w:r>
        <w:t xml:space="preserve">-2.4</w:t>
      </w:r>
      <w:r>
        <w:t xml:space="preserve"> </w:t>
      </w:r>
      <w:r>
        <w:t xml:space="preserve">SMEs</w:t>
      </w:r>
      <w:r>
        <w:t xml:space="preserve"> </w:t>
      </w:r>
      <w:r>
        <w:t xml:space="preserve">-1.1</w:t>
      </w:r>
      <w:r>
        <w:t xml:space="preserve"> </w:t>
      </w:r>
      <w:r>
        <w:t xml:space="preserve">-1.3</w:t>
      </w:r>
      <w:r>
        <w:t xml:space="preserve"> </w:t>
      </w:r>
      <w:r>
        <w:t xml:space="preserve">-1.8</w:t>
      </w:r>
      <w:r>
        <w:t xml:space="preserve"> </w:t>
      </w:r>
      <w:r>
        <w:t xml:space="preserve">-2.1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-0.2</w:t>
      </w:r>
      <w:r>
        <w:t xml:space="preserve"> </w:t>
      </w:r>
      <w:r>
        <w:t xml:space="preserve">-0.2</w:t>
      </w:r>
      <w:r>
        <w:t xml:space="preserve"> </w:t>
      </w:r>
      <w:r>
        <w:t xml:space="preserve">-0.3</w:t>
      </w:r>
      <w:r>
        <w:t xml:space="preserve"> </w:t>
      </w:r>
      <w:r>
        <w:t xml:space="preserve">-0.3</w:t>
      </w:r>
    </w:p>
    <w:p>
      <w:pPr>
        <w:pStyle w:val="BodyText"/>
      </w:pPr>
      <w:r>
        <w:t xml:space="preserve">115</w:t>
      </w:r>
    </w:p>
    <w:p>
      <w:pPr>
        <w:pStyle w:val="BodyText"/>
      </w:pPr>
      <w:r>
        <w:t xml:space="preserve">Additional number of companies that perform</w:t>
      </w:r>
      <w:r>
        <w:t xml:space="preserve"> </w:t>
      </w:r>
      <w:r>
        <w:t xml:space="preserve">verification in PM9</w:t>
      </w:r>
      <w:r>
        <w:t xml:space="preserve"> </w:t>
      </w:r>
      <w:r>
        <w:t xml:space="preserve">4,892</w:t>
      </w:r>
      <w:r>
        <w:t xml:space="preserve"> </w:t>
      </w:r>
      <w:r>
        <w:t xml:space="preserve">8,913</w:t>
      </w:r>
      <w:r>
        <w:t xml:space="preserve"> </w:t>
      </w:r>
      <w:r>
        <w:t xml:space="preserve">5,533</w:t>
      </w:r>
      <w:r>
        <w:t xml:space="preserve"> </w:t>
      </w:r>
      <w:r>
        <w:t xml:space="preserve">2,492</w:t>
      </w:r>
      <w:r>
        <w:t xml:space="preserve"> </w:t>
      </w:r>
      <w:r>
        <w:t xml:space="preserve">SMEs</w:t>
      </w:r>
      <w:r>
        <w:t xml:space="preserve"> </w:t>
      </w:r>
      <w:r>
        <w:t xml:space="preserve">4,199</w:t>
      </w:r>
      <w:r>
        <w:t xml:space="preserve"> </w:t>
      </w:r>
      <w:r>
        <w:t xml:space="preserve">7,643</w:t>
      </w:r>
      <w:r>
        <w:t xml:space="preserve"> </w:t>
      </w:r>
      <w:r>
        <w:t xml:space="preserve">4,526</w:t>
      </w:r>
      <w:r>
        <w:t xml:space="preserve"> </w:t>
      </w:r>
      <w:r>
        <w:t xml:space="preserve">1,728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693</w:t>
      </w:r>
      <w:r>
        <w:t xml:space="preserve"> </w:t>
      </w:r>
      <w:r>
        <w:t xml:space="preserve">1,270</w:t>
      </w:r>
      <w:r>
        <w:t xml:space="preserve"> </w:t>
      </w:r>
      <w:r>
        <w:t xml:space="preserve">1,007</w:t>
      </w:r>
      <w:r>
        <w:t xml:space="preserve"> </w:t>
      </w:r>
      <w:r>
        <w:t xml:space="preserve">764</w:t>
      </w:r>
      <w:r>
        <w:t xml:space="preserve"> </w:t>
      </w:r>
      <w:r>
        <w:t xml:space="preserve">Costs for additional companies that perform</w:t>
      </w:r>
      <w:r>
        <w:t xml:space="preserve"> </w:t>
      </w:r>
      <w:r>
        <w:t xml:space="preserve">verification (in million EUR) relative to the</w:t>
      </w:r>
      <w:r>
        <w:t xml:space="preserve"> </w:t>
      </w:r>
      <w:r>
        <w:t xml:space="preserve">baseline</w:t>
      </w:r>
      <w:r>
        <w:t xml:space="preserve"> </w:t>
      </w:r>
      <w:r>
        <w:t xml:space="preserve">1.4</w:t>
      </w:r>
      <w:r>
        <w:t xml:space="preserve"> </w:t>
      </w:r>
      <w:r>
        <w:t xml:space="preserve">2.4</w:t>
      </w:r>
      <w:r>
        <w:t xml:space="preserve"> </w:t>
      </w:r>
      <w:r>
        <w:t xml:space="preserve">1.4</w:t>
      </w:r>
      <w:r>
        <w:t xml:space="preserve"> </w:t>
      </w:r>
      <w:r>
        <w:t xml:space="preserve">0.6</w:t>
      </w:r>
      <w:r>
        <w:t xml:space="preserve"> </w:t>
      </w:r>
      <w:r>
        <w:t xml:space="preserve">SMEs</w:t>
      </w:r>
      <w:r>
        <w:t xml:space="preserve"> </w:t>
      </w:r>
      <w:r>
        <w:t xml:space="preserve">1.0</w:t>
      </w:r>
      <w:r>
        <w:t xml:space="preserve"> </w:t>
      </w:r>
      <w:r>
        <w:t xml:space="preserve">1.8</w:t>
      </w:r>
      <w:r>
        <w:t xml:space="preserve"> </w:t>
      </w:r>
      <w:r>
        <w:t xml:space="preserve">1.0</w:t>
      </w:r>
      <w:r>
        <w:t xml:space="preserve"> </w:t>
      </w:r>
      <w:r>
        <w:t xml:space="preserve">0.4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0.3</w:t>
      </w:r>
      <w:r>
        <w:t xml:space="preserve"> </w:t>
      </w:r>
      <w:r>
        <w:t xml:space="preserve">0.6</w:t>
      </w:r>
      <w:r>
        <w:t xml:space="preserve"> </w:t>
      </w:r>
      <w:r>
        <w:t xml:space="preserve">0.4</w:t>
      </w:r>
      <w:r>
        <w:t xml:space="preserve"> </w:t>
      </w:r>
      <w:r>
        <w:t xml:space="preserve">0.3</w:t>
      </w:r>
      <w:r>
        <w:t xml:space="preserve"> </w:t>
      </w:r>
      <w:r>
        <w:t xml:space="preserve">Total additional costs relative to the baseline (in</w:t>
      </w:r>
      <w:r>
        <w:t xml:space="preserve"> </w:t>
      </w:r>
      <w:r>
        <w:t xml:space="preserve">million EUR) relative to the baseline</w:t>
      </w:r>
      <w:r>
        <w:t xml:space="preserve"> </w:t>
      </w:r>
      <w:r>
        <w:t xml:space="preserve">0.1</w:t>
      </w:r>
      <w:r>
        <w:t xml:space="preserve"> </w:t>
      </w:r>
      <w:r>
        <w:t xml:space="preserve">0.9</w:t>
      </w:r>
      <w:r>
        <w:t xml:space="preserve"> </w:t>
      </w:r>
      <w:r>
        <w:t xml:space="preserve">-0.6</w:t>
      </w:r>
      <w:r>
        <w:t xml:space="preserve"> </w:t>
      </w:r>
      <w:r>
        <w:t xml:space="preserve">-1.8</w:t>
      </w:r>
      <w:r>
        <w:t xml:space="preserve"> </w:t>
      </w:r>
      <w:r>
        <w:t xml:space="preserve">SMEs</w:t>
      </w:r>
      <w:r>
        <w:t xml:space="preserve"> </w:t>
      </w:r>
      <w:r>
        <w:t xml:space="preserve">0.0</w:t>
      </w:r>
      <w:r>
        <w:t xml:space="preserve"> </w:t>
      </w:r>
      <w:r>
        <w:t xml:space="preserve">0.5</w:t>
      </w:r>
      <w:r>
        <w:t xml:space="preserve"> </w:t>
      </w:r>
      <w:r>
        <w:t xml:space="preserve">-0.8</w:t>
      </w:r>
      <w:r>
        <w:t xml:space="preserve"> </w:t>
      </w:r>
      <w:r>
        <w:t xml:space="preserve">-1.7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0.2</w:t>
      </w:r>
      <w:r>
        <w:t xml:space="preserve"> </w:t>
      </w:r>
      <w:r>
        <w:t xml:space="preserve">0.4</w:t>
      </w:r>
      <w:r>
        <w:t xml:space="preserve"> </w:t>
      </w:r>
      <w:r>
        <w:t xml:space="preserve">0.1</w:t>
      </w:r>
      <w:r>
        <w:t xml:space="preserve"> </w:t>
      </w:r>
      <w:r>
        <w:t xml:space="preserve">-0.1</w:t>
      </w:r>
      <w:r>
        <w:t xml:space="preserve"> </w:t>
      </w:r>
      <w:r>
        <w:t xml:space="preserve">Source: Ecorys and CE Delft (2023), Impact assessment support study; Note: negative values reflect costs savings,</w:t>
      </w:r>
      <w:r>
        <w:t xml:space="preserve"> </w:t>
      </w:r>
      <w:r>
        <w:t xml:space="preserve">where relevant.</w:t>
      </w:r>
      <w:r>
        <w:br/>
      </w:r>
      <w:r>
        <w:t xml:space="preserve">Table 60: type and size of impacted enterprises due to PM9 in PO4 of all enterprises targeted with CountEmissions EU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companies performing verification</w:t>
      </w:r>
      <w:r>
        <w:t xml:space="preserve"> </w:t>
      </w:r>
      <w:r>
        <w:t xml:space="preserve">0.6%</w:t>
      </w:r>
      <w:r>
        <w:t xml:space="preserve"> </w:t>
      </w:r>
      <w:r>
        <w:t xml:space="preserve">1.0%</w:t>
      </w:r>
      <w:r>
        <w:t xml:space="preserve"> </w:t>
      </w:r>
      <w:r>
        <w:t xml:space="preserve">1.0%</w:t>
      </w:r>
      <w:r>
        <w:t xml:space="preserve"> </w:t>
      </w:r>
      <w:r>
        <w:t xml:space="preserve">1.0%</w:t>
      </w:r>
      <w:r>
        <w:t xml:space="preserve"> </w:t>
      </w:r>
      <w:r>
        <w:t xml:space="preserve">SMEs</w:t>
      </w:r>
      <w:r>
        <w:t xml:space="preserve"> </w:t>
      </w:r>
      <w:r>
        <w:t xml:space="preserve">0.6%</w:t>
      </w:r>
      <w:r>
        <w:t xml:space="preserve"> </w:t>
      </w:r>
      <w:r>
        <w:t xml:space="preserve">0.9%</w:t>
      </w:r>
      <w:r>
        <w:t xml:space="preserve"> </w:t>
      </w:r>
      <w:r>
        <w:t xml:space="preserve">0.9%</w:t>
      </w:r>
      <w:r>
        <w:t xml:space="preserve"> </w:t>
      </w:r>
      <w:r>
        <w:t xml:space="preserve">0.9%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19.2%</w:t>
      </w:r>
      <w:r>
        <w:t xml:space="preserve"> </w:t>
      </w:r>
      <w:r>
        <w:t xml:space="preserve">31.7%</w:t>
      </w:r>
      <w:r>
        <w:t xml:space="preserve"> </w:t>
      </w:r>
      <w:r>
        <w:t xml:space="preserve">31.7%</w:t>
      </w:r>
      <w:r>
        <w:t xml:space="preserve"> </w:t>
      </w:r>
      <w:r>
        <w:t xml:space="preserve">31.7%</w:t>
      </w:r>
      <w:r>
        <w:t xml:space="preserve"> </w:t>
      </w:r>
      <w:r>
        <w:t xml:space="preserve">Source: Ecorys and CE Delft (2023), Impact assessment support study</w:t>
      </w:r>
      <w:r>
        <w:t xml:space="preserve"> </w:t>
      </w:r>
      <w:r>
        <w:t xml:space="preserve">The recurrent adjustment costs for business due to PM9 in PO5 are provided in Table 61. Expressed as</w:t>
      </w:r>
      <w:r>
        <w:t xml:space="preserve"> </w:t>
      </w:r>
      <w:r>
        <w:t xml:space="preserve">present value over 2025-2050, PM9 results in adjustment costs estimated at EUR 180.3 million in PO5</w:t>
      </w:r>
      <w:r>
        <w:t xml:space="preserve"> </w:t>
      </w:r>
      <w:r>
        <w:t xml:space="preserve">relative to the baseline.</w:t>
      </w:r>
      <w:r>
        <w:t xml:space="preserve"> </w:t>
      </w:r>
      <w:r>
        <w:t xml:space="preserve">Table 61: Recurrent adjustment costs for business due to PM9 in PO5 (in EUR)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of companies that perform verification</w:t>
      </w:r>
      <w:r>
        <w:t xml:space="preserve"> </w:t>
      </w:r>
      <w:r>
        <w:t xml:space="preserve">activities in the baseline</w:t>
      </w:r>
      <w:r>
        <w:t xml:space="preserve"> </w:t>
      </w:r>
      <w:r>
        <w:t xml:space="preserve">6,457</w:t>
      </w:r>
      <w:r>
        <w:t xml:space="preserve"> </w:t>
      </w:r>
      <w:r>
        <w:t xml:space="preserve">8,290</w:t>
      </w:r>
      <w:r>
        <w:t xml:space="preserve"> </w:t>
      </w:r>
      <w:r>
        <w:t xml:space="preserve">11,670</w:t>
      </w:r>
      <w:r>
        <w:t xml:space="preserve"> </w:t>
      </w:r>
      <w:r>
        <w:t xml:space="preserve">14,711</w:t>
      </w:r>
      <w:r>
        <w:t xml:space="preserve"> </w:t>
      </w:r>
      <w:r>
        <w:t xml:space="preserve">SMEs</w:t>
      </w:r>
      <w:r>
        <w:t xml:space="preserve"> </w:t>
      </w:r>
      <w:r>
        <w:t xml:space="preserve">6,051</w:t>
      </w:r>
      <w:r>
        <w:t xml:space="preserve"> </w:t>
      </w:r>
      <w:r>
        <w:t xml:space="preserve">7,739</w:t>
      </w:r>
      <w:r>
        <w:t xml:space="preserve"> </w:t>
      </w:r>
      <w:r>
        <w:t xml:space="preserve">10,856</w:t>
      </w:r>
      <w:r>
        <w:t xml:space="preserve"> </w:t>
      </w:r>
      <w:r>
        <w:t xml:space="preserve">13,654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406</w:t>
      </w:r>
      <w:r>
        <w:t xml:space="preserve"> </w:t>
      </w:r>
      <w:r>
        <w:t xml:space="preserve">551</w:t>
      </w:r>
      <w:r>
        <w:t xml:space="preserve"> </w:t>
      </w:r>
      <w:r>
        <w:t xml:space="preserve">814</w:t>
      </w:r>
      <w:r>
        <w:t xml:space="preserve"> </w:t>
      </w:r>
      <w:r>
        <w:t xml:space="preserve">1,057</w:t>
      </w:r>
      <w:r>
        <w:t xml:space="preserve"> </w:t>
      </w:r>
      <w:r>
        <w:t xml:space="preserve">Costs for companies switching to PEF</w:t>
      </w:r>
      <w:r>
        <w:t xml:space="preserve"> </w:t>
      </w:r>
      <w:r>
        <w:t xml:space="preserve">verification (in million EUR) relative to the</w:t>
      </w:r>
      <w:r>
        <w:t xml:space="preserve"> </w:t>
      </w:r>
      <w:r>
        <w:t xml:space="preserve">baseline</w:t>
      </w:r>
      <w:r>
        <w:t xml:space="preserve"> </w:t>
      </w:r>
      <w:r>
        <w:t xml:space="preserve">3.8</w:t>
      </w:r>
      <w:r>
        <w:t xml:space="preserve"> </w:t>
      </w:r>
      <w:r>
        <w:t xml:space="preserve">4.8</w:t>
      </w:r>
      <w:r>
        <w:t xml:space="preserve"> </w:t>
      </w:r>
      <w:r>
        <w:t xml:space="preserve">6.4</w:t>
      </w:r>
      <w:r>
        <w:t xml:space="preserve"> </w:t>
      </w:r>
      <w:r>
        <w:t xml:space="preserve">7.5</w:t>
      </w:r>
      <w:r>
        <w:t xml:space="preserve"> </w:t>
      </w:r>
      <w:r>
        <w:t xml:space="preserve">SMEs</w:t>
      </w:r>
      <w:r>
        <w:t xml:space="preserve"> </w:t>
      </w:r>
      <w:r>
        <w:t xml:space="preserve">3.4</w:t>
      </w:r>
      <w:r>
        <w:t xml:space="preserve"> </w:t>
      </w:r>
      <w:r>
        <w:t xml:space="preserve">4.3</w:t>
      </w:r>
      <w:r>
        <w:t xml:space="preserve"> </w:t>
      </w:r>
      <w:r>
        <w:t xml:space="preserve">5.7</w:t>
      </w:r>
      <w:r>
        <w:t xml:space="preserve"> </w:t>
      </w:r>
      <w:r>
        <w:t xml:space="preserve">6.7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0.4</w:t>
      </w:r>
      <w:r>
        <w:t xml:space="preserve"> </w:t>
      </w:r>
      <w:r>
        <w:t xml:space="preserve">0.5</w:t>
      </w:r>
      <w:r>
        <w:t xml:space="preserve"> </w:t>
      </w:r>
      <w:r>
        <w:t xml:space="preserve">0.7</w:t>
      </w:r>
      <w:r>
        <w:t xml:space="preserve"> </w:t>
      </w:r>
      <w:r>
        <w:t xml:space="preserve">0.9</w:t>
      </w:r>
      <w:r>
        <w:t xml:space="preserve"> </w:t>
      </w:r>
      <w:r>
        <w:t xml:space="preserve">Additional number of companies that perform</w:t>
      </w:r>
      <w:r>
        <w:t xml:space="preserve"> </w:t>
      </w:r>
      <w:r>
        <w:t xml:space="preserve">verification in PM9</w:t>
      </w:r>
      <w:r>
        <w:t xml:space="preserve"> </w:t>
      </w:r>
      <w:r>
        <w:t xml:space="preserve">3,000</w:t>
      </w:r>
      <w:r>
        <w:t xml:space="preserve"> </w:t>
      </w:r>
      <w:r>
        <w:t xml:space="preserve">6,033</w:t>
      </w:r>
      <w:r>
        <w:t xml:space="preserve"> </w:t>
      </w:r>
      <w:r>
        <w:t xml:space="preserve">2,672</w:t>
      </w:r>
      <w:r>
        <w:t xml:space="preserve"> </w:t>
      </w:r>
      <w:r>
        <w:t xml:space="preserve">1,193</w:t>
      </w:r>
      <w:r>
        <w:t xml:space="preserve"> </w:t>
      </w:r>
      <w:r>
        <w:t xml:space="preserve">SMEs</w:t>
      </w:r>
      <w:r>
        <w:t xml:space="preserve"> </w:t>
      </w:r>
      <w:r>
        <w:t xml:space="preserve">2,326</w:t>
      </w:r>
      <w:r>
        <w:t xml:space="preserve"> </w:t>
      </w:r>
      <w:r>
        <w:t xml:space="preserve">4,801</w:t>
      </w:r>
      <w:r>
        <w:t xml:space="preserve"> </w:t>
      </w:r>
      <w:r>
        <w:t xml:space="preserve">1,703</w:t>
      </w:r>
      <w:r>
        <w:t xml:space="preserve"> </w:t>
      </w:r>
      <w:r>
        <w:t xml:space="preserve">467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674</w:t>
      </w:r>
      <w:r>
        <w:t xml:space="preserve"> </w:t>
      </w:r>
      <w:r>
        <w:t xml:space="preserve">1,232</w:t>
      </w:r>
      <w:r>
        <w:t xml:space="preserve"> </w:t>
      </w:r>
      <w:r>
        <w:t xml:space="preserve">969</w:t>
      </w:r>
      <w:r>
        <w:t xml:space="preserve"> </w:t>
      </w:r>
      <w:r>
        <w:t xml:space="preserve">726</w:t>
      </w:r>
      <w:r>
        <w:t xml:space="preserve"> </w:t>
      </w:r>
      <w:r>
        <w:t xml:space="preserve">Costs for additional companies that perform</w:t>
      </w:r>
      <w:r>
        <w:t xml:space="preserve"> </w:t>
      </w:r>
      <w:r>
        <w:t xml:space="preserve">verification (in million EUR) relative to the</w:t>
      </w:r>
      <w:r>
        <w:t xml:space="preserve"> </w:t>
      </w:r>
      <w:r>
        <w:t xml:space="preserve">baseline</w:t>
      </w:r>
      <w:r>
        <w:t xml:space="preserve"> </w:t>
      </w:r>
      <w:r>
        <w:t xml:space="preserve">3.6</w:t>
      </w:r>
      <w:r>
        <w:t xml:space="preserve"> </w:t>
      </w:r>
      <w:r>
        <w:t xml:space="preserve">6.9</w:t>
      </w:r>
      <w:r>
        <w:t xml:space="preserve"> </w:t>
      </w:r>
      <w:r>
        <w:t xml:space="preserve">3.1</w:t>
      </w:r>
      <w:r>
        <w:t xml:space="preserve"> </w:t>
      </w:r>
      <w:r>
        <w:t xml:space="preserve">1.4</w:t>
      </w:r>
      <w:r>
        <w:t xml:space="preserve"> </w:t>
      </w:r>
      <w:r>
        <w:t xml:space="preserve">SMEs</w:t>
      </w:r>
      <w:r>
        <w:t xml:space="preserve"> </w:t>
      </w:r>
      <w:r>
        <w:t xml:space="preserve">2.4</w:t>
      </w:r>
      <w:r>
        <w:t xml:space="preserve"> </w:t>
      </w:r>
      <w:r>
        <w:t xml:space="preserve">4.8</w:t>
      </w:r>
      <w:r>
        <w:t xml:space="preserve"> </w:t>
      </w:r>
      <w:r>
        <w:t xml:space="preserve">1.7</w:t>
      </w:r>
      <w:r>
        <w:t xml:space="preserve"> </w:t>
      </w:r>
      <w:r>
        <w:t xml:space="preserve">0.4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1.2</w:t>
      </w:r>
      <w:r>
        <w:t xml:space="preserve"> </w:t>
      </w:r>
      <w:r>
        <w:t xml:space="preserve">2.1</w:t>
      </w:r>
      <w:r>
        <w:t xml:space="preserve"> </w:t>
      </w:r>
      <w:r>
        <w:t xml:space="preserve">1.5</w:t>
      </w:r>
      <w:r>
        <w:t xml:space="preserve"> </w:t>
      </w:r>
      <w:r>
        <w:t xml:space="preserve">1.0</w:t>
      </w:r>
      <w:r>
        <w:t xml:space="preserve"> </w:t>
      </w:r>
      <w:r>
        <w:t xml:space="preserve">Total additional costs relative to the baseline (in</w:t>
      </w:r>
      <w:r>
        <w:t xml:space="preserve"> </w:t>
      </w:r>
      <w:r>
        <w:t xml:space="preserve">million EUR) relative to the baseline</w:t>
      </w:r>
      <w:r>
        <w:t xml:space="preserve"> </w:t>
      </w:r>
      <w:r>
        <w:t xml:space="preserve">7.4</w:t>
      </w:r>
      <w:r>
        <w:t xml:space="preserve"> </w:t>
      </w:r>
      <w:r>
        <w:t xml:space="preserve">11.6</w:t>
      </w:r>
      <w:r>
        <w:t xml:space="preserve"> </w:t>
      </w:r>
      <w:r>
        <w:t xml:space="preserve">9.5</w:t>
      </w:r>
      <w:r>
        <w:t xml:space="preserve"> </w:t>
      </w:r>
      <w:r>
        <w:t xml:space="preserve">8.9</w:t>
      </w:r>
      <w:r>
        <w:t xml:space="preserve"> </w:t>
      </w:r>
      <w:r>
        <w:t xml:space="preserve">SMEs</w:t>
      </w:r>
      <w:r>
        <w:t xml:space="preserve"> </w:t>
      </w:r>
      <w:r>
        <w:t xml:space="preserve">5.9</w:t>
      </w:r>
      <w:r>
        <w:t xml:space="preserve"> </w:t>
      </w:r>
      <w:r>
        <w:t xml:space="preserve">9.1</w:t>
      </w:r>
      <w:r>
        <w:t xml:space="preserve"> </w:t>
      </w:r>
      <w:r>
        <w:t xml:space="preserve">7.3</w:t>
      </w:r>
      <w:r>
        <w:t xml:space="preserve"> </w:t>
      </w:r>
      <w:r>
        <w:t xml:space="preserve">7.1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1.5</w:t>
      </w:r>
      <w:r>
        <w:t xml:space="preserve"> </w:t>
      </w:r>
      <w:r>
        <w:t xml:space="preserve">2.6</w:t>
      </w:r>
      <w:r>
        <w:t xml:space="preserve"> </w:t>
      </w:r>
      <w:r>
        <w:t xml:space="preserve">2.2</w:t>
      </w:r>
      <w:r>
        <w:t xml:space="preserve"> </w:t>
      </w:r>
      <w:r>
        <w:t xml:space="preserve">1.9</w:t>
      </w:r>
      <w:r>
        <w:t xml:space="preserve"> </w:t>
      </w:r>
      <w:r>
        <w:t xml:space="preserve">Source: Ecorys and CE Delft (2023), Impact assessment support study</w:t>
      </w:r>
    </w:p>
    <w:p>
      <w:pPr>
        <w:pStyle w:val="BodyText"/>
      </w:pPr>
      <w:r>
        <w:t xml:space="preserve">116</w:t>
      </w:r>
    </w:p>
    <w:p>
      <w:pPr>
        <w:pStyle w:val="BodyText"/>
      </w:pPr>
      <w:r>
        <w:t xml:space="preserve">Table 62: type and size of impacted enterprises due to PM9 in PO5 of all enterprises targeted with CountEmissions</w:t>
      </w:r>
      <w:r>
        <w:t xml:space="preserve"> </w:t>
      </w:r>
      <w:r>
        <w:t xml:space="preserve">EU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companies performing verification</w:t>
      </w:r>
      <w:r>
        <w:t xml:space="preserve"> </w:t>
      </w:r>
      <w:r>
        <w:t xml:space="preserve">0.6%</w:t>
      </w:r>
      <w:r>
        <w:t xml:space="preserve"> </w:t>
      </w:r>
      <w:r>
        <w:t xml:space="preserve">0.8%</w:t>
      </w:r>
      <w:r>
        <w:t xml:space="preserve"> </w:t>
      </w:r>
      <w:r>
        <w:t xml:space="preserve">0.8%</w:t>
      </w:r>
      <w:r>
        <w:t xml:space="preserve"> </w:t>
      </w:r>
      <w:r>
        <w:t xml:space="preserve">0.9%</w:t>
      </w:r>
      <w:r>
        <w:t xml:space="preserve"> </w:t>
      </w:r>
      <w:r>
        <w:t xml:space="preserve">SMEs</w:t>
      </w:r>
      <w:r>
        <w:t xml:space="preserve"> </w:t>
      </w:r>
      <w:r>
        <w:t xml:space="preserve">0.5%</w:t>
      </w:r>
      <w:r>
        <w:t xml:space="preserve"> </w:t>
      </w:r>
      <w:r>
        <w:t xml:space="preserve">0.8%</w:t>
      </w:r>
      <w:r>
        <w:t xml:space="preserve"> </w:t>
      </w:r>
      <w:r>
        <w:t xml:space="preserve">0.8%</w:t>
      </w:r>
      <w:r>
        <w:t xml:space="preserve"> </w:t>
      </w:r>
      <w:r>
        <w:t xml:space="preserve">0.8%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14.3%</w:t>
      </w:r>
      <w:r>
        <w:t xml:space="preserve"> </w:t>
      </w:r>
      <w:r>
        <w:t xml:space="preserve">23.0%</w:t>
      </w:r>
      <w:r>
        <w:t xml:space="preserve"> </w:t>
      </w:r>
      <w:r>
        <w:t xml:space="preserve">23.0%</w:t>
      </w:r>
      <w:r>
        <w:t xml:space="preserve"> </w:t>
      </w:r>
      <w:r>
        <w:t xml:space="preserve">23.5%</w:t>
      </w:r>
      <w:r>
        <w:t xml:space="preserve"> </w:t>
      </w:r>
      <w:r>
        <w:t xml:space="preserve">Source: Ecorys and CE Delft (2023), Impact assessment support study</w:t>
      </w:r>
      <w:r>
        <w:t xml:space="preserve"> </w:t>
      </w:r>
      <w:r>
        <w:t xml:space="preserve">The recurrent adjustment costs for business due to PM9 in PO6 are provided in Table 61. Expressed as</w:t>
      </w:r>
      <w:r>
        <w:t xml:space="preserve"> </w:t>
      </w:r>
      <w:r>
        <w:t xml:space="preserve">present value over 2025-2050, PM9 results in adjustment costs estimated at EUR 1.2 billion in PO6</w:t>
      </w:r>
      <w:r>
        <w:t xml:space="preserve"> </w:t>
      </w:r>
      <w:r>
        <w:t xml:space="preserve">relative to the baseline.</w:t>
      </w:r>
      <w:r>
        <w:t xml:space="preserve"> </w:t>
      </w:r>
      <w:r>
        <w:t xml:space="preserve">Table 63: Recurrent adjustment costs for business due to PM9 in PO6 (in EUR)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of companies that perform verification</w:t>
      </w:r>
      <w:r>
        <w:t xml:space="preserve"> </w:t>
      </w:r>
      <w:r>
        <w:t xml:space="preserve">activities in the baseline</w:t>
      </w:r>
      <w:r>
        <w:t xml:space="preserve"> </w:t>
      </w:r>
      <w:r>
        <w:t xml:space="preserve">6,457</w:t>
      </w:r>
      <w:r>
        <w:t xml:space="preserve"> </w:t>
      </w:r>
      <w:r>
        <w:t xml:space="preserve">8,290</w:t>
      </w:r>
      <w:r>
        <w:t xml:space="preserve"> </w:t>
      </w:r>
      <w:r>
        <w:t xml:space="preserve">11,670</w:t>
      </w:r>
      <w:r>
        <w:t xml:space="preserve"> </w:t>
      </w:r>
      <w:r>
        <w:t xml:space="preserve">14,711</w:t>
      </w:r>
      <w:r>
        <w:t xml:space="preserve"> </w:t>
      </w:r>
      <w:r>
        <w:t xml:space="preserve">SMEs</w:t>
      </w:r>
      <w:r>
        <w:t xml:space="preserve"> </w:t>
      </w:r>
      <w:r>
        <w:t xml:space="preserve">6,051</w:t>
      </w:r>
      <w:r>
        <w:t xml:space="preserve"> </w:t>
      </w:r>
      <w:r>
        <w:t xml:space="preserve">7,739</w:t>
      </w:r>
      <w:r>
        <w:t xml:space="preserve"> </w:t>
      </w:r>
      <w:r>
        <w:t xml:space="preserve">10,856</w:t>
      </w:r>
      <w:r>
        <w:t xml:space="preserve"> </w:t>
      </w:r>
      <w:r>
        <w:t xml:space="preserve">13,654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406</w:t>
      </w:r>
      <w:r>
        <w:t xml:space="preserve"> </w:t>
      </w:r>
      <w:r>
        <w:t xml:space="preserve">551</w:t>
      </w:r>
      <w:r>
        <w:t xml:space="preserve"> </w:t>
      </w:r>
      <w:r>
        <w:t xml:space="preserve">814</w:t>
      </w:r>
      <w:r>
        <w:t xml:space="preserve"> </w:t>
      </w:r>
      <w:r>
        <w:t xml:space="preserve">1,057</w:t>
      </w:r>
      <w:r>
        <w:t xml:space="preserve"> </w:t>
      </w:r>
      <w:r>
        <w:t xml:space="preserve">Costs for companies switching to ISO verification</w:t>
      </w:r>
      <w:r>
        <w:t xml:space="preserve"> </w:t>
      </w:r>
      <w:r>
        <w:t xml:space="preserve">(in million EUR) relative to the baseline</w:t>
      </w:r>
      <w:r>
        <w:t xml:space="preserve"> </w:t>
      </w:r>
      <w:r>
        <w:t xml:space="preserve">-1.2</w:t>
      </w:r>
      <w:r>
        <w:t xml:space="preserve"> </w:t>
      </w:r>
      <w:r>
        <w:t xml:space="preserve">-1.5</w:t>
      </w:r>
      <w:r>
        <w:t xml:space="preserve"> </w:t>
      </w:r>
      <w:r>
        <w:t xml:space="preserve">-2.1</w:t>
      </w:r>
      <w:r>
        <w:t xml:space="preserve"> </w:t>
      </w:r>
      <w:r>
        <w:t xml:space="preserve">-2.4</w:t>
      </w:r>
      <w:r>
        <w:t xml:space="preserve"> </w:t>
      </w:r>
      <w:r>
        <w:t xml:space="preserve">SMEs</w:t>
      </w:r>
      <w:r>
        <w:t xml:space="preserve"> </w:t>
      </w:r>
      <w:r>
        <w:t xml:space="preserve">-1.1</w:t>
      </w:r>
      <w:r>
        <w:t xml:space="preserve"> </w:t>
      </w:r>
      <w:r>
        <w:t xml:space="preserve">-1.3</w:t>
      </w:r>
      <w:r>
        <w:t xml:space="preserve"> </w:t>
      </w:r>
      <w:r>
        <w:t xml:space="preserve">-1.8</w:t>
      </w:r>
      <w:r>
        <w:t xml:space="preserve"> </w:t>
      </w:r>
      <w:r>
        <w:t xml:space="preserve">-2.1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-0.2</w:t>
      </w:r>
      <w:r>
        <w:t xml:space="preserve"> </w:t>
      </w:r>
      <w:r>
        <w:t xml:space="preserve">-0.2</w:t>
      </w:r>
      <w:r>
        <w:t xml:space="preserve"> </w:t>
      </w:r>
      <w:r>
        <w:t xml:space="preserve">-0.3</w:t>
      </w:r>
      <w:r>
        <w:t xml:space="preserve"> </w:t>
      </w:r>
      <w:r>
        <w:t xml:space="preserve">-0.3</w:t>
      </w:r>
      <w:r>
        <w:t xml:space="preserve"> </w:t>
      </w:r>
      <w:r>
        <w:t xml:space="preserve">Additional number of companies that perform</w:t>
      </w:r>
      <w:r>
        <w:t xml:space="preserve"> </w:t>
      </w:r>
      <w:r>
        <w:t xml:space="preserve">verification in PM9</w:t>
      </w:r>
      <w:r>
        <w:t xml:space="preserve"> </w:t>
      </w:r>
      <w:r>
        <w:t xml:space="preserve">22,921</w:t>
      </w:r>
      <w:r>
        <w:t xml:space="preserve"> </w:t>
      </w:r>
      <w:r>
        <w:t xml:space="preserve">186,037</w:t>
      </w:r>
      <w:r>
        <w:t xml:space="preserve"> </w:t>
      </w:r>
      <w:r>
        <w:t xml:space="preserve">347,609</w:t>
      </w:r>
      <w:r>
        <w:t xml:space="preserve"> </w:t>
      </w:r>
      <w:r>
        <w:t xml:space="preserve">344,568</w:t>
      </w:r>
      <w:r>
        <w:t xml:space="preserve"> </w:t>
      </w:r>
      <w:r>
        <w:t xml:space="preserve">SMEs</w:t>
      </w:r>
      <w:r>
        <w:t xml:space="preserve"> </w:t>
      </w:r>
      <w:r>
        <w:t xml:space="preserve">21,939</w:t>
      </w:r>
      <w:r>
        <w:t xml:space="preserve"> </w:t>
      </w:r>
      <w:r>
        <w:t xml:space="preserve">183,028</w:t>
      </w:r>
      <w:r>
        <w:t xml:space="preserve"> </w:t>
      </w:r>
      <w:r>
        <w:t xml:space="preserve">342,685</w:t>
      </w:r>
      <w:r>
        <w:t xml:space="preserve"> </w:t>
      </w:r>
      <w:r>
        <w:t xml:space="preserve">339,887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982</w:t>
      </w:r>
      <w:r>
        <w:t xml:space="preserve"> </w:t>
      </w:r>
      <w:r>
        <w:t xml:space="preserve">3,009</w:t>
      </w:r>
      <w:r>
        <w:t xml:space="preserve"> </w:t>
      </w:r>
      <w:r>
        <w:t xml:space="preserve">4,924</w:t>
      </w:r>
      <w:r>
        <w:t xml:space="preserve"> </w:t>
      </w:r>
      <w:r>
        <w:t xml:space="preserve">4,681</w:t>
      </w:r>
      <w:r>
        <w:t xml:space="preserve"> </w:t>
      </w:r>
      <w:r>
        <w:t xml:space="preserve">Costs for additional companies that perform</w:t>
      </w:r>
      <w:r>
        <w:t xml:space="preserve"> </w:t>
      </w:r>
      <w:r>
        <w:t xml:space="preserve">verification (in million EUR) relative to the</w:t>
      </w:r>
      <w:r>
        <w:t xml:space="preserve"> </w:t>
      </w:r>
      <w:r>
        <w:t xml:space="preserve">baseline</w:t>
      </w:r>
      <w:r>
        <w:t xml:space="preserve"> </w:t>
      </w:r>
      <w:r>
        <w:t xml:space="preserve">6.3</w:t>
      </w:r>
      <w:r>
        <w:t xml:space="preserve"> </w:t>
      </w:r>
      <w:r>
        <w:t xml:space="preserve">49.2</w:t>
      </w:r>
      <w:r>
        <w:t xml:space="preserve"> </w:t>
      </w:r>
      <w:r>
        <w:t xml:space="preserve">86.2</w:t>
      </w:r>
      <w:r>
        <w:t xml:space="preserve"> </w:t>
      </w:r>
      <w:r>
        <w:t xml:space="preserve">79.8</w:t>
      </w:r>
      <w:r>
        <w:t xml:space="preserve"> </w:t>
      </w:r>
      <w:r>
        <w:t xml:space="preserve">SMEs</w:t>
      </w:r>
      <w:r>
        <w:t xml:space="preserve"> </w:t>
      </w:r>
      <w:r>
        <w:t xml:space="preserve">5.8</w:t>
      </w:r>
      <w:r>
        <w:t xml:space="preserve"> </w:t>
      </w:r>
      <w:r>
        <w:t xml:space="preserve">47.8</w:t>
      </w:r>
      <w:r>
        <w:t xml:space="preserve"> </w:t>
      </w:r>
      <w:r>
        <w:t xml:space="preserve">84.1</w:t>
      </w:r>
      <w:r>
        <w:t xml:space="preserve"> </w:t>
      </w:r>
      <w:r>
        <w:t xml:space="preserve">78.0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0.5</w:t>
      </w:r>
      <w:r>
        <w:t xml:space="preserve"> </w:t>
      </w:r>
      <w:r>
        <w:t xml:space="preserve">1.4</w:t>
      </w:r>
      <w:r>
        <w:t xml:space="preserve"> </w:t>
      </w:r>
      <w:r>
        <w:t xml:space="preserve">2.1</w:t>
      </w:r>
      <w:r>
        <w:t xml:space="preserve"> </w:t>
      </w:r>
      <w:r>
        <w:t xml:space="preserve">1.9</w:t>
      </w:r>
      <w:r>
        <w:t xml:space="preserve"> </w:t>
      </w:r>
      <w:r>
        <w:t xml:space="preserve">Total additional costs relative to the baseline (in</w:t>
      </w:r>
      <w:r>
        <w:t xml:space="preserve"> </w:t>
      </w:r>
      <w:r>
        <w:t xml:space="preserve">million EUR) relative to the baseline</w:t>
      </w:r>
      <w:r>
        <w:t xml:space="preserve"> </w:t>
      </w:r>
      <w:r>
        <w:t xml:space="preserve">5.0</w:t>
      </w:r>
      <w:r>
        <w:t xml:space="preserve"> </w:t>
      </w:r>
      <w:r>
        <w:t xml:space="preserve">47.6</w:t>
      </w:r>
      <w:r>
        <w:t xml:space="preserve"> </w:t>
      </w:r>
      <w:r>
        <w:t xml:space="preserve">84.1</w:t>
      </w:r>
      <w:r>
        <w:t xml:space="preserve"> </w:t>
      </w:r>
      <w:r>
        <w:t xml:space="preserve">77.4</w:t>
      </w:r>
      <w:r>
        <w:t xml:space="preserve"> </w:t>
      </w:r>
      <w:r>
        <w:t xml:space="preserve">SMEs</w:t>
      </w:r>
      <w:r>
        <w:t xml:space="preserve"> </w:t>
      </w:r>
      <w:r>
        <w:t xml:space="preserve">4.7</w:t>
      </w:r>
      <w:r>
        <w:t xml:space="preserve"> </w:t>
      </w:r>
      <w:r>
        <w:t xml:space="preserve">46.5</w:t>
      </w:r>
      <w:r>
        <w:t xml:space="preserve"> </w:t>
      </w:r>
      <w:r>
        <w:t xml:space="preserve">82.3</w:t>
      </w:r>
      <w:r>
        <w:t xml:space="preserve"> </w:t>
      </w:r>
      <w:r>
        <w:t xml:space="preserve">75.9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0.3</w:t>
      </w:r>
      <w:r>
        <w:t xml:space="preserve"> </w:t>
      </w:r>
      <w:r>
        <w:t xml:space="preserve">1.2</w:t>
      </w:r>
      <w:r>
        <w:t xml:space="preserve"> </w:t>
      </w:r>
      <w:r>
        <w:t xml:space="preserve">1.8</w:t>
      </w:r>
      <w:r>
        <w:t xml:space="preserve"> </w:t>
      </w:r>
      <w:r>
        <w:t xml:space="preserve">1.5</w:t>
      </w:r>
      <w:r>
        <w:t xml:space="preserve"> </w:t>
      </w:r>
      <w:r>
        <w:t xml:space="preserve">Source: Ecorys and CE Delft (2023), Impact assessment support study</w:t>
      </w:r>
      <w:r>
        <w:t xml:space="preserve"> </w:t>
      </w:r>
      <w:r>
        <w:t xml:space="preserve">Table 64: type and size of impacted enterprises due to PM9 in PO6 of all enterprises targeted with CountEmissions</w:t>
      </w:r>
      <w:r>
        <w:t xml:space="preserve"> </w:t>
      </w:r>
      <w:r>
        <w:t xml:space="preserve">EU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companies performing verification</w:t>
      </w:r>
      <w:r>
        <w:t xml:space="preserve"> </w:t>
      </w:r>
      <w:r>
        <w:t xml:space="preserve">1.7%</w:t>
      </w:r>
      <w:r>
        <w:t xml:space="preserve"> </w:t>
      </w:r>
      <w:r>
        <w:t xml:space="preserve">11.0%</w:t>
      </w:r>
      <w:r>
        <w:t xml:space="preserve"> </w:t>
      </w:r>
      <w:r>
        <w:t xml:space="preserve">20.3%</w:t>
      </w:r>
      <w:r>
        <w:t xml:space="preserve"> </w:t>
      </w:r>
      <w:r>
        <w:t xml:space="preserve">20.3%</w:t>
      </w:r>
      <w:r>
        <w:t xml:space="preserve"> </w:t>
      </w:r>
      <w:r>
        <w:t xml:space="preserve">SMEs</w:t>
      </w:r>
      <w:r>
        <w:t xml:space="preserve"> </w:t>
      </w:r>
      <w:r>
        <w:t xml:space="preserve">1.6%</w:t>
      </w:r>
      <w:r>
        <w:t xml:space="preserve"> </w:t>
      </w:r>
      <w:r>
        <w:t xml:space="preserve">10.8%</w:t>
      </w:r>
      <w:r>
        <w:t xml:space="preserve"> </w:t>
      </w:r>
      <w:r>
        <w:t xml:space="preserve">20.0%</w:t>
      </w:r>
      <w:r>
        <w:t xml:space="preserve"> </w:t>
      </w:r>
      <w:r>
        <w:t xml:space="preserve">20.0%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24.2%</w:t>
      </w:r>
      <w:r>
        <w:t xml:space="preserve"> </w:t>
      </w:r>
      <w:r>
        <w:t xml:space="preserve">62.0%</w:t>
      </w:r>
      <w:r>
        <w:t xml:space="preserve"> </w:t>
      </w:r>
      <w:r>
        <w:t xml:space="preserve">100.0%</w:t>
      </w:r>
      <w:r>
        <w:t xml:space="preserve"> </w:t>
      </w:r>
      <w:r>
        <w:t xml:space="preserve">100.0%</w:t>
      </w:r>
      <w:r>
        <w:t xml:space="preserve"> </w:t>
      </w:r>
      <w:r>
        <w:t xml:space="preserve">Source: Ecorys and CE Delft (2023), Impact assessment support study</w:t>
      </w:r>
    </w:p>
    <w:p>
      <w:pPr>
        <w:pStyle w:val="BodyText"/>
      </w:pPr>
      <w:r>
        <w:t xml:space="preserve">117</w:t>
      </w:r>
    </w:p>
    <w:p>
      <w:pPr>
        <w:pStyle w:val="BodyText"/>
      </w:pPr>
      <w:r>
        <w:t xml:space="preserve">PM10: A voluntary process and data verification for all entities is established at EU level</w:t>
      </w:r>
      <w:r>
        <w:t xml:space="preserve"> </w:t>
      </w:r>
      <w:r>
        <w:t xml:space="preserve">Administrative costs for National Accreditation Bodies – NABs223</w:t>
      </w:r>
      <w:r>
        <w:t xml:space="preserve"> </w:t>
      </w:r>
      <w:r>
        <w:t xml:space="preserve">PM10 does not mandate for any businesses to be verified by a verifier accredited via Regulation</w:t>
      </w:r>
      <w:r>
        <w:t xml:space="preserve"> </w:t>
      </w:r>
      <w:r>
        <w:t xml:space="preserve">2016/2072224. However, the same accreditation-verification mechanism is foreseen. Verification is</w:t>
      </w:r>
      <w:r>
        <w:t xml:space="preserve"> </w:t>
      </w:r>
      <w:r>
        <w:t xml:space="preserve">performed by bodies that are accredited by NABs dealing with accreditation following specific EU</w:t>
      </w:r>
      <w:r>
        <w:t xml:space="preserve"> </w:t>
      </w:r>
      <w:r>
        <w:t xml:space="preserve">rules. A secondary act will define the accreditation rules and the verification rules for verification</w:t>
      </w:r>
      <w:r>
        <w:t xml:space="preserve"> </w:t>
      </w:r>
      <w:r>
        <w:t xml:space="preserve">bodies.</w:t>
      </w:r>
      <w:r>
        <w:br/>
      </w:r>
      <w:r>
        <w:t xml:space="preserve">As regards accreditation, the workload associated to PM10 (included in PO2) for national public</w:t>
      </w:r>
      <w:r>
        <w:t xml:space="preserve"> </w:t>
      </w:r>
      <w:r>
        <w:t xml:space="preserve">authorities is estimated at 120 hours per Member State. The average cost per hour is estimated at EUR</w:t>
      </w:r>
      <w:r>
        <w:t xml:space="preserve"> </w:t>
      </w:r>
      <w:r>
        <w:t xml:space="preserve">40.9225 in 2022 prices for ISCO 2 category (Professionals). Thus, the one-off administrative costs for</w:t>
      </w:r>
      <w:r>
        <w:t xml:space="preserve"> </w:t>
      </w:r>
      <w:r>
        <w:t xml:space="preserve">NABs in 2025 at EU level are estimated at EUR 132,504 relative to the baseline.</w:t>
      </w:r>
      <w:r>
        <w:t xml:space="preserve"> </w:t>
      </w:r>
      <w:r>
        <w:t xml:space="preserve">Adjustment costs for businesses</w:t>
      </w:r>
      <w:r>
        <w:t xml:space="preserve"> </w:t>
      </w:r>
      <w:r>
        <w:t xml:space="preserve">PM10, included in PO2, keeps the verification of GHG emissions output data voluntary. As for PM8</w:t>
      </w:r>
      <w:r>
        <w:t xml:space="preserve"> </w:t>
      </w:r>
      <w:r>
        <w:t xml:space="preserve">and PM9, verification is performed by bodies that are accredited by MS accreditation bodies following</w:t>
      </w:r>
      <w:r>
        <w:t xml:space="preserve"> </w:t>
      </w:r>
      <w:r>
        <w:t xml:space="preserve">specific EU rules. A secondary act will define the accreditation rules and the verification rules for</w:t>
      </w:r>
      <w:r>
        <w:t xml:space="preserve"> </w:t>
      </w:r>
      <w:r>
        <w:t xml:space="preserve">verification bodies. Verification will be performed on annual basis.</w:t>
      </w:r>
      <w:r>
        <w:br/>
      </w:r>
      <w:r>
        <w:t xml:space="preserve">The costs for PM10 (included in PO2) build on estimates from the impact assessments accompanying</w:t>
      </w:r>
      <w:r>
        <w:t xml:space="preserve"> </w:t>
      </w:r>
      <w:r>
        <w:t xml:space="preserve">the Fuel EU Maritime initiative and the MRV Regulation, and inputs from the stakeholder consultation</w:t>
      </w:r>
      <w:r>
        <w:t xml:space="preserve"> </w:t>
      </w:r>
      <w:r>
        <w:t xml:space="preserve">activities. The unit costs for verification activities by size of business are provided in Table 65.</w:t>
      </w:r>
      <w:r>
        <w:t xml:space="preserve"> </w:t>
      </w:r>
      <w:r>
        <w:t xml:space="preserve">Table 65: Unit costs for verification activities per business type, due to PM10 in PO2 (in EUR)</w:t>
      </w:r>
      <w:r>
        <w:t xml:space="preserve"> </w:t>
      </w:r>
      <w:r>
        <w:t xml:space="preserve">TSO</w:t>
      </w:r>
      <w:r>
        <w:t xml:space="preserve"> </w:t>
      </w:r>
      <w:r>
        <w:t xml:space="preserve">(SME)</w:t>
      </w:r>
      <w:r>
        <w:t xml:space="preserve"> </w:t>
      </w:r>
      <w:r>
        <w:t xml:space="preserve">TSU</w:t>
      </w:r>
      <w:r>
        <w:t xml:space="preserve"> </w:t>
      </w:r>
      <w:r>
        <w:t xml:space="preserve">(SME)</w:t>
      </w:r>
      <w:r>
        <w:t xml:space="preserve"> </w:t>
      </w:r>
      <w:r>
        <w:t xml:space="preserve">HO</w:t>
      </w:r>
      <w:r>
        <w:t xml:space="preserve"> </w:t>
      </w:r>
      <w:r>
        <w:t xml:space="preserve">(SME)</w:t>
      </w:r>
      <w:r>
        <w:t xml:space="preserve"> </w:t>
      </w:r>
      <w:r>
        <w:t xml:space="preserve">TSO</w:t>
      </w:r>
      <w:r>
        <w:t xml:space="preserve"> </w:t>
      </w:r>
      <w:r>
        <w:t xml:space="preserve">(Large)</w:t>
      </w:r>
      <w:r>
        <w:t xml:space="preserve"> </w:t>
      </w:r>
      <w:r>
        <w:t xml:space="preserve">TSU</w:t>
      </w:r>
      <w:r>
        <w:t xml:space="preserve"> </w:t>
      </w:r>
      <w:r>
        <w:t xml:space="preserve">(Large)</w:t>
      </w:r>
      <w:r>
        <w:t xml:space="preserve"> </w:t>
      </w:r>
      <w:r>
        <w:t xml:space="preserve">HO</w:t>
      </w:r>
      <w:r>
        <w:t xml:space="preserve"> </w:t>
      </w:r>
      <w:r>
        <w:t xml:space="preserve">(Large)</w:t>
      </w:r>
      <w:r>
        <w:t xml:space="preserve"> </w:t>
      </w:r>
      <w:r>
        <w:t xml:space="preserve">PO2</w:t>
      </w:r>
      <w:r>
        <w:t xml:space="preserve"> </w:t>
      </w:r>
      <w:r>
        <w:t xml:space="preserve">228</w:t>
      </w:r>
      <w:r>
        <w:t xml:space="preserve"> </w:t>
      </w:r>
      <w:r>
        <w:t xml:space="preserve">342</w:t>
      </w:r>
      <w:r>
        <w:t xml:space="preserve"> </w:t>
      </w:r>
      <w:r>
        <w:t xml:space="preserve">228</w:t>
      </w:r>
      <w:r>
        <w:t xml:space="preserve"> </w:t>
      </w:r>
      <w:r>
        <w:t xml:space="preserve">387</w:t>
      </w:r>
      <w:r>
        <w:t xml:space="preserve"> </w:t>
      </w:r>
      <w:r>
        <w:t xml:space="preserve">570</w:t>
      </w:r>
      <w:r>
        <w:t xml:space="preserve"> </w:t>
      </w:r>
      <w:r>
        <w:t xml:space="preserve">387</w:t>
      </w:r>
      <w:r>
        <w:t xml:space="preserve"> </w:t>
      </w:r>
      <w:r>
        <w:t xml:space="preserve">Source: Ecorys and CE Delft (2023), Impact assessment support study</w:t>
      </w:r>
      <w:r>
        <w:t xml:space="preserve"> </w:t>
      </w:r>
      <w:r>
        <w:t xml:space="preserve">The recurrent adjustment costs/costs savings for business due to PM10 in PO2 are provided in Table</w:t>
      </w:r>
      <w:r>
        <w:t xml:space="preserve"> </w:t>
      </w:r>
      <w:r>
        <w:t xml:space="preserve">66. Expressed as present value over 2025-2050, PM10 results in adjustment costs estimated at EUR</w:t>
      </w:r>
      <w:r>
        <w:t xml:space="preserve"> </w:t>
      </w:r>
      <w:r>
        <w:t xml:space="preserve">68.1 million in PO2 relative to the baseline.</w:t>
      </w:r>
      <w:r>
        <w:t xml:space="preserve"> </w:t>
      </w:r>
      <w:r>
        <w:t xml:space="preserve">Table 66: Recurrent adjustment costs for business due to PM10 in PO2 (in EUR)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of companies that perform verification</w:t>
      </w:r>
      <w:r>
        <w:t xml:space="preserve"> </w:t>
      </w:r>
      <w:r>
        <w:t xml:space="preserve">activities in the baseline</w:t>
      </w:r>
      <w:r>
        <w:t xml:space="preserve"> </w:t>
      </w:r>
      <w:r>
        <w:t xml:space="preserve">6,457</w:t>
      </w:r>
      <w:r>
        <w:t xml:space="preserve"> </w:t>
      </w:r>
      <w:r>
        <w:t xml:space="preserve">8,290</w:t>
      </w:r>
      <w:r>
        <w:t xml:space="preserve"> </w:t>
      </w:r>
      <w:r>
        <w:t xml:space="preserve">11,670</w:t>
      </w:r>
      <w:r>
        <w:t xml:space="preserve"> </w:t>
      </w:r>
      <w:r>
        <w:t xml:space="preserve">14,711</w:t>
      </w:r>
      <w:r>
        <w:t xml:space="preserve"> </w:t>
      </w:r>
      <w:r>
        <w:t xml:space="preserve">SMEs</w:t>
      </w:r>
      <w:r>
        <w:t xml:space="preserve"> </w:t>
      </w:r>
      <w:r>
        <w:t xml:space="preserve">6,051</w:t>
      </w:r>
      <w:r>
        <w:t xml:space="preserve"> </w:t>
      </w:r>
      <w:r>
        <w:t xml:space="preserve">7,739</w:t>
      </w:r>
      <w:r>
        <w:t xml:space="preserve"> </w:t>
      </w:r>
      <w:r>
        <w:t xml:space="preserve">10,856</w:t>
      </w:r>
      <w:r>
        <w:t xml:space="preserve"> </w:t>
      </w:r>
      <w:r>
        <w:t xml:space="preserve">13,654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406</w:t>
      </w:r>
      <w:r>
        <w:t xml:space="preserve"> </w:t>
      </w:r>
      <w:r>
        <w:t xml:space="preserve">551</w:t>
      </w:r>
      <w:r>
        <w:t xml:space="preserve"> </w:t>
      </w:r>
      <w:r>
        <w:t xml:space="preserve">814</w:t>
      </w:r>
      <w:r>
        <w:t xml:space="preserve"> </w:t>
      </w:r>
      <w:r>
        <w:t xml:space="preserve">1,057</w:t>
      </w:r>
    </w:p>
    <w:p>
      <w:pPr>
        <w:pStyle w:val="BodyText"/>
      </w:pPr>
      <w:r>
        <w:t xml:space="preserve">223 A National Accreditation Body (NAB) is an institution which attests to the competence and impartiality of confor- mity</w:t>
      </w:r>
      <w:r>
        <w:t xml:space="preserve"> </w:t>
      </w:r>
      <w:r>
        <w:t xml:space="preserve">assessment bodies (testing and calibration laboratories, certification and inspection bodies), according to interna- tional standards</w:t>
      </w:r>
      <w:r>
        <w:t xml:space="preserve"> </w:t>
      </w:r>
      <w:r>
        <w:t xml:space="preserve">such as ISO/IEC. https://ec.europa.eu/growth/tools-databases/nando/index.cfm?fuseaction=ab.main</w:t>
      </w:r>
      <w:r>
        <w:br/>
      </w:r>
      <w:r>
        <w:t xml:space="preserve">224 Commission Delegated Regulation (EU) 2016/2072 of 22 September 2016 on the verification activities and accreditation of</w:t>
      </w:r>
      <w:r>
        <w:t xml:space="preserve"> </w:t>
      </w:r>
      <w:r>
        <w:t xml:space="preserve">verifiers pursuant to Regulation (EU) 2015/757 of the European Parliament and of the Council on the monitoring, reporting and</w:t>
      </w:r>
      <w:r>
        <w:t xml:space="preserve"> </w:t>
      </w:r>
      <w:r>
        <w:t xml:space="preserve">verification</w:t>
      </w:r>
      <w:r>
        <w:t xml:space="preserve"> </w:t>
      </w:r>
      <w:r>
        <w:t xml:space="preserve">of</w:t>
      </w:r>
      <w:r>
        <w:t xml:space="preserve"> </w:t>
      </w:r>
      <w:r>
        <w:t xml:space="preserve">carbon</w:t>
      </w:r>
      <w:r>
        <w:t xml:space="preserve"> </w:t>
      </w:r>
      <w:r>
        <w:t xml:space="preserve">dioxide</w:t>
      </w:r>
      <w:r>
        <w:t xml:space="preserve"> </w:t>
      </w:r>
      <w:r>
        <w:t xml:space="preserve">emissions</w:t>
      </w:r>
      <w:r>
        <w:t xml:space="preserve"> </w:t>
      </w:r>
      <w:r>
        <w:t xml:space="preserve">from</w:t>
      </w:r>
      <w:r>
        <w:t xml:space="preserve"> </w:t>
      </w:r>
      <w:r>
        <w:t xml:space="preserve">maritime</w:t>
      </w:r>
      <w:r>
        <w:t xml:space="preserve"> </w:t>
      </w:r>
      <w:r>
        <w:t xml:space="preserve">transport</w:t>
      </w:r>
      <w:r>
        <w:t xml:space="preserve"> </w:t>
      </w:r>
      <w:r>
        <w:t xml:space="preserve">https://eur-lex.europa.eu/legal-</w:t>
      </w:r>
      <w:r>
        <w:t xml:space="preserve"> </w:t>
      </w:r>
      <w:r>
        <w:t xml:space="preserve">content/EN/TXT/?uri=CELEX:32016R2072</w:t>
      </w:r>
      <w:r>
        <w:br/>
      </w:r>
      <w:r>
        <w:t xml:space="preserve">225 Eurostat Structure of earnings survey, Labour Force Survey data for Non-Wage Labour</w:t>
      </w:r>
    </w:p>
    <w:p>
      <w:pPr>
        <w:pStyle w:val="BodyText"/>
      </w:pPr>
      <w:r>
        <w:t xml:space="preserve">118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Costs for companies switching to ISO</w:t>
      </w:r>
      <w:r>
        <w:t xml:space="preserve"> </w:t>
      </w:r>
      <w:r>
        <w:t xml:space="preserve">verification (in million EUR) relative to the</w:t>
      </w:r>
      <w:r>
        <w:t xml:space="preserve"> </w:t>
      </w:r>
      <w:r>
        <w:t xml:space="preserve">baseline</w:t>
      </w:r>
      <w:r>
        <w:t xml:space="preserve"> </w:t>
      </w:r>
      <w:r>
        <w:t xml:space="preserve">-1.2</w:t>
      </w:r>
      <w:r>
        <w:t xml:space="preserve"> </w:t>
      </w:r>
      <w:r>
        <w:t xml:space="preserve">-1.5</w:t>
      </w:r>
      <w:r>
        <w:t xml:space="preserve"> </w:t>
      </w:r>
      <w:r>
        <w:t xml:space="preserve">-2.1</w:t>
      </w:r>
      <w:r>
        <w:t xml:space="preserve"> </w:t>
      </w:r>
      <w:r>
        <w:t xml:space="preserve">-2.4</w:t>
      </w:r>
      <w:r>
        <w:t xml:space="preserve"> </w:t>
      </w:r>
      <w:r>
        <w:t xml:space="preserve">SMEs</w:t>
      </w:r>
      <w:r>
        <w:t xml:space="preserve"> </w:t>
      </w:r>
      <w:r>
        <w:t xml:space="preserve">-1.1</w:t>
      </w:r>
      <w:r>
        <w:t xml:space="preserve"> </w:t>
      </w:r>
      <w:r>
        <w:t xml:space="preserve">-1.3</w:t>
      </w:r>
      <w:r>
        <w:t xml:space="preserve"> </w:t>
      </w:r>
      <w:r>
        <w:t xml:space="preserve">-1.8</w:t>
      </w:r>
      <w:r>
        <w:t xml:space="preserve"> </w:t>
      </w:r>
      <w:r>
        <w:t xml:space="preserve">-2.1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-0.2</w:t>
      </w:r>
      <w:r>
        <w:t xml:space="preserve"> </w:t>
      </w:r>
      <w:r>
        <w:t xml:space="preserve">-0.2</w:t>
      </w:r>
      <w:r>
        <w:t xml:space="preserve"> </w:t>
      </w:r>
      <w:r>
        <w:t xml:space="preserve">-0.3</w:t>
      </w:r>
      <w:r>
        <w:t xml:space="preserve"> </w:t>
      </w:r>
      <w:r>
        <w:t xml:space="preserve">-0.3</w:t>
      </w:r>
      <w:r>
        <w:t xml:space="preserve"> </w:t>
      </w:r>
      <w:r>
        <w:t xml:space="preserve">Additional number of companies that perform</w:t>
      </w:r>
      <w:r>
        <w:t xml:space="preserve"> </w:t>
      </w:r>
      <w:r>
        <w:t xml:space="preserve">verification in PM10</w:t>
      </w:r>
      <w:r>
        <w:t xml:space="preserve"> </w:t>
      </w:r>
      <w:r>
        <w:t xml:space="preserve">16,770</w:t>
      </w:r>
      <w:r>
        <w:t xml:space="preserve"> </w:t>
      </w:r>
      <w:r>
        <w:t xml:space="preserve">27,173</w:t>
      </w:r>
      <w:r>
        <w:t xml:space="preserve"> </w:t>
      </w:r>
      <w:r>
        <w:t xml:space="preserve">23,793</w:t>
      </w:r>
      <w:r>
        <w:t xml:space="preserve"> </w:t>
      </w:r>
      <w:r>
        <w:t xml:space="preserve">21,461</w:t>
      </w:r>
      <w:r>
        <w:t xml:space="preserve"> </w:t>
      </w:r>
      <w:r>
        <w:t xml:space="preserve">SMEs</w:t>
      </w:r>
      <w:r>
        <w:t xml:space="preserve"> </w:t>
      </w:r>
      <w:r>
        <w:t xml:space="preserve">16,358</w:t>
      </w:r>
      <w:r>
        <w:t xml:space="preserve"> </w:t>
      </w:r>
      <w:r>
        <w:t xml:space="preserve">26,404</w:t>
      </w:r>
      <w:r>
        <w:t xml:space="preserve"> </w:t>
      </w:r>
      <w:r>
        <w:t xml:space="preserve">23,287</w:t>
      </w:r>
      <w:r>
        <w:t xml:space="preserve"> </w:t>
      </w:r>
      <w:r>
        <w:t xml:space="preserve">21,171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412</w:t>
      </w:r>
      <w:r>
        <w:t xml:space="preserve"> </w:t>
      </w:r>
      <w:r>
        <w:t xml:space="preserve">769</w:t>
      </w:r>
      <w:r>
        <w:t xml:space="preserve"> </w:t>
      </w:r>
      <w:r>
        <w:t xml:space="preserve">506</w:t>
      </w:r>
      <w:r>
        <w:t xml:space="preserve"> </w:t>
      </w:r>
      <w:r>
        <w:t xml:space="preserve">290</w:t>
      </w:r>
      <w:r>
        <w:t xml:space="preserve"> </w:t>
      </w:r>
      <w:r>
        <w:t xml:space="preserve">Costs for additional companies that perform</w:t>
      </w:r>
      <w:r>
        <w:t xml:space="preserve"> </w:t>
      </w:r>
      <w:r>
        <w:t xml:space="preserve">verification (in million EUR) relative to the</w:t>
      </w:r>
      <w:r>
        <w:t xml:space="preserve"> </w:t>
      </w:r>
      <w:r>
        <w:t xml:space="preserve">baseline</w:t>
      </w:r>
      <w:r>
        <w:t xml:space="preserve"> </w:t>
      </w:r>
      <w:r>
        <w:t xml:space="preserve">4.2</w:t>
      </w:r>
      <w:r>
        <w:t xml:space="preserve"> </w:t>
      </w:r>
      <w:r>
        <w:t xml:space="preserve">6.7</w:t>
      </w:r>
      <w:r>
        <w:t xml:space="preserve"> </w:t>
      </w:r>
      <w:r>
        <w:t xml:space="preserve">5.5</w:t>
      </w:r>
      <w:r>
        <w:t xml:space="preserve"> </w:t>
      </w:r>
      <w:r>
        <w:t xml:space="preserve">4.6</w:t>
      </w:r>
      <w:r>
        <w:t xml:space="preserve"> </w:t>
      </w:r>
      <w:r>
        <w:t xml:space="preserve">SMEs</w:t>
      </w:r>
      <w:r>
        <w:t xml:space="preserve"> </w:t>
      </w:r>
      <w:r>
        <w:t xml:space="preserve">4.0</w:t>
      </w:r>
      <w:r>
        <w:t xml:space="preserve"> </w:t>
      </w:r>
      <w:r>
        <w:t xml:space="preserve">6.3</w:t>
      </w:r>
      <w:r>
        <w:t xml:space="preserve"> </w:t>
      </w:r>
      <w:r>
        <w:t xml:space="preserve">5.2</w:t>
      </w:r>
      <w:r>
        <w:t xml:space="preserve"> </w:t>
      </w:r>
      <w:r>
        <w:t xml:space="preserve">4.4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0.2</w:t>
      </w:r>
      <w:r>
        <w:t xml:space="preserve"> </w:t>
      </w:r>
      <w:r>
        <w:t xml:space="preserve">0.4</w:t>
      </w:r>
      <w:r>
        <w:t xml:space="preserve"> </w:t>
      </w:r>
      <w:r>
        <w:t xml:space="preserve">0.2</w:t>
      </w:r>
      <w:r>
        <w:t xml:space="preserve"> </w:t>
      </w:r>
      <w:r>
        <w:t xml:space="preserve">0.1</w:t>
      </w:r>
      <w:r>
        <w:t xml:space="preserve"> </w:t>
      </w:r>
      <w:r>
        <w:t xml:space="preserve">Total additional costs relative to the baseline (in</w:t>
      </w:r>
      <w:r>
        <w:t xml:space="preserve"> </w:t>
      </w:r>
      <w:r>
        <w:t xml:space="preserve">million EUR) relative to the baseline</w:t>
      </w:r>
      <w:r>
        <w:t xml:space="preserve"> </w:t>
      </w:r>
      <w:r>
        <w:t xml:space="preserve">3.0</w:t>
      </w:r>
      <w:r>
        <w:t xml:space="preserve"> </w:t>
      </w:r>
      <w:r>
        <w:t xml:space="preserve">5.2</w:t>
      </w:r>
      <w:r>
        <w:t xml:space="preserve"> </w:t>
      </w:r>
      <w:r>
        <w:t xml:space="preserve">3.4</w:t>
      </w:r>
      <w:r>
        <w:t xml:space="preserve"> </w:t>
      </w:r>
      <w:r>
        <w:t xml:space="preserve">2.1</w:t>
      </w:r>
      <w:r>
        <w:t xml:space="preserve"> </w:t>
      </w:r>
      <w:r>
        <w:t xml:space="preserve">SMEs</w:t>
      </w:r>
      <w:r>
        <w:t xml:space="preserve"> </w:t>
      </w:r>
      <w:r>
        <w:t xml:space="preserve">2.9</w:t>
      </w:r>
      <w:r>
        <w:t xml:space="preserve"> </w:t>
      </w:r>
      <w:r>
        <w:t xml:space="preserve">5.0</w:t>
      </w:r>
      <w:r>
        <w:t xml:space="preserve"> </w:t>
      </w:r>
      <w:r>
        <w:t xml:space="preserve">3.5</w:t>
      </w:r>
      <w:r>
        <w:t xml:space="preserve"> </w:t>
      </w:r>
      <w:r>
        <w:t xml:space="preserve">2.3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0.1</w:t>
      </w:r>
      <w:r>
        <w:t xml:space="preserve"> </w:t>
      </w:r>
      <w:r>
        <w:t xml:space="preserve">0.2</w:t>
      </w:r>
      <w:r>
        <w:t xml:space="preserve"> </w:t>
      </w:r>
      <w:r>
        <w:t xml:space="preserve">-0.1</w:t>
      </w:r>
      <w:r>
        <w:t xml:space="preserve"> </w:t>
      </w:r>
      <w:r>
        <w:t xml:space="preserve">-0.2</w:t>
      </w:r>
      <w:r>
        <w:t xml:space="preserve"> </w:t>
      </w:r>
      <w:r>
        <w:t xml:space="preserve">Source: Ecorys and CE Delft (2023), Impact assessment support study; Note: negative values reflect costs savings,</w:t>
      </w:r>
      <w:r>
        <w:t xml:space="preserve"> </w:t>
      </w:r>
      <w:r>
        <w:t xml:space="preserve">where relevant.</w:t>
      </w:r>
      <w:r>
        <w:br/>
      </w:r>
      <w:r>
        <w:t xml:space="preserve">Table 67: type and size of impacted enterprises due to PM10 in PO5 of all enterprises targeted with CountEmissions</w:t>
      </w:r>
      <w:r>
        <w:t xml:space="preserve"> </w:t>
      </w:r>
      <w:r>
        <w:t xml:space="preserve">EU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companies performing verification</w:t>
      </w:r>
      <w:r>
        <w:t xml:space="preserve"> </w:t>
      </w:r>
      <w:r>
        <w:t xml:space="preserve">0.6%</w:t>
      </w:r>
      <w:r>
        <w:t xml:space="preserve"> </w:t>
      </w:r>
      <w:r>
        <w:t xml:space="preserve">0.8%</w:t>
      </w:r>
      <w:r>
        <w:t xml:space="preserve"> </w:t>
      </w:r>
      <w:r>
        <w:t xml:space="preserve">0.8%</w:t>
      </w:r>
      <w:r>
        <w:t xml:space="preserve"> </w:t>
      </w:r>
      <w:r>
        <w:t xml:space="preserve">0.9%</w:t>
      </w:r>
      <w:r>
        <w:t xml:space="preserve"> </w:t>
      </w:r>
      <w:r>
        <w:t xml:space="preserve">SMEs</w:t>
      </w:r>
      <w:r>
        <w:t xml:space="preserve"> </w:t>
      </w:r>
      <w:r>
        <w:t xml:space="preserve">0.5%</w:t>
      </w:r>
      <w:r>
        <w:t xml:space="preserve"> </w:t>
      </w:r>
      <w:r>
        <w:t xml:space="preserve">0.8%</w:t>
      </w:r>
      <w:r>
        <w:t xml:space="preserve"> </w:t>
      </w:r>
      <w:r>
        <w:t xml:space="preserve">0.8%</w:t>
      </w:r>
      <w:r>
        <w:t xml:space="preserve"> </w:t>
      </w:r>
      <w:r>
        <w:t xml:space="preserve">0.8%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14.3%</w:t>
      </w:r>
      <w:r>
        <w:t xml:space="preserve"> </w:t>
      </w:r>
      <w:r>
        <w:t xml:space="preserve">23.0%</w:t>
      </w:r>
      <w:r>
        <w:t xml:space="preserve"> </w:t>
      </w:r>
      <w:r>
        <w:t xml:space="preserve">23.0%</w:t>
      </w:r>
      <w:r>
        <w:t xml:space="preserve"> </w:t>
      </w:r>
      <w:r>
        <w:t xml:space="preserve">23.5%</w:t>
      </w:r>
      <w:r>
        <w:t xml:space="preserve"> </w:t>
      </w:r>
      <w:r>
        <w:t xml:space="preserve">Source: Ecorys and CE Delft (2023), Impact assessment support study</w:t>
      </w:r>
      <w:r>
        <w:t xml:space="preserve"> </w:t>
      </w:r>
      <w:r>
        <w:t xml:space="preserve">PM11: Emissions calculation tools are provided at EU level (by European Commission)</w:t>
      </w:r>
      <w:r>
        <w:t xml:space="preserve"> </w:t>
      </w:r>
      <w:r>
        <w:t xml:space="preserve">Adjustment costs for European Commission</w:t>
      </w:r>
      <w:r>
        <w:t xml:space="preserve"> </w:t>
      </w:r>
      <w:r>
        <w:t xml:space="preserve">PM11 (included in PO1 and PO2) foresees that calculation tools following the common reference</w:t>
      </w:r>
      <w:r>
        <w:t xml:space="preserve"> </w:t>
      </w:r>
      <w:r>
        <w:t xml:space="preserve">methodology are developed and provided at the EU level, while the data sharing is done through</w:t>
      </w:r>
      <w:r>
        <w:t xml:space="preserve"> </w:t>
      </w:r>
      <w:r>
        <w:t xml:space="preserve">recognised tools such as ISO/IEC 27001 and related standards on information security management.</w:t>
      </w:r>
      <w:r>
        <w:t xml:space="preserve"> </w:t>
      </w:r>
      <w:r>
        <w:t xml:space="preserve">The development of these calculation tools is expected to be done in the context of a research project</w:t>
      </w:r>
      <w:r>
        <w:t xml:space="preserve"> </w:t>
      </w:r>
      <w:r>
        <w:t xml:space="preserve">procured by the European Commission. As explained in Annex 8, this will require additional</w:t>
      </w:r>
      <w:r>
        <w:t xml:space="preserve"> </w:t>
      </w:r>
      <w:r>
        <w:t xml:space="preserve">investments in research and development. Based on the cost of THETIS-MRV and experience with</w:t>
      </w:r>
      <w:r>
        <w:t xml:space="preserve"> </w:t>
      </w:r>
      <w:r>
        <w:t xml:space="preserve">existing THETIS-EU modules that support various pieces of EU legislation, such IT-developments are</w:t>
      </w:r>
      <w:r>
        <w:t xml:space="preserve"> </w:t>
      </w:r>
      <w:r>
        <w:t xml:space="preserve">estimated at EUR 300,000 (one-off costs in 2025).</w:t>
      </w:r>
      <w:r>
        <w:br/>
      </w:r>
      <w:r>
        <w:t xml:space="preserve">Adjustment costs for businesses</w:t>
      </w:r>
      <w:r>
        <w:t xml:space="preserve"> </w:t>
      </w:r>
      <w:r>
        <w:t xml:space="preserve">PM11 will provide businesses with calculation tools developed following strict rules by the</w:t>
      </w:r>
      <w:r>
        <w:t xml:space="preserve"> </w:t>
      </w:r>
      <w:r>
        <w:t xml:space="preserve">European Commission. The use of these calculation tools will require labour costs for</w:t>
      </w:r>
      <w:r>
        <w:t xml:space="preserve"> </w:t>
      </w:r>
      <w:r>
        <w:t xml:space="preserve">incorporating them into the business practices, and time dedicated to use them. The costs for the</w:t>
      </w:r>
      <w:r>
        <w:t xml:space="preserve"> </w:t>
      </w:r>
      <w:r>
        <w:t xml:space="preserve">use of calculation tools by type and size of company are provided in Table 68Table 68.</w:t>
      </w:r>
      <w:r>
        <w:br/>
      </w:r>
      <w:r>
        <w:t xml:space="preserve">Table 68: Costs for the use of calculation tools by business type, due to PM11 in PO1 and PO2 (in EUR)</w:t>
      </w:r>
    </w:p>
    <w:p>
      <w:pPr>
        <w:pStyle w:val="BodyText"/>
      </w:pPr>
      <w:r>
        <w:t xml:space="preserve">TSO (SME)</w:t>
      </w:r>
      <w:r>
        <w:t xml:space="preserve"> </w:t>
      </w:r>
      <w:r>
        <w:t xml:space="preserve">TSU (SME)</w:t>
      </w:r>
      <w:r>
        <w:t xml:space="preserve"> </w:t>
      </w:r>
      <w:r>
        <w:t xml:space="preserve">HO (SME)</w:t>
      </w:r>
      <w:r>
        <w:t xml:space="preserve"> </w:t>
      </w:r>
      <w:r>
        <w:t xml:space="preserve">TSO (Large)</w:t>
      </w:r>
      <w:r>
        <w:t xml:space="preserve"> </w:t>
      </w:r>
      <w:r>
        <w:t xml:space="preserve">TSU (Large)</w:t>
      </w:r>
      <w:r>
        <w:t xml:space="preserve"> </w:t>
      </w:r>
      <w:r>
        <w:t xml:space="preserve">HO (Large)</w:t>
      </w:r>
    </w:p>
    <w:p>
      <w:pPr>
        <w:pStyle w:val="BodyText"/>
      </w:pPr>
      <w:r>
        <w:t xml:space="preserve">119</w:t>
      </w:r>
    </w:p>
    <w:p>
      <w:pPr>
        <w:pStyle w:val="BodyText"/>
      </w:pPr>
      <w:r>
        <w:t xml:space="preserve">Baseline</w:t>
      </w:r>
      <w:r>
        <w:t xml:space="preserve"> </w:t>
      </w:r>
      <w:r>
        <w:t xml:space="preserve">257</w:t>
      </w:r>
      <w:r>
        <w:t xml:space="preserve"> </w:t>
      </w:r>
      <w:r>
        <w:t xml:space="preserve">514</w:t>
      </w:r>
      <w:r>
        <w:t xml:space="preserve"> </w:t>
      </w:r>
      <w:r>
        <w:t xml:space="preserve">514</w:t>
      </w:r>
      <w:r>
        <w:t xml:space="preserve"> </w:t>
      </w:r>
      <w:r>
        <w:t xml:space="preserve">1,799</w:t>
      </w:r>
      <w:r>
        <w:t xml:space="preserve"> </w:t>
      </w:r>
      <w:r>
        <w:t xml:space="preserve">3,597</w:t>
      </w:r>
      <w:r>
        <w:t xml:space="preserve"> </w:t>
      </w:r>
      <w:r>
        <w:t xml:space="preserve">3,597</w:t>
      </w:r>
      <w:r>
        <w:t xml:space="preserve"> </w:t>
      </w:r>
      <w:r>
        <w:t xml:space="preserve">PO1</w:t>
      </w:r>
      <w:r>
        <w:t xml:space="preserve"> </w:t>
      </w:r>
      <w:r>
        <w:t xml:space="preserve">308</w:t>
      </w:r>
      <w:r>
        <w:t xml:space="preserve"> </w:t>
      </w:r>
      <w:r>
        <w:t xml:space="preserve">377</w:t>
      </w:r>
      <w:r>
        <w:t xml:space="preserve"> </w:t>
      </w:r>
      <w:r>
        <w:t xml:space="preserve">377</w:t>
      </w:r>
      <w:r>
        <w:t xml:space="preserve"> </w:t>
      </w:r>
      <w:r>
        <w:t xml:space="preserve">2,158</w:t>
      </w:r>
      <w:r>
        <w:t xml:space="preserve"> </w:t>
      </w:r>
      <w:r>
        <w:t xml:space="preserve">4,317</w:t>
      </w:r>
      <w:r>
        <w:t xml:space="preserve"> </w:t>
      </w:r>
      <w:r>
        <w:t xml:space="preserve">4,317</w:t>
      </w:r>
      <w:r>
        <w:t xml:space="preserve"> </w:t>
      </w:r>
      <w:r>
        <w:t xml:space="preserve">PO2</w:t>
      </w:r>
      <w:r>
        <w:t xml:space="preserve"> </w:t>
      </w:r>
      <w:r>
        <w:t xml:space="preserve">257</w:t>
      </w:r>
      <w:r>
        <w:t xml:space="preserve"> </w:t>
      </w:r>
      <w:r>
        <w:t xml:space="preserve">314</w:t>
      </w:r>
      <w:r>
        <w:t xml:space="preserve"> </w:t>
      </w:r>
      <w:r>
        <w:t xml:space="preserve">314</w:t>
      </w:r>
      <w:r>
        <w:t xml:space="preserve"> </w:t>
      </w:r>
      <w:r>
        <w:t xml:space="preserve">1,753</w:t>
      </w:r>
      <w:r>
        <w:t xml:space="preserve"> </w:t>
      </w:r>
      <w:r>
        <w:t xml:space="preserve">3,506</w:t>
      </w:r>
      <w:r>
        <w:t xml:space="preserve"> </w:t>
      </w:r>
      <w:r>
        <w:t xml:space="preserve">3,506</w:t>
      </w:r>
      <w:r>
        <w:t xml:space="preserve"> </w:t>
      </w:r>
      <w:r>
        <w:t xml:space="preserve">Source: Ecorys and CE Delft (2023), Impact assessment support study</w:t>
      </w:r>
      <w:r>
        <w:t xml:space="preserve"> </w:t>
      </w:r>
      <w:r>
        <w:t xml:space="preserve">The total recurrent adjustment costs for calculation tools due to PM11, included in PO1, are</w:t>
      </w:r>
      <w:r>
        <w:t xml:space="preserve"> </w:t>
      </w:r>
      <w:r>
        <w:t xml:space="preserve">provided in Table 69 and those for PO2 in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companies using calculation tools</w:t>
      </w:r>
      <w:r>
        <w:t xml:space="preserve"> </w:t>
      </w:r>
      <w:r>
        <w:t xml:space="preserve">8.0%</w:t>
      </w:r>
      <w:r>
        <w:t xml:space="preserve"> </w:t>
      </w:r>
      <w:r>
        <w:t xml:space="preserve">54.0%</w:t>
      </w:r>
      <w:r>
        <w:t xml:space="preserve"> </w:t>
      </w:r>
      <w:r>
        <w:t xml:space="preserve">100.0%</w:t>
      </w:r>
      <w:r>
        <w:t xml:space="preserve"> </w:t>
      </w:r>
      <w:r>
        <w:t xml:space="preserve">100.0%</w:t>
      </w:r>
      <w:r>
        <w:t xml:space="preserve"> </w:t>
      </w:r>
      <w:r>
        <w:t xml:space="preserve">SMEs</w:t>
      </w:r>
      <w:r>
        <w:t xml:space="preserve"> </w:t>
      </w:r>
      <w:r>
        <w:t xml:space="preserve">7.9%</w:t>
      </w:r>
      <w:r>
        <w:t xml:space="preserve"> </w:t>
      </w:r>
      <w:r>
        <w:t xml:space="preserve">54.0%</w:t>
      </w:r>
      <w:r>
        <w:t xml:space="preserve"> </w:t>
      </w:r>
      <w:r>
        <w:t xml:space="preserve">100.0%</w:t>
      </w:r>
      <w:r>
        <w:t xml:space="preserve"> </w:t>
      </w:r>
      <w:r>
        <w:t xml:space="preserve">100.0%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24.2%</w:t>
      </w:r>
      <w:r>
        <w:t xml:space="preserve"> </w:t>
      </w:r>
      <w:r>
        <w:t xml:space="preserve">62.0%</w:t>
      </w:r>
      <w:r>
        <w:t xml:space="preserve"> </w:t>
      </w:r>
      <w:r>
        <w:t xml:space="preserve">100.0%</w:t>
      </w:r>
      <w:r>
        <w:t xml:space="preserve"> </w:t>
      </w:r>
      <w:r>
        <w:t xml:space="preserve">100.0%</w:t>
      </w:r>
      <w:r>
        <w:t xml:space="preserve"> </w:t>
      </w:r>
      <w:r>
        <w:t xml:space="preserve">Source: Ecorys and CE Delft (2023), Impact assessment support study.</w:t>
      </w:r>
      <w:r>
        <w:br/>
      </w:r>
      <w:r>
        <w:t xml:space="preserve">Table 71. Expressed as present value over 2025-2050, PM11 results in adjustment costs estimated at</w:t>
      </w:r>
      <w:r>
        <w:t xml:space="preserve"> </w:t>
      </w:r>
      <w:r>
        <w:t xml:space="preserve">EUR 7.6 billion in PO1 and EUR 74.6 million in PO2 relative to the baseline.</w:t>
      </w:r>
      <w:r>
        <w:t xml:space="preserve"> </w:t>
      </w:r>
      <w:r>
        <w:t xml:space="preserve">Table 69: Recurrent adjustment costs for business due to PM11 in PO1 (in million EUR)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of companies that use calculation tools in</w:t>
      </w:r>
      <w:r>
        <w:t xml:space="preserve"> </w:t>
      </w:r>
      <w:r>
        <w:t xml:space="preserve">the baseline</w:t>
      </w:r>
      <w:r>
        <w:t xml:space="preserve"> </w:t>
      </w:r>
      <w:r>
        <w:t xml:space="preserve">30,760</w:t>
      </w:r>
      <w:r>
        <w:t xml:space="preserve"> </w:t>
      </w:r>
      <w:r>
        <w:t xml:space="preserve">39,380</w:t>
      </w:r>
      <w:r>
        <w:t xml:space="preserve"> </w:t>
      </w:r>
      <w:r>
        <w:t xml:space="preserve">55,297</w:t>
      </w:r>
      <w:r>
        <w:t xml:space="preserve"> </w:t>
      </w:r>
      <w:r>
        <w:t xml:space="preserve">69,599</w:t>
      </w:r>
      <w:r>
        <w:t xml:space="preserve"> </w:t>
      </w:r>
      <w:r>
        <w:t xml:space="preserve">SMEs</w:t>
      </w:r>
      <w:r>
        <w:t xml:space="preserve"> </w:t>
      </w:r>
      <w:r>
        <w:t xml:space="preserve">30,253</w:t>
      </w:r>
      <w:r>
        <w:t xml:space="preserve"> </w:t>
      </w:r>
      <w:r>
        <w:t xml:space="preserve">38,693</w:t>
      </w:r>
      <w:r>
        <w:t xml:space="preserve"> </w:t>
      </w:r>
      <w:r>
        <w:t xml:space="preserve">54,279</w:t>
      </w:r>
      <w:r>
        <w:t xml:space="preserve"> </w:t>
      </w:r>
      <w:r>
        <w:t xml:space="preserve">68,279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507</w:t>
      </w:r>
      <w:r>
        <w:t xml:space="preserve"> </w:t>
      </w:r>
      <w:r>
        <w:t xml:space="preserve">687</w:t>
      </w:r>
      <w:r>
        <w:t xml:space="preserve"> </w:t>
      </w:r>
      <w:r>
        <w:t xml:space="preserve">1,018</w:t>
      </w:r>
      <w:r>
        <w:t xml:space="preserve"> </w:t>
      </w:r>
      <w:r>
        <w:t xml:space="preserve">1,320</w:t>
      </w:r>
      <w:r>
        <w:t xml:space="preserve"> </w:t>
      </w:r>
      <w:r>
        <w:t xml:space="preserve">Additional number of companies that need</w:t>
      </w:r>
      <w:r>
        <w:t xml:space="preserve"> </w:t>
      </w:r>
      <w:r>
        <w:t xml:space="preserve">calculation tools in PM11</w:t>
      </w:r>
      <w:r>
        <w:t xml:space="preserve"> </w:t>
      </w:r>
      <w:r>
        <w:t xml:space="preserve">110,570</w:t>
      </w:r>
      <w:r>
        <w:t xml:space="preserve"> </w:t>
      </w:r>
      <w:r>
        <w:t xml:space="preserve">918,003</w:t>
      </w:r>
      <w:r>
        <w:t xml:space="preserve"> </w:t>
      </w:r>
      <w:r>
        <w:t xml:space="preserve">1,718,143</w:t>
      </w:r>
      <w:r>
        <w:t xml:space="preserve"> </w:t>
      </w:r>
      <w:r>
        <w:t xml:space="preserve">1,703,841</w:t>
      </w:r>
      <w:r>
        <w:t xml:space="preserve"> </w:t>
      </w:r>
      <w:r>
        <w:t xml:space="preserve">SMEs</w:t>
      </w:r>
      <w:r>
        <w:t xml:space="preserve"> </w:t>
      </w:r>
      <w:r>
        <w:t xml:space="preserve">109,689</w:t>
      </w:r>
      <w:r>
        <w:t xml:space="preserve"> </w:t>
      </w:r>
      <w:r>
        <w:t xml:space="preserve">915,130</w:t>
      </w:r>
      <w:r>
        <w:t xml:space="preserve"> </w:t>
      </w:r>
      <w:r>
        <w:t xml:space="preserve">1,713,423</w:t>
      </w:r>
      <w:r>
        <w:t xml:space="preserve"> </w:t>
      </w:r>
      <w:r>
        <w:t xml:space="preserve">1,699,423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881</w:t>
      </w:r>
      <w:r>
        <w:t xml:space="preserve"> </w:t>
      </w:r>
      <w:r>
        <w:t xml:space="preserve">2,873</w:t>
      </w:r>
      <w:r>
        <w:t xml:space="preserve"> </w:t>
      </w:r>
      <w:r>
        <w:t xml:space="preserve">4,720</w:t>
      </w:r>
      <w:r>
        <w:t xml:space="preserve"> </w:t>
      </w:r>
      <w:r>
        <w:t xml:space="preserve">4,418</w:t>
      </w:r>
      <w:r>
        <w:t xml:space="preserve"> </w:t>
      </w:r>
      <w:r>
        <w:t xml:space="preserve">Total costs relative to the baseline (in million EUR)</w:t>
      </w:r>
      <w:r>
        <w:t xml:space="preserve"> </w:t>
      </w:r>
      <w:r>
        <w:t xml:space="preserve">41.2</w:t>
      </w:r>
      <w:r>
        <w:t xml:space="preserve"> </w:t>
      </w:r>
      <w:r>
        <w:t xml:space="preserve">312.1</w:t>
      </w:r>
      <w:r>
        <w:t xml:space="preserve"> </w:t>
      </w:r>
      <w:r>
        <w:t xml:space="preserve">545.8</w:t>
      </w:r>
      <w:r>
        <w:t xml:space="preserve"> </w:t>
      </w:r>
      <w:r>
        <w:t xml:space="preserve">505.3</w:t>
      </w:r>
      <w:r>
        <w:t xml:space="preserve"> </w:t>
      </w:r>
      <w:r>
        <w:t xml:space="preserve">SMEs</w:t>
      </w:r>
      <w:r>
        <w:t xml:space="preserve"> </w:t>
      </w:r>
      <w:r>
        <w:t xml:space="preserve">37.6</w:t>
      </w:r>
      <w:r>
        <w:t xml:space="preserve"> </w:t>
      </w:r>
      <w:r>
        <w:t xml:space="preserve">301.4</w:t>
      </w:r>
      <w:r>
        <w:t xml:space="preserve"> </w:t>
      </w:r>
      <w:r>
        <w:t xml:space="preserve">529.4</w:t>
      </w:r>
      <w:r>
        <w:t xml:space="preserve"> </w:t>
      </w:r>
      <w:r>
        <w:t xml:space="preserve">490.8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3.6</w:t>
      </w:r>
      <w:r>
        <w:t xml:space="preserve"> </w:t>
      </w:r>
      <w:r>
        <w:t xml:space="preserve">10.7</w:t>
      </w:r>
      <w:r>
        <w:t xml:space="preserve"> </w:t>
      </w:r>
      <w:r>
        <w:t xml:space="preserve">16.4</w:t>
      </w:r>
      <w:r>
        <w:t xml:space="preserve"> </w:t>
      </w:r>
      <w:r>
        <w:t xml:space="preserve">14.5</w:t>
      </w:r>
      <w:r>
        <w:t xml:space="preserve"> </w:t>
      </w:r>
      <w:r>
        <w:t xml:space="preserve">Source: Ecorys and CE Delft (2023), Impact assessment support study.</w:t>
      </w:r>
      <w:r>
        <w:br/>
      </w:r>
      <w:r>
        <w:t xml:space="preserve">Table 70: type and size of impacted enterprises due to PM11 in PO1 of all enterprises targeted with CountEmissions</w:t>
      </w:r>
      <w:r>
        <w:t xml:space="preserve"> </w:t>
      </w:r>
      <w:r>
        <w:t xml:space="preserve">EU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companies using calculation tools</w:t>
      </w:r>
      <w:r>
        <w:t xml:space="preserve"> </w:t>
      </w:r>
      <w:r>
        <w:t xml:space="preserve">8.0%</w:t>
      </w:r>
      <w:r>
        <w:t xml:space="preserve"> </w:t>
      </w:r>
      <w:r>
        <w:t xml:space="preserve">54.0%</w:t>
      </w:r>
      <w:r>
        <w:t xml:space="preserve"> </w:t>
      </w:r>
      <w:r>
        <w:t xml:space="preserve">100.0%</w:t>
      </w:r>
      <w:r>
        <w:t xml:space="preserve"> </w:t>
      </w:r>
      <w:r>
        <w:t xml:space="preserve">100.0%</w:t>
      </w:r>
      <w:r>
        <w:t xml:space="preserve"> </w:t>
      </w:r>
      <w:r>
        <w:t xml:space="preserve">SMEs</w:t>
      </w:r>
      <w:r>
        <w:t xml:space="preserve"> </w:t>
      </w:r>
      <w:r>
        <w:t xml:space="preserve">7.9%</w:t>
      </w:r>
      <w:r>
        <w:t xml:space="preserve"> </w:t>
      </w:r>
      <w:r>
        <w:t xml:space="preserve">54.0%</w:t>
      </w:r>
      <w:r>
        <w:t xml:space="preserve"> </w:t>
      </w:r>
      <w:r>
        <w:t xml:space="preserve">100.0%</w:t>
      </w:r>
      <w:r>
        <w:t xml:space="preserve"> </w:t>
      </w:r>
      <w:r>
        <w:t xml:space="preserve">100.0%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24.2%</w:t>
      </w:r>
      <w:r>
        <w:t xml:space="preserve"> </w:t>
      </w:r>
      <w:r>
        <w:t xml:space="preserve">62.0%</w:t>
      </w:r>
      <w:r>
        <w:t xml:space="preserve"> </w:t>
      </w:r>
      <w:r>
        <w:t xml:space="preserve">100.0%</w:t>
      </w:r>
      <w:r>
        <w:t xml:space="preserve"> </w:t>
      </w:r>
      <w:r>
        <w:t xml:space="preserve">100.0%</w:t>
      </w:r>
      <w:r>
        <w:t xml:space="preserve"> </w:t>
      </w:r>
      <w:r>
        <w:t xml:space="preserve">Source: Ecorys and CE Delft (2023), Impact assessment support study.</w:t>
      </w:r>
      <w:r>
        <w:br/>
      </w:r>
      <w:r>
        <w:t xml:space="preserve">Table 71: Recurrent adjustment costs for business due to PM11 in PO2 (in million EUR)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of companies that use calculation tools in</w:t>
      </w:r>
      <w:r>
        <w:t xml:space="preserve"> </w:t>
      </w:r>
      <w:r>
        <w:t xml:space="preserve">the baseline</w:t>
      </w:r>
      <w:r>
        <w:t xml:space="preserve"> </w:t>
      </w:r>
      <w:r>
        <w:t xml:space="preserve">30,760</w:t>
      </w:r>
      <w:r>
        <w:t xml:space="preserve"> </w:t>
      </w:r>
      <w:r>
        <w:t xml:space="preserve">39,380</w:t>
      </w:r>
      <w:r>
        <w:t xml:space="preserve"> </w:t>
      </w:r>
      <w:r>
        <w:t xml:space="preserve">55,297</w:t>
      </w:r>
      <w:r>
        <w:t xml:space="preserve"> </w:t>
      </w:r>
      <w:r>
        <w:t xml:space="preserve">69,599</w:t>
      </w:r>
      <w:r>
        <w:t xml:space="preserve"> </w:t>
      </w:r>
      <w:r>
        <w:t xml:space="preserve">SMEs</w:t>
      </w:r>
      <w:r>
        <w:t xml:space="preserve"> </w:t>
      </w:r>
      <w:r>
        <w:t xml:space="preserve">30,253</w:t>
      </w:r>
      <w:r>
        <w:t xml:space="preserve"> </w:t>
      </w:r>
      <w:r>
        <w:t xml:space="preserve">38,693</w:t>
      </w:r>
      <w:r>
        <w:t xml:space="preserve"> </w:t>
      </w:r>
      <w:r>
        <w:t xml:space="preserve">54,279</w:t>
      </w:r>
      <w:r>
        <w:t xml:space="preserve"> </w:t>
      </w:r>
      <w:r>
        <w:t xml:space="preserve">68,279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507</w:t>
      </w:r>
      <w:r>
        <w:t xml:space="preserve"> </w:t>
      </w:r>
      <w:r>
        <w:t xml:space="preserve">687</w:t>
      </w:r>
      <w:r>
        <w:t xml:space="preserve"> </w:t>
      </w:r>
      <w:r>
        <w:t xml:space="preserve">1,018</w:t>
      </w:r>
      <w:r>
        <w:t xml:space="preserve"> </w:t>
      </w:r>
      <w:r>
        <w:t xml:space="preserve">1,320</w:t>
      </w:r>
      <w:r>
        <w:t xml:space="preserve"> </w:t>
      </w:r>
      <w:r>
        <w:t xml:space="preserve">Additional number of companies that need</w:t>
      </w:r>
      <w:r>
        <w:t xml:space="preserve"> </w:t>
      </w:r>
      <w:r>
        <w:t xml:space="preserve">calculation tools in PM11</w:t>
      </w:r>
      <w:r>
        <w:t xml:space="preserve"> </w:t>
      </w:r>
      <w:r>
        <w:t xml:space="preserve">14,868</w:t>
      </w:r>
      <w:r>
        <w:t xml:space="preserve"> </w:t>
      </w:r>
      <w:r>
        <w:t xml:space="preserve">30,219</w:t>
      </w:r>
      <w:r>
        <w:t xml:space="preserve"> </w:t>
      </w:r>
      <w:r>
        <w:t xml:space="preserve">14,302</w:t>
      </w:r>
      <w:r>
        <w:t xml:space="preserve"> </w:t>
      </w:r>
      <w:r>
        <w:t xml:space="preserve">1,388</w:t>
      </w:r>
      <w:r>
        <w:t xml:space="preserve"> </w:t>
      </w:r>
      <w:r>
        <w:t xml:space="preserve">SMEs</w:t>
      </w:r>
      <w:r>
        <w:t xml:space="preserve"> </w:t>
      </w:r>
      <w:r>
        <w:t xml:space="preserve">14,557</w:t>
      </w:r>
      <w:r>
        <w:t xml:space="preserve"> </w:t>
      </w:r>
      <w:r>
        <w:t xml:space="preserve">29,586</w:t>
      </w:r>
      <w:r>
        <w:t xml:space="preserve"> </w:t>
      </w:r>
      <w:r>
        <w:t xml:space="preserve">14,000</w:t>
      </w:r>
      <w:r>
        <w:t xml:space="preserve"> </w:t>
      </w:r>
      <w:r>
        <w:t xml:space="preserve">1,361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311</w:t>
      </w:r>
      <w:r>
        <w:t xml:space="preserve"> </w:t>
      </w:r>
      <w:r>
        <w:t xml:space="preserve">633</w:t>
      </w:r>
      <w:r>
        <w:t xml:space="preserve"> </w:t>
      </w:r>
      <w:r>
        <w:t xml:space="preserve">302</w:t>
      </w:r>
      <w:r>
        <w:t xml:space="preserve"> </w:t>
      </w:r>
      <w:r>
        <w:t xml:space="preserve">27</w:t>
      </w:r>
      <w:r>
        <w:t xml:space="preserve"> </w:t>
      </w:r>
      <w:r>
        <w:t xml:space="preserve">Total costs relative to the baseline (in million EUR)</w:t>
      </w:r>
      <w:r>
        <w:t xml:space="preserve"> </w:t>
      </w:r>
      <w:r>
        <w:t xml:space="preserve">4.0</w:t>
      </w:r>
      <w:r>
        <w:t xml:space="preserve"> </w:t>
      </w:r>
      <w:r>
        <w:t xml:space="preserve">8.4</w:t>
      </w:r>
      <w:r>
        <w:t xml:space="preserve"> </w:t>
      </w:r>
      <w:r>
        <w:t xml:space="preserve">2.6</w:t>
      </w:r>
      <w:r>
        <w:t xml:space="preserve"> </w:t>
      </w:r>
      <w:r>
        <w:t xml:space="preserve">-1.6</w:t>
      </w:r>
      <w:r>
        <w:t xml:space="preserve"> </w:t>
      </w:r>
      <w:r>
        <w:t xml:space="preserve">SMEs</w:t>
      </w:r>
      <w:r>
        <w:t xml:space="preserve"> </w:t>
      </w:r>
      <w:r>
        <w:t xml:space="preserve">3.1</w:t>
      </w:r>
      <w:r>
        <w:t xml:space="preserve"> </w:t>
      </w:r>
      <w:r>
        <w:t xml:space="preserve">6.6</w:t>
      </w:r>
      <w:r>
        <w:t xml:space="preserve"> </w:t>
      </w:r>
      <w:r>
        <w:t xml:space="preserve">1.9</w:t>
      </w:r>
      <w:r>
        <w:t xml:space="preserve"> </w:t>
      </w:r>
      <w:r>
        <w:t xml:space="preserve">-1.6</w:t>
      </w:r>
    </w:p>
    <w:p>
      <w:pPr>
        <w:pStyle w:val="BodyText"/>
      </w:pPr>
      <w:r>
        <w:t xml:space="preserve">120</w:t>
      </w:r>
    </w:p>
    <w:p>
      <w:pPr>
        <w:pStyle w:val="BodyText"/>
      </w:pPr>
      <w:r>
        <w:t xml:space="preserve">Large companies</w:t>
      </w:r>
      <w:r>
        <w:t xml:space="preserve"> </w:t>
      </w:r>
      <w:r>
        <w:t xml:space="preserve">0.9</w:t>
      </w:r>
      <w:r>
        <w:t xml:space="preserve"> </w:t>
      </w:r>
      <w:r>
        <w:t xml:space="preserve">1.8</w:t>
      </w:r>
      <w:r>
        <w:t xml:space="preserve"> </w:t>
      </w:r>
      <w:r>
        <w:t xml:space="preserve">0.8</w:t>
      </w:r>
      <w:r>
        <w:t xml:space="preserve"> </w:t>
      </w:r>
      <w:r>
        <w:t xml:space="preserve">0.0</w:t>
      </w:r>
      <w:r>
        <w:t xml:space="preserve"> </w:t>
      </w:r>
      <w:r>
        <w:t xml:space="preserve">Source: Ecorys and CE Delft (2023), Impact assessment support study; Note: negative values reflect costs savings,</w:t>
      </w:r>
      <w:r>
        <w:t xml:space="preserve"> </w:t>
      </w:r>
      <w:r>
        <w:t xml:space="preserve">where relevant; Note: negative values reflect costs savings, where relevant.</w:t>
      </w:r>
      <w:r>
        <w:br/>
      </w:r>
      <w:r>
        <w:t xml:space="preserve">Table 72: type and size of impacted enterprises due to PM11 in PO1 of all enterprises targeted with CountEmissions</w:t>
      </w:r>
      <w:r>
        <w:t xml:space="preserve"> </w:t>
      </w:r>
      <w:r>
        <w:t xml:space="preserve">EU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companies using calculation tools</w:t>
      </w:r>
      <w:r>
        <w:t xml:space="preserve"> </w:t>
      </w:r>
      <w:r>
        <w:t xml:space="preserve">2.6%</w:t>
      </w:r>
      <w:r>
        <w:t xml:space="preserve"> </w:t>
      </w:r>
      <w:r>
        <w:t xml:space="preserve">3.9%</w:t>
      </w:r>
      <w:r>
        <w:t xml:space="preserve"> </w:t>
      </w:r>
      <w:r>
        <w:t xml:space="preserve">3.9%</w:t>
      </w:r>
      <w:r>
        <w:t xml:space="preserve"> </w:t>
      </w:r>
      <w:r>
        <w:t xml:space="preserve">4.0%</w:t>
      </w:r>
      <w:r>
        <w:t xml:space="preserve"> </w:t>
      </w:r>
      <w:r>
        <w:t xml:space="preserve">SMEs</w:t>
      </w:r>
      <w:r>
        <w:t xml:space="preserve"> </w:t>
      </w:r>
      <w:r>
        <w:t xml:space="preserve">2.5%</w:t>
      </w:r>
      <w:r>
        <w:t xml:space="preserve"> </w:t>
      </w:r>
      <w:r>
        <w:t xml:space="preserve">3.9%</w:t>
      </w:r>
      <w:r>
        <w:t xml:space="preserve"> </w:t>
      </w:r>
      <w:r>
        <w:t xml:space="preserve">3.9%</w:t>
      </w:r>
      <w:r>
        <w:t xml:space="preserve"> </w:t>
      </w:r>
      <w:r>
        <w:t xml:space="preserve">3.9%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14.3%</w:t>
      </w:r>
      <w:r>
        <w:t xml:space="preserve"> </w:t>
      </w:r>
      <w:r>
        <w:t xml:space="preserve">23.0%</w:t>
      </w:r>
      <w:r>
        <w:t xml:space="preserve"> </w:t>
      </w:r>
      <w:r>
        <w:t xml:space="preserve">23.0%</w:t>
      </w:r>
      <w:r>
        <w:t xml:space="preserve"> </w:t>
      </w:r>
      <w:r>
        <w:t xml:space="preserve">23.5%</w:t>
      </w:r>
      <w:r>
        <w:t xml:space="preserve"> </w:t>
      </w:r>
      <w:r>
        <w:t xml:space="preserve">Source: Ecorys and CE Delft (2023), Impact assessment support study.</w:t>
      </w:r>
      <w:r>
        <w:br/>
      </w:r>
      <w:r>
        <w:t xml:space="preserve">PM12: The provision of the emissions calculation tools is left to the market but they are</w:t>
      </w:r>
      <w:r>
        <w:t xml:space="preserve"> </w:t>
      </w:r>
      <w:r>
        <w:t xml:space="preserve">certified at EU level</w:t>
      </w:r>
      <w:r>
        <w:t xml:space="preserve"> </w:t>
      </w:r>
      <w:r>
        <w:t xml:space="preserve">Adjustment costs for businesses</w:t>
      </w:r>
      <w:r>
        <w:t xml:space="preserve"> </w:t>
      </w:r>
      <w:r>
        <w:t xml:space="preserve">PM12 (included in PO3, PO4, PO5 and PO6) foresees that the development of calculation tools</w:t>
      </w:r>
      <w:r>
        <w:t xml:space="preserve"> </w:t>
      </w:r>
      <w:r>
        <w:t xml:space="preserve">following the common reference methodology is left to the market but certified at EU level. Data</w:t>
      </w:r>
      <w:r>
        <w:t xml:space="preserve"> </w:t>
      </w:r>
      <w:r>
        <w:t xml:space="preserve">sharing is done through recognised tools such as ISO ISO/IEC 27011. As explained in Annex 8, there</w:t>
      </w:r>
      <w:r>
        <w:t xml:space="preserve"> </w:t>
      </w:r>
      <w:r>
        <w:t xml:space="preserve">are already a number of tools available on the market and, according to desk research and feedback in</w:t>
      </w:r>
      <w:r>
        <w:t xml:space="preserve"> </w:t>
      </w:r>
      <w:r>
        <w:t xml:space="preserve">the context of stakeholders’ consultation, the changes needed to adapt to ISO 14083 and the ISO 14083</w:t>
      </w:r>
      <w:r>
        <w:t xml:space="preserve"> </w:t>
      </w:r>
      <w:r>
        <w:t xml:space="preserve">with additional elements and increased accuracy would not require significant effort. The only</w:t>
      </w:r>
      <w:r>
        <w:t xml:space="preserve"> </w:t>
      </w:r>
      <w:r>
        <w:t xml:space="preserve">exception represents the calculation tool for PEFCR, for which data on potential costs is very much</w:t>
      </w:r>
      <w:r>
        <w:t xml:space="preserve"> </w:t>
      </w:r>
      <w:r>
        <w:t xml:space="preserve">dependent on the Category Rules that will be developed in the future.</w:t>
      </w:r>
      <w:r>
        <w:br/>
      </w:r>
      <w:r>
        <w:t xml:space="preserve">The costs for the use of calculation tools by type and size of company are provided in Table</w:t>
      </w:r>
      <w:r>
        <w:t xml:space="preserve"> </w:t>
      </w:r>
      <w:r>
        <w:t xml:space="preserve">73Table 73 and they are different depending on the policy option.</w:t>
      </w:r>
      <w:r>
        <w:br/>
      </w:r>
      <w:r>
        <w:t xml:space="preserve">Table 73: Costs for the use of calculation tools by business type due to PM12 (in EUR)</w:t>
      </w:r>
      <w:r>
        <w:t xml:space="preserve"> </w:t>
      </w:r>
      <w:r>
        <w:t xml:space="preserve">TSO</w:t>
      </w:r>
      <w:r>
        <w:t xml:space="preserve"> </w:t>
      </w:r>
      <w:r>
        <w:t xml:space="preserve">(SME)</w:t>
      </w:r>
      <w:r>
        <w:t xml:space="preserve"> </w:t>
      </w:r>
      <w:r>
        <w:t xml:space="preserve">TSU</w:t>
      </w:r>
      <w:r>
        <w:t xml:space="preserve"> </w:t>
      </w:r>
      <w:r>
        <w:t xml:space="preserve">(SME)</w:t>
      </w:r>
      <w:r>
        <w:t xml:space="preserve"> </w:t>
      </w:r>
      <w:r>
        <w:t xml:space="preserve">HO</w:t>
      </w:r>
      <w:r>
        <w:t xml:space="preserve"> </w:t>
      </w:r>
      <w:r>
        <w:t xml:space="preserve">(SME)</w:t>
      </w:r>
      <w:r>
        <w:t xml:space="preserve"> </w:t>
      </w:r>
      <w:r>
        <w:t xml:space="preserve">TSO (Large)</w:t>
      </w:r>
      <w:r>
        <w:t xml:space="preserve"> </w:t>
      </w:r>
      <w:r>
        <w:t xml:space="preserve">TSU</w:t>
      </w:r>
      <w:r>
        <w:t xml:space="preserve"> </w:t>
      </w:r>
      <w:r>
        <w:t xml:space="preserve">(Large)</w:t>
      </w:r>
      <w:r>
        <w:t xml:space="preserve"> </w:t>
      </w:r>
      <w:r>
        <w:t xml:space="preserve">HO</w:t>
      </w:r>
      <w:r>
        <w:t xml:space="preserve"> </w:t>
      </w:r>
      <w:r>
        <w:t xml:space="preserve">(Large)</w:t>
      </w:r>
      <w:r>
        <w:t xml:space="preserve"> </w:t>
      </w:r>
      <w:r>
        <w:t xml:space="preserve">Baseline</w:t>
      </w:r>
      <w:r>
        <w:t xml:space="preserve"> </w:t>
      </w:r>
      <w:r>
        <w:t xml:space="preserve">257</w:t>
      </w:r>
      <w:r>
        <w:t xml:space="preserve"> </w:t>
      </w:r>
      <w:r>
        <w:t xml:space="preserve">514</w:t>
      </w:r>
      <w:r>
        <w:t xml:space="preserve"> </w:t>
      </w:r>
      <w:r>
        <w:t xml:space="preserve">514</w:t>
      </w:r>
      <w:r>
        <w:t xml:space="preserve"> </w:t>
      </w:r>
      <w:r>
        <w:t xml:space="preserve">1,799</w:t>
      </w:r>
      <w:r>
        <w:t xml:space="preserve"> </w:t>
      </w:r>
      <w:r>
        <w:t xml:space="preserve">3,597</w:t>
      </w:r>
      <w:r>
        <w:t xml:space="preserve"> </w:t>
      </w:r>
      <w:r>
        <w:t xml:space="preserve">3,597</w:t>
      </w:r>
      <w:r>
        <w:t xml:space="preserve"> </w:t>
      </w:r>
      <w:r>
        <w:t xml:space="preserve">PO3</w:t>
      </w:r>
      <w:r>
        <w:t xml:space="preserve"> </w:t>
      </w:r>
      <w:r>
        <w:t xml:space="preserve">308</w:t>
      </w:r>
      <w:r>
        <w:t xml:space="preserve"> </w:t>
      </w:r>
      <w:r>
        <w:t xml:space="preserve">377</w:t>
      </w:r>
      <w:r>
        <w:t xml:space="preserve"> </w:t>
      </w:r>
      <w:r>
        <w:t xml:space="preserve">377</w:t>
      </w:r>
      <w:r>
        <w:t xml:space="preserve"> </w:t>
      </w:r>
      <w:r>
        <w:t xml:space="preserve">2,158</w:t>
      </w:r>
      <w:r>
        <w:t xml:space="preserve"> </w:t>
      </w:r>
      <w:r>
        <w:t xml:space="preserve">4,317</w:t>
      </w:r>
      <w:r>
        <w:t xml:space="preserve"> </w:t>
      </w:r>
      <w:r>
        <w:t xml:space="preserve">4,317</w:t>
      </w:r>
      <w:r>
        <w:t xml:space="preserve"> </w:t>
      </w:r>
      <w:r>
        <w:t xml:space="preserve">PO4</w:t>
      </w:r>
      <w:r>
        <w:t xml:space="preserve"> </w:t>
      </w:r>
      <w:r>
        <w:t xml:space="preserve">257</w:t>
      </w:r>
      <w:r>
        <w:t xml:space="preserve"> </w:t>
      </w:r>
      <w:r>
        <w:t xml:space="preserve">314</w:t>
      </w:r>
      <w:r>
        <w:t xml:space="preserve"> </w:t>
      </w:r>
      <w:r>
        <w:t xml:space="preserve">314</w:t>
      </w:r>
      <w:r>
        <w:t xml:space="preserve"> </w:t>
      </w:r>
      <w:r>
        <w:t xml:space="preserve">1,753</w:t>
      </w:r>
      <w:r>
        <w:t xml:space="preserve"> </w:t>
      </w:r>
      <w:r>
        <w:t xml:space="preserve">3,506</w:t>
      </w:r>
      <w:r>
        <w:t xml:space="preserve"> </w:t>
      </w:r>
      <w:r>
        <w:t xml:space="preserve">3,506</w:t>
      </w:r>
      <w:r>
        <w:t xml:space="preserve"> </w:t>
      </w:r>
      <w:r>
        <w:t xml:space="preserve">PO5</w:t>
      </w:r>
      <w:r>
        <w:t xml:space="preserve"> </w:t>
      </w:r>
      <w:r>
        <w:t xml:space="preserve">475</w:t>
      </w:r>
      <w:r>
        <w:t xml:space="preserve"> </w:t>
      </w:r>
      <w:r>
        <w:t xml:space="preserve">951</w:t>
      </w:r>
      <w:r>
        <w:t xml:space="preserve"> </w:t>
      </w:r>
      <w:r>
        <w:t xml:space="preserve">951</w:t>
      </w:r>
      <w:r>
        <w:t xml:space="preserve"> </w:t>
      </w:r>
      <w:r>
        <w:t xml:space="preserve">3,328</w:t>
      </w:r>
      <w:r>
        <w:t xml:space="preserve"> </w:t>
      </w:r>
      <w:r>
        <w:t xml:space="preserve">6,655</w:t>
      </w:r>
      <w:r>
        <w:t xml:space="preserve"> </w:t>
      </w:r>
      <w:r>
        <w:t xml:space="preserve">6,655</w:t>
      </w:r>
      <w:r>
        <w:t xml:space="preserve"> </w:t>
      </w:r>
      <w:r>
        <w:t xml:space="preserve">PO6</w:t>
      </w:r>
      <w:r>
        <w:t xml:space="preserve"> </w:t>
      </w:r>
      <w:r>
        <w:t xml:space="preserve">257</w:t>
      </w:r>
      <w:r>
        <w:t xml:space="preserve"> </w:t>
      </w:r>
      <w:r>
        <w:t xml:space="preserve">314</w:t>
      </w:r>
      <w:r>
        <w:t xml:space="preserve"> </w:t>
      </w:r>
      <w:r>
        <w:t xml:space="preserve">314</w:t>
      </w:r>
      <w:r>
        <w:t xml:space="preserve"> </w:t>
      </w:r>
      <w:r>
        <w:t xml:space="preserve">1,753</w:t>
      </w:r>
      <w:r>
        <w:t xml:space="preserve"> </w:t>
      </w:r>
      <w:r>
        <w:t xml:space="preserve">3,506</w:t>
      </w:r>
      <w:r>
        <w:t xml:space="preserve"> </w:t>
      </w:r>
      <w:r>
        <w:t xml:space="preserve">3,506</w:t>
      </w:r>
      <w:r>
        <w:t xml:space="preserve"> </w:t>
      </w:r>
      <w:r>
        <w:t xml:space="preserve">Source: Ecorys and CE Delft (2023), Impact assessment support study</w:t>
      </w:r>
      <w:r>
        <w:t xml:space="preserve"> </w:t>
      </w:r>
      <w:r>
        <w:t xml:space="preserve">The total recurrent adjustment costs for calculation tools due to PM12, included in PO3, are</w:t>
      </w:r>
      <w:r>
        <w:t xml:space="preserve"> </w:t>
      </w:r>
      <w:r>
        <w:t xml:space="preserve">provided in Table 74Table 74, for PO4 in Table 75 and for PO5 in Table 76. Expressed as present</w:t>
      </w:r>
      <w:r>
        <w:t xml:space="preserve"> </w:t>
      </w:r>
      <w:r>
        <w:t xml:space="preserve">value over 2025-2050, PM12 results in total recurrent adjustment costs estimated at EUR 167.6 million</w:t>
      </w:r>
      <w:r>
        <w:t xml:space="preserve"> </w:t>
      </w:r>
      <w:r>
        <w:t xml:space="preserve">in PO3, EUR 138.6 million in PO4, EUR 470 million in PO5 and EUR 6.2 billion in PO6 relative to</w:t>
      </w:r>
      <w:r>
        <w:t xml:space="preserve"> </w:t>
      </w:r>
      <w:r>
        <w:t xml:space="preserve">the baseline.</w:t>
      </w:r>
      <w:r>
        <w:t xml:space="preserve"> </w:t>
      </w:r>
      <w:r>
        <w:t xml:space="preserve">Table 74: Recurrent adjustment costs for business due to PM12 in PO3 (in million EUR)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of companies that use calculation tools in</w:t>
      </w:r>
      <w:r>
        <w:t xml:space="preserve"> </w:t>
      </w:r>
      <w:r>
        <w:t xml:space="preserve">the baseline</w:t>
      </w:r>
      <w:r>
        <w:t xml:space="preserve"> </w:t>
      </w:r>
      <w:r>
        <w:t xml:space="preserve">30,760</w:t>
      </w:r>
      <w:r>
        <w:t xml:space="preserve"> </w:t>
      </w:r>
      <w:r>
        <w:t xml:space="preserve">39,380</w:t>
      </w:r>
      <w:r>
        <w:t xml:space="preserve"> </w:t>
      </w:r>
      <w:r>
        <w:t xml:space="preserve">55,297</w:t>
      </w:r>
      <w:r>
        <w:t xml:space="preserve"> </w:t>
      </w:r>
      <w:r>
        <w:t xml:space="preserve">69,599</w:t>
      </w:r>
      <w:r>
        <w:t xml:space="preserve"> </w:t>
      </w:r>
      <w:r>
        <w:t xml:space="preserve">SMEs</w:t>
      </w:r>
      <w:r>
        <w:t xml:space="preserve"> </w:t>
      </w:r>
      <w:r>
        <w:t xml:space="preserve">30,253</w:t>
      </w:r>
      <w:r>
        <w:t xml:space="preserve"> </w:t>
      </w:r>
      <w:r>
        <w:t xml:space="preserve">38,693</w:t>
      </w:r>
      <w:r>
        <w:t xml:space="preserve"> </w:t>
      </w:r>
      <w:r>
        <w:t xml:space="preserve">54,279</w:t>
      </w:r>
      <w:r>
        <w:t xml:space="preserve"> </w:t>
      </w:r>
      <w:r>
        <w:t xml:space="preserve">68,279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507</w:t>
      </w:r>
      <w:r>
        <w:t xml:space="preserve"> </w:t>
      </w:r>
      <w:r>
        <w:t xml:space="preserve">687</w:t>
      </w:r>
      <w:r>
        <w:t xml:space="preserve"> </w:t>
      </w:r>
      <w:r>
        <w:t xml:space="preserve">1,018</w:t>
      </w:r>
      <w:r>
        <w:t xml:space="preserve"> </w:t>
      </w:r>
      <w:r>
        <w:t xml:space="preserve">1,320</w:t>
      </w:r>
    </w:p>
    <w:p>
      <w:pPr>
        <w:pStyle w:val="BodyText"/>
      </w:pPr>
      <w:r>
        <w:t xml:space="preserve">121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Additional number of companies that need</w:t>
      </w:r>
      <w:r>
        <w:t xml:space="preserve"> </w:t>
      </w:r>
      <w:r>
        <w:t xml:space="preserve">calculation tools in PM12</w:t>
      </w:r>
      <w:r>
        <w:t xml:space="preserve"> </w:t>
      </w:r>
      <w:r>
        <w:t xml:space="preserve">13,023</w:t>
      </w:r>
      <w:r>
        <w:t xml:space="preserve"> </w:t>
      </w:r>
      <w:r>
        <w:t xml:space="preserve">26,745</w:t>
      </w:r>
      <w:r>
        <w:t xml:space="preserve"> </w:t>
      </w:r>
      <w:r>
        <w:t xml:space="preserve">10,828</w:t>
      </w:r>
      <w:r>
        <w:t xml:space="preserve"> </w:t>
      </w:r>
      <w:r>
        <w:t xml:space="preserve">3,640</w:t>
      </w:r>
      <w:r>
        <w:t xml:space="preserve"> </w:t>
      </w:r>
      <w:r>
        <w:t xml:space="preserve">SMEs</w:t>
      </w:r>
      <w:r>
        <w:t xml:space="preserve"> </w:t>
      </w:r>
      <w:r>
        <w:t xml:space="preserve">12,431</w:t>
      </w:r>
      <w:r>
        <w:t xml:space="preserve"> </w:t>
      </w:r>
      <w:r>
        <w:t xml:space="preserve">25,611</w:t>
      </w:r>
      <w:r>
        <w:t xml:space="preserve"> </w:t>
      </w:r>
      <w:r>
        <w:t xml:space="preserve">10,025</w:t>
      </w:r>
      <w:r>
        <w:t xml:space="preserve"> </w:t>
      </w:r>
      <w:r>
        <w:t xml:space="preserve">3,139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592</w:t>
      </w:r>
      <w:r>
        <w:t xml:space="preserve"> </w:t>
      </w:r>
      <w:r>
        <w:t xml:space="preserve">1,134</w:t>
      </w:r>
      <w:r>
        <w:t xml:space="preserve"> </w:t>
      </w:r>
      <w:r>
        <w:t xml:space="preserve">803</w:t>
      </w:r>
      <w:r>
        <w:t xml:space="preserve"> </w:t>
      </w:r>
      <w:r>
        <w:t xml:space="preserve">501</w:t>
      </w:r>
      <w:r>
        <w:t xml:space="preserve"> </w:t>
      </w:r>
      <w:r>
        <w:t xml:space="preserve">Total costs relative to the baseline (in million EUR)</w:t>
      </w:r>
      <w:r>
        <w:t xml:space="preserve"> </w:t>
      </w:r>
      <w:r>
        <w:t xml:space="preserve">7.5</w:t>
      </w:r>
      <w:r>
        <w:t xml:space="preserve"> </w:t>
      </w:r>
      <w:r>
        <w:t xml:space="preserve">13.7</w:t>
      </w:r>
      <w:r>
        <w:t xml:space="preserve"> </w:t>
      </w:r>
      <w:r>
        <w:t xml:space="preserve">7.6</w:t>
      </w:r>
      <w:r>
        <w:t xml:space="preserve"> </w:t>
      </w:r>
      <w:r>
        <w:t xml:space="preserve">4.5</w:t>
      </w:r>
      <w:r>
        <w:t xml:space="preserve"> </w:t>
      </w:r>
      <w:r>
        <w:t xml:space="preserve">SMEs</w:t>
      </w:r>
      <w:r>
        <w:t xml:space="preserve"> </w:t>
      </w:r>
      <w:r>
        <w:t xml:space="preserve">4.9</w:t>
      </w:r>
      <w:r>
        <w:t xml:space="preserve"> </w:t>
      </w:r>
      <w:r>
        <w:t xml:space="preserve">9.1</w:t>
      </w:r>
      <w:r>
        <w:t xml:space="preserve"> </w:t>
      </w:r>
      <w:r>
        <w:t xml:space="preserve">4.2</w:t>
      </w:r>
      <w:r>
        <w:t xml:space="preserve"> </w:t>
      </w:r>
      <w:r>
        <w:t xml:space="preserve">2.1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2.6</w:t>
      </w:r>
      <w:r>
        <w:t xml:space="preserve"> </w:t>
      </w:r>
      <w:r>
        <w:t xml:space="preserve">4.7</w:t>
      </w:r>
      <w:r>
        <w:t xml:space="preserve"> </w:t>
      </w:r>
      <w:r>
        <w:t xml:space="preserve">3.4</w:t>
      </w:r>
      <w:r>
        <w:t xml:space="preserve"> </w:t>
      </w:r>
      <w:r>
        <w:t xml:space="preserve">2.4</w:t>
      </w:r>
      <w:r>
        <w:t xml:space="preserve"> </w:t>
      </w:r>
      <w:r>
        <w:t xml:space="preserve">Source: Ecorys and CE Delft (2023), Impact assessment support study.</w:t>
      </w:r>
      <w:r>
        <w:br/>
      </w:r>
      <w:r>
        <w:t xml:space="preserve">Table 75: type and size of impacted enterprises due to PM12 in PO3 of all enterprises targeted with CountEmissions</w:t>
      </w:r>
      <w:r>
        <w:t xml:space="preserve"> </w:t>
      </w:r>
      <w:r>
        <w:t xml:space="preserve">EU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companies using calculation tools</w:t>
      </w:r>
      <w:r>
        <w:t xml:space="preserve"> </w:t>
      </w:r>
      <w:r>
        <w:t xml:space="preserve">2.5%</w:t>
      </w:r>
      <w:r>
        <w:t xml:space="preserve"> </w:t>
      </w:r>
      <w:r>
        <w:t xml:space="preserve">3.7%</w:t>
      </w:r>
      <w:r>
        <w:t xml:space="preserve"> </w:t>
      </w:r>
      <w:r>
        <w:t xml:space="preserve">3.7%</w:t>
      </w:r>
      <w:r>
        <w:t xml:space="preserve"> </w:t>
      </w:r>
      <w:r>
        <w:t xml:space="preserve">4.1%</w:t>
      </w:r>
      <w:r>
        <w:t xml:space="preserve"> </w:t>
      </w:r>
      <w:r>
        <w:t xml:space="preserve">SMEs</w:t>
      </w:r>
      <w:r>
        <w:t xml:space="preserve"> </w:t>
      </w:r>
      <w:r>
        <w:t xml:space="preserve">2.4%</w:t>
      </w:r>
      <w:r>
        <w:t xml:space="preserve"> </w:t>
      </w:r>
      <w:r>
        <w:t xml:space="preserve">3.6%</w:t>
      </w:r>
      <w:r>
        <w:t xml:space="preserve"> </w:t>
      </w:r>
      <w:r>
        <w:t xml:space="preserve">3.6%</w:t>
      </w:r>
      <w:r>
        <w:t xml:space="preserve"> </w:t>
      </w:r>
      <w:r>
        <w:t xml:space="preserve">4.0%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19.2%</w:t>
      </w:r>
      <w:r>
        <w:t xml:space="preserve"> </w:t>
      </w:r>
      <w:r>
        <w:t xml:space="preserve">31.7%</w:t>
      </w:r>
      <w:r>
        <w:t xml:space="preserve"> </w:t>
      </w:r>
      <w:r>
        <w:t xml:space="preserve">31.7%</w:t>
      </w:r>
      <w:r>
        <w:t xml:space="preserve"> </w:t>
      </w:r>
      <w:r>
        <w:t xml:space="preserve">31.7%</w:t>
      </w:r>
      <w:r>
        <w:t xml:space="preserve"> </w:t>
      </w:r>
      <w:r>
        <w:t xml:space="preserve">Source: Ecorys and CE Delft (2023), Impact assessment support study.</w:t>
      </w:r>
      <w:r>
        <w:br/>
      </w:r>
      <w:r>
        <w:t xml:space="preserve">Table 76: Recurrent adjustment costs for business due to PM12 in PO4 (in million EUR)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of companies that use calculation tools in</w:t>
      </w:r>
      <w:r>
        <w:t xml:space="preserve"> </w:t>
      </w:r>
      <w:r>
        <w:t xml:space="preserve">the baseline</w:t>
      </w:r>
      <w:r>
        <w:t xml:space="preserve"> </w:t>
      </w:r>
      <w:r>
        <w:t xml:space="preserve">30,760</w:t>
      </w:r>
      <w:r>
        <w:t xml:space="preserve"> </w:t>
      </w:r>
      <w:r>
        <w:t xml:space="preserve">39,380</w:t>
      </w:r>
      <w:r>
        <w:t xml:space="preserve"> </w:t>
      </w:r>
      <w:r>
        <w:t xml:space="preserve">55,297</w:t>
      </w:r>
      <w:r>
        <w:t xml:space="preserve"> </w:t>
      </w:r>
      <w:r>
        <w:t xml:space="preserve">69,599</w:t>
      </w:r>
      <w:r>
        <w:t xml:space="preserve"> </w:t>
      </w:r>
      <w:r>
        <w:t xml:space="preserve">SMEs</w:t>
      </w:r>
      <w:r>
        <w:t xml:space="preserve"> </w:t>
      </w:r>
      <w:r>
        <w:t xml:space="preserve">30,253</w:t>
      </w:r>
      <w:r>
        <w:t xml:space="preserve"> </w:t>
      </w:r>
      <w:r>
        <w:t xml:space="preserve">38,693</w:t>
      </w:r>
      <w:r>
        <w:t xml:space="preserve"> </w:t>
      </w:r>
      <w:r>
        <w:t xml:space="preserve">54,279</w:t>
      </w:r>
      <w:r>
        <w:t xml:space="preserve"> </w:t>
      </w:r>
      <w:r>
        <w:t xml:space="preserve">68,279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507</w:t>
      </w:r>
      <w:r>
        <w:t xml:space="preserve"> </w:t>
      </w:r>
      <w:r>
        <w:t xml:space="preserve">687</w:t>
      </w:r>
      <w:r>
        <w:t xml:space="preserve"> </w:t>
      </w:r>
      <w:r>
        <w:t xml:space="preserve">1,018</w:t>
      </w:r>
      <w:r>
        <w:t xml:space="preserve"> </w:t>
      </w:r>
      <w:r>
        <w:t xml:space="preserve">1,320</w:t>
      </w:r>
      <w:r>
        <w:t xml:space="preserve"> </w:t>
      </w:r>
      <w:r>
        <w:t xml:space="preserve">Additional number of companies that need</w:t>
      </w:r>
      <w:r>
        <w:t xml:space="preserve"> </w:t>
      </w:r>
      <w:r>
        <w:t xml:space="preserve">calculation tools in PM12</w:t>
      </w:r>
      <w:r>
        <w:t xml:space="preserve"> </w:t>
      </w:r>
      <w:r>
        <w:t xml:space="preserve">21,595</w:t>
      </w:r>
      <w:r>
        <w:t xml:space="preserve"> </w:t>
      </w:r>
      <w:r>
        <w:t xml:space="preserve">39,358</w:t>
      </w:r>
      <w:r>
        <w:t xml:space="preserve"> </w:t>
      </w:r>
      <w:r>
        <w:t xml:space="preserve">23,441</w:t>
      </w:r>
      <w:r>
        <w:t xml:space="preserve"> </w:t>
      </w:r>
      <w:r>
        <w:t xml:space="preserve">9,139</w:t>
      </w:r>
      <w:r>
        <w:t xml:space="preserve"> </w:t>
      </w:r>
      <w:r>
        <w:t xml:space="preserve">SMEs</w:t>
      </w:r>
      <w:r>
        <w:t xml:space="preserve"> </w:t>
      </w:r>
      <w:r>
        <w:t xml:space="preserve">21,003</w:t>
      </w:r>
      <w:r>
        <w:t xml:space="preserve"> </w:t>
      </w:r>
      <w:r>
        <w:t xml:space="preserve">38,224</w:t>
      </w:r>
      <w:r>
        <w:t xml:space="preserve"> </w:t>
      </w:r>
      <w:r>
        <w:t xml:space="preserve">22,638</w:t>
      </w:r>
      <w:r>
        <w:t xml:space="preserve"> </w:t>
      </w:r>
      <w:r>
        <w:t xml:space="preserve">8,638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592</w:t>
      </w:r>
      <w:r>
        <w:t xml:space="preserve"> </w:t>
      </w:r>
      <w:r>
        <w:t xml:space="preserve">1,134</w:t>
      </w:r>
      <w:r>
        <w:t xml:space="preserve"> </w:t>
      </w:r>
      <w:r>
        <w:t xml:space="preserve">803</w:t>
      </w:r>
      <w:r>
        <w:t xml:space="preserve"> </w:t>
      </w:r>
      <w:r>
        <w:t xml:space="preserve">501</w:t>
      </w:r>
      <w:r>
        <w:t xml:space="preserve"> </w:t>
      </w:r>
      <w:r>
        <w:t xml:space="preserve">Total costs relative to the baseline (in million EUR)</w:t>
      </w:r>
      <w:r>
        <w:t xml:space="preserve"> </w:t>
      </w:r>
      <w:r>
        <w:t xml:space="preserve">6.7</w:t>
      </w:r>
      <w:r>
        <w:t xml:space="preserve"> </w:t>
      </w:r>
      <w:r>
        <w:t xml:space="preserve">12.3</w:t>
      </w:r>
      <w:r>
        <w:t xml:space="preserve"> </w:t>
      </w:r>
      <w:r>
        <w:t xml:space="preserve">6.2</w:t>
      </w:r>
      <w:r>
        <w:t xml:space="preserve"> </w:t>
      </w:r>
      <w:r>
        <w:t xml:space="preserve">1.4</w:t>
      </w:r>
      <w:r>
        <w:t xml:space="preserve"> </w:t>
      </w:r>
      <w:r>
        <w:t xml:space="preserve">SMEs</w:t>
      </w:r>
      <w:r>
        <w:t xml:space="preserve"> </w:t>
      </w:r>
      <w:r>
        <w:t xml:space="preserve">4.8</w:t>
      </w:r>
      <w:r>
        <w:t xml:space="preserve"> </w:t>
      </w:r>
      <w:r>
        <w:t xml:space="preserve">8.9</w:t>
      </w:r>
      <w:r>
        <w:t xml:space="preserve"> </w:t>
      </w:r>
      <w:r>
        <w:t xml:space="preserve">4.0</w:t>
      </w:r>
      <w:r>
        <w:t xml:space="preserve"> </w:t>
      </w:r>
      <w:r>
        <w:t xml:space="preserve">0.1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1.8</w:t>
      </w:r>
      <w:r>
        <w:t xml:space="preserve"> </w:t>
      </w:r>
      <w:r>
        <w:t xml:space="preserve">3.4</w:t>
      </w:r>
      <w:r>
        <w:t xml:space="preserve"> </w:t>
      </w:r>
      <w:r>
        <w:t xml:space="preserve">2.3</w:t>
      </w:r>
      <w:r>
        <w:t xml:space="preserve"> </w:t>
      </w:r>
      <w:r>
        <w:t xml:space="preserve">1.3</w:t>
      </w:r>
      <w:r>
        <w:t xml:space="preserve"> </w:t>
      </w:r>
      <w:r>
        <w:t xml:space="preserve">Source: Ecorys and CE Delft (2023), Impact assessment support study.</w:t>
      </w:r>
      <w:r>
        <w:br/>
      </w:r>
      <w:r>
        <w:t xml:space="preserve">Table 77: type and size of impacted enterprises due to PM12 in PO4 of all enterprises targeted with CountEmissions</w:t>
      </w:r>
      <w:r>
        <w:t xml:space="preserve"> </w:t>
      </w:r>
      <w:r>
        <w:t xml:space="preserve">EU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companies using calculation tools</w:t>
      </w:r>
      <w:r>
        <w:t xml:space="preserve"> </w:t>
      </w:r>
      <w:r>
        <w:t xml:space="preserve">3.0%</w:t>
      </w:r>
      <w:r>
        <w:t xml:space="preserve"> </w:t>
      </w:r>
      <w:r>
        <w:t xml:space="preserve">4.4%</w:t>
      </w:r>
      <w:r>
        <w:t xml:space="preserve"> </w:t>
      </w:r>
      <w:r>
        <w:t xml:space="preserve">4.4%</w:t>
      </w:r>
      <w:r>
        <w:t xml:space="preserve"> </w:t>
      </w:r>
      <w:r>
        <w:t xml:space="preserve">4.4%</w:t>
      </w:r>
      <w:r>
        <w:t xml:space="preserve"> </w:t>
      </w:r>
      <w:r>
        <w:t xml:space="preserve">SMEs</w:t>
      </w:r>
      <w:r>
        <w:t xml:space="preserve"> </w:t>
      </w:r>
      <w:r>
        <w:t xml:space="preserve">2.9%</w:t>
      </w:r>
      <w:r>
        <w:t xml:space="preserve"> </w:t>
      </w:r>
      <w:r>
        <w:t xml:space="preserve">4.4%</w:t>
      </w:r>
      <w:r>
        <w:t xml:space="preserve"> </w:t>
      </w:r>
      <w:r>
        <w:t xml:space="preserve">4.4%</w:t>
      </w:r>
      <w:r>
        <w:t xml:space="preserve"> </w:t>
      </w:r>
      <w:r>
        <w:t xml:space="preserve">4.4%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19.2%</w:t>
      </w:r>
      <w:r>
        <w:t xml:space="preserve"> </w:t>
      </w:r>
      <w:r>
        <w:t xml:space="preserve">31.7%</w:t>
      </w:r>
      <w:r>
        <w:t xml:space="preserve"> </w:t>
      </w:r>
      <w:r>
        <w:t xml:space="preserve">31.7%</w:t>
      </w:r>
      <w:r>
        <w:t xml:space="preserve"> </w:t>
      </w:r>
      <w:r>
        <w:t xml:space="preserve">31.7%</w:t>
      </w:r>
      <w:r>
        <w:t xml:space="preserve"> </w:t>
      </w:r>
      <w:r>
        <w:t xml:space="preserve">Source: Ecorys and CE Delft (2023), Impact assessment support study.</w:t>
      </w:r>
      <w:r>
        <w:br/>
      </w:r>
      <w:r>
        <w:t xml:space="preserve">Table 78: Recurrent adjustment costs for business due to PM12 in PO5 (in million EUR)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of companies that use calculation tools in</w:t>
      </w:r>
      <w:r>
        <w:t xml:space="preserve"> </w:t>
      </w:r>
      <w:r>
        <w:t xml:space="preserve">the baseline</w:t>
      </w:r>
      <w:r>
        <w:t xml:space="preserve"> </w:t>
      </w:r>
      <w:r>
        <w:t xml:space="preserve">30,760</w:t>
      </w:r>
      <w:r>
        <w:t xml:space="preserve"> </w:t>
      </w:r>
      <w:r>
        <w:t xml:space="preserve">39,380</w:t>
      </w:r>
      <w:r>
        <w:t xml:space="preserve"> </w:t>
      </w:r>
      <w:r>
        <w:t xml:space="preserve">55,297</w:t>
      </w:r>
      <w:r>
        <w:t xml:space="preserve"> </w:t>
      </w:r>
      <w:r>
        <w:t xml:space="preserve">69,599</w:t>
      </w:r>
      <w:r>
        <w:t xml:space="preserve"> </w:t>
      </w:r>
      <w:r>
        <w:t xml:space="preserve">SMEs</w:t>
      </w:r>
      <w:r>
        <w:t xml:space="preserve"> </w:t>
      </w:r>
      <w:r>
        <w:t xml:space="preserve">30,253</w:t>
      </w:r>
      <w:r>
        <w:t xml:space="preserve"> </w:t>
      </w:r>
      <w:r>
        <w:t xml:space="preserve">38,693</w:t>
      </w:r>
      <w:r>
        <w:t xml:space="preserve"> </w:t>
      </w:r>
      <w:r>
        <w:t xml:space="preserve">54,279</w:t>
      </w:r>
      <w:r>
        <w:t xml:space="preserve"> </w:t>
      </w:r>
      <w:r>
        <w:t xml:space="preserve">68,279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507</w:t>
      </w:r>
      <w:r>
        <w:t xml:space="preserve"> </w:t>
      </w:r>
      <w:r>
        <w:t xml:space="preserve">687</w:t>
      </w:r>
      <w:r>
        <w:t xml:space="preserve"> </w:t>
      </w:r>
      <w:r>
        <w:t xml:space="preserve">1,018</w:t>
      </w:r>
      <w:r>
        <w:t xml:space="preserve"> </w:t>
      </w:r>
      <w:r>
        <w:t xml:space="preserve">1,320</w:t>
      </w:r>
      <w:r>
        <w:t xml:space="preserve"> </w:t>
      </w:r>
      <w:r>
        <w:t xml:space="preserve">Additional number of companies that need</w:t>
      </w:r>
      <w:r>
        <w:t xml:space="preserve"> </w:t>
      </w:r>
      <w:r>
        <w:t xml:space="preserve">calculation tools in PM12</w:t>
      </w:r>
      <w:r>
        <w:t xml:space="preserve"> </w:t>
      </w:r>
      <w:r>
        <w:t xml:space="preserve">12,202</w:t>
      </w:r>
      <w:r>
        <w:t xml:space="preserve"> </w:t>
      </w:r>
      <w:r>
        <w:t xml:space="preserve">25,102</w:t>
      </w:r>
      <w:r>
        <w:t xml:space="preserve"> </w:t>
      </w:r>
      <w:r>
        <w:t xml:space="preserve">9,278</w:t>
      </w:r>
      <w:r>
        <w:t xml:space="preserve"> </w:t>
      </w:r>
      <w:r>
        <w:t xml:space="preserve">2,783</w:t>
      </w:r>
      <w:r>
        <w:t xml:space="preserve"> </w:t>
      </w:r>
      <w:r>
        <w:t xml:space="preserve">SMEs</w:t>
      </w:r>
      <w:r>
        <w:t xml:space="preserve"> </w:t>
      </w:r>
      <w:r>
        <w:t xml:space="preserve">11,629</w:t>
      </w:r>
      <w:r>
        <w:t xml:space="preserve"> </w:t>
      </w:r>
      <w:r>
        <w:t xml:space="preserve">24,006</w:t>
      </w:r>
      <w:r>
        <w:t xml:space="preserve"> </w:t>
      </w:r>
      <w:r>
        <w:t xml:space="preserve">8,513</w:t>
      </w:r>
      <w:r>
        <w:t xml:space="preserve"> </w:t>
      </w:r>
      <w:r>
        <w:t xml:space="preserve">2,320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573</w:t>
      </w:r>
      <w:r>
        <w:t xml:space="preserve"> </w:t>
      </w:r>
      <w:r>
        <w:t xml:space="preserve">1,096</w:t>
      </w:r>
      <w:r>
        <w:t xml:space="preserve"> </w:t>
      </w:r>
      <w:r>
        <w:t xml:space="preserve">765</w:t>
      </w:r>
      <w:r>
        <w:t xml:space="preserve"> </w:t>
      </w:r>
      <w:r>
        <w:t xml:space="preserve">463</w:t>
      </w:r>
      <w:r>
        <w:t xml:space="preserve"> </w:t>
      </w:r>
      <w:r>
        <w:t xml:space="preserve">Total costs relative to the baseline (in million EUR)</w:t>
      </w:r>
      <w:r>
        <w:t xml:space="preserve"> </w:t>
      </w:r>
      <w:r>
        <w:t xml:space="preserve">19.3</w:t>
      </w:r>
      <w:r>
        <w:t xml:space="preserve"> </w:t>
      </w:r>
      <w:r>
        <w:t xml:space="preserve">31.6</w:t>
      </w:r>
      <w:r>
        <w:t xml:space="preserve"> </w:t>
      </w:r>
      <w:r>
        <w:t xml:space="preserve">24.4</w:t>
      </w:r>
      <w:r>
        <w:t xml:space="preserve"> </w:t>
      </w:r>
      <w:r>
        <w:t xml:space="preserve">21.5</w:t>
      </w:r>
    </w:p>
    <w:p>
      <w:pPr>
        <w:pStyle w:val="BodyText"/>
      </w:pPr>
      <w:r>
        <w:t xml:space="preserve">122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SMEs</w:t>
      </w:r>
      <w:r>
        <w:t xml:space="preserve"> </w:t>
      </w:r>
      <w:r>
        <w:t xml:space="preserve">14.7</w:t>
      </w:r>
      <w:r>
        <w:t xml:space="preserve"> </w:t>
      </w:r>
      <w:r>
        <w:t xml:space="preserve">23.6</w:t>
      </w:r>
      <w:r>
        <w:t xml:space="preserve"> </w:t>
      </w:r>
      <w:r>
        <w:t xml:space="preserve">17.8</w:t>
      </w:r>
      <w:r>
        <w:t xml:space="preserve"> </w:t>
      </w:r>
      <w:r>
        <w:t xml:space="preserve">16.1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4.6</w:t>
      </w:r>
      <w:r>
        <w:t xml:space="preserve"> </w:t>
      </w:r>
      <w:r>
        <w:t xml:space="preserve">8.0</w:t>
      </w:r>
      <w:r>
        <w:t xml:space="preserve"> </w:t>
      </w:r>
      <w:r>
        <w:t xml:space="preserve">6.6</w:t>
      </w:r>
      <w:r>
        <w:t xml:space="preserve"> </w:t>
      </w:r>
      <w:r>
        <w:t xml:space="preserve">5.4</w:t>
      </w:r>
      <w:r>
        <w:t xml:space="preserve"> </w:t>
      </w:r>
      <w:r>
        <w:t xml:space="preserve">Source: Ecorys and CE Delft (2023), Impact assessment support study</w:t>
      </w:r>
      <w:r>
        <w:t xml:space="preserve"> </w:t>
      </w:r>
      <w:r>
        <w:t xml:space="preserve">Table 79: type and size of impacted enterprises due to PM12 in PO5 of all enterprises targeted with CountEmissions</w:t>
      </w:r>
      <w:r>
        <w:t xml:space="preserve"> </w:t>
      </w:r>
      <w:r>
        <w:t xml:space="preserve">EU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companies using calculation tools</w:t>
      </w:r>
      <w:r>
        <w:t xml:space="preserve"> </w:t>
      </w:r>
      <w:r>
        <w:t xml:space="preserve">2.4%</w:t>
      </w:r>
      <w:r>
        <w:t xml:space="preserve"> </w:t>
      </w:r>
      <w:r>
        <w:t xml:space="preserve">3.6%</w:t>
      </w:r>
      <w:r>
        <w:t xml:space="preserve"> </w:t>
      </w:r>
      <w:r>
        <w:t xml:space="preserve">3.6%</w:t>
      </w:r>
      <w:r>
        <w:t xml:space="preserve"> </w:t>
      </w:r>
      <w:r>
        <w:t xml:space="preserve">4.1%</w:t>
      </w:r>
      <w:r>
        <w:t xml:space="preserve"> </w:t>
      </w:r>
      <w:r>
        <w:t xml:space="preserve">SMEs</w:t>
      </w:r>
      <w:r>
        <w:t xml:space="preserve"> </w:t>
      </w:r>
      <w:r>
        <w:t xml:space="preserve">2.4%</w:t>
      </w:r>
      <w:r>
        <w:t xml:space="preserve"> </w:t>
      </w:r>
      <w:r>
        <w:t xml:space="preserve">3.5%</w:t>
      </w:r>
      <w:r>
        <w:t xml:space="preserve"> </w:t>
      </w:r>
      <w:r>
        <w:t xml:space="preserve">3.6%</w:t>
      </w:r>
      <w:r>
        <w:t xml:space="preserve"> </w:t>
      </w:r>
      <w:r>
        <w:t xml:space="preserve">4.0%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18.8%</w:t>
      </w:r>
      <w:r>
        <w:t xml:space="preserve"> </w:t>
      </w:r>
      <w:r>
        <w:t xml:space="preserve">31.1%</w:t>
      </w:r>
      <w:r>
        <w:t xml:space="preserve"> </w:t>
      </w:r>
      <w:r>
        <w:t xml:space="preserve">31.1%</w:t>
      </w:r>
      <w:r>
        <w:t xml:space="preserve"> </w:t>
      </w:r>
      <w:r>
        <w:t xml:space="preserve">31.1%</w:t>
      </w:r>
      <w:r>
        <w:t xml:space="preserve"> </w:t>
      </w:r>
      <w:r>
        <w:t xml:space="preserve">Source: Ecorys and CE Delft (2023), Impact assessment support study</w:t>
      </w:r>
      <w:r>
        <w:t xml:space="preserve"> </w:t>
      </w:r>
      <w:r>
        <w:t xml:space="preserve">Table 80: Recurrent adjustment costs for business due to PM12 in PO6 (in million EUR)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of companies that use calculation tools in the baseline</w:t>
      </w:r>
      <w:r>
        <w:t xml:space="preserve"> </w:t>
      </w:r>
      <w:r>
        <w:t xml:space="preserve">30,760</w:t>
      </w:r>
      <w:r>
        <w:t xml:space="preserve"> </w:t>
      </w:r>
      <w:r>
        <w:t xml:space="preserve">39,380</w:t>
      </w:r>
      <w:r>
        <w:t xml:space="preserve"> </w:t>
      </w:r>
      <w:r>
        <w:t xml:space="preserve">55,297</w:t>
      </w:r>
      <w:r>
        <w:t xml:space="preserve"> </w:t>
      </w:r>
      <w:r>
        <w:t xml:space="preserve">69,599</w:t>
      </w:r>
      <w:r>
        <w:t xml:space="preserve"> </w:t>
      </w:r>
      <w:r>
        <w:t xml:space="preserve">SMEs</w:t>
      </w:r>
      <w:r>
        <w:t xml:space="preserve"> </w:t>
      </w:r>
      <w:r>
        <w:t xml:space="preserve">30,253</w:t>
      </w:r>
      <w:r>
        <w:t xml:space="preserve"> </w:t>
      </w:r>
      <w:r>
        <w:t xml:space="preserve">38,693</w:t>
      </w:r>
      <w:r>
        <w:t xml:space="preserve"> </w:t>
      </w:r>
      <w:r>
        <w:t xml:space="preserve">54,279</w:t>
      </w:r>
      <w:r>
        <w:t xml:space="preserve"> </w:t>
      </w:r>
      <w:r>
        <w:t xml:space="preserve">68,279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507</w:t>
      </w:r>
      <w:r>
        <w:t xml:space="preserve"> </w:t>
      </w:r>
      <w:r>
        <w:t xml:space="preserve">687</w:t>
      </w:r>
      <w:r>
        <w:t xml:space="preserve"> </w:t>
      </w:r>
      <w:r>
        <w:t xml:space="preserve">1,018</w:t>
      </w:r>
      <w:r>
        <w:t xml:space="preserve"> </w:t>
      </w:r>
      <w:r>
        <w:t xml:space="preserve">1,320</w:t>
      </w:r>
      <w:r>
        <w:t xml:space="preserve"> </w:t>
      </w:r>
      <w:r>
        <w:t xml:space="preserve">Additional number of companies that need calculation tools in</w:t>
      </w:r>
      <w:r>
        <w:t xml:space="preserve"> </w:t>
      </w:r>
      <w:r>
        <w:t xml:space="preserve">PM12</w:t>
      </w:r>
      <w:r>
        <w:t xml:space="preserve"> </w:t>
      </w:r>
      <w:r>
        <w:t xml:space="preserve">110,570</w:t>
      </w:r>
      <w:r>
        <w:t xml:space="preserve"> </w:t>
      </w:r>
      <w:r>
        <w:t xml:space="preserve">918,003</w:t>
      </w:r>
      <w:r>
        <w:t xml:space="preserve"> </w:t>
      </w:r>
      <w:r>
        <w:t xml:space="preserve">1,718,143</w:t>
      </w:r>
      <w:r>
        <w:t xml:space="preserve"> </w:t>
      </w:r>
      <w:r>
        <w:t xml:space="preserve">1,703,841</w:t>
      </w:r>
      <w:r>
        <w:t xml:space="preserve"> </w:t>
      </w:r>
      <w:r>
        <w:t xml:space="preserve">SMEs</w:t>
      </w:r>
      <w:r>
        <w:t xml:space="preserve"> </w:t>
      </w:r>
      <w:r>
        <w:t xml:space="preserve">109,689</w:t>
      </w:r>
      <w:r>
        <w:t xml:space="preserve"> </w:t>
      </w:r>
      <w:r>
        <w:t xml:space="preserve">915,130</w:t>
      </w:r>
      <w:r>
        <w:t xml:space="preserve"> </w:t>
      </w:r>
      <w:r>
        <w:t xml:space="preserve">1,713,423</w:t>
      </w:r>
      <w:r>
        <w:t xml:space="preserve"> </w:t>
      </w:r>
      <w:r>
        <w:t xml:space="preserve">1,699,423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881</w:t>
      </w:r>
      <w:r>
        <w:t xml:space="preserve"> </w:t>
      </w:r>
      <w:r>
        <w:t xml:space="preserve">2,873</w:t>
      </w:r>
      <w:r>
        <w:t xml:space="preserve"> </w:t>
      </w:r>
      <w:r>
        <w:t xml:space="preserve">4,720</w:t>
      </w:r>
      <w:r>
        <w:t xml:space="preserve"> </w:t>
      </w:r>
      <w:r>
        <w:t xml:space="preserve">4,418</w:t>
      </w:r>
      <w:r>
        <w:t xml:space="preserve"> </w:t>
      </w:r>
      <w:r>
        <w:t xml:space="preserve">Total costs relative to the baseline (in million EUR)</w:t>
      </w:r>
      <w:r>
        <w:t xml:space="preserve"> </w:t>
      </w:r>
      <w:r>
        <w:t xml:space="preserve">32.5</w:t>
      </w:r>
      <w:r>
        <w:t xml:space="preserve"> </w:t>
      </w:r>
      <w:r>
        <w:t xml:space="preserve">257.7</w:t>
      </w:r>
      <w:r>
        <w:t xml:space="preserve"> </w:t>
      </w:r>
      <w:r>
        <w:t xml:space="preserve">451.5</w:t>
      </w:r>
      <w:r>
        <w:t xml:space="preserve"> </w:t>
      </w:r>
      <w:r>
        <w:t xml:space="preserve">417.3</w:t>
      </w:r>
      <w:r>
        <w:t xml:space="preserve"> </w:t>
      </w:r>
      <w:r>
        <w:t xml:space="preserve">SMEs</w:t>
      </w:r>
      <w:r>
        <w:t xml:space="preserve"> </w:t>
      </w:r>
      <w:r>
        <w:t xml:space="preserve">29.8</w:t>
      </w:r>
      <w:r>
        <w:t xml:space="preserve"> </w:t>
      </w:r>
      <w:r>
        <w:t xml:space="preserve">249.4</w:t>
      </w:r>
      <w:r>
        <w:t xml:space="preserve"> </w:t>
      </w:r>
      <w:r>
        <w:t xml:space="preserve">438.7</w:t>
      </w:r>
      <w:r>
        <w:t xml:space="preserve"> </w:t>
      </w:r>
      <w:r>
        <w:t xml:space="preserve">406.1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2.7</w:t>
      </w:r>
      <w:r>
        <w:t xml:space="preserve"> </w:t>
      </w:r>
      <w:r>
        <w:t xml:space="preserve">8.3</w:t>
      </w:r>
      <w:r>
        <w:t xml:space="preserve"> </w:t>
      </w:r>
      <w:r>
        <w:t xml:space="preserve">12.8</w:t>
      </w:r>
      <w:r>
        <w:t xml:space="preserve"> </w:t>
      </w:r>
      <w:r>
        <w:t xml:space="preserve">11.1</w:t>
      </w:r>
      <w:r>
        <w:t xml:space="preserve"> </w:t>
      </w:r>
      <w:r>
        <w:t xml:space="preserve">Source: Ecorys and CE Delft (2023), Impact assessment support study</w:t>
      </w:r>
      <w:r>
        <w:t xml:space="preserve"> </w:t>
      </w:r>
      <w:r>
        <w:t xml:space="preserve">Table 81: type and size of impacted enterprises due to PM12 in PO6 of all enterprises targeted with CountEmissions</w:t>
      </w:r>
      <w:r>
        <w:t xml:space="preserve"> </w:t>
      </w:r>
      <w:r>
        <w:t xml:space="preserve">EU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companies using calculation tools</w:t>
      </w:r>
      <w:r>
        <w:t xml:space="preserve"> </w:t>
      </w:r>
      <w:r>
        <w:t xml:space="preserve">8.0%</w:t>
      </w:r>
      <w:r>
        <w:t xml:space="preserve"> </w:t>
      </w:r>
      <w:r>
        <w:t xml:space="preserve">54.0%</w:t>
      </w:r>
      <w:r>
        <w:t xml:space="preserve"> </w:t>
      </w:r>
      <w:r>
        <w:t xml:space="preserve">100.0%</w:t>
      </w:r>
      <w:r>
        <w:t xml:space="preserve"> </w:t>
      </w:r>
      <w:r>
        <w:t xml:space="preserve">100.0%</w:t>
      </w:r>
      <w:r>
        <w:t xml:space="preserve"> </w:t>
      </w:r>
      <w:r>
        <w:t xml:space="preserve">SMEs</w:t>
      </w:r>
      <w:r>
        <w:t xml:space="preserve"> </w:t>
      </w:r>
      <w:r>
        <w:t xml:space="preserve">7.9%</w:t>
      </w:r>
      <w:r>
        <w:t xml:space="preserve"> </w:t>
      </w:r>
      <w:r>
        <w:t xml:space="preserve">54.0%</w:t>
      </w:r>
      <w:r>
        <w:t xml:space="preserve"> </w:t>
      </w:r>
      <w:r>
        <w:t xml:space="preserve">100.0%</w:t>
      </w:r>
      <w:r>
        <w:t xml:space="preserve"> </w:t>
      </w:r>
      <w:r>
        <w:t xml:space="preserve">100.0%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24.2%</w:t>
      </w:r>
      <w:r>
        <w:t xml:space="preserve"> </w:t>
      </w:r>
      <w:r>
        <w:t xml:space="preserve">62.0%</w:t>
      </w:r>
      <w:r>
        <w:t xml:space="preserve"> </w:t>
      </w:r>
      <w:r>
        <w:t xml:space="preserve">100.0%</w:t>
      </w:r>
      <w:r>
        <w:t xml:space="preserve"> </w:t>
      </w:r>
      <w:r>
        <w:t xml:space="preserve">100.0%</w:t>
      </w:r>
      <w:r>
        <w:t xml:space="preserve"> </w:t>
      </w:r>
      <w:r>
        <w:t xml:space="preserve">Source: Ecorys and CE Delft (2023), Impact assessment support study</w:t>
      </w:r>
      <w:r>
        <w:t xml:space="preserve"> </w:t>
      </w:r>
      <w:r>
        <w:t xml:space="preserve">Administrative costs for businesses (calculation tool developers)</w:t>
      </w:r>
      <w:r>
        <w:t xml:space="preserve"> </w:t>
      </w:r>
      <w:r>
        <w:t xml:space="preserve">As explained, PM12 (included in PO3, PO4, PO5 and PO6) foresees that the development of</w:t>
      </w:r>
      <w:r>
        <w:t xml:space="preserve"> </w:t>
      </w:r>
      <w:r>
        <w:t xml:space="preserve">calculation tools following the common reference methodology is left to the market but certified at EU</w:t>
      </w:r>
      <w:r>
        <w:t xml:space="preserve"> </w:t>
      </w:r>
      <w:r>
        <w:t xml:space="preserve">level. A maximum of 34 tools are expected to be certified in addition to the baseline. The cost per tool</w:t>
      </w:r>
      <w:r>
        <w:t xml:space="preserve"> </w:t>
      </w:r>
      <w:r>
        <w:t xml:space="preserve">for certification, per year, is estimated at EUR 531.65, assuming 13 hours of work per certification at</w:t>
      </w:r>
      <w:r>
        <w:t xml:space="preserve"> </w:t>
      </w:r>
      <w:r>
        <w:t xml:space="preserve">an average cost per hour estimated at EUR 40.9226 in 2022 prices for ISCO 2 category (Professionals).</w:t>
      </w:r>
      <w:r>
        <w:t xml:space="preserve"> </w:t>
      </w:r>
      <w:r>
        <w:t xml:space="preserve">Thus, the recurrent administrative costs for businesses are estimated at EUR 18,076 from 2025 onwards</w:t>
      </w:r>
      <w:r>
        <w:t xml:space="preserve"> </w:t>
      </w:r>
      <w:r>
        <w:t xml:space="preserve">relative to the baseline. Expressed as present value over 2025-2050, the total administrative costs are</w:t>
      </w:r>
      <w:r>
        <w:t xml:space="preserve"> </w:t>
      </w:r>
      <w:r>
        <w:t xml:space="preserve">estimated at EUR 332,840 relative to the baseline.</w:t>
      </w:r>
    </w:p>
    <w:p>
      <w:pPr>
        <w:pStyle w:val="BodyText"/>
      </w:pPr>
      <w:r>
        <w:t xml:space="preserve">226 Eurostat Structure of earnings survey, Labour Force Survey data for Non-Wage Labour</w:t>
      </w:r>
    </w:p>
    <w:p>
      <w:pPr>
        <w:pStyle w:val="BodyText"/>
      </w:pPr>
      <w:r>
        <w:t xml:space="preserve">123</w:t>
      </w:r>
    </w:p>
    <w:p>
      <w:pPr>
        <w:pStyle w:val="BodyText"/>
      </w:pPr>
      <w:r>
        <w:t xml:space="preserve">PM13: Mandatory application of CountEmissions EU in the transport sector</w:t>
      </w:r>
      <w:r>
        <w:br/>
      </w:r>
      <w:r>
        <w:t xml:space="preserve">PM13 (included in PO1 and PO6) mandates the GHG emissions accounting for transport services</w:t>
      </w:r>
      <w:r>
        <w:t xml:space="preserve"> </w:t>
      </w:r>
      <w:r>
        <w:t xml:space="preserve">to all businesses in EU27, following a transition period until 2035. The accounting is done</w:t>
      </w:r>
      <w:r>
        <w:t xml:space="preserve"> </w:t>
      </w:r>
      <w:r>
        <w:t xml:space="preserve">through CountEmissions EU. This measure does not have a direct impact on costs but its indirect</w:t>
      </w:r>
      <w:r>
        <w:t xml:space="preserve"> </w:t>
      </w:r>
      <w:r>
        <w:t xml:space="preserve">impact on total costs, through the higher number of business that will perform GHG emissions</w:t>
      </w:r>
      <w:r>
        <w:t xml:space="preserve"> </w:t>
      </w:r>
      <w:r>
        <w:t xml:space="preserve">accounting relative to the baseline, is accounted in the costs of other measures.</w:t>
      </w:r>
      <w:r>
        <w:t xml:space="preserve"> </w:t>
      </w:r>
      <w:r>
        <w:t xml:space="preserve">PM14: Binding opt-in application of CountEmissions EU in the transport sector</w:t>
      </w:r>
      <w:r>
        <w:br/>
      </w:r>
      <w:r>
        <w:t xml:space="preserve">PM14 (included in PO3, PO4 and PO5) leaves the GHG emissions accounting for transport</w:t>
      </w:r>
      <w:r>
        <w:t xml:space="preserve"> </w:t>
      </w:r>
      <w:r>
        <w:t xml:space="preserve">services voluntary, but it mandates the use of CountEmsissions EU in case GHG emissions are</w:t>
      </w:r>
      <w:r>
        <w:t xml:space="preserve"> </w:t>
      </w:r>
      <w:r>
        <w:t xml:space="preserve">accounted. This measure does not have a direct impact on costs but its indirect impact on total</w:t>
      </w:r>
      <w:r>
        <w:t xml:space="preserve"> </w:t>
      </w:r>
      <w:r>
        <w:t xml:space="preserve">costs, through the higher number of business that will perform GHG emissions accounting</w:t>
      </w:r>
      <w:r>
        <w:t xml:space="preserve"> </w:t>
      </w:r>
      <w:r>
        <w:t xml:space="preserve">relative to the baseline, is accounted in the costs of other measures.</w:t>
      </w:r>
      <w:r>
        <w:t xml:space="preserve"> </w:t>
      </w:r>
      <w:r>
        <w:t xml:space="preserve">PM15: Voluntary application of CountEmissions EU in the transport sector with a label</w:t>
      </w:r>
      <w:r>
        <w:t xml:space="preserve"> </w:t>
      </w:r>
      <w:r>
        <w:t xml:space="preserve">PM15 (included in PO2) keeps the GHG emissions accounting for transport services voluntary,</w:t>
      </w:r>
      <w:r>
        <w:t xml:space="preserve"> </w:t>
      </w:r>
      <w:r>
        <w:t xml:space="preserve">and it does not mandate the use of CountEmsissions EU in case GHG emissions are accounted.</w:t>
      </w:r>
      <w:r>
        <w:t xml:space="preserve"> </w:t>
      </w:r>
      <w:r>
        <w:t xml:space="preserve">This measure does not have a direct impact on costs but its indirect impact on total costs, through</w:t>
      </w:r>
      <w:r>
        <w:t xml:space="preserve"> </w:t>
      </w:r>
      <w:r>
        <w:t xml:space="preserve">the higher number of business that will perform GHG emissions accounting relative to the</w:t>
      </w:r>
      <w:r>
        <w:t xml:space="preserve"> </w:t>
      </w:r>
      <w:r>
        <w:t xml:space="preserve">baseline, is accounted in the costs of other measures.</w:t>
      </w:r>
      <w:r>
        <w:t xml:space="preserve"> </w:t>
      </w:r>
      <w:r>
        <w:t xml:space="preserve">4. Environmental impacts</w:t>
      </w:r>
      <w:r>
        <w:t xml:space="preserve"> </w:t>
      </w:r>
      <w:r>
        <w:t xml:space="preserve">CountEmissions EU is expected to contribute to the reduction of GHG emissions from the transport</w:t>
      </w:r>
      <w:r>
        <w:t xml:space="preserve"> </w:t>
      </w:r>
      <w:r>
        <w:t xml:space="preserve">and logistics sector in two ways. First, the implementation of a harmonised framework for GHG</w:t>
      </w:r>
      <w:r>
        <w:t xml:space="preserve"> </w:t>
      </w:r>
      <w:r>
        <w:t xml:space="preserve">emissions accounting will provide more transparency with respect to the emissions of different</w:t>
      </w:r>
      <w:r>
        <w:t xml:space="preserve"> </w:t>
      </w:r>
      <w:r>
        <w:t xml:space="preserve">transport services and thus induce behavioural changes in the transport sector (mode change), which in</w:t>
      </w:r>
      <w:r>
        <w:t xml:space="preserve"> </w:t>
      </w:r>
      <w:r>
        <w:t xml:space="preserve">turn result in lower GHG emissions227. Second, CountEmissions EU is also expected to indirectly</w:t>
      </w:r>
      <w:r>
        <w:br/>
      </w:r>
      <w:r>
        <w:t xml:space="preserve">contribute to GHG emissions savings, by providing harmonised GHG emission data for transport</w:t>
      </w:r>
      <w:r>
        <w:t xml:space="preserve"> </w:t>
      </w:r>
      <w:r>
        <w:t xml:space="preserve">services that can be used by other (public and private) initiatives (e.g. in green financing or green public</w:t>
      </w:r>
      <w:r>
        <w:t xml:space="preserve"> </w:t>
      </w:r>
      <w:r>
        <w:t xml:space="preserve">procurement), effectively contributing to lower GHG emissions and air pollutant emissions in the EU</w:t>
      </w:r>
      <w:r>
        <w:t xml:space="preserve"> </w:t>
      </w:r>
      <w:r>
        <w:t xml:space="preserve">through improved transport efficiency. While the first set of direct impacts can be estimated, those</w:t>
      </w:r>
      <w:r>
        <w:t xml:space="preserve"> </w:t>
      </w:r>
      <w:r>
        <w:t xml:space="preserve">triggered by the development of new programs using CountEmissions EU as their tool cannot be</w:t>
      </w:r>
      <w:r>
        <w:t xml:space="preserve"> </w:t>
      </w:r>
      <w:r>
        <w:t xml:space="preserve">quantified, but are probably much larger than direct savings.</w:t>
      </w:r>
      <w:r>
        <w:t xml:space="preserve"> </w:t>
      </w:r>
      <w:r>
        <w:t xml:space="preserve">The empirical evidence on the effects between the GHG emissions accounting, changes in</w:t>
      </w:r>
      <w:r>
        <w:t xml:space="preserve"> </w:t>
      </w:r>
      <w:r>
        <w:t xml:space="preserve">transport activity and the related reduction in the GHG emissions and air pollutants is scarce.</w:t>
      </w:r>
      <w:r>
        <w:t xml:space="preserve"> </w:t>
      </w:r>
      <w:r>
        <w:t xml:space="preserve">Therefore, a number of assumptions and projections are based on the literature, case studies and</w:t>
      </w:r>
      <w:r>
        <w:t xml:space="preserve"> </w:t>
      </w:r>
      <w:r>
        <w:t xml:space="preserve">use cases (including those presented in Annex 12), and the feedback from stakeholders’</w:t>
      </w:r>
      <w:r>
        <w:t xml:space="preserve"> </w:t>
      </w:r>
      <w:r>
        <w:t xml:space="preserve">consultation (summarised in Annex 2).</w:t>
      </w:r>
      <w:r>
        <w:t xml:space="preserve"> </w:t>
      </w:r>
      <w:r>
        <w:t xml:space="preserve">Given the specific characteristics of the initiative, conceived rather as an enabler and tool for further</w:t>
      </w:r>
      <w:r>
        <w:t xml:space="preserve"> </w:t>
      </w:r>
      <w:r>
        <w:t xml:space="preserve">measures reducing emissions and improving efficiency of transport services, the path of behavioural</w:t>
      </w:r>
      <w:r>
        <w:t xml:space="preserve"> </w:t>
      </w:r>
      <w:r>
        <w:t xml:space="preserve">changes resulting from the application of various policy measures was key to identify impacts. This</w:t>
      </w:r>
    </w:p>
    <w:p>
      <w:pPr>
        <w:pStyle w:val="BodyText"/>
      </w:pPr>
      <w:r>
        <w:t xml:space="preserve">227 Lewis, A., Dober, K., Ehler, V. et Al., LEARN Project inception Report, 2017.</w:t>
      </w:r>
    </w:p>
    <w:p>
      <w:pPr>
        <w:pStyle w:val="BodyText"/>
      </w:pPr>
      <w:r>
        <w:t xml:space="preserve">124</w:t>
      </w:r>
    </w:p>
    <w:p>
      <w:pPr>
        <w:pStyle w:val="BodyText"/>
      </w:pPr>
      <w:r>
        <w:t xml:space="preserve">path of behavioural changes is illustrated in Error! Reference source not found. below.</w:t>
      </w:r>
      <w:r>
        <w:t xml:space="preserve"> </w:t>
      </w:r>
      <w:r>
        <w:t xml:space="preserve">Figure 11: Overview of potential behavioural changes - the supply and demand side of the transport market</w:t>
      </w:r>
    </w:p>
    <w:p>
      <w:pPr>
        <w:pStyle w:val="BodyText"/>
      </w:pPr>
      <w:r>
        <w:t xml:space="preserve">Source : Ecorys and CE Delft (2023), Impact assessment support study</w:t>
      </w:r>
      <w:r>
        <w:t xml:space="preserve"> </w:t>
      </w:r>
      <w:r>
        <w:t xml:space="preserve">Various policy measures and options may affect the transport choices made both on the supply and the</w:t>
      </w:r>
      <w:r>
        <w:t xml:space="preserve"> </w:t>
      </w:r>
      <w:r>
        <w:t xml:space="preserve">demand side. On the supply side, the information on GHG emissions per transport service (when</w:t>
      </w:r>
      <w:r>
        <w:t xml:space="preserve"> </w:t>
      </w:r>
      <w:r>
        <w:t xml:space="preserve">compared to similar figures from competitors) may incentivise transport operators to improve their</w:t>
      </w:r>
      <w:r>
        <w:t xml:space="preserve"> </w:t>
      </w:r>
      <w:r>
        <w:t xml:space="preserve">transport efficiency (e.g. by increasing loading rates, further optimising of routing, shifting to greener</w:t>
      </w:r>
      <w:r>
        <w:t xml:space="preserve"> </w:t>
      </w:r>
      <w:r>
        <w:t xml:space="preserve">transport solutions, etc.) and fuel efficiency (e.g., by using more fuel efficient vehicles/vessels or</w:t>
      </w:r>
      <w:r>
        <w:t xml:space="preserve"> </w:t>
      </w:r>
      <w:r>
        <w:t xml:space="preserve">applying a fuel efficient driving style). These behavioural changes may result in a lower transport</w:t>
      </w:r>
      <w:r>
        <w:t xml:space="preserve"> </w:t>
      </w:r>
      <w:r>
        <w:t xml:space="preserve">demand (in terms of kilometres) or lower GHG intensity per tonne-km and passenger-km. On the</w:t>
      </w:r>
      <w:r>
        <w:t xml:space="preserve"> </w:t>
      </w:r>
      <w:r>
        <w:t xml:space="preserve">demand side, shippers and passengers are incentivised to take up more sustainable options, either by</w:t>
      </w:r>
      <w:r>
        <w:t xml:space="preserve"> </w:t>
      </w:r>
      <w:r>
        <w:t xml:space="preserve">choosing more sustainable operators within a mode or by shifting to another mode of transport. The</w:t>
      </w:r>
      <w:r>
        <w:t xml:space="preserve"> </w:t>
      </w:r>
      <w:r>
        <w:t xml:space="preserve">behavioural changes may also give rise to modal shift impacts as well as lower GHG intensity per</w:t>
      </w:r>
      <w:r>
        <w:t xml:space="preserve"> </w:t>
      </w:r>
      <w:r>
        <w:t xml:space="preserve">tonne-km and passenger-km. While research on the transport choice behaviour suggest that in many</w:t>
      </w:r>
      <w:r>
        <w:t xml:space="preserve"> </w:t>
      </w:r>
      <w:r>
        <w:t xml:space="preserve">cases presenting emissions figures to interested individuals might be more useful to generate awareness</w:t>
      </w:r>
      <w:r>
        <w:t xml:space="preserve"> </w:t>
      </w:r>
      <w:r>
        <w:t xml:space="preserve">than to produce changes in behaviour, there is evidence that emissions information does improve pro-</w:t>
      </w:r>
      <w:r>
        <w:t xml:space="preserve"> </w:t>
      </w:r>
      <w:r>
        <w:t xml:space="preserve">environmental behaviour among environmentally aware people and can indeed influence vehicle</w:t>
      </w:r>
      <w:r>
        <w:t xml:space="preserve"> </w:t>
      </w:r>
      <w:r>
        <w:t xml:space="preserve">purchase choice, mode choice, and route choice.228</w:t>
      </w:r>
    </w:p>
    <w:p>
      <w:pPr>
        <w:pStyle w:val="BodyText"/>
      </w:pPr>
      <w:r>
        <w:t xml:space="preserve">228 Brazil, William et al. </w:t>
      </w:r>
      <w:r>
        <w:t xml:space="preserve">“An Examination Of The Role Of Emissions Information In Transport Behaviour: The</w:t>
      </w:r>
      <w:r>
        <w:t xml:space="preserve"> </w:t>
      </w:r>
      <w:r>
        <w:t xml:space="preserve">Results Of A Smart Phone Trial In Dublin, Ireland”</w:t>
      </w:r>
      <w:r>
        <w:t xml:space="preserve">. Trid.Trb.Org, 2017, https://trid.trb.org/view/1437202.</w:t>
      </w:r>
      <w:r>
        <w:t xml:space="preserve"> </w:t>
      </w:r>
      <w:r>
        <w:t xml:space="preserve">Accessed 13 Jan 2023, and Silva, João de Abreu e et al. “The Influence Of Information-Based Transport Demand</w:t>
      </w:r>
    </w:p>
    <w:p>
      <w:pPr>
        <w:pStyle w:val="BodyText"/>
      </w:pPr>
      <w:r>
        <w:t xml:space="preserve">125</w:t>
      </w:r>
    </w:p>
    <w:p>
      <w:pPr>
        <w:pStyle w:val="BodyText"/>
      </w:pPr>
      <w:r>
        <w:t xml:space="preserve">These findings may be evidenced by the results of the relevant EU initiatives and projects</w:t>
      </w:r>
      <w:r>
        <w:t xml:space="preserve"> </w:t>
      </w:r>
      <w:r>
        <w:t xml:space="preserve">focused on calculation and reporting of emissions, and other sources that are useful in</w:t>
      </w:r>
      <w:r>
        <w:t xml:space="preserve"> </w:t>
      </w:r>
      <w:r>
        <w:t xml:space="preserve">understanding the effects of the behavioural change (such as Lean and Green, and the US Smart</w:t>
      </w:r>
      <w:r>
        <w:t xml:space="preserve"> </w:t>
      </w:r>
      <w:r>
        <w:t xml:space="preserve">Way programme mentioned above). A 2021 analysis of a survey amongst 800 European</w:t>
      </w:r>
      <w:r>
        <w:t xml:space="preserve"> </w:t>
      </w:r>
      <w:r>
        <w:t xml:space="preserve">carriers229 provides an insight into the European road freight SME carriers segment, being the</w:t>
      </w:r>
      <w:r>
        <w:t xml:space="preserve"> </w:t>
      </w:r>
      <w:r>
        <w:t xml:space="preserve">largest target stakeholder group of this initiative. This analysis shows that calculating GHG</w:t>
      </w:r>
      <w:r>
        <w:t xml:space="preserve"> </w:t>
      </w:r>
      <w:r>
        <w:t xml:space="preserve">emissions is the first step on a company’s path towards decarbonisation, because it is the</w:t>
      </w:r>
      <w:r>
        <w:t xml:space="preserve"> </w:t>
      </w:r>
      <w:r>
        <w:t xml:space="preserve">necessary precursor to the setting of meaningful emission reduction targets and monitoring</w:t>
      </w:r>
      <w:r>
        <w:t xml:space="preserve"> </w:t>
      </w:r>
      <w:r>
        <w:t xml:space="preserve">progress towards achieving them. Additional benefit of monitoring and managing GHG</w:t>
      </w:r>
      <w:r>
        <w:t xml:space="preserve"> </w:t>
      </w:r>
      <w:r>
        <w:t xml:space="preserve">emissions is therefore correlated with energy savings and lower fuel costs, which improve the</w:t>
      </w:r>
      <w:r>
        <w:t xml:space="preserve"> </w:t>
      </w:r>
      <w:r>
        <w:t xml:space="preserve">operational efficiency. Furthermore, as large buyers of freight services are now declaring such</w:t>
      </w:r>
      <w:r>
        <w:t xml:space="preserve"> </w:t>
      </w:r>
      <w:r>
        <w:t xml:space="preserve">targets and applying them to their Scope 3 emissions calculations (which include emissions from</w:t>
      </w:r>
      <w:r>
        <w:t xml:space="preserve"> </w:t>
      </w:r>
      <w:r>
        <w:t xml:space="preserve">road carriers working on their behalf), carriers will need to have the capability to provide</w:t>
      </w:r>
      <w:r>
        <w:t xml:space="preserve"> </w:t>
      </w:r>
      <w:r>
        <w:t xml:space="preserve">individual clients with relevant GHG emissions data. It is thus clearly beneficial that one</w:t>
      </w:r>
      <w:r>
        <w:t xml:space="preserve"> </w:t>
      </w:r>
      <w:r>
        <w:t xml:space="preserve">common calculation standard is adopted by all players in the industry and across the transport</w:t>
      </w:r>
      <w:r>
        <w:t xml:space="preserve"> </w:t>
      </w:r>
      <w:r>
        <w:t xml:space="preserve">chain to achieve harmonisation and comparability.</w:t>
      </w:r>
      <w:r>
        <w:br/>
      </w:r>
      <w:r>
        <w:t xml:space="preserve">The analysis of direct environmental impacts covers GHG emissions, air pollutant emissions and</w:t>
      </w:r>
      <w:r>
        <w:t xml:space="preserve"> </w:t>
      </w:r>
      <w:r>
        <w:t xml:space="preserve">avoided fuel use. The environmental impacts were quantified with the help of an Excel-based tool</w:t>
      </w:r>
      <w:r>
        <w:t xml:space="preserve"> </w:t>
      </w:r>
      <w:r>
        <w:t xml:space="preserve">developed by Ecorys and CE Delft.</w:t>
      </w:r>
      <w:r>
        <w:br/>
      </w:r>
      <w:r>
        <w:t xml:space="preserve">The main data source, for the levels of transport activity, GHG emissions and air pollutant emissions</w:t>
      </w:r>
      <w:r>
        <w:t xml:space="preserve"> </w:t>
      </w:r>
      <w:r>
        <w:t xml:space="preserve">from transport, is PRIMES-TREMOVE. The source of the uptakes for GHG emissions accounting at</w:t>
      </w:r>
      <w:r>
        <w:t xml:space="preserve"> </w:t>
      </w:r>
      <w:r>
        <w:t xml:space="preserve">service level is based on elaborations by CE Delft and Ecorys at NACE-sector level, as explained in</w:t>
      </w:r>
      <w:r>
        <w:t xml:space="preserve"> </w:t>
      </w:r>
      <w:r>
        <w:t xml:space="preserve">section 1 of Annex 4. Evidence was also based on the case studies summarised in Annex 11.</w:t>
      </w:r>
      <w:r>
        <w:t xml:space="preserve"> </w:t>
      </w:r>
      <w:r>
        <w:t xml:space="preserve">The model is based on two level assumptions. For the first level assumptions the shares of passengers</w:t>
      </w:r>
      <w:r>
        <w:t xml:space="preserve"> </w:t>
      </w:r>
      <w:r>
        <w:t xml:space="preserve">and transport service providers making sustainable transport choices are assumed on the basis of the</w:t>
      </w:r>
      <w:r>
        <w:t xml:space="preserve"> </w:t>
      </w:r>
      <w:r>
        <w:t xml:space="preserve">literature review and stakeholder consultations. The share of climate aware population230 over time</w:t>
      </w:r>
      <w:r>
        <w:t xml:space="preserve"> </w:t>
      </w:r>
      <w:r>
        <w:t xml:space="preserve">(2025-2050) is based on literature review231 and cross-checked with the feedbacks received during the</w:t>
      </w:r>
      <w:r>
        <w:t xml:space="preserve"> </w:t>
      </w:r>
      <w:r>
        <w:t xml:space="preserve">stakeholder consultations. These assumptions are instrumental to identify the shares of the activity that</w:t>
      </w:r>
      <w:r>
        <w:t xml:space="preserve"> </w:t>
      </w:r>
      <w:r>
        <w:t xml:space="preserve">is impacted by CountEmissions EU.</w:t>
      </w:r>
    </w:p>
    <w:p>
      <w:pPr>
        <w:pStyle w:val="BodyText"/>
      </w:pPr>
      <w:r>
        <w:t xml:space="preserve">Management Measures On Commuting Mode Choice. Comparing Web Vs. Face-Toface Surveys”. Transportation</w:t>
      </w:r>
      <w:r>
        <w:t xml:space="preserve"> </w:t>
      </w:r>
      <w:r>
        <w:t xml:space="preserve">Research Procedia, vol 32, 2018, pp. 363-373. Elsevier BV, doi:10.1016/j.trpro.2018.10.066. Accessed 17 Jan 2023.</w:t>
      </w:r>
    </w:p>
    <w:p>
      <w:pPr>
        <w:pStyle w:val="BodyText"/>
      </w:pPr>
      <w:r>
        <w:t xml:space="preserve">229 Tölke, M. and McKinnon, A. (2021), Op.cit.</w:t>
      </w:r>
      <w:r>
        <w:t xml:space="preserve"> </w:t>
      </w:r>
      <w:r>
        <w:t xml:space="preserve">230 New Eurobarometer Survey: Protecting the environment and climate is important for over 90% of European</w:t>
      </w:r>
      <w:r>
        <w:t xml:space="preserve"> </w:t>
      </w:r>
      <w:r>
        <w:t xml:space="preserve">citizens (3 March 2020)</w:t>
      </w:r>
      <w:r>
        <w:t xml:space="preserve"> </w:t>
      </w:r>
      <w:r>
        <w:t xml:space="preserve">231 Yang, Morgan et al. </w:t>
      </w:r>
      <w:r>
        <w:t xml:space="preserve">“An Institutional Perspective On Consumers’ Environmental Awareness And Pro‐</w:t>
      </w:r>
      <w:r>
        <w:t xml:space="preserve"> </w:t>
      </w:r>
      <w:r>
        <w:t xml:space="preserve">Environmental Behavioral Intention: Evidence From 39 Countries”</w:t>
      </w:r>
      <w:r>
        <w:t xml:space="preserve">. Business Strategy And The Environment, vol</w:t>
      </w:r>
      <w:r>
        <w:t xml:space="preserve"> </w:t>
      </w:r>
      <w:r>
        <w:t xml:space="preserve">30, no. 1, 2021, pp. 566-575., https://ideas.repec.org/a/bla/bstrat/v30y2021i1p566-575.html. Accessed 16 Jan 2023.</w:t>
      </w:r>
      <w:r>
        <w:t xml:space="preserve"> </w:t>
      </w:r>
      <w:r>
        <w:t xml:space="preserve">Daziano, R. et al. </w:t>
      </w:r>
      <w:r>
        <w:t xml:space="preserve">“Reframing Greenhouse Gas Emissions Information Presentation On The Environmental</w:t>
      </w:r>
      <w:r>
        <w:t xml:space="preserve"> </w:t>
      </w:r>
      <w:r>
        <w:t xml:space="preserve">Protection Agency’S New-Vehicle Labels To Increase Willingness To Pay”</w:t>
      </w:r>
      <w:r>
        <w:t xml:space="preserve">. Journal Of Cleaner Production, vol</w:t>
      </w:r>
      <w:r>
        <w:t xml:space="preserve"> </w:t>
      </w:r>
      <w:r>
        <w:t xml:space="preserve">279, 2021, p. 123669. Elsevier BV, doi:10.1016/j.jclepro.2020.123669. Accessed 17 Jan 2023. Daziano, Ricardo</w:t>
      </w:r>
      <w:r>
        <w:t xml:space="preserve"> </w:t>
      </w:r>
      <w:r>
        <w:t xml:space="preserve">A. et al. </w:t>
      </w:r>
      <w:r>
        <w:t xml:space="preserve">“Increasing The Influence Of CO2 Emissions Information On Car Purchase”</w:t>
      </w:r>
      <w:r>
        <w:t xml:space="preserve">. Journal Of Cleaner</w:t>
      </w:r>
      <w:r>
        <w:t xml:space="preserve"> </w:t>
      </w:r>
      <w:r>
        <w:t xml:space="preserve">Production, vol 164, 2017, pp. 861-871. Elsevier BV, doi:10.1016/j.jclepro.2017.07.001. Accessed 17 Jan 2023.</w:t>
      </w:r>
    </w:p>
    <w:p>
      <w:pPr>
        <w:pStyle w:val="BodyText"/>
      </w:pPr>
      <w:r>
        <w:t xml:space="preserve">126</w:t>
      </w:r>
    </w:p>
    <w:p>
      <w:pPr>
        <w:pStyle w:val="BodyText"/>
      </w:pPr>
      <w:r>
        <w:t xml:space="preserve">On the basis of this information, Table 82 the assumptions232 used for the period 2025-2050 are shown</w:t>
      </w:r>
      <w:r>
        <w:t xml:space="preserve"> </w:t>
      </w:r>
      <w:r>
        <w:t xml:space="preserve">in the table below. No evidence was identified for using differentiated assumptions over the period.</w:t>
      </w:r>
      <w:r>
        <w:br/>
      </w:r>
      <w:r>
        <w:t xml:space="preserve">Table 82: First level assumption values used for identifying the shares of activity for direct environmental impacts</w:t>
      </w:r>
      <w:r>
        <w:t xml:space="preserve"> </w:t>
      </w:r>
      <w:r>
        <w:t xml:space="preserve">Population</w:t>
      </w:r>
      <w:r>
        <w:t xml:space="preserve"> </w:t>
      </w:r>
      <w:r>
        <w:t xml:space="preserve">Shares over period 2025-2050</w:t>
      </w:r>
      <w:r>
        <w:t xml:space="preserve"> </w:t>
      </w:r>
      <w:r>
        <w:t xml:space="preserve">Passengers making sustainable choices among the climate aware populations</w:t>
      </w:r>
      <w:r>
        <w:t xml:space="preserve"> </w:t>
      </w:r>
      <w:r>
        <w:t xml:space="preserve">14%</w:t>
      </w:r>
      <w:r>
        <w:t xml:space="preserve"> </w:t>
      </w:r>
      <w:r>
        <w:t xml:space="preserve">Climate aware population over time</w:t>
      </w:r>
      <w:r>
        <w:t xml:space="preserve"> </w:t>
      </w:r>
      <w:r>
        <w:t xml:space="preserve">91%</w:t>
      </w:r>
      <w:r>
        <w:t xml:space="preserve"> </w:t>
      </w:r>
      <w:r>
        <w:t xml:space="preserve">Source : Ecorys and CE Delft (2023), Impact assessment support study</w:t>
      </w:r>
      <w:r>
        <w:t xml:space="preserve"> </w:t>
      </w:r>
      <w:r>
        <w:t xml:space="preserve">These values are used as proxy to identify the potential behavioural changes affecting the potential shift</w:t>
      </w:r>
      <w:r>
        <w:t xml:space="preserve"> </w:t>
      </w:r>
      <w:r>
        <w:t xml:space="preserve">towards more sustainable transport modes, but also a potential reduction in activity due to changes in</w:t>
      </w:r>
      <w:r>
        <w:t xml:space="preserve"> </w:t>
      </w:r>
      <w:r>
        <w:t xml:space="preserve">travelling habits.</w:t>
      </w:r>
      <w:r>
        <w:t xml:space="preserve"> </w:t>
      </w:r>
      <w:r>
        <w:t xml:space="preserve">The second level assumptions233 are those related to the mode choices impacting the shift of activity</w:t>
      </w:r>
      <w:r>
        <w:t xml:space="preserve"> </w:t>
      </w:r>
      <w:r>
        <w:t xml:space="preserve">between modes234 and optimisation of trips. The values in Table 83 (passengers transport) and Table</w:t>
      </w:r>
      <w:r>
        <w:t xml:space="preserve"> </w:t>
      </w:r>
      <w:r>
        <w:t xml:space="preserve">84 (freight transport) are based on the literature235, relevant case studies and use cases, and the feedback</w:t>
      </w:r>
      <w:r>
        <w:t xml:space="preserve"> </w:t>
      </w:r>
      <w:r>
        <w:t xml:space="preserve">from stakeholders’ consultation. They were also validated through a Peer Review236.</w:t>
      </w:r>
      <w:r>
        <w:br/>
      </w:r>
      <w:r>
        <w:t xml:space="preserve">These values show the share of potential transport activity subject to shifting across modes and</w:t>
      </w:r>
      <w:r>
        <w:t xml:space="preserve"> </w:t>
      </w:r>
      <w:r>
        <w:t xml:space="preserve">optimisation of trips due to GHG emissions accounting. They are used as proxies for the shift between</w:t>
      </w:r>
      <w:r>
        <w:t xml:space="preserve"> </w:t>
      </w:r>
      <w:r>
        <w:t xml:space="preserve">modes and optimisation of trips.</w:t>
      </w:r>
      <w:r>
        <w:t xml:space="preserve"> </w:t>
      </w:r>
      <w:r>
        <w:t xml:space="preserve">Table 83: Second level assumption matrix for the share of potential passenger transport activity subject to shifting across modes</w:t>
      </w:r>
      <w:r>
        <w:t xml:space="preserve"> </w:t>
      </w:r>
      <w:r>
        <w:t xml:space="preserve">and optimisation of trips due to GHG emissions accounting</w:t>
      </w:r>
      <w:r>
        <w:br/>
      </w:r>
      <w:r>
        <w:t xml:space="preserve">Input mode (-)</w:t>
      </w:r>
      <w:r>
        <w:t xml:space="preserve"> </w:t>
      </w:r>
      <w:r>
        <w:t xml:space="preserve">Output mode (+)</w:t>
      </w:r>
    </w:p>
    <w:p>
      <w:pPr>
        <w:pStyle w:val="BodyText"/>
      </w:pPr>
      <w:r>
        <w:t xml:space="preserve">Buses</w:t>
      </w:r>
      <w:r>
        <w:t xml:space="preserve"> </w:t>
      </w:r>
      <w:r>
        <w:t xml:space="preserve">and</w:t>
      </w:r>
      <w:r>
        <w:t xml:space="preserve"> </w:t>
      </w:r>
      <w:r>
        <w:t xml:space="preserve">coaches</w:t>
      </w:r>
      <w:r>
        <w:t xml:space="preserve"> </w:t>
      </w:r>
      <w:r>
        <w:t xml:space="preserve">Passe</w:t>
      </w:r>
      <w:r>
        <w:t xml:space="preserve"> </w:t>
      </w:r>
      <w:r>
        <w:t xml:space="preserve">nger</w:t>
      </w:r>
      <w:r>
        <w:t xml:space="preserve"> </w:t>
      </w:r>
      <w:r>
        <w:t xml:space="preserve">cars</w:t>
      </w:r>
      <w:r>
        <w:t xml:space="preserve"> </w:t>
      </w:r>
      <w:r>
        <w:t xml:space="preserve">and</w:t>
      </w:r>
      <w:r>
        <w:t xml:space="preserve"> </w:t>
      </w:r>
      <w:r>
        <w:t xml:space="preserve">vans</w:t>
      </w:r>
      <w:r>
        <w:t xml:space="preserve"> </w:t>
      </w:r>
      <w:r>
        <w:t xml:space="preserve">P2W</w:t>
      </w:r>
      <w:r>
        <w:t xml:space="preserve"> </w:t>
      </w:r>
      <w:r>
        <w:t xml:space="preserve">Rail</w:t>
      </w:r>
      <w:r>
        <w:t xml:space="preserve"> </w:t>
      </w:r>
      <w:r>
        <w:t xml:space="preserve">Domestic</w:t>
      </w:r>
      <w:r>
        <w:t xml:space="preserve"> </w:t>
      </w:r>
      <w:r>
        <w:t xml:space="preserve">and</w:t>
      </w:r>
      <w:r>
        <w:t xml:space="preserve"> </w:t>
      </w:r>
      <w:r>
        <w:t xml:space="preserve">Internati</w:t>
      </w:r>
      <w:r>
        <w:t xml:space="preserve"> </w:t>
      </w:r>
      <w:r>
        <w:t xml:space="preserve">onal</w:t>
      </w:r>
      <w:r>
        <w:t xml:space="preserve"> </w:t>
      </w:r>
      <w:r>
        <w:t xml:space="preserve">intra-EU</w:t>
      </w:r>
      <w:r>
        <w:t xml:space="preserve"> </w:t>
      </w:r>
      <w:r>
        <w:t xml:space="preserve">(air)</w:t>
      </w:r>
      <w:r>
        <w:t xml:space="preserve"> </w:t>
      </w:r>
      <w:r>
        <w:t xml:space="preserve">Internation</w:t>
      </w:r>
      <w:r>
        <w:t xml:space="preserve"> </w:t>
      </w:r>
      <w:r>
        <w:t xml:space="preserve">al extra-</w:t>
      </w:r>
      <w:r>
        <w:t xml:space="preserve"> </w:t>
      </w:r>
      <w:r>
        <w:t xml:space="preserve">EU (air)</w:t>
      </w:r>
      <w:r>
        <w:t xml:space="preserve"> </w:t>
      </w:r>
      <w:r>
        <w:t xml:space="preserve">IWW and</w:t>
      </w:r>
      <w:r>
        <w:t xml:space="preserve"> </w:t>
      </w:r>
      <w:r>
        <w:t xml:space="preserve">domestic</w:t>
      </w:r>
      <w:r>
        <w:t xml:space="preserve"> </w:t>
      </w:r>
      <w:r>
        <w:t xml:space="preserve">maritime</w:t>
      </w:r>
      <w:r>
        <w:t xml:space="preserve"> </w:t>
      </w:r>
      <w:r>
        <w:t xml:space="preserve">Intra-</w:t>
      </w:r>
      <w:r>
        <w:t xml:space="preserve"> </w:t>
      </w:r>
      <w:r>
        <w:t xml:space="preserve">EU</w:t>
      </w:r>
      <w:r>
        <w:t xml:space="preserve"> </w:t>
      </w:r>
      <w:r>
        <w:t xml:space="preserve">mariti</w:t>
      </w:r>
      <w:r>
        <w:t xml:space="preserve"> </w:t>
      </w:r>
      <w:r>
        <w:t xml:space="preserve">me</w:t>
      </w:r>
      <w:r>
        <w:t xml:space="preserve"> </w:t>
      </w:r>
      <w:r>
        <w:t xml:space="preserve">transp</w:t>
      </w:r>
      <w:r>
        <w:t xml:space="preserve"> </w:t>
      </w:r>
      <w:r>
        <w:t xml:space="preserve">ort</w:t>
      </w:r>
      <w:r>
        <w:t xml:space="preserve"> </w:t>
      </w:r>
      <w:r>
        <w:t xml:space="preserve">Road transport</w:t>
      </w:r>
    </w:p>
    <w:p>
      <w:pPr>
        <w:pStyle w:val="BodyText"/>
      </w:pPr>
      <w:r>
        <w:t xml:space="preserve">Buses and coaches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5%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Passenger cars and</w:t>
      </w:r>
      <w:r>
        <w:t xml:space="preserve"> </w:t>
      </w:r>
      <w:r>
        <w:t xml:space="preserve">vans (taxis)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2%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P2W</w:t>
      </w:r>
      <w:r>
        <w:t xml:space="preserve"> </w:t>
      </w:r>
      <w:r>
        <w:t xml:space="preserve">1%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Rail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Air transport</w:t>
      </w:r>
    </w:p>
    <w:p>
      <w:pPr>
        <w:pStyle w:val="BodyText"/>
      </w:pPr>
      <w:r>
        <w:t xml:space="preserve">232 Feedbacks from stakeholder consultation and literature review does not provide further evidence for a modal</w:t>
      </w:r>
      <w:r>
        <w:t xml:space="preserve"> </w:t>
      </w:r>
      <w:r>
        <w:t xml:space="preserve">shift in excess of 10% because of the harmonisation of GHG emissions methodology. Therefore, applying a</w:t>
      </w:r>
      <w:r>
        <w:t xml:space="preserve"> </w:t>
      </w:r>
      <w:r>
        <w:t xml:space="preserve">conservative approach, the modal shift has been capped at 10%.</w:t>
      </w:r>
      <w:r>
        <w:t xml:space="preserve"> </w:t>
      </w:r>
      <w:r>
        <w:t xml:space="preserve">233 CE Delft et al. (2023), Impact assessment support study</w:t>
      </w:r>
      <w:r>
        <w:t xml:space="preserve"> </w:t>
      </w:r>
      <w:r>
        <w:t xml:space="preserve">234 McKinnon, A.C. (2023). Preparing Logistics for the Low-Carbon Economy. In: Merkert, R., Hoberg, K. (eds)</w:t>
      </w:r>
      <w:r>
        <w:t xml:space="preserve"> </w:t>
      </w:r>
      <w:r>
        <w:t xml:space="preserve">Global Logistics and Supply Chain Strategies for the 2020s. Springer, Cham. https://doi.org/10.1007/978-3-030-</w:t>
      </w:r>
      <w:r>
        <w:t xml:space="preserve"> </w:t>
      </w:r>
      <w:r>
        <w:t xml:space="preserve">95764-3_6</w:t>
      </w:r>
      <w:r>
        <w:t xml:space="preserve"> </w:t>
      </w:r>
      <w:r>
        <w:t xml:space="preserve">235 Maja I. Piecyk, Alan C. McKinnon, Forecasting the carbon footprint of road freight transport in 2020,</w:t>
      </w:r>
      <w:r>
        <w:t xml:space="preserve"> </w:t>
      </w:r>
      <w:r>
        <w:t xml:space="preserve">International Journal of Production Economics, Volume 128, Issue 1, 2010, Pages 31-42, ISSN 0925-5273,</w:t>
      </w:r>
      <w:r>
        <w:t xml:space="preserve"> </w:t>
      </w:r>
      <w:r>
        <w:t xml:space="preserve">https://doi.org/10.1016/j.ijpe.2009.08.027.</w:t>
      </w:r>
      <w:r>
        <w:t xml:space="preserve"> </w:t>
      </w:r>
      <w:r>
        <w:t xml:space="preserve">236 CE Delft et al. (2023), Impact assessment support study. Prof. Alan McKinnon (Kuhne University).</w:t>
      </w:r>
    </w:p>
    <w:p>
      <w:pPr>
        <w:pStyle w:val="BodyText"/>
      </w:pPr>
      <w:r>
        <w:t xml:space="preserve">127</w:t>
      </w:r>
    </w:p>
    <w:p>
      <w:pPr>
        <w:pStyle w:val="BodyText"/>
      </w:pPr>
      <w:r>
        <w:t xml:space="preserve">Domestic and</w:t>
      </w:r>
      <w:r>
        <w:t xml:space="preserve"> </w:t>
      </w:r>
      <w:r>
        <w:t xml:space="preserve">International intra-EU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50%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International extra-EU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40%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Inland waterway and</w:t>
      </w:r>
      <w:r>
        <w:t xml:space="preserve"> </w:t>
      </w:r>
      <w:r>
        <w:t xml:space="preserve">domestic maritime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Intra-EU maritime</w:t>
      </w:r>
      <w:r>
        <w:t xml:space="preserve"> </w:t>
      </w:r>
      <w:r>
        <w:t xml:space="preserve">transport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Source : Ecorys and CE Delft (2023), Impact assessment support study</w:t>
      </w:r>
      <w:r>
        <w:t xml:space="preserve"> </w:t>
      </w:r>
      <w:r>
        <w:t xml:space="preserve">Table 84: second level assumption matrix for the share of potential freight transport activity subject to shifting across modes</w:t>
      </w:r>
      <w:r>
        <w:t xml:space="preserve"> </w:t>
      </w:r>
      <w:r>
        <w:t xml:space="preserve">and optimisation of trips due to GHG emissions accounting</w:t>
      </w:r>
      <w:r>
        <w:br/>
      </w:r>
      <w:r>
        <w:t xml:space="preserve">Input mode (-)</w:t>
      </w:r>
      <w:r>
        <w:t xml:space="preserve"> </w:t>
      </w:r>
      <w:r>
        <w:t xml:space="preserve">Output mode (+)</w:t>
      </w:r>
    </w:p>
    <w:p>
      <w:pPr>
        <w:pStyle w:val="BodyText"/>
      </w:pPr>
      <w:r>
        <w:t xml:space="preserve">Road</w:t>
      </w:r>
      <w:r>
        <w:t xml:space="preserve"> </w:t>
      </w:r>
      <w:r>
        <w:t xml:space="preserve">freight</w:t>
      </w:r>
      <w:r>
        <w:t xml:space="preserve"> </w:t>
      </w:r>
      <w:r>
        <w:t xml:space="preserve">transport</w:t>
      </w:r>
      <w:r>
        <w:t xml:space="preserve"> </w:t>
      </w:r>
      <w:r>
        <w:t xml:space="preserve">Rail</w:t>
      </w:r>
      <w:r>
        <w:t xml:space="preserve"> </w:t>
      </w:r>
      <w:r>
        <w:t xml:space="preserve">IWW and</w:t>
      </w:r>
      <w:r>
        <w:t xml:space="preserve"> </w:t>
      </w:r>
      <w:r>
        <w:t xml:space="preserve">domestic</w:t>
      </w:r>
      <w:r>
        <w:t xml:space="preserve"> </w:t>
      </w:r>
      <w:r>
        <w:t xml:space="preserve">maritime</w:t>
      </w:r>
      <w:r>
        <w:t xml:space="preserve"> </w:t>
      </w:r>
      <w:r>
        <w:t xml:space="preserve">International</w:t>
      </w:r>
      <w:r>
        <w:t xml:space="preserve"> </w:t>
      </w:r>
      <w:r>
        <w:t xml:space="preserve">maritime</w:t>
      </w:r>
      <w:r>
        <w:t xml:space="preserve"> </w:t>
      </w:r>
      <w:r>
        <w:t xml:space="preserve">activity</w:t>
      </w:r>
      <w:r>
        <w:br/>
      </w:r>
      <w:r>
        <w:t xml:space="preserve">Road transport</w:t>
      </w:r>
      <w:r>
        <w:t xml:space="preserve"> </w:t>
      </w:r>
      <w:r>
        <w:t xml:space="preserve">0%</w:t>
      </w:r>
      <w:r>
        <w:t xml:space="preserve"> </w:t>
      </w:r>
      <w:r>
        <w:t xml:space="preserve">40%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Rail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Inland waterway and domestic maritime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International maritime activity</w:t>
      </w:r>
      <w:r>
        <w:br/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Source : Ecorys and CE Delft (2023), Impact assessment support study</w:t>
      </w:r>
      <w:r>
        <w:t xml:space="preserve"> </w:t>
      </w:r>
      <w:r>
        <w:t xml:space="preserve">The proxies above together with the difference between the uptake of GHG emissions accounting in</w:t>
      </w:r>
      <w:r>
        <w:t xml:space="preserve"> </w:t>
      </w:r>
      <w:r>
        <w:t xml:space="preserve">the different POs and the uptake in the baseline are used to derive the changes in transport activity in</w:t>
      </w:r>
      <w:r>
        <w:t xml:space="preserve"> </w:t>
      </w:r>
      <w:r>
        <w:t xml:space="preserve">each policy option relative to the baseline (see Table 85). In the following step, energy intensity and</w:t>
      </w:r>
      <w:r>
        <w:t xml:space="preserve"> </w:t>
      </w:r>
      <w:r>
        <w:t xml:space="preserve">emission intensity factors from PRIMES-TREMOVE are used to calculate the changes in emissions</w:t>
      </w:r>
      <w:r>
        <w:t xml:space="preserve"> </w:t>
      </w:r>
      <w:r>
        <w:t xml:space="preserve">and fuel used.</w:t>
      </w:r>
      <w:r>
        <w:br/>
      </w:r>
      <w:r>
        <w:t xml:space="preserve">More specifically, the energy use by policy option is derived based on the transport activity by</w:t>
      </w:r>
      <w:r>
        <w:t xml:space="preserve"> </w:t>
      </w:r>
      <w:r>
        <w:t xml:space="preserve">transport mode corresponding to each option and the projected energy intensity per transport</w:t>
      </w:r>
      <w:r>
        <w:t xml:space="preserve"> </w:t>
      </w:r>
      <w:r>
        <w:t xml:space="preserve">mode from the baseline scenario. The energy intensity is expressed in ton of oil equivalent (toe)</w:t>
      </w:r>
      <w:r>
        <w:t xml:space="preserve"> </w:t>
      </w:r>
      <w:r>
        <w:t xml:space="preserve">per tonne-kilometre and takes into account all energy forms, including green electricity and</w:t>
      </w:r>
      <w:r>
        <w:t xml:space="preserve"> </w:t>
      </w:r>
      <w:r>
        <w:t xml:space="preserve">hydrogen. The energy savings are computed by taking the difference between the energy use in</w:t>
      </w:r>
      <w:r>
        <w:t xml:space="preserve"> </w:t>
      </w:r>
      <w:r>
        <w:t xml:space="preserve">the policy options and the baseline. Finally, projected average fuel costs in EUR per toe for each</w:t>
      </w:r>
      <w:r>
        <w:t xml:space="preserve"> </w:t>
      </w:r>
      <w:r>
        <w:t xml:space="preserve">transport mode from the baseline scenario is used to monetise the energy savings. The average</w:t>
      </w:r>
      <w:r>
        <w:t xml:space="preserve"> </w:t>
      </w:r>
      <w:r>
        <w:t xml:space="preserve">fuel costs takes into account all the energy forms used by transport mode, including green</w:t>
      </w:r>
      <w:r>
        <w:t xml:space="preserve"> </w:t>
      </w:r>
      <w:r>
        <w:t xml:space="preserve">electricity and hydrogen. It needs to be clarified that the baseline scenario of this initiative</w:t>
      </w:r>
      <w:r>
        <w:t xml:space="preserve"> </w:t>
      </w:r>
      <w:r>
        <w:t xml:space="preserve">includes significant reductions in the energy intensity of all modes over time. This is because it</w:t>
      </w:r>
      <w:r>
        <w:t xml:space="preserve"> </w:t>
      </w:r>
      <w:r>
        <w:t xml:space="preserve">reflects the ‘Fit for 55’ and the REPowerEU packages. Yet, the rail transport shows significantly</w:t>
      </w:r>
      <w:r>
        <w:t xml:space="preserve"> </w:t>
      </w:r>
      <w:r>
        <w:t xml:space="preserve">lower energy intensity per tonne-kilometres than other modes, as also the case today.</w:t>
      </w:r>
      <w:r>
        <w:t xml:space="preserve"> </w:t>
      </w:r>
      <w:r>
        <w:t xml:space="preserve">Similarly to the energy use, the GHG emissions by policy option is derived based on the transport</w:t>
      </w:r>
      <w:r>
        <w:t xml:space="preserve"> </w:t>
      </w:r>
      <w:r>
        <w:t xml:space="preserve">activity by transport mode corresponding to each option and the projected emissions intensity</w:t>
      </w:r>
      <w:r>
        <w:t xml:space="preserve"> </w:t>
      </w:r>
      <w:r>
        <w:t xml:space="preserve">per transport mode from the baseline scenario. The GHG emissions savings are computed by</w:t>
      </w:r>
      <w:r>
        <w:t xml:space="preserve"> </w:t>
      </w:r>
      <w:r>
        <w:t xml:space="preserve">taking the difference between the energy use in the policy options and the baseline.</w:t>
      </w:r>
      <w:r>
        <w:t xml:space="preserve"> </w:t>
      </w:r>
      <w:r>
        <w:t xml:space="preserve">Table 85: Changes in transport activity due to CountEmissions EU relative to the baseline (% change relative to the baseline)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PO1</w:t>
      </w:r>
    </w:p>
    <w:p>
      <w:pPr>
        <w:pStyle w:val="BodyText"/>
      </w:pPr>
      <w:r>
        <w:t xml:space="preserve">128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Total passenger transport activity (Gpkm)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-0.1%</w:t>
      </w:r>
      <w:r>
        <w:t xml:space="preserve"> </w:t>
      </w:r>
      <w:r>
        <w:t xml:space="preserve">-0.1%</w:t>
      </w:r>
      <w:r>
        <w:t xml:space="preserve"> </w:t>
      </w:r>
      <w:r>
        <w:t xml:space="preserve">Road transport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Buses and coaches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-0.1%</w:t>
      </w:r>
      <w:r>
        <w:t xml:space="preserve"> </w:t>
      </w:r>
      <w:r>
        <w:t xml:space="preserve">-0.1%</w:t>
      </w:r>
      <w:r>
        <w:t xml:space="preserve"> </w:t>
      </w:r>
      <w:r>
        <w:t xml:space="preserve">Passenger cars and vans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P2W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Rail</w:t>
      </w:r>
      <w:r>
        <w:t xml:space="preserve"> </w:t>
      </w:r>
      <w:r>
        <w:t xml:space="preserve">0.1%</w:t>
      </w:r>
      <w:r>
        <w:t xml:space="preserve"> </w:t>
      </w:r>
      <w:r>
        <w:t xml:space="preserve">0.5%</w:t>
      </w:r>
      <w:r>
        <w:t xml:space="preserve"> </w:t>
      </w:r>
      <w:r>
        <w:t xml:space="preserve">0.8%</w:t>
      </w:r>
      <w:r>
        <w:t xml:space="preserve"> </w:t>
      </w:r>
      <w:r>
        <w:t xml:space="preserve">0.8%</w:t>
      </w:r>
      <w:r>
        <w:t xml:space="preserve"> </w:t>
      </w:r>
      <w:r>
        <w:t xml:space="preserve">Air transport</w:t>
      </w:r>
      <w:r>
        <w:t xml:space="preserve"> </w:t>
      </w:r>
      <w:r>
        <w:t xml:space="preserve">0.0%</w:t>
      </w:r>
      <w:r>
        <w:t xml:space="preserve"> </w:t>
      </w:r>
      <w:r>
        <w:t xml:space="preserve">-0.3%</w:t>
      </w:r>
      <w:r>
        <w:t xml:space="preserve"> </w:t>
      </w:r>
      <w:r>
        <w:t xml:space="preserve">-0.5%</w:t>
      </w:r>
      <w:r>
        <w:t xml:space="preserve"> </w:t>
      </w:r>
      <w:r>
        <w:t xml:space="preserve">-0.5%</w:t>
      </w:r>
      <w:r>
        <w:t xml:space="preserve"> </w:t>
      </w:r>
      <w:r>
        <w:t xml:space="preserve">Domestic and International intra-EU</w:t>
      </w:r>
      <w:r>
        <w:t xml:space="preserve"> </w:t>
      </w:r>
      <w:r>
        <w:t xml:space="preserve">0.0%</w:t>
      </w:r>
      <w:r>
        <w:t xml:space="preserve"> </w:t>
      </w:r>
      <w:r>
        <w:t xml:space="preserve">-0.3%</w:t>
      </w:r>
      <w:r>
        <w:t xml:space="preserve"> </w:t>
      </w:r>
      <w:r>
        <w:t xml:space="preserve">-0.6%</w:t>
      </w:r>
      <w:r>
        <w:t xml:space="preserve"> </w:t>
      </w:r>
      <w:r>
        <w:t xml:space="preserve">-0.6%</w:t>
      </w:r>
      <w:r>
        <w:t xml:space="preserve"> </w:t>
      </w:r>
      <w:r>
        <w:t xml:space="preserve">International extra-EU</w:t>
      </w:r>
      <w:r>
        <w:t xml:space="preserve"> </w:t>
      </w:r>
      <w:r>
        <w:t xml:space="preserve">0.0%</w:t>
      </w:r>
      <w:r>
        <w:t xml:space="preserve"> </w:t>
      </w:r>
      <w:r>
        <w:t xml:space="preserve">-0.3%</w:t>
      </w:r>
      <w:r>
        <w:t xml:space="preserve"> </w:t>
      </w:r>
      <w:r>
        <w:t xml:space="preserve">-0.5%</w:t>
      </w:r>
      <w:r>
        <w:t xml:space="preserve"> </w:t>
      </w:r>
      <w:r>
        <w:t xml:space="preserve">-0.5%</w:t>
      </w:r>
      <w:r>
        <w:t xml:space="preserve"> </w:t>
      </w:r>
      <w:r>
        <w:t xml:space="preserve">Inland waterway and domestic maritime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Intra-EU maritime transport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Total freight transport activity (Gtkm)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Road transport</w:t>
      </w:r>
      <w:r>
        <w:t xml:space="preserve"> </w:t>
      </w:r>
      <w:r>
        <w:t xml:space="preserve">0.0%</w:t>
      </w:r>
      <w:r>
        <w:t xml:space="preserve"> </w:t>
      </w:r>
      <w:r>
        <w:t xml:space="preserve">-0.3%</w:t>
      </w:r>
      <w:r>
        <w:t xml:space="preserve"> </w:t>
      </w:r>
      <w:r>
        <w:t xml:space="preserve">-0.5%</w:t>
      </w:r>
      <w:r>
        <w:t xml:space="preserve"> </w:t>
      </w:r>
      <w:r>
        <w:t xml:space="preserve">-0.5%</w:t>
      </w:r>
      <w:r>
        <w:t xml:space="preserve"> </w:t>
      </w:r>
      <w:r>
        <w:t xml:space="preserve">Rail</w:t>
      </w:r>
      <w:r>
        <w:t xml:space="preserve"> </w:t>
      </w:r>
      <w:r>
        <w:t xml:space="preserve">0.1%</w:t>
      </w:r>
      <w:r>
        <w:t xml:space="preserve"> </w:t>
      </w:r>
      <w:r>
        <w:t xml:space="preserve">0.4%</w:t>
      </w:r>
      <w:r>
        <w:t xml:space="preserve"> </w:t>
      </w:r>
      <w:r>
        <w:t xml:space="preserve">0.7%</w:t>
      </w:r>
      <w:r>
        <w:t xml:space="preserve"> </w:t>
      </w:r>
      <w:r>
        <w:t xml:space="preserve">0.7%</w:t>
      </w:r>
      <w:r>
        <w:t xml:space="preserve"> </w:t>
      </w:r>
      <w:r>
        <w:t xml:space="preserve">Inland waterway and domestic maritime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International maritime activity</w:t>
      </w:r>
      <w:r>
        <w:br/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PO2</w:t>
      </w:r>
    </w:p>
    <w:p>
      <w:pPr>
        <w:pStyle w:val="BodyText"/>
      </w:pPr>
      <w:r>
        <w:t xml:space="preserve">Total passenger transport activity (Gpkm)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Road transport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Buses and coaches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Passenger cars and vans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P2W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Rail</w:t>
      </w:r>
      <w:r>
        <w:t xml:space="preserve"> </w:t>
      </w:r>
      <w:r>
        <w:t xml:space="preserve">0.1%</w:t>
      </w:r>
      <w:r>
        <w:t xml:space="preserve"> </w:t>
      </w:r>
      <w:r>
        <w:t xml:space="preserve">0.2%</w:t>
      </w:r>
      <w:r>
        <w:t xml:space="preserve"> </w:t>
      </w:r>
      <w:r>
        <w:t xml:space="preserve">0.1%</w:t>
      </w:r>
      <w:r>
        <w:t xml:space="preserve"> </w:t>
      </w:r>
      <w:r>
        <w:t xml:space="preserve">0.0%</w:t>
      </w:r>
      <w:r>
        <w:t xml:space="preserve"> </w:t>
      </w:r>
      <w:r>
        <w:t xml:space="preserve">Air transport</w:t>
      </w:r>
      <w:r>
        <w:t xml:space="preserve"> </w:t>
      </w:r>
      <w:r>
        <w:t xml:space="preserve">-0.1%</w:t>
      </w:r>
      <w:r>
        <w:t xml:space="preserve"> </w:t>
      </w:r>
      <w:r>
        <w:t xml:space="preserve">-0.1%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Domestic and International intra-EU</w:t>
      </w:r>
      <w:r>
        <w:t xml:space="preserve"> </w:t>
      </w:r>
      <w:r>
        <w:t xml:space="preserve">-0.1%</w:t>
      </w:r>
      <w:r>
        <w:t xml:space="preserve"> </w:t>
      </w:r>
      <w:r>
        <w:t xml:space="preserve">-0.1%</w:t>
      </w:r>
      <w:r>
        <w:t xml:space="preserve"> </w:t>
      </w:r>
      <w:r>
        <w:t xml:space="preserve">-0.1%</w:t>
      </w:r>
      <w:r>
        <w:t xml:space="preserve"> </w:t>
      </w:r>
      <w:r>
        <w:t xml:space="preserve">0.0%</w:t>
      </w:r>
      <w:r>
        <w:t xml:space="preserve"> </w:t>
      </w:r>
      <w:r>
        <w:t xml:space="preserve">International extra-EU</w:t>
      </w:r>
      <w:r>
        <w:t xml:space="preserve"> </w:t>
      </w:r>
      <w:r>
        <w:t xml:space="preserve">0.0%</w:t>
      </w:r>
      <w:r>
        <w:t xml:space="preserve"> </w:t>
      </w:r>
      <w:r>
        <w:t xml:space="preserve">-0.1%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Inland waterway and domestic maritime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Intra-EU maritime transport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Total freight transport activity (Gtkm)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Road transport</w:t>
      </w:r>
      <w:r>
        <w:t xml:space="preserve"> </w:t>
      </w:r>
      <w:r>
        <w:t xml:space="preserve">0.0%</w:t>
      </w:r>
      <w:r>
        <w:t xml:space="preserve"> </w:t>
      </w:r>
      <w:r>
        <w:t xml:space="preserve">-0.1%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Rail</w:t>
      </w:r>
      <w:r>
        <w:t xml:space="preserve"> </w:t>
      </w:r>
      <w:r>
        <w:t xml:space="preserve">0.1%</w:t>
      </w:r>
      <w:r>
        <w:t xml:space="preserve"> </w:t>
      </w:r>
      <w:r>
        <w:t xml:space="preserve">0.1%</w:t>
      </w:r>
      <w:r>
        <w:t xml:space="preserve"> </w:t>
      </w:r>
      <w:r>
        <w:t xml:space="preserve">0.1%</w:t>
      </w:r>
      <w:r>
        <w:t xml:space="preserve"> </w:t>
      </w:r>
      <w:r>
        <w:t xml:space="preserve">0.0%</w:t>
      </w:r>
      <w:r>
        <w:t xml:space="preserve"> </w:t>
      </w:r>
      <w:r>
        <w:t xml:space="preserve">Inland waterway and domestic maritime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International maritime activity</w:t>
      </w:r>
      <w:r>
        <w:br/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PO3</w:t>
      </w:r>
    </w:p>
    <w:p>
      <w:pPr>
        <w:pStyle w:val="BodyText"/>
      </w:pPr>
      <w:r>
        <w:t xml:space="preserve">Total passenger transport activity (Gpkm)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Road transport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Buses and coaches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Passenger cars and vans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P2W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Rail</w:t>
      </w:r>
      <w:r>
        <w:t xml:space="preserve"> </w:t>
      </w:r>
      <w:r>
        <w:t xml:space="preserve">0.0%</w:t>
      </w:r>
      <w:r>
        <w:t xml:space="preserve"> </w:t>
      </w:r>
      <w:r>
        <w:t xml:space="preserve">0.1%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Air transport</w:t>
      </w:r>
      <w:r>
        <w:t xml:space="preserve"> </w:t>
      </w:r>
      <w:r>
        <w:t xml:space="preserve">0.0%</w:t>
      </w:r>
      <w:r>
        <w:t xml:space="preserve"> </w:t>
      </w:r>
      <w:r>
        <w:t xml:space="preserve">-0.1%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Domestic and International intra-EU</w:t>
      </w:r>
      <w:r>
        <w:t xml:space="preserve"> </w:t>
      </w:r>
      <w:r>
        <w:t xml:space="preserve">0.0%</w:t>
      </w:r>
      <w:r>
        <w:t xml:space="preserve"> </w:t>
      </w:r>
      <w:r>
        <w:t xml:space="preserve">-0.1%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International extra-EU</w:t>
      </w:r>
      <w:r>
        <w:t xml:space="preserve"> </w:t>
      </w:r>
      <w:r>
        <w:t xml:space="preserve">0.0%</w:t>
      </w:r>
      <w:r>
        <w:t xml:space="preserve"> </w:t>
      </w:r>
      <w:r>
        <w:t xml:space="preserve">-0.1%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Inland waterway and domestic maritime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Intra-EU maritime transport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Total freight transport activity (Gtkm)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</w:p>
    <w:p>
      <w:pPr>
        <w:pStyle w:val="BodyText"/>
      </w:pPr>
      <w:r>
        <w:t xml:space="preserve">129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Road transport</w:t>
      </w:r>
      <w:r>
        <w:t xml:space="preserve"> </w:t>
      </w:r>
      <w:r>
        <w:t xml:space="preserve">0.0%</w:t>
      </w:r>
      <w:r>
        <w:t xml:space="preserve"> </w:t>
      </w:r>
      <w:r>
        <w:t xml:space="preserve">-0.1%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Rail</w:t>
      </w:r>
      <w:r>
        <w:t xml:space="preserve"> </w:t>
      </w:r>
      <w:r>
        <w:t xml:space="preserve">0.0%</w:t>
      </w:r>
      <w:r>
        <w:t xml:space="preserve"> </w:t>
      </w:r>
      <w:r>
        <w:t xml:space="preserve">0.1%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Inland waterway and domestic maritime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International maritime activity</w:t>
      </w:r>
      <w:r>
        <w:br/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PO4</w:t>
      </w:r>
    </w:p>
    <w:p>
      <w:pPr>
        <w:pStyle w:val="BodyText"/>
      </w:pPr>
      <w:r>
        <w:t xml:space="preserve">Total passenger transport activity (Gpkm)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Road transport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Buses and coaches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Passenger cars and vans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P2W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Rail</w:t>
      </w:r>
      <w:r>
        <w:t xml:space="preserve"> </w:t>
      </w:r>
      <w:r>
        <w:t xml:space="preserve">0.1%</w:t>
      </w:r>
      <w:r>
        <w:t xml:space="preserve"> </w:t>
      </w:r>
      <w:r>
        <w:t xml:space="preserve">0.2%</w:t>
      </w:r>
      <w:r>
        <w:t xml:space="preserve"> </w:t>
      </w:r>
      <w:r>
        <w:t xml:space="preserve">0.1%</w:t>
      </w:r>
      <w:r>
        <w:t xml:space="preserve"> </w:t>
      </w:r>
      <w:r>
        <w:t xml:space="preserve">0.1%</w:t>
      </w:r>
      <w:r>
        <w:t xml:space="preserve"> </w:t>
      </w:r>
      <w:r>
        <w:t xml:space="preserve">Air transport</w:t>
      </w:r>
      <w:r>
        <w:t xml:space="preserve"> </w:t>
      </w:r>
      <w:r>
        <w:t xml:space="preserve">-0.1%</w:t>
      </w:r>
      <w:r>
        <w:t xml:space="preserve"> </w:t>
      </w:r>
      <w:r>
        <w:t xml:space="preserve">-0.1%</w:t>
      </w:r>
      <w:r>
        <w:t xml:space="preserve"> </w:t>
      </w:r>
      <w:r>
        <w:t xml:space="preserve">-0.1%</w:t>
      </w:r>
      <w:r>
        <w:t xml:space="preserve"> </w:t>
      </w:r>
      <w:r>
        <w:t xml:space="preserve">0.0%</w:t>
      </w:r>
      <w:r>
        <w:t xml:space="preserve"> </w:t>
      </w:r>
      <w:r>
        <w:t xml:space="preserve">Domestic and International intra-EU</w:t>
      </w:r>
      <w:r>
        <w:t xml:space="preserve"> </w:t>
      </w:r>
      <w:r>
        <w:t xml:space="preserve">-0.1%</w:t>
      </w:r>
      <w:r>
        <w:t xml:space="preserve"> </w:t>
      </w:r>
      <w:r>
        <w:t xml:space="preserve">-0.2%</w:t>
      </w:r>
      <w:r>
        <w:t xml:space="preserve"> </w:t>
      </w:r>
      <w:r>
        <w:t xml:space="preserve">-0.1%</w:t>
      </w:r>
      <w:r>
        <w:t xml:space="preserve"> </w:t>
      </w:r>
      <w:r>
        <w:t xml:space="preserve">0.0%</w:t>
      </w:r>
      <w:r>
        <w:t xml:space="preserve"> </w:t>
      </w:r>
      <w:r>
        <w:t xml:space="preserve">International extra-EU</w:t>
      </w:r>
      <w:r>
        <w:t xml:space="preserve"> </w:t>
      </w:r>
      <w:r>
        <w:t xml:space="preserve">-0.1%</w:t>
      </w:r>
      <w:r>
        <w:t xml:space="preserve"> </w:t>
      </w:r>
      <w:r>
        <w:t xml:space="preserve">-0.1%</w:t>
      </w:r>
      <w:r>
        <w:t xml:space="preserve"> </w:t>
      </w:r>
      <w:r>
        <w:t xml:space="preserve">-0.1%</w:t>
      </w:r>
      <w:r>
        <w:t xml:space="preserve"> </w:t>
      </w:r>
      <w:r>
        <w:t xml:space="preserve">0.0%</w:t>
      </w:r>
      <w:r>
        <w:t xml:space="preserve"> </w:t>
      </w:r>
      <w:r>
        <w:t xml:space="preserve">Inland waterway and domestic maritime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Intra-EU maritime transport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Total freight transport activity (Gtkm)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Road transport</w:t>
      </w:r>
      <w:r>
        <w:t xml:space="preserve"> </w:t>
      </w:r>
      <w:r>
        <w:t xml:space="preserve">-0.1%</w:t>
      </w:r>
      <w:r>
        <w:t xml:space="preserve"> </w:t>
      </w:r>
      <w:r>
        <w:t xml:space="preserve">-0.1%</w:t>
      </w:r>
      <w:r>
        <w:t xml:space="preserve"> </w:t>
      </w:r>
      <w:r>
        <w:t xml:space="preserve">-0.1%</w:t>
      </w:r>
      <w:r>
        <w:t xml:space="preserve"> </w:t>
      </w:r>
      <w:r>
        <w:t xml:space="preserve">0.0%</w:t>
      </w:r>
      <w:r>
        <w:t xml:space="preserve"> </w:t>
      </w:r>
      <w:r>
        <w:t xml:space="preserve">Rail</w:t>
      </w:r>
      <w:r>
        <w:t xml:space="preserve"> </w:t>
      </w:r>
      <w:r>
        <w:t xml:space="preserve">0.1%</w:t>
      </w:r>
      <w:r>
        <w:t xml:space="preserve"> </w:t>
      </w:r>
      <w:r>
        <w:t xml:space="preserve">0.2%</w:t>
      </w:r>
      <w:r>
        <w:t xml:space="preserve"> </w:t>
      </w:r>
      <w:r>
        <w:t xml:space="preserve">0.1%</w:t>
      </w:r>
      <w:r>
        <w:t xml:space="preserve"> </w:t>
      </w:r>
      <w:r>
        <w:t xml:space="preserve">0.0%</w:t>
      </w:r>
      <w:r>
        <w:t xml:space="preserve"> </w:t>
      </w:r>
      <w:r>
        <w:t xml:space="preserve">Inland waterway and domestic maritime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International maritime activity</w:t>
      </w:r>
      <w:r>
        <w:br/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PO5</w:t>
      </w:r>
    </w:p>
    <w:p>
      <w:pPr>
        <w:pStyle w:val="BodyText"/>
      </w:pPr>
      <w:r>
        <w:t xml:space="preserve">Total passenger transport activity (Gpkm)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Road transport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Buses and coaches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Passenger cars and vans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P2W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Rail</w:t>
      </w:r>
      <w:r>
        <w:t xml:space="preserve"> </w:t>
      </w:r>
      <w:r>
        <w:t xml:space="preserve">0.0%</w:t>
      </w:r>
      <w:r>
        <w:t xml:space="preserve"> </w:t>
      </w:r>
      <w:r>
        <w:t xml:space="preserve">0.1%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Air transport</w:t>
      </w:r>
      <w:r>
        <w:t xml:space="preserve"> </w:t>
      </w:r>
      <w:r>
        <w:t xml:space="preserve">0.0%</w:t>
      </w:r>
      <w:r>
        <w:t xml:space="preserve"> </w:t>
      </w:r>
      <w:r>
        <w:t xml:space="preserve">-0.1%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Domestic and International intra-EU</w:t>
      </w:r>
      <w:r>
        <w:t xml:space="preserve"> </w:t>
      </w:r>
      <w:r>
        <w:t xml:space="preserve">0.0%</w:t>
      </w:r>
      <w:r>
        <w:t xml:space="preserve"> </w:t>
      </w:r>
      <w:r>
        <w:t xml:space="preserve">-0.1%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International extra-EU</w:t>
      </w:r>
      <w:r>
        <w:t xml:space="preserve"> </w:t>
      </w:r>
      <w:r>
        <w:t xml:space="preserve">0.0%</w:t>
      </w:r>
      <w:r>
        <w:t xml:space="preserve"> </w:t>
      </w:r>
      <w:r>
        <w:t xml:space="preserve">-0.1%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Inland waterway and domestic maritime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Intra-EU maritime transport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Total freight transport activity (Gtkm)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Road transport</w:t>
      </w:r>
      <w:r>
        <w:t xml:space="preserve"> </w:t>
      </w:r>
      <w:r>
        <w:t xml:space="preserve">0.0%</w:t>
      </w:r>
      <w:r>
        <w:t xml:space="preserve"> </w:t>
      </w:r>
      <w:r>
        <w:t xml:space="preserve">-0.1%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Rail</w:t>
      </w:r>
      <w:r>
        <w:t xml:space="preserve"> </w:t>
      </w:r>
      <w:r>
        <w:t xml:space="preserve">0.0%</w:t>
      </w:r>
      <w:r>
        <w:t xml:space="preserve"> </w:t>
      </w:r>
      <w:r>
        <w:t xml:space="preserve">0.1%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Inland waterway and domestic maritime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International maritime activity</w:t>
      </w:r>
      <w:r>
        <w:br/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PO6</w:t>
      </w:r>
    </w:p>
    <w:p>
      <w:pPr>
        <w:pStyle w:val="BodyText"/>
      </w:pPr>
      <w:r>
        <w:t xml:space="preserve">Total passenger transport activity (Gpkm)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-0.1%</w:t>
      </w:r>
      <w:r>
        <w:t xml:space="preserve"> </w:t>
      </w:r>
      <w:r>
        <w:t xml:space="preserve">-0.1%</w:t>
      </w:r>
      <w:r>
        <w:t xml:space="preserve"> </w:t>
      </w:r>
      <w:r>
        <w:t xml:space="preserve">Road transport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Buses and coaches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-0.1%</w:t>
      </w:r>
      <w:r>
        <w:t xml:space="preserve"> </w:t>
      </w:r>
      <w:r>
        <w:t xml:space="preserve">-0.1%</w:t>
      </w:r>
      <w:r>
        <w:t xml:space="preserve"> </w:t>
      </w:r>
      <w:r>
        <w:t xml:space="preserve">Passenger cars and vans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P2W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</w:p>
    <w:p>
      <w:pPr>
        <w:pStyle w:val="BodyText"/>
      </w:pPr>
      <w:r>
        <w:t xml:space="preserve">130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Rail</w:t>
      </w:r>
      <w:r>
        <w:t xml:space="preserve"> </w:t>
      </w:r>
      <w:r>
        <w:t xml:space="preserve">0.1%</w:t>
      </w:r>
      <w:r>
        <w:t xml:space="preserve"> </w:t>
      </w:r>
      <w:r>
        <w:t xml:space="preserve">0.5%</w:t>
      </w:r>
      <w:r>
        <w:t xml:space="preserve"> </w:t>
      </w:r>
      <w:r>
        <w:t xml:space="preserve">0.8%</w:t>
      </w:r>
      <w:r>
        <w:t xml:space="preserve"> </w:t>
      </w:r>
      <w:r>
        <w:t xml:space="preserve">0.8%</w:t>
      </w:r>
      <w:r>
        <w:t xml:space="preserve"> </w:t>
      </w:r>
      <w:r>
        <w:t xml:space="preserve">Air transport</w:t>
      </w:r>
      <w:r>
        <w:t xml:space="preserve"> </w:t>
      </w:r>
      <w:r>
        <w:t xml:space="preserve">0.0%</w:t>
      </w:r>
      <w:r>
        <w:t xml:space="preserve"> </w:t>
      </w:r>
      <w:r>
        <w:t xml:space="preserve">-0.3%</w:t>
      </w:r>
      <w:r>
        <w:t xml:space="preserve"> </w:t>
      </w:r>
      <w:r>
        <w:t xml:space="preserve">-0.5%</w:t>
      </w:r>
      <w:r>
        <w:t xml:space="preserve"> </w:t>
      </w:r>
      <w:r>
        <w:t xml:space="preserve">-0.5%</w:t>
      </w:r>
      <w:r>
        <w:t xml:space="preserve"> </w:t>
      </w:r>
      <w:r>
        <w:t xml:space="preserve">Domestic and International intra-EU</w:t>
      </w:r>
      <w:r>
        <w:t xml:space="preserve"> </w:t>
      </w:r>
      <w:r>
        <w:t xml:space="preserve">0.0%</w:t>
      </w:r>
      <w:r>
        <w:t xml:space="preserve"> </w:t>
      </w:r>
      <w:r>
        <w:t xml:space="preserve">-0.3%</w:t>
      </w:r>
      <w:r>
        <w:t xml:space="preserve"> </w:t>
      </w:r>
      <w:r>
        <w:t xml:space="preserve">-0.6%</w:t>
      </w:r>
      <w:r>
        <w:t xml:space="preserve"> </w:t>
      </w:r>
      <w:r>
        <w:t xml:space="preserve">-0.6%</w:t>
      </w:r>
      <w:r>
        <w:t xml:space="preserve"> </w:t>
      </w:r>
      <w:r>
        <w:t xml:space="preserve">International extra-EU</w:t>
      </w:r>
      <w:r>
        <w:t xml:space="preserve"> </w:t>
      </w:r>
      <w:r>
        <w:t xml:space="preserve">0.0%</w:t>
      </w:r>
      <w:r>
        <w:t xml:space="preserve"> </w:t>
      </w:r>
      <w:r>
        <w:t xml:space="preserve">-0.3%</w:t>
      </w:r>
      <w:r>
        <w:t xml:space="preserve"> </w:t>
      </w:r>
      <w:r>
        <w:t xml:space="preserve">-0.5%</w:t>
      </w:r>
      <w:r>
        <w:t xml:space="preserve"> </w:t>
      </w:r>
      <w:r>
        <w:t xml:space="preserve">-0.5%</w:t>
      </w:r>
      <w:r>
        <w:t xml:space="preserve"> </w:t>
      </w:r>
      <w:r>
        <w:t xml:space="preserve">Inland waterway and domestic maritime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Intra-EU maritime transport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Total freight transport activity (Gtkm)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Road transport</w:t>
      </w:r>
      <w:r>
        <w:t xml:space="preserve"> </w:t>
      </w:r>
      <w:r>
        <w:t xml:space="preserve">0.0%</w:t>
      </w:r>
      <w:r>
        <w:t xml:space="preserve"> </w:t>
      </w:r>
      <w:r>
        <w:t xml:space="preserve">-0.3%</w:t>
      </w:r>
      <w:r>
        <w:t xml:space="preserve"> </w:t>
      </w:r>
      <w:r>
        <w:t xml:space="preserve">-0.5%</w:t>
      </w:r>
      <w:r>
        <w:t xml:space="preserve"> </w:t>
      </w:r>
      <w:r>
        <w:t xml:space="preserve">-0.5%</w:t>
      </w:r>
      <w:r>
        <w:t xml:space="preserve"> </w:t>
      </w:r>
      <w:r>
        <w:t xml:space="preserve">Rail</w:t>
      </w:r>
      <w:r>
        <w:t xml:space="preserve"> </w:t>
      </w:r>
      <w:r>
        <w:t xml:space="preserve">0.1%</w:t>
      </w:r>
      <w:r>
        <w:t xml:space="preserve"> </w:t>
      </w:r>
      <w:r>
        <w:t xml:space="preserve">0.4%</w:t>
      </w:r>
      <w:r>
        <w:t xml:space="preserve"> </w:t>
      </w:r>
      <w:r>
        <w:t xml:space="preserve">0.7%</w:t>
      </w:r>
      <w:r>
        <w:t xml:space="preserve"> </w:t>
      </w:r>
      <w:r>
        <w:t xml:space="preserve">0.7%</w:t>
      </w:r>
      <w:r>
        <w:t xml:space="preserve"> </w:t>
      </w:r>
      <w:r>
        <w:t xml:space="preserve">Inland waterway and domestic maritime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International maritime activity</w:t>
      </w:r>
      <w:r>
        <w:br/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Source : Ecorys and CE Delft (2023), Impact assessment support study</w:t>
      </w:r>
    </w:p>
    <w:p>
      <w:pPr>
        <w:pStyle w:val="Compact"/>
        <w:numPr>
          <w:ilvl w:val="0"/>
          <w:numId w:val="1010"/>
        </w:numPr>
      </w:pPr>
      <w:r>
        <w:t xml:space="preserve">Sensitivity analysis</w:t>
      </w:r>
      <w:r>
        <w:t xml:space="preserve"> </w:t>
      </w:r>
      <w:r>
        <w:t xml:space="preserve">The sensitivity analysis builds on the following scenarios:</w:t>
      </w:r>
      <w:r>
        <w:t xml:space="preserve"> </w:t>
      </w:r>
      <w:r>
        <w:t xml:space="preserve"> In the first case (-A), we assumed a decrease by 40% in the share of passengers making</w:t>
      </w:r>
      <w:r>
        <w:t xml:space="preserve"> </w:t>
      </w:r>
      <w:r>
        <w:t xml:space="preserve">sustainable choices among the climate aware population. Second level assumptions are</w:t>
      </w:r>
      <w:r>
        <w:t xml:space="preserve"> </w:t>
      </w:r>
      <w:r>
        <w:t xml:space="preserve">kept unchanged.</w:t>
      </w:r>
      <w:r>
        <w:br/>
      </w:r>
      <w:r>
        <w:t xml:space="preserve"> In the second case (-B), we assumed a decrease by 30% in the shares of activity shifted</w:t>
      </w:r>
      <w:r>
        <w:t xml:space="preserve"> </w:t>
      </w:r>
      <w:r>
        <w:t xml:space="preserve">to more sustainable transport modes and optimisation of trips. First level assumptions are</w:t>
      </w:r>
      <w:r>
        <w:t xml:space="preserve"> </w:t>
      </w:r>
      <w:r>
        <w:t xml:space="preserve">kept unchanged.</w:t>
      </w:r>
      <w:r>
        <w:br/>
      </w:r>
      <w:r>
        <w:t xml:space="preserve">The results of the sensitivity analysis presented below for all policy options show that while the</w:t>
      </w:r>
      <w:r>
        <w:t xml:space="preserve"> </w:t>
      </w:r>
      <w:r>
        <w:t xml:space="preserve">magnitude of the expected benefits may be somewhat lower, the ranking of the policy options</w:t>
      </w:r>
      <w:r>
        <w:t xml:space="preserve"> </w:t>
      </w:r>
      <w:r>
        <w:t xml:space="preserve">remains unchanged.</w:t>
      </w:r>
      <w:r>
        <w:br/>
      </w:r>
      <w:r>
        <w:t xml:space="preserve">Table 86: First case (-A) - Summary of costs and benefits of the policy options – net present value for 2025-2050 compared to</w:t>
      </w:r>
      <w:r>
        <w:t xml:space="preserve"> </w:t>
      </w:r>
      <w:r>
        <w:t xml:space="preserve">the baseline (in million EUR), in 2022 prices</w:t>
      </w:r>
    </w:p>
    <w:p>
      <w:pPr>
        <w:pStyle w:val="FirstParagraph"/>
      </w:pPr>
      <w:r>
        <w:t xml:space="preserve">Difference to the Baseline</w:t>
      </w:r>
      <w:r>
        <w:t xml:space="preserve"> </w:t>
      </w:r>
      <w:r>
        <w:t xml:space="preserve">PO1-A</w:t>
      </w:r>
      <w:r>
        <w:t xml:space="preserve"> </w:t>
      </w:r>
      <w:r>
        <w:t xml:space="preserve">PO2-A</w:t>
      </w:r>
      <w:r>
        <w:t xml:space="preserve"> </w:t>
      </w:r>
      <w:r>
        <w:t xml:space="preserve">PO3-A</w:t>
      </w:r>
      <w:r>
        <w:t xml:space="preserve"> </w:t>
      </w:r>
      <w:r>
        <w:t xml:space="preserve">PO4-A</w:t>
      </w:r>
      <w:r>
        <w:t xml:space="preserve"> </w:t>
      </w:r>
      <w:r>
        <w:t xml:space="preserve">PO5-A</w:t>
      </w:r>
      <w:r>
        <w:t xml:space="preserve"> </w:t>
      </w:r>
      <w:r>
        <w:t xml:space="preserve">PO6-A</w:t>
      </w:r>
      <w:r>
        <w:t xml:space="preserve"> </w:t>
      </w:r>
      <w:r>
        <w:t xml:space="preserve">National public authorities (including NABs)</w:t>
      </w:r>
    </w:p>
    <w:p>
      <w:pPr>
        <w:pStyle w:val="BodyText"/>
      </w:pPr>
      <w:r>
        <w:t xml:space="preserve">Adjustment costs</w:t>
      </w:r>
      <w:r>
        <w:br/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EEA</w:t>
      </w:r>
    </w:p>
    <w:p>
      <w:pPr>
        <w:pStyle w:val="BodyText"/>
      </w:pPr>
      <w:r>
        <w:t xml:space="preserve">Adjustment costs</w:t>
      </w:r>
      <w:r>
        <w:br/>
      </w:r>
      <w:r>
        <w:t xml:space="preserve">3.6</w:t>
      </w:r>
      <w:r>
        <w:t xml:space="preserve"> </w:t>
      </w:r>
      <w:r>
        <w:t xml:space="preserve">3.6</w:t>
      </w:r>
      <w:r>
        <w:t xml:space="preserve"> </w:t>
      </w:r>
      <w:r>
        <w:t xml:space="preserve">3.9</w:t>
      </w:r>
      <w:r>
        <w:t xml:space="preserve"> </w:t>
      </w:r>
      <w:r>
        <w:t xml:space="preserve">3.9</w:t>
      </w:r>
      <w:r>
        <w:t xml:space="preserve"> </w:t>
      </w:r>
      <w:r>
        <w:t xml:space="preserve">3.6</w:t>
      </w:r>
      <w:r>
        <w:t xml:space="preserve"> </w:t>
      </w:r>
      <w:r>
        <w:t xml:space="preserve">3.9</w:t>
      </w:r>
      <w:r>
        <w:t xml:space="preserve"> </w:t>
      </w:r>
      <w:r>
        <w:t xml:space="preserve">European Commission</w:t>
      </w:r>
    </w:p>
    <w:p>
      <w:pPr>
        <w:pStyle w:val="BodyText"/>
      </w:pPr>
      <w:r>
        <w:t xml:space="preserve">Adjustment costs</w:t>
      </w:r>
      <w:r>
        <w:br/>
      </w:r>
      <w:r>
        <w:t xml:space="preserve">2.7</w:t>
      </w:r>
      <w:r>
        <w:t xml:space="preserve"> </w:t>
      </w:r>
      <w:r>
        <w:t xml:space="preserve">0.3</w:t>
      </w:r>
      <w:r>
        <w:t xml:space="preserve"> </w:t>
      </w:r>
      <w:r>
        <w:t xml:space="preserve">2.4</w:t>
      </w:r>
      <w:r>
        <w:t xml:space="preserve"> </w:t>
      </w:r>
      <w:r>
        <w:t xml:space="preserve">0.0</w:t>
      </w:r>
      <w:r>
        <w:t xml:space="preserve"> </w:t>
      </w:r>
      <w:r>
        <w:t xml:space="preserve">5.3</w:t>
      </w:r>
      <w:r>
        <w:t xml:space="preserve"> </w:t>
      </w:r>
      <w:r>
        <w:t xml:space="preserve">0.0</w:t>
      </w:r>
      <w:r>
        <w:t xml:space="preserve"> </w:t>
      </w:r>
      <w:r>
        <w:t xml:space="preserve">Businesses</w:t>
      </w:r>
    </w:p>
    <w:p>
      <w:pPr>
        <w:pStyle w:val="BodyText"/>
      </w:pPr>
      <w:r>
        <w:t xml:space="preserve">Adjustment costs</w:t>
      </w:r>
      <w:r>
        <w:br/>
      </w:r>
      <w:r>
        <w:t xml:space="preserve">95,010.8</w:t>
      </w:r>
      <w:r>
        <w:t xml:space="preserve"> </w:t>
      </w:r>
      <w:r>
        <w:t xml:space="preserve">1,084.6</w:t>
      </w:r>
      <w:r>
        <w:t xml:space="preserve"> </w:t>
      </w:r>
      <w:r>
        <w:t xml:space="preserve">1,374.4</w:t>
      </w:r>
      <w:r>
        <w:t xml:space="preserve"> </w:t>
      </w:r>
      <w:r>
        <w:t xml:space="preserve">1,542</w:t>
      </w:r>
      <w:r>
        <w:t xml:space="preserve"> </w:t>
      </w:r>
      <w:r>
        <w:t xml:space="preserve">2,283.7</w:t>
      </w:r>
      <w:r>
        <w:t xml:space="preserve"> </w:t>
      </w:r>
      <w:r>
        <w:t xml:space="preserve">67,927.7</w:t>
      </w:r>
      <w:r>
        <w:t xml:space="preserve"> </w:t>
      </w:r>
      <w:r>
        <w:t xml:space="preserve">Administrative costs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0.3</w:t>
      </w:r>
      <w:r>
        <w:t xml:space="preserve"> </w:t>
      </w:r>
      <w:r>
        <w:t xml:space="preserve">0.5</w:t>
      </w:r>
      <w:r>
        <w:t xml:space="preserve"> </w:t>
      </w:r>
      <w:r>
        <w:t xml:space="preserve">Benefits</w:t>
      </w:r>
    </w:p>
    <w:p>
      <w:pPr>
        <w:pStyle w:val="BodyText"/>
      </w:pPr>
      <w:r>
        <w:t xml:space="preserve">Avoided fuel used (operators and passengers)</w:t>
      </w:r>
      <w:r>
        <w:t xml:space="preserve"> </w:t>
      </w:r>
      <w:r>
        <w:t xml:space="preserve">8,290.3</w:t>
      </w:r>
      <w:r>
        <w:t xml:space="preserve"> </w:t>
      </w:r>
      <w:r>
        <w:t xml:space="preserve">1,268.4</w:t>
      </w:r>
      <w:r>
        <w:t xml:space="preserve"> </w:t>
      </w:r>
      <w:r>
        <w:t xml:space="preserve">574.6</w:t>
      </w:r>
      <w:r>
        <w:t xml:space="preserve"> </w:t>
      </w:r>
      <w:r>
        <w:t xml:space="preserve">1,932.7</w:t>
      </w:r>
      <w:r>
        <w:t xml:space="preserve"> </w:t>
      </w:r>
      <w:r>
        <w:t xml:space="preserve">504.4</w:t>
      </w:r>
      <w:r>
        <w:t xml:space="preserve"> </w:t>
      </w:r>
      <w:r>
        <w:t xml:space="preserve">8,290.3</w:t>
      </w:r>
      <w:r>
        <w:t xml:space="preserve"> </w:t>
      </w:r>
      <w:r>
        <w:t xml:space="preserve">Reduction in external costs of GHG emissions</w:t>
      </w:r>
      <w:r>
        <w:t xml:space="preserve"> </w:t>
      </w:r>
      <w:r>
        <w:t xml:space="preserve">2,303.1</w:t>
      </w:r>
      <w:r>
        <w:t xml:space="preserve"> </w:t>
      </w:r>
      <w:r>
        <w:t xml:space="preserve">356.3</w:t>
      </w:r>
      <w:r>
        <w:t xml:space="preserve"> </w:t>
      </w:r>
      <w:r>
        <w:t xml:space="preserve">160.0</w:t>
      </w:r>
      <w:r>
        <w:t xml:space="preserve"> </w:t>
      </w:r>
      <w:r>
        <w:t xml:space="preserve">539.3</w:t>
      </w:r>
      <w:r>
        <w:t xml:space="preserve"> </w:t>
      </w:r>
      <w:r>
        <w:t xml:space="preserve">139.9</w:t>
      </w:r>
      <w:r>
        <w:t xml:space="preserve"> </w:t>
      </w:r>
      <w:r>
        <w:t xml:space="preserve">2,303.1</w:t>
      </w:r>
      <w:r>
        <w:t xml:space="preserve"> </w:t>
      </w:r>
      <w:r>
        <w:t xml:space="preserve">Reduction in external costs of air pollution emissions</w:t>
      </w:r>
      <w:r>
        <w:t xml:space="preserve"> </w:t>
      </w:r>
      <w:r>
        <w:t xml:space="preserve">480.4</w:t>
      </w:r>
      <w:r>
        <w:t xml:space="preserve"> </w:t>
      </w:r>
      <w:r>
        <w:t xml:space="preserve">88.7</w:t>
      </w:r>
      <w:r>
        <w:t xml:space="preserve"> </w:t>
      </w:r>
      <w:r>
        <w:t xml:space="preserve">42.5</w:t>
      </w:r>
      <w:r>
        <w:t xml:space="preserve"> </w:t>
      </w:r>
      <w:r>
        <w:t xml:space="preserve">130.8</w:t>
      </w:r>
      <w:r>
        <w:t xml:space="preserve"> </w:t>
      </w:r>
      <w:r>
        <w:t xml:space="preserve">37.6</w:t>
      </w:r>
      <w:r>
        <w:t xml:space="preserve"> </w:t>
      </w:r>
      <w:r>
        <w:t xml:space="preserve">480.4</w:t>
      </w:r>
      <w:r>
        <w:t xml:space="preserve"> </w:t>
      </w:r>
      <w:r>
        <w:t xml:space="preserve">Reduction in external costs of accidents</w:t>
      </w:r>
      <w:r>
        <w:t xml:space="preserve"> </w:t>
      </w:r>
      <w:r>
        <w:t xml:space="preserve">2,208.4</w:t>
      </w:r>
      <w:r>
        <w:t xml:space="preserve"> </w:t>
      </w:r>
      <w:r>
        <w:t xml:space="preserve">339.5</w:t>
      </w:r>
      <w:r>
        <w:t xml:space="preserve"> </w:t>
      </w:r>
      <w:r>
        <w:t xml:space="preserve">153.8</w:t>
      </w:r>
      <w:r>
        <w:t xml:space="preserve"> </w:t>
      </w:r>
      <w:r>
        <w:t xml:space="preserve">516.2</w:t>
      </w:r>
      <w:r>
        <w:t xml:space="preserve"> </w:t>
      </w:r>
      <w:r>
        <w:t xml:space="preserve">134.9</w:t>
      </w:r>
      <w:r>
        <w:t xml:space="preserve"> </w:t>
      </w:r>
      <w:r>
        <w:t xml:space="preserve">2,208.4</w:t>
      </w:r>
    </w:p>
    <w:p>
      <w:pPr>
        <w:pStyle w:val="BodyText"/>
      </w:pPr>
      <w:r>
        <w:t xml:space="preserve">131</w:t>
      </w:r>
    </w:p>
    <w:p>
      <w:pPr>
        <w:pStyle w:val="BodyText"/>
      </w:pPr>
      <w:r>
        <w:t xml:space="preserve">Total costs</w:t>
      </w:r>
      <w:r>
        <w:t xml:space="preserve"> </w:t>
      </w:r>
      <w:r>
        <w:t xml:space="preserve">95,017</w:t>
      </w:r>
      <w:r>
        <w:t xml:space="preserve"> </w:t>
      </w:r>
      <w:r>
        <w:t xml:space="preserve">1,089</w:t>
      </w:r>
      <w:r>
        <w:t xml:space="preserve"> </w:t>
      </w:r>
      <w:r>
        <w:t xml:space="preserve">1,381</w:t>
      </w:r>
      <w:r>
        <w:t xml:space="preserve"> </w:t>
      </w:r>
      <w:r>
        <w:t xml:space="preserve">1,547</w:t>
      </w:r>
      <w:r>
        <w:t xml:space="preserve"> </w:t>
      </w:r>
      <w:r>
        <w:t xml:space="preserve">2,293</w:t>
      </w:r>
      <w:r>
        <w:t xml:space="preserve"> </w:t>
      </w:r>
      <w:r>
        <w:t xml:space="preserve">67,932</w:t>
      </w:r>
      <w:r>
        <w:t xml:space="preserve"> </w:t>
      </w:r>
      <w:r>
        <w:t xml:space="preserve">Total benefits</w:t>
      </w:r>
      <w:r>
        <w:t xml:space="preserve"> </w:t>
      </w:r>
      <w:r>
        <w:t xml:space="preserve">13,282.3</w:t>
      </w:r>
      <w:r>
        <w:t xml:space="preserve"> </w:t>
      </w:r>
      <w:r>
        <w:t xml:space="preserve">2,052.9</w:t>
      </w:r>
      <w:r>
        <w:t xml:space="preserve"> </w:t>
      </w:r>
      <w:r>
        <w:t xml:space="preserve">930.8</w:t>
      </w:r>
      <w:r>
        <w:t xml:space="preserve"> </w:t>
      </w:r>
      <w:r>
        <w:t xml:space="preserve">3,119</w:t>
      </w:r>
      <w:r>
        <w:t xml:space="preserve"> </w:t>
      </w:r>
      <w:r>
        <w:t xml:space="preserve">816.8</w:t>
      </w:r>
      <w:r>
        <w:t xml:space="preserve"> </w:t>
      </w:r>
      <w:r>
        <w:t xml:space="preserve">13,282.3</w:t>
      </w:r>
      <w:r>
        <w:t xml:space="preserve"> </w:t>
      </w:r>
      <w:r>
        <w:t xml:space="preserve">Net benefits</w:t>
      </w:r>
      <w:r>
        <w:t xml:space="preserve"> </w:t>
      </w:r>
      <w:r>
        <w:t xml:space="preserve">-81,735.0</w:t>
      </w:r>
      <w:r>
        <w:t xml:space="preserve"> </w:t>
      </w:r>
      <w:r>
        <w:t xml:space="preserve">964.1</w:t>
      </w:r>
      <w:r>
        <w:t xml:space="preserve"> </w:t>
      </w:r>
      <w:r>
        <w:t xml:space="preserve">-450.6</w:t>
      </w:r>
      <w:r>
        <w:t xml:space="preserve"> </w:t>
      </w:r>
      <w:r>
        <w:t xml:space="preserve">1,572.4</w:t>
      </w:r>
      <w:r>
        <w:t xml:space="preserve"> </w:t>
      </w:r>
      <w:r>
        <w:t xml:space="preserve">-1,476.3</w:t>
      </w:r>
      <w:r>
        <w:t xml:space="preserve"> </w:t>
      </w:r>
      <w:r>
        <w:t xml:space="preserve">-54,650.0</w:t>
      </w:r>
      <w:r>
        <w:t xml:space="preserve"> </w:t>
      </w:r>
      <w:r>
        <w:t xml:space="preserve">Benefits to costs ratio</w:t>
      </w:r>
      <w:r>
        <w:t xml:space="preserve"> </w:t>
      </w:r>
      <w:r>
        <w:t xml:space="preserve">0.1</w:t>
      </w:r>
      <w:r>
        <w:t xml:space="preserve"> </w:t>
      </w:r>
      <w:r>
        <w:t xml:space="preserve">1.9</w:t>
      </w:r>
      <w:r>
        <w:t xml:space="preserve"> </w:t>
      </w:r>
      <w:r>
        <w:t xml:space="preserve">0.7</w:t>
      </w:r>
      <w:r>
        <w:t xml:space="preserve"> </w:t>
      </w:r>
      <w:r>
        <w:t xml:space="preserve">2.0</w:t>
      </w:r>
      <w:r>
        <w:t xml:space="preserve"> </w:t>
      </w:r>
      <w:r>
        <w:t xml:space="preserve">0.4</w:t>
      </w:r>
      <w:r>
        <w:t xml:space="preserve"> </w:t>
      </w:r>
      <w:r>
        <w:t xml:space="preserve">0.2</w:t>
      </w:r>
    </w:p>
    <w:p>
      <w:pPr>
        <w:pStyle w:val="BodyText"/>
      </w:pPr>
      <w:r>
        <w:t xml:space="preserve">Table 87: Second case (-B) - Summary of costs and benefits of the policy options – net present value for 2025-2050 compared</w:t>
      </w:r>
      <w:r>
        <w:t xml:space="preserve"> </w:t>
      </w:r>
      <w:r>
        <w:t xml:space="preserve">to the baseline (in million EUR), in 2022 prices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PO1-B</w:t>
      </w:r>
      <w:r>
        <w:t xml:space="preserve"> </w:t>
      </w:r>
      <w:r>
        <w:t xml:space="preserve">PO2-B</w:t>
      </w:r>
      <w:r>
        <w:t xml:space="preserve"> </w:t>
      </w:r>
      <w:r>
        <w:t xml:space="preserve">PO3-B</w:t>
      </w:r>
      <w:r>
        <w:t xml:space="preserve"> </w:t>
      </w:r>
      <w:r>
        <w:t xml:space="preserve">PO4-B</w:t>
      </w:r>
      <w:r>
        <w:t xml:space="preserve"> </w:t>
      </w:r>
      <w:r>
        <w:t xml:space="preserve">PO5-B</w:t>
      </w:r>
      <w:r>
        <w:t xml:space="preserve"> </w:t>
      </w:r>
      <w:r>
        <w:t xml:space="preserve">PO6-B</w:t>
      </w:r>
      <w:r>
        <w:t xml:space="preserve"> </w:t>
      </w:r>
      <w:r>
        <w:t xml:space="preserve">National public authorities (including NABs)</w:t>
      </w:r>
    </w:p>
    <w:p>
      <w:pPr>
        <w:pStyle w:val="BodyText"/>
      </w:pPr>
      <w:r>
        <w:t xml:space="preserve">Adjustment costs</w:t>
      </w:r>
      <w:r>
        <w:br/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EEA</w:t>
      </w:r>
    </w:p>
    <w:p>
      <w:pPr>
        <w:pStyle w:val="BodyText"/>
      </w:pPr>
      <w:r>
        <w:t xml:space="preserve">Adjustment costs</w:t>
      </w:r>
      <w:r>
        <w:br/>
      </w:r>
      <w:r>
        <w:t xml:space="preserve">3.6</w:t>
      </w:r>
      <w:r>
        <w:t xml:space="preserve"> </w:t>
      </w:r>
      <w:r>
        <w:t xml:space="preserve">3.6</w:t>
      </w:r>
      <w:r>
        <w:t xml:space="preserve"> </w:t>
      </w:r>
      <w:r>
        <w:t xml:space="preserve">3.9</w:t>
      </w:r>
      <w:r>
        <w:t xml:space="preserve"> </w:t>
      </w:r>
      <w:r>
        <w:t xml:space="preserve">3.9</w:t>
      </w:r>
      <w:r>
        <w:t xml:space="preserve"> </w:t>
      </w:r>
      <w:r>
        <w:t xml:space="preserve">3.6</w:t>
      </w:r>
      <w:r>
        <w:t xml:space="preserve"> </w:t>
      </w:r>
      <w:r>
        <w:t xml:space="preserve">3.9</w:t>
      </w:r>
      <w:r>
        <w:t xml:space="preserve"> </w:t>
      </w:r>
      <w:r>
        <w:t xml:space="preserve">European Commission</w:t>
      </w:r>
    </w:p>
    <w:p>
      <w:pPr>
        <w:pStyle w:val="BodyText"/>
      </w:pPr>
      <w:r>
        <w:t xml:space="preserve">Adjustment costs</w:t>
      </w:r>
      <w:r>
        <w:br/>
      </w:r>
      <w:r>
        <w:t xml:space="preserve">2.7</w:t>
      </w:r>
      <w:r>
        <w:t xml:space="preserve"> </w:t>
      </w:r>
      <w:r>
        <w:t xml:space="preserve">0.3</w:t>
      </w:r>
      <w:r>
        <w:t xml:space="preserve"> </w:t>
      </w:r>
      <w:r>
        <w:t xml:space="preserve">2.4</w:t>
      </w:r>
      <w:r>
        <w:t xml:space="preserve"> </w:t>
      </w:r>
      <w:r>
        <w:t xml:space="preserve">0.0</w:t>
      </w:r>
      <w:r>
        <w:t xml:space="preserve"> </w:t>
      </w:r>
      <w:r>
        <w:t xml:space="preserve">5.3</w:t>
      </w:r>
      <w:r>
        <w:t xml:space="preserve"> </w:t>
      </w:r>
      <w:r>
        <w:t xml:space="preserve">0.0</w:t>
      </w:r>
      <w:r>
        <w:t xml:space="preserve"> </w:t>
      </w:r>
      <w:r>
        <w:t xml:space="preserve">Businesses</w:t>
      </w:r>
    </w:p>
    <w:p>
      <w:pPr>
        <w:pStyle w:val="BodyText"/>
      </w:pPr>
      <w:r>
        <w:t xml:space="preserve">Adjustment costs</w:t>
      </w:r>
      <w:r>
        <w:br/>
      </w:r>
      <w:r>
        <w:t xml:space="preserve">95,010.8</w:t>
      </w:r>
      <w:r>
        <w:t xml:space="preserve"> </w:t>
      </w:r>
      <w:r>
        <w:t xml:space="preserve">1,084.6</w:t>
      </w:r>
      <w:r>
        <w:t xml:space="preserve"> </w:t>
      </w:r>
      <w:r>
        <w:t xml:space="preserve">1,374.4</w:t>
      </w:r>
      <w:r>
        <w:t xml:space="preserve"> </w:t>
      </w:r>
      <w:r>
        <w:t xml:space="preserve">1,542</w:t>
      </w:r>
      <w:r>
        <w:t xml:space="preserve"> </w:t>
      </w:r>
      <w:r>
        <w:t xml:space="preserve">2,283.7</w:t>
      </w:r>
      <w:r>
        <w:t xml:space="preserve"> </w:t>
      </w:r>
      <w:r>
        <w:t xml:space="preserve">67,927.7</w:t>
      </w:r>
      <w:r>
        <w:t xml:space="preserve"> </w:t>
      </w:r>
      <w:r>
        <w:t xml:space="preserve">Administrative costs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0.3</w:t>
      </w:r>
      <w:r>
        <w:t xml:space="preserve"> </w:t>
      </w:r>
      <w:r>
        <w:t xml:space="preserve">0.5</w:t>
      </w:r>
      <w:r>
        <w:t xml:space="preserve"> </w:t>
      </w:r>
      <w:r>
        <w:t xml:space="preserve">Benefits</w:t>
      </w:r>
    </w:p>
    <w:p>
      <w:pPr>
        <w:pStyle w:val="BodyText"/>
      </w:pPr>
      <w:r>
        <w:t xml:space="preserve">Avoided fuel used (operators and passengers)</w:t>
      </w:r>
      <w:r>
        <w:t xml:space="preserve"> </w:t>
      </w:r>
      <w:r>
        <w:t xml:space="preserve">7,561.3</w:t>
      </w:r>
      <w:r>
        <w:t xml:space="preserve"> </w:t>
      </w:r>
      <w:r>
        <w:t xml:space="preserve">1,154.2</w:t>
      </w:r>
      <w:r>
        <w:t xml:space="preserve"> </w:t>
      </w:r>
      <w:r>
        <w:t xml:space="preserve">522.5</w:t>
      </w:r>
      <w:r>
        <w:t xml:space="preserve"> </w:t>
      </w:r>
      <w:r>
        <w:t xml:space="preserve">1,759.3</w:t>
      </w:r>
      <w:r>
        <w:t xml:space="preserve"> </w:t>
      </w:r>
      <w:r>
        <w:t xml:space="preserve">458.6</w:t>
      </w:r>
      <w:r>
        <w:t xml:space="preserve"> </w:t>
      </w:r>
      <w:r>
        <w:t xml:space="preserve">7,561.3</w:t>
      </w:r>
      <w:r>
        <w:t xml:space="preserve"> </w:t>
      </w:r>
      <w:r>
        <w:t xml:space="preserve">Reduction in external costs of GHG emissions</w:t>
      </w:r>
      <w:r>
        <w:t xml:space="preserve"> </w:t>
      </w:r>
      <w:r>
        <w:t xml:space="preserve">2,028.7</w:t>
      </w:r>
      <w:r>
        <w:t xml:space="preserve"> </w:t>
      </w:r>
      <w:r>
        <w:t xml:space="preserve">315.3</w:t>
      </w:r>
      <w:r>
        <w:t xml:space="preserve"> </w:t>
      </w:r>
      <w:r>
        <w:t xml:space="preserve">141.8</w:t>
      </w:r>
      <w:r>
        <w:t xml:space="preserve"> </w:t>
      </w:r>
      <w:r>
        <w:t xml:space="preserve">476.8</w:t>
      </w:r>
      <w:r>
        <w:t xml:space="preserve"> </w:t>
      </w:r>
      <w:r>
        <w:t xml:space="preserve">124.0</w:t>
      </w:r>
      <w:r>
        <w:t xml:space="preserve"> </w:t>
      </w:r>
      <w:r>
        <w:t xml:space="preserve">2,028.7</w:t>
      </w:r>
      <w:r>
        <w:t xml:space="preserve"> </w:t>
      </w:r>
      <w:r>
        <w:t xml:space="preserve">Reduction in external costs of air pollution emissions</w:t>
      </w:r>
      <w:r>
        <w:t xml:space="preserve"> </w:t>
      </w:r>
      <w:r>
        <w:t xml:space="preserve">431.8</w:t>
      </w:r>
      <w:r>
        <w:t xml:space="preserve"> </w:t>
      </w:r>
      <w:r>
        <w:t xml:space="preserve">80.0</w:t>
      </w:r>
      <w:r>
        <w:t xml:space="preserve"> </w:t>
      </w:r>
      <w:r>
        <w:t xml:space="preserve">38.4</w:t>
      </w:r>
      <w:r>
        <w:t xml:space="preserve"> </w:t>
      </w:r>
      <w:r>
        <w:t xml:space="preserve">117.9</w:t>
      </w:r>
      <w:r>
        <w:t xml:space="preserve"> </w:t>
      </w:r>
      <w:r>
        <w:t xml:space="preserve">34.0</w:t>
      </w:r>
      <w:r>
        <w:t xml:space="preserve"> </w:t>
      </w:r>
      <w:r>
        <w:t xml:space="preserve">431.8</w:t>
      </w:r>
      <w:r>
        <w:t xml:space="preserve"> </w:t>
      </w:r>
      <w:r>
        <w:t xml:space="preserve">Reduction in external costs of accidents</w:t>
      </w:r>
      <w:r>
        <w:t xml:space="preserve"> </w:t>
      </w:r>
      <w:r>
        <w:t xml:space="preserve">1,934.7</w:t>
      </w:r>
      <w:r>
        <w:t xml:space="preserve"> </w:t>
      </w:r>
      <w:r>
        <w:t xml:space="preserve">297.4</w:t>
      </w:r>
      <w:r>
        <w:t xml:space="preserve"> </w:t>
      </w:r>
      <w:r>
        <w:t xml:space="preserve">134.7</w:t>
      </w:r>
      <w:r>
        <w:t xml:space="preserve"> </w:t>
      </w:r>
      <w:r>
        <w:t xml:space="preserve">452.2</w:t>
      </w:r>
      <w:r>
        <w:t xml:space="preserve"> </w:t>
      </w:r>
      <w:r>
        <w:t xml:space="preserve">118.2</w:t>
      </w:r>
      <w:r>
        <w:t xml:space="preserve"> </w:t>
      </w:r>
      <w:r>
        <w:t xml:space="preserve">1,934.7</w:t>
      </w:r>
      <w:r>
        <w:t xml:space="preserve"> </w:t>
      </w:r>
      <w:r>
        <w:t xml:space="preserve">Total costs</w:t>
      </w:r>
      <w:r>
        <w:t xml:space="preserve"> </w:t>
      </w:r>
      <w:r>
        <w:t xml:space="preserve">95,017</w:t>
      </w:r>
      <w:r>
        <w:t xml:space="preserve"> </w:t>
      </w:r>
      <w:r>
        <w:t xml:space="preserve">1,089</w:t>
      </w:r>
      <w:r>
        <w:t xml:space="preserve"> </w:t>
      </w:r>
      <w:r>
        <w:t xml:space="preserve">1,381</w:t>
      </w:r>
      <w:r>
        <w:t xml:space="preserve"> </w:t>
      </w:r>
      <w:r>
        <w:t xml:space="preserve">1,547</w:t>
      </w:r>
      <w:r>
        <w:t xml:space="preserve"> </w:t>
      </w:r>
      <w:r>
        <w:t xml:space="preserve">2,293</w:t>
      </w:r>
      <w:r>
        <w:t xml:space="preserve"> </w:t>
      </w:r>
      <w:r>
        <w:t xml:space="preserve">67,932</w:t>
      </w:r>
      <w:r>
        <w:t xml:space="preserve"> </w:t>
      </w:r>
      <w:r>
        <w:t xml:space="preserve">Total benefits</w:t>
      </w:r>
      <w:r>
        <w:t xml:space="preserve"> </w:t>
      </w:r>
      <w:r>
        <w:t xml:space="preserve">11,956.6</w:t>
      </w:r>
      <w:r>
        <w:t xml:space="preserve"> </w:t>
      </w:r>
      <w:r>
        <w:t xml:space="preserve">1,846.9</w:t>
      </w:r>
      <w:r>
        <w:t xml:space="preserve"> </w:t>
      </w:r>
      <w:r>
        <w:t xml:space="preserve">837.3</w:t>
      </w:r>
      <w:r>
        <w:t xml:space="preserve"> </w:t>
      </w:r>
      <w:r>
        <w:t xml:space="preserve">2,806</w:t>
      </w:r>
      <w:r>
        <w:t xml:space="preserve"> </w:t>
      </w:r>
      <w:r>
        <w:t xml:space="preserve">734.8</w:t>
      </w:r>
      <w:r>
        <w:t xml:space="preserve"> </w:t>
      </w:r>
      <w:r>
        <w:t xml:space="preserve">11,956.6</w:t>
      </w:r>
      <w:r>
        <w:t xml:space="preserve"> </w:t>
      </w:r>
      <w:r>
        <w:t xml:space="preserve">Net benefits</w:t>
      </w:r>
      <w:r>
        <w:t xml:space="preserve"> </w:t>
      </w:r>
      <w:r>
        <w:t xml:space="preserve">-83,060.8</w:t>
      </w:r>
      <w:r>
        <w:t xml:space="preserve"> </w:t>
      </w:r>
      <w:r>
        <w:t xml:space="preserve">758.1</w:t>
      </w:r>
      <w:r>
        <w:t xml:space="preserve"> </w:t>
      </w:r>
      <w:r>
        <w:t xml:space="preserve">-544.1</w:t>
      </w:r>
      <w:r>
        <w:t xml:space="preserve"> </w:t>
      </w:r>
      <w:r>
        <w:t xml:space="preserve">1,259.7</w:t>
      </w:r>
      <w:r>
        <w:t xml:space="preserve"> </w:t>
      </w:r>
      <w:r>
        <w:t xml:space="preserve">-1,558.4</w:t>
      </w:r>
      <w:r>
        <w:t xml:space="preserve"> </w:t>
      </w:r>
      <w:r>
        <w:t xml:space="preserve">-</w:t>
      </w:r>
      <w:r>
        <w:t xml:space="preserve"> </w:t>
      </w:r>
      <w:r>
        <w:t xml:space="preserve">55,975.7</w:t>
      </w:r>
      <w:r>
        <w:t xml:space="preserve"> </w:t>
      </w:r>
      <w:r>
        <w:t xml:space="preserve">Benefits to costs ratio</w:t>
      </w:r>
      <w:r>
        <w:t xml:space="preserve"> </w:t>
      </w:r>
      <w:r>
        <w:t xml:space="preserve">0.1</w:t>
      </w:r>
      <w:r>
        <w:t xml:space="preserve"> </w:t>
      </w:r>
      <w:r>
        <w:t xml:space="preserve">1.7</w:t>
      </w:r>
      <w:r>
        <w:t xml:space="preserve"> </w:t>
      </w:r>
      <w:r>
        <w:t xml:space="preserve">0.6</w:t>
      </w:r>
      <w:r>
        <w:t xml:space="preserve"> </w:t>
      </w:r>
      <w:r>
        <w:t xml:space="preserve">1.8</w:t>
      </w:r>
      <w:r>
        <w:t xml:space="preserve"> </w:t>
      </w:r>
      <w:r>
        <w:t xml:space="preserve">0.3</w:t>
      </w:r>
      <w:r>
        <w:t xml:space="preserve"> </w:t>
      </w:r>
      <w:r>
        <w:t xml:space="preserve">0.2</w:t>
      </w:r>
    </w:p>
    <w:p>
      <w:pPr>
        <w:pStyle w:val="Compact"/>
        <w:numPr>
          <w:ilvl w:val="0"/>
          <w:numId w:val="1011"/>
        </w:numPr>
      </w:pPr>
      <w:r>
        <w:t xml:space="preserve">Interest and motivations of main groups of stakeholders involved in transport</w:t>
      </w:r>
      <w:r>
        <w:t xml:space="preserve"> </w:t>
      </w:r>
      <w:r>
        <w:t xml:space="preserve">services activities</w:t>
      </w:r>
      <w:r>
        <w:t xml:space="preserve"> </w:t>
      </w:r>
      <w:r>
        <w:t xml:space="preserve">Specific interests of various stakeholders groups have been taken in due account while</w:t>
      </w:r>
      <w:r>
        <w:t xml:space="preserve"> </w:t>
      </w:r>
      <w:r>
        <w:t xml:space="preserve">constructing and assessing various policy options. These are elaborated in the table below.</w:t>
      </w:r>
    </w:p>
    <w:p>
      <w:pPr>
        <w:pStyle w:val="FirstParagraph"/>
      </w:pPr>
      <w:r>
        <w:t xml:space="preserve">Table 88: Main interest of different stakeholders with respect to the objectives of the initiative</w:t>
      </w:r>
      <w:r>
        <w:t xml:space="preserve"> </w:t>
      </w:r>
      <w:r>
        <w:t xml:space="preserve">Specific Objective</w:t>
      </w:r>
      <w:r>
        <w:t xml:space="preserve"> </w:t>
      </w:r>
      <w:r>
        <w:t xml:space="preserve">Stakeholder groups</w:t>
      </w:r>
      <w:r>
        <w:br/>
      </w:r>
      <w:r>
        <w:t xml:space="preserve">Main interests</w:t>
      </w:r>
      <w:r>
        <w:t xml:space="preserve"> </w:t>
      </w:r>
      <w:r>
        <w:t xml:space="preserve">SO1: Ensure</w:t>
      </w:r>
      <w:r>
        <w:t xml:space="preserve"> </w:t>
      </w:r>
      <w:r>
        <w:t xml:space="preserve">comparability of results</w:t>
      </w:r>
      <w:r>
        <w:t xml:space="preserve"> </w:t>
      </w:r>
      <w:r>
        <w:t xml:space="preserve">from GHG emissions</w:t>
      </w:r>
      <w:r>
        <w:t xml:space="preserve"> </w:t>
      </w:r>
      <w:r>
        <w:t xml:space="preserve">accounting of transport</w:t>
      </w:r>
      <w:r>
        <w:t xml:space="preserve"> </w:t>
      </w:r>
      <w:r>
        <w:t xml:space="preserve">services</w:t>
      </w:r>
      <w:r>
        <w:t xml:space="preserve"> </w:t>
      </w:r>
      <w:r>
        <w:t xml:space="preserve">Transport service</w:t>
      </w:r>
      <w:r>
        <w:t xml:space="preserve"> </w:t>
      </w:r>
      <w:r>
        <w:t xml:space="preserve">organisers (operators)</w:t>
      </w:r>
    </w:p>
    <w:p>
      <w:pPr>
        <w:pStyle w:val="Compact"/>
        <w:numPr>
          <w:ilvl w:val="0"/>
          <w:numId w:val="1012"/>
        </w:numPr>
      </w:pPr>
      <w:r>
        <w:t xml:space="preserve">Clear methodological guidance, and clear rules on input</w:t>
      </w:r>
      <w:r>
        <w:t xml:space="preserve"> </w:t>
      </w:r>
      <w:r>
        <w:t xml:space="preserve">data establishing a level playing field on the market;</w:t>
      </w:r>
    </w:p>
    <w:p>
      <w:pPr>
        <w:pStyle w:val="Compact"/>
        <w:numPr>
          <w:ilvl w:val="0"/>
          <w:numId w:val="1012"/>
        </w:numPr>
      </w:pPr>
      <w:r>
        <w:t xml:space="preserve">Methodological (regulatory) predictability;</w:t>
      </w:r>
    </w:p>
    <w:p>
      <w:pPr>
        <w:pStyle w:val="Compact"/>
        <w:numPr>
          <w:ilvl w:val="0"/>
          <w:numId w:val="1012"/>
        </w:numPr>
      </w:pPr>
      <w:r>
        <w:t xml:space="preserve">Support for the business decision making;</w:t>
      </w:r>
    </w:p>
    <w:p>
      <w:pPr>
        <w:pStyle w:val="Compact"/>
        <w:numPr>
          <w:ilvl w:val="0"/>
          <w:numId w:val="1012"/>
        </w:numPr>
      </w:pPr>
      <w:r>
        <w:t xml:space="preserve">Support for marketing of green transport services;</w:t>
      </w:r>
    </w:p>
    <w:p>
      <w:pPr>
        <w:pStyle w:val="Compact"/>
        <w:numPr>
          <w:ilvl w:val="0"/>
          <w:numId w:val="1012"/>
        </w:numPr>
      </w:pPr>
      <w:r>
        <w:t xml:space="preserve">Support for corporate sustainability strategies.</w:t>
      </w:r>
      <w:r>
        <w:t xml:space="preserve"> </w:t>
      </w:r>
      <w:r>
        <w:t xml:space="preserve">Transport service users</w:t>
      </w:r>
    </w:p>
    <w:p>
      <w:pPr>
        <w:pStyle w:val="Compact"/>
        <w:numPr>
          <w:ilvl w:val="0"/>
          <w:numId w:val="1012"/>
        </w:numPr>
      </w:pPr>
      <w:r>
        <w:t xml:space="preserve">Comparability of emissions data of various transport</w:t>
      </w:r>
      <w:r>
        <w:t xml:space="preserve"> </w:t>
      </w:r>
      <w:r>
        <w:t xml:space="preserve">services, to make informed transport choices;</w:t>
      </w:r>
    </w:p>
    <w:p>
      <w:pPr>
        <w:pStyle w:val="FirstParagraph"/>
      </w:pPr>
      <w:r>
        <w:t xml:space="preserve">132</w:t>
      </w:r>
    </w:p>
    <w:p>
      <w:pPr>
        <w:numPr>
          <w:ilvl w:val="0"/>
          <w:numId w:val="1013"/>
        </w:numPr>
      </w:pPr>
      <w:r>
        <w:t xml:space="preserve">Methodological (regulatory) predictability (mostly for</w:t>
      </w:r>
      <w:r>
        <w:t xml:space="preserve"> </w:t>
      </w:r>
      <w:r>
        <w:t xml:space="preserve">companies);</w:t>
      </w:r>
    </w:p>
    <w:p>
      <w:pPr>
        <w:numPr>
          <w:ilvl w:val="0"/>
          <w:numId w:val="1013"/>
        </w:numPr>
      </w:pPr>
      <w:r>
        <w:t xml:space="preserve">Support for business decision making (mostly for</w:t>
      </w:r>
      <w:r>
        <w:t xml:space="preserve"> </w:t>
      </w:r>
      <w:r>
        <w:t xml:space="preserve">companies);</w:t>
      </w:r>
    </w:p>
    <w:p>
      <w:pPr>
        <w:numPr>
          <w:ilvl w:val="0"/>
          <w:numId w:val="1013"/>
        </w:numPr>
      </w:pPr>
      <w:r>
        <w:t xml:space="preserve">Support for the marketing of green transport services</w:t>
      </w:r>
      <w:r>
        <w:t xml:space="preserve"> </w:t>
      </w:r>
      <w:r>
        <w:t xml:space="preserve">(mostly for companies – transport intermediaries);</w:t>
      </w:r>
    </w:p>
    <w:p>
      <w:pPr>
        <w:numPr>
          <w:ilvl w:val="0"/>
          <w:numId w:val="1013"/>
        </w:numPr>
      </w:pPr>
      <w:r>
        <w:t xml:space="preserve">Support for corporate sustainability strategies (mostly</w:t>
      </w:r>
      <w:r>
        <w:t xml:space="preserve"> </w:t>
      </w:r>
      <w:r>
        <w:t xml:space="preserve">for companies).</w:t>
      </w:r>
      <w:r>
        <w:t xml:space="preserve"> </w:t>
      </w:r>
      <w:r>
        <w:t xml:space="preserve">Other entities involved in</w:t>
      </w:r>
      <w:r>
        <w:t xml:space="preserve"> </w:t>
      </w:r>
      <w:r>
        <w:t xml:space="preserve">accounting GHG</w:t>
      </w:r>
      <w:r>
        <w:t xml:space="preserve"> </w:t>
      </w:r>
      <w:r>
        <w:t xml:space="preserve">emissions of transport</w:t>
      </w:r>
      <w:r>
        <w:t xml:space="preserve"> </w:t>
      </w:r>
      <w:r>
        <w:t xml:space="preserve">services (calculation tools</w:t>
      </w:r>
      <w:r>
        <w:t xml:space="preserve"> </w:t>
      </w:r>
      <w:r>
        <w:t xml:space="preserve">developers, business sector</w:t>
      </w:r>
      <w:r>
        <w:t xml:space="preserve"> </w:t>
      </w:r>
      <w:r>
        <w:t xml:space="preserve">associations, emissions</w:t>
      </w:r>
      <w:r>
        <w:t xml:space="preserve"> </w:t>
      </w:r>
      <w:r>
        <w:t xml:space="preserve">data intermediaries etc.)</w:t>
      </w:r>
    </w:p>
    <w:p>
      <w:pPr>
        <w:numPr>
          <w:ilvl w:val="0"/>
          <w:numId w:val="1013"/>
        </w:numPr>
      </w:pPr>
      <w:r>
        <w:t xml:space="preserve">Stable and clear GHG emissions accounting rules for</w:t>
      </w:r>
      <w:r>
        <w:t xml:space="preserve"> </w:t>
      </w:r>
      <w:r>
        <w:t xml:space="preserve">designing tools;</w:t>
      </w:r>
    </w:p>
    <w:p>
      <w:pPr>
        <w:numPr>
          <w:ilvl w:val="0"/>
          <w:numId w:val="1013"/>
        </w:numPr>
      </w:pPr>
      <w:r>
        <w:t xml:space="preserve">Stable environment for providing GHG emissions</w:t>
      </w:r>
      <w:r>
        <w:t xml:space="preserve"> </w:t>
      </w:r>
      <w:r>
        <w:t xml:space="preserve">accounting services</w:t>
      </w:r>
      <w:r>
        <w:t xml:space="preserve"> </w:t>
      </w:r>
      <w:r>
        <w:t xml:space="preserve">SO2: Facilitate the</w:t>
      </w:r>
      <w:r>
        <w:t xml:space="preserve"> </w:t>
      </w:r>
      <w:r>
        <w:t xml:space="preserve">uptake of GHG</w:t>
      </w:r>
      <w:r>
        <w:t xml:space="preserve"> </w:t>
      </w:r>
      <w:r>
        <w:t xml:space="preserve">emissions accounting</w:t>
      </w:r>
      <w:r>
        <w:t xml:space="preserve"> </w:t>
      </w:r>
      <w:r>
        <w:t xml:space="preserve">of transport services in</w:t>
      </w:r>
      <w:r>
        <w:t xml:space="preserve"> </w:t>
      </w:r>
      <w:r>
        <w:t xml:space="preserve">business practice</w:t>
      </w:r>
      <w:r>
        <w:t xml:space="preserve"> </w:t>
      </w:r>
      <w:r>
        <w:t xml:space="preserve">Transport service</w:t>
      </w:r>
      <w:r>
        <w:t xml:space="preserve"> </w:t>
      </w:r>
      <w:r>
        <w:t xml:space="preserve">organisers (operators)</w:t>
      </w:r>
    </w:p>
    <w:p>
      <w:pPr>
        <w:numPr>
          <w:ilvl w:val="0"/>
          <w:numId w:val="1013"/>
        </w:numPr>
      </w:pPr>
      <w:r>
        <w:t xml:space="preserve">Decrease in costs of calculations over time;</w:t>
      </w:r>
    </w:p>
    <w:p>
      <w:pPr>
        <w:numPr>
          <w:ilvl w:val="0"/>
          <w:numId w:val="1013"/>
        </w:numPr>
      </w:pPr>
      <w:r>
        <w:t xml:space="preserve">Complete, accurate and trustful information on</w:t>
      </w:r>
      <w:r>
        <w:t xml:space="preserve"> </w:t>
      </w:r>
      <w:r>
        <w:t xml:space="preserve">emissions from various transport services as an input to</w:t>
      </w:r>
      <w:r>
        <w:t xml:space="preserve"> </w:t>
      </w:r>
      <w:r>
        <w:t xml:space="preserve">the business decision making;</w:t>
      </w:r>
    </w:p>
    <w:p>
      <w:pPr>
        <w:numPr>
          <w:ilvl w:val="0"/>
          <w:numId w:val="1013"/>
        </w:numPr>
      </w:pPr>
      <w:r>
        <w:t xml:space="preserve">Clear rules on commercially sensitive data;</w:t>
      </w:r>
    </w:p>
    <w:p>
      <w:pPr>
        <w:numPr>
          <w:ilvl w:val="0"/>
          <w:numId w:val="1013"/>
        </w:numPr>
      </w:pPr>
      <w:r>
        <w:t xml:space="preserve">Corporate strategies</w:t>
      </w:r>
      <w:r>
        <w:t xml:space="preserve"> </w:t>
      </w:r>
      <w:r>
        <w:t xml:space="preserve">Transport service users</w:t>
      </w:r>
    </w:p>
    <w:p>
      <w:pPr>
        <w:numPr>
          <w:ilvl w:val="0"/>
          <w:numId w:val="1013"/>
        </w:numPr>
      </w:pPr>
      <w:r>
        <w:t xml:space="preserve">Better clarity and transparency on the available transport</w:t>
      </w:r>
      <w:r>
        <w:t xml:space="preserve"> </w:t>
      </w:r>
      <w:r>
        <w:t xml:space="preserve">services due to the increase of quantity of data;</w:t>
      </w:r>
    </w:p>
    <w:p>
      <w:pPr>
        <w:numPr>
          <w:ilvl w:val="0"/>
          <w:numId w:val="1013"/>
        </w:numPr>
      </w:pPr>
      <w:r>
        <w:t xml:space="preserve">Trust in the available GHG emission figures.</w:t>
      </w:r>
      <w:r>
        <w:t xml:space="preserve"> </w:t>
      </w:r>
      <w:r>
        <w:t xml:space="preserve">Other entities involved in</w:t>
      </w:r>
      <w:r>
        <w:t xml:space="preserve"> </w:t>
      </w:r>
      <w:r>
        <w:t xml:space="preserve">accounting GHG</w:t>
      </w:r>
      <w:r>
        <w:t xml:space="preserve"> </w:t>
      </w:r>
      <w:r>
        <w:t xml:space="preserve">emissions of transport</w:t>
      </w:r>
      <w:r>
        <w:t xml:space="preserve"> </w:t>
      </w:r>
      <w:r>
        <w:t xml:space="preserve">services (calculation tools</w:t>
      </w:r>
      <w:r>
        <w:t xml:space="preserve"> </w:t>
      </w:r>
      <w:r>
        <w:t xml:space="preserve">developers, business sector</w:t>
      </w:r>
      <w:r>
        <w:t xml:space="preserve"> </w:t>
      </w:r>
      <w:r>
        <w:t xml:space="preserve">associations, emissions</w:t>
      </w:r>
      <w:r>
        <w:t xml:space="preserve"> </w:t>
      </w:r>
      <w:r>
        <w:t xml:space="preserve">data intermediaries etc.)</w:t>
      </w:r>
    </w:p>
    <w:p>
      <w:pPr>
        <w:numPr>
          <w:ilvl w:val="0"/>
          <w:numId w:val="1013"/>
        </w:numPr>
      </w:pPr>
      <w:r>
        <w:t xml:space="preserve">Increased demand for the use of the calculation tools;</w:t>
      </w:r>
    </w:p>
    <w:p>
      <w:pPr>
        <w:numPr>
          <w:ilvl w:val="0"/>
          <w:numId w:val="1013"/>
        </w:numPr>
      </w:pPr>
      <w:r>
        <w:t xml:space="preserve">Clear rules on commercially sensitive data</w:t>
      </w:r>
    </w:p>
    <w:p>
      <w:pPr>
        <w:pStyle w:val="FirstParagraph"/>
      </w:pPr>
      <w:r>
        <w:t xml:space="preserve">The stakeholders’ consultation provided useful insights on different motivations to apply GHG</w:t>
      </w:r>
      <w:r>
        <w:t xml:space="preserve"> </w:t>
      </w:r>
      <w:r>
        <w:t xml:space="preserve">emissions accounting, especially by transport service organisers (operators). The respondents to</w:t>
      </w:r>
      <w:r>
        <w:t xml:space="preserve"> </w:t>
      </w:r>
      <w:r>
        <w:t xml:space="preserve">the survey indicated that “environmental awareness” is the most important motivation to account</w:t>
      </w:r>
      <w:r>
        <w:t xml:space="preserve"> </w:t>
      </w:r>
      <w:r>
        <w:t xml:space="preserve">for emissions (see Annex 2). This motivation is supported by the evidence from the literature as</w:t>
      </w:r>
      <w:r>
        <w:t xml:space="preserve"> </w:t>
      </w:r>
      <w:r>
        <w:t xml:space="preserve">reported in section 2.2 of the main report when explaining PD 4 and PD 5. The evidence points</w:t>
      </w:r>
      <w:r>
        <w:t xml:space="preserve"> </w:t>
      </w:r>
      <w:r>
        <w:t xml:space="preserve">to the existence of corporate sustainability programmes, which often translate into sets of</w:t>
      </w:r>
      <w:r>
        <w:t xml:space="preserve"> </w:t>
      </w:r>
      <w:r>
        <w:t xml:space="preserve">sustainability performance and improvements targets for operators and users alike, driven by</w:t>
      </w:r>
      <w:r>
        <w:t xml:space="preserve"> </w:t>
      </w:r>
      <w:r>
        <w:t xml:space="preserve">corporate strategies and values, as for example the management’s belief in the company’s</w:t>
      </w:r>
      <w:r>
        <w:t xml:space="preserve"> </w:t>
      </w:r>
      <w:r>
        <w:t xml:space="preserve">environmental responsibility and the company’s value system displayed towards customers and</w:t>
      </w:r>
      <w:r>
        <w:t xml:space="preserve"> </w:t>
      </w:r>
      <w:r>
        <w:t xml:space="preserve">third parties.</w:t>
      </w:r>
      <w:r>
        <w:br/>
      </w:r>
      <w:r>
        <w:t xml:space="preserve">There may also be various commercial reasons for applying GHG emissions accounting. The</w:t>
      </w:r>
      <w:r>
        <w:t xml:space="preserve"> </w:t>
      </w:r>
      <w:r>
        <w:t xml:space="preserve">need to address requirements from customers, users or passengers is, according to the</w:t>
      </w:r>
      <w:r>
        <w:t xml:space="preserve"> </w:t>
      </w:r>
      <w:r>
        <w:t xml:space="preserve">respondents to the stakeholder survey, another important motivation for applying GHG</w:t>
      </w:r>
      <w:r>
        <w:t xml:space="preserve"> </w:t>
      </w:r>
      <w:r>
        <w:t xml:space="preserve">emissions accounting. In some cases, it is related to contractual aspects when information on</w:t>
      </w:r>
      <w:r>
        <w:t xml:space="preserve"> </w:t>
      </w:r>
      <w:r>
        <w:t xml:space="preserve">GHG emissions of transport activities is e.g. part of tendering requirements. Three interviewed</w:t>
      </w:r>
      <w:r>
        <w:t xml:space="preserve"> </w:t>
      </w:r>
      <w:r>
        <w:t xml:space="preserve">transport associations and one transport management system supplier mentioned a third</w:t>
      </w:r>
    </w:p>
    <w:p>
      <w:pPr>
        <w:pStyle w:val="BodyText"/>
      </w:pPr>
      <w:r>
        <w:t xml:space="preserve">133</w:t>
      </w:r>
    </w:p>
    <w:p>
      <w:pPr>
        <w:pStyle w:val="BodyText"/>
      </w:pPr>
      <w:r>
        <w:t xml:space="preserve">commercial reason to account emissions for transport operators: to optimise one’s own</w:t>
      </w:r>
      <w:r>
        <w:t xml:space="preserve"> </w:t>
      </w:r>
      <w:r>
        <w:t xml:space="preserve">operational efficiency. For example, detailed insight in GHG emissions can be used to optimise</w:t>
      </w:r>
      <w:r>
        <w:t xml:space="preserve"> </w:t>
      </w:r>
      <w:r>
        <w:t xml:space="preserve">fuel use. Particularly large transport operators are expected to use the results of GHG emissions</w:t>
      </w:r>
      <w:r>
        <w:t xml:space="preserve"> </w:t>
      </w:r>
      <w:r>
        <w:t xml:space="preserve">calculations for that purpose, while smaller transport operators are often not able to apply the</w:t>
      </w:r>
      <w:r>
        <w:t xml:space="preserve"> </w:t>
      </w:r>
      <w:r>
        <w:t xml:space="preserve">sufficiently detailed GHG emission calculations (based on primary data) that would allow for</w:t>
      </w:r>
      <w:r>
        <w:t xml:space="preserve"> </w:t>
      </w:r>
      <w:r>
        <w:t xml:space="preserve">operational optimisation. Finally, companies may also apply GHG emissions accounting to</w:t>
      </w:r>
      <w:r>
        <w:t xml:space="preserve"> </w:t>
      </w:r>
      <w:r>
        <w:t xml:space="preserve">comply with (future) policies. These considerations are already reflected in Annex 2 and the IA</w:t>
      </w:r>
      <w:r>
        <w:t xml:space="preserve"> </w:t>
      </w:r>
      <w:r>
        <w:t xml:space="preserve">Support Study.</w:t>
      </w:r>
    </w:p>
    <w:p>
      <w:pPr>
        <w:pStyle w:val="BodyText"/>
      </w:pPr>
      <w:r>
        <w:t xml:space="preserve">134</w:t>
      </w:r>
    </w:p>
    <w:p>
      <w:pPr>
        <w:pStyle w:val="BodyText"/>
      </w:pPr>
      <w:r>
        <w:t xml:space="preserve">ANNEX 5: COMPETITIVENESS CHECK</w:t>
      </w:r>
      <w:r>
        <w:t xml:space="preserve"> </w:t>
      </w:r>
      <w:r>
        <w:t xml:space="preserve">OVERVIEW OF IMPACTS ON COMPETITIVENESS</w:t>
      </w:r>
      <w:r>
        <w:br/>
      </w:r>
      <w:r>
        <w:t xml:space="preserve">Dimensions of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Impact of the</w:t>
      </w:r>
      <w:r>
        <w:t xml:space="preserve"> </w:t>
      </w:r>
      <w:r>
        <w:t xml:space="preserve">initiative</w:t>
      </w:r>
      <w:r>
        <w:t xml:space="preserve"> </w:t>
      </w:r>
      <w:r>
        <w:t xml:space="preserve">(+ +/+/0/-/- -/n.a.)</w:t>
      </w:r>
      <w:r>
        <w:t xml:space="preserve"> </w:t>
      </w:r>
      <w:r>
        <w:t xml:space="preserve">References to sub-sections of the</w:t>
      </w:r>
      <w:r>
        <w:t xml:space="preserve"> </w:t>
      </w:r>
      <w:r>
        <w:t xml:space="preserve">main report or annexes</w:t>
      </w:r>
      <w:r>
        <w:t xml:space="preserve"> </w:t>
      </w:r>
      <w:r>
        <w:t xml:space="preserve">Cost</w:t>
      </w:r>
      <w:r>
        <w:t xml:space="preserve"> </w:t>
      </w:r>
      <w:r>
        <w:t xml:space="preserve">and</w:t>
      </w:r>
      <w:r>
        <w:t xml:space="preserve"> </w:t>
      </w:r>
      <w:r>
        <w:t xml:space="preserve">price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+</w:t>
      </w:r>
      <w:r>
        <w:t xml:space="preserve"> </w:t>
      </w:r>
      <w:r>
        <w:t xml:space="preserve">Section 6.1.5 of the SWD</w:t>
      </w:r>
      <w:r>
        <w:t xml:space="preserve"> </w:t>
      </w:r>
      <w:r>
        <w:t xml:space="preserve">International</w:t>
      </w:r>
      <w:r>
        <w:t xml:space="preserve"> </w:t>
      </w:r>
      <w:r>
        <w:t xml:space="preserve">competitiveness</w:t>
      </w:r>
      <w:r>
        <w:br/>
      </w:r>
      <w:r>
        <w:t xml:space="preserve">+</w:t>
      </w:r>
      <w:r>
        <w:t xml:space="preserve"> </w:t>
      </w:r>
      <w:r>
        <w:t xml:space="preserve">Section 6.1.5 of the SWD</w:t>
      </w:r>
      <w:r>
        <w:t xml:space="preserve"> </w:t>
      </w:r>
      <w:r>
        <w:t xml:space="preserve">Capacity to innovate</w:t>
      </w:r>
      <w:r>
        <w:t xml:space="preserve"> </w:t>
      </w:r>
      <w:r>
        <w:t xml:space="preserve">++</w:t>
      </w:r>
      <w:r>
        <w:t xml:space="preserve"> </w:t>
      </w:r>
      <w:r>
        <w:t xml:space="preserve">Annex 4, 7 and section 6.1.5 of the</w:t>
      </w:r>
      <w:r>
        <w:t xml:space="preserve"> </w:t>
      </w:r>
      <w:r>
        <w:t xml:space="preserve">SWD</w:t>
      </w:r>
      <w:r>
        <w:br/>
      </w:r>
      <w:r>
        <w:t xml:space="preserve">SME competitiveness</w:t>
      </w:r>
      <w:r>
        <w:t xml:space="preserve"> </w:t>
      </w:r>
      <w:r>
        <w:t xml:space="preserve">+</w:t>
      </w:r>
      <w:r>
        <w:t xml:space="preserve"> </w:t>
      </w:r>
      <w:r>
        <w:t xml:space="preserve">Section 6.1.7 of the SWD and Annex 10</w:t>
      </w:r>
      <w:r>
        <w:t xml:space="preserve"> </w:t>
      </w:r>
      <w:r>
        <w:t xml:space="preserve">SYNTHETIC ASSESSMENT</w:t>
      </w:r>
      <w:r>
        <w:br/>
      </w:r>
      <w:r>
        <w:t xml:space="preserve">Cost and price competitiveness</w:t>
      </w:r>
      <w:r>
        <w:t xml:space="preserve"> </w:t>
      </w:r>
      <w:r>
        <w:t xml:space="preserve">The preferred Policy Option 4 (PO4) establishes the binding opt-in application of the initiative</w:t>
      </w:r>
      <w:r>
        <w:t xml:space="preserve"> </w:t>
      </w:r>
      <w:r>
        <w:t xml:space="preserve">on the EU market, requiring the use of the CountEmissions EU framework only by those entities</w:t>
      </w:r>
      <w:r>
        <w:t xml:space="preserve"> </w:t>
      </w:r>
      <w:r>
        <w:t xml:space="preserve">that decide or are mandated to account GHG emissions of transport services. This approach will</w:t>
      </w:r>
      <w:r>
        <w:t xml:space="preserve"> </w:t>
      </w:r>
      <w:r>
        <w:t xml:space="preserve">streamline the emissions quantification process, and provide businesses with clear guidance,</w:t>
      </w:r>
      <w:r>
        <w:t xml:space="preserve"> </w:t>
      </w:r>
      <w:r>
        <w:t xml:space="preserve">supporting the forefront position of the EU on zero emissions vehicles, high-speed rail and</w:t>
      </w:r>
      <w:r>
        <w:t xml:space="preserve"> </w:t>
      </w:r>
      <w:r>
        <w:t xml:space="preserve">intelligent transport systems, without excessive pressure on costs.</w:t>
      </w:r>
      <w:r>
        <w:br/>
      </w:r>
      <w:r>
        <w:t xml:space="preserve">Given the increased uptake of the framework from the implementation year (2025) onwards, this</w:t>
      </w:r>
      <w:r>
        <w:t xml:space="preserve"> </w:t>
      </w:r>
      <w:r>
        <w:t xml:space="preserve">choice will lead to adjustment costs for the businesses involved (see Annex 3), mostly associated</w:t>
      </w:r>
      <w:r>
        <w:t xml:space="preserve"> </w:t>
      </w:r>
      <w:r>
        <w:t xml:space="preserve">with the necessary adaptations or establishment of the internal processes and systems. The</w:t>
      </w:r>
      <w:r>
        <w:t xml:space="preserve"> </w:t>
      </w:r>
      <w:r>
        <w:t xml:space="preserve">adjustment costs will therefore include labour, IT and external services costs, the latter related</w:t>
      </w:r>
      <w:r>
        <w:t xml:space="preserve"> </w:t>
      </w:r>
      <w:r>
        <w:t xml:space="preserve">with the use of specific technical tools and expertise. For large entities, these expenses will also</w:t>
      </w:r>
      <w:r>
        <w:t xml:space="preserve"> </w:t>
      </w:r>
      <w:r>
        <w:t xml:space="preserve">be topped up with the mandatory verification of data and processes. These costs are expected to</w:t>
      </w:r>
      <w:r>
        <w:t xml:space="preserve"> </w:t>
      </w:r>
      <w:r>
        <w:t xml:space="preserve">decrease gradually over time, given the regulatory and methodological clarity provided by the</w:t>
      </w:r>
      <w:r>
        <w:t xml:space="preserve"> </w:t>
      </w:r>
      <w:r>
        <w:t xml:space="preserve">common framework, as well as the availability of specific facilitating measures, namely the</w:t>
      </w:r>
      <w:r>
        <w:t xml:space="preserve"> </w:t>
      </w:r>
      <w:r>
        <w:t xml:space="preserve">implementation guidelines and technical support tools. Furthermore, as shown in Section 6 and</w:t>
      </w:r>
      <w:r>
        <w:t xml:space="preserve"> </w:t>
      </w:r>
      <w:r>
        <w:t xml:space="preserve">Annex 4, the implementation of the initiative will lead to direct and indirect benefits for</w:t>
      </w:r>
      <w:r>
        <w:t xml:space="preserve"> </w:t>
      </w:r>
      <w:r>
        <w:t xml:space="preserve">economic operators, resulting from better transparency on the performance of transport</w:t>
      </w:r>
      <w:r>
        <w:t xml:space="preserve"> </w:t>
      </w:r>
      <w:r>
        <w:t xml:space="preserve">operations. These benefits will translate into energy savings, increased efficiency of transport</w:t>
      </w:r>
      <w:r>
        <w:t xml:space="preserve"> </w:t>
      </w:r>
      <w:r>
        <w:t xml:space="preserve">activities, improved reputational image of businesses and overall societal costs decrease.</w:t>
      </w:r>
      <w:r>
        <w:t xml:space="preserve"> </w:t>
      </w:r>
      <w:r>
        <w:t xml:space="preserve">Therefore, the overall impact on this dimension is considered positive.</w:t>
      </w:r>
      <w:r>
        <w:br/>
      </w:r>
      <w:r>
        <w:t xml:space="preserve">International competitiveness</w:t>
      </w:r>
      <w:r>
        <w:t xml:space="preserve"> </w:t>
      </w:r>
      <w:r>
        <w:t xml:space="preserve">The regulatory and methodological clarity provided by the harmonised framework, and related</w:t>
      </w:r>
      <w:r>
        <w:t xml:space="preserve"> </w:t>
      </w:r>
      <w:r>
        <w:t xml:space="preserve">benefits stemming from its use, are expected to improve the competitive position of EU</w:t>
      </w:r>
      <w:r>
        <w:t xml:space="preserve"> </w:t>
      </w:r>
      <w:r>
        <w:t xml:space="preserve">companies on the international market. In principle, the framework will accelerate the</w:t>
      </w:r>
      <w:r>
        <w:t xml:space="preserve"> </w:t>
      </w:r>
      <w:r>
        <w:t xml:space="preserve">deployment of low and zero emissions transport options, and contribute to increasing the market</w:t>
      </w:r>
    </w:p>
    <w:p>
      <w:pPr>
        <w:pStyle w:val="BodyText"/>
      </w:pPr>
      <w:r>
        <w:t xml:space="preserve">135</w:t>
      </w:r>
    </w:p>
    <w:p>
      <w:pPr>
        <w:pStyle w:val="BodyText"/>
      </w:pPr>
      <w:r>
        <w:t xml:space="preserve">share of alternative fuels in the EU. Furthermore, by establishing the global ISO 14083 standard</w:t>
      </w:r>
      <w:r>
        <w:t xml:space="preserve"> </w:t>
      </w:r>
      <w:r>
        <w:t xml:space="preserve">as the common reference methodology, PO 4 will enable EU entities to calculate emissions</w:t>
      </w:r>
      <w:r>
        <w:t xml:space="preserve"> </w:t>
      </w:r>
      <w:r>
        <w:t xml:space="preserve">beyond the internal EU transport chains only, and provide an opportunity for a global</w:t>
      </w:r>
      <w:r>
        <w:t xml:space="preserve"> </w:t>
      </w:r>
      <w:r>
        <w:t xml:space="preserve">methodological alignment, depending on the adherence to the ISO standard by third countries.</w:t>
      </w:r>
      <w:r>
        <w:t xml:space="preserve"> </w:t>
      </w:r>
      <w:r>
        <w:t xml:space="preserve">This effect would have positive impact on the international cooperation, and additional benefits</w:t>
      </w:r>
      <w:r>
        <w:t xml:space="preserve"> </w:t>
      </w:r>
      <w:r>
        <w:t xml:space="preserve">resulting from increased efficiency and emissions reduction. No other direct impacts on</w:t>
      </w:r>
      <w:r>
        <w:t xml:space="preserve"> </w:t>
      </w:r>
      <w:r>
        <w:t xml:space="preserve">international competitiveness can be foreseen.</w:t>
      </w:r>
      <w:r>
        <w:br/>
      </w:r>
      <w:r>
        <w:t xml:space="preserve">Capacity to innovate</w:t>
      </w:r>
      <w:r>
        <w:t xml:space="preserve"> </w:t>
      </w:r>
      <w:r>
        <w:t xml:space="preserve">The deployment of CountEmissions EU will lead to more sustainable and efficient transport</w:t>
      </w:r>
      <w:r>
        <w:t xml:space="preserve"> </w:t>
      </w:r>
      <w:r>
        <w:t xml:space="preserve">decisions by final users, thus stimulating the innovation (including process innovation) and faster</w:t>
      </w:r>
      <w:r>
        <w:t xml:space="preserve"> </w:t>
      </w:r>
      <w:r>
        <w:t xml:space="preserve">technology uptake by transport service organisers (especially operators). What is more, the</w:t>
      </w:r>
      <w:r>
        <w:t xml:space="preserve"> </w:t>
      </w:r>
      <w:r>
        <w:t xml:space="preserve">increased sharing of transport emissions data will trigger further efforts of companies towards</w:t>
      </w:r>
      <w:r>
        <w:t xml:space="preserve"> </w:t>
      </w:r>
      <w:r>
        <w:t xml:space="preserve">digital solutions, which may be particularly relevant for SMEs, and specifically microenterprises.</w:t>
      </w:r>
      <w:r>
        <w:t xml:space="preserve"> </w:t>
      </w:r>
      <w:r>
        <w:t xml:space="preserve">Therefore, this assessment leads to a high score for ‘Capacity to innovate’ dimension.</w:t>
      </w:r>
      <w:r>
        <w:br/>
      </w:r>
      <w:r>
        <w:t xml:space="preserve">SME competitiveness</w:t>
      </w:r>
      <w:r>
        <w:t xml:space="preserve"> </w:t>
      </w:r>
      <w:r>
        <w:t xml:space="preserve">Given that SMEs represent a substantial part of the transport market (especially road), the</w:t>
      </w:r>
      <w:r>
        <w:t xml:space="preserve"> </w:t>
      </w:r>
      <w:r>
        <w:t xml:space="preserve">assessment on the overall cost and price competitiveness aspect as provided above, is applicable</w:t>
      </w:r>
      <w:r>
        <w:t xml:space="preserve"> </w:t>
      </w:r>
      <w:r>
        <w:t xml:space="preserve">also for this dimension to a large extent . It should be noted that SMEs in general have lower</w:t>
      </w:r>
      <w:r>
        <w:t xml:space="preserve"> </w:t>
      </w:r>
      <w:r>
        <w:t xml:space="preserve">capacity (resources) to bear additional requirements, which may result in a relatively higher</w:t>
      </w:r>
      <w:r>
        <w:t xml:space="preserve"> </w:t>
      </w:r>
      <w:r>
        <w:t xml:space="preserve">proportion of the adjustment costs compared to their overall cost structure. However, PO4 has</w:t>
      </w:r>
      <w:r>
        <w:t xml:space="preserve"> </w:t>
      </w:r>
      <w:r>
        <w:t xml:space="preserve">been designed to minimise negative impacts on SMEs, including the exemption of SMEs from</w:t>
      </w:r>
      <w:r>
        <w:t xml:space="preserve"> </w:t>
      </w:r>
      <w:r>
        <w:t xml:space="preserve">the mandatory verification of GHG data and processes, the provision of implementation</w:t>
      </w:r>
      <w:r>
        <w:t xml:space="preserve"> </w:t>
      </w:r>
      <w:r>
        <w:t xml:space="preserve">guidelines and certified technical support tools, as well as the establishment of a harmonised</w:t>
      </w:r>
      <w:r>
        <w:t xml:space="preserve"> </w:t>
      </w:r>
      <w:r>
        <w:t xml:space="preserve">framework for the input data.</w:t>
      </w:r>
      <w:r>
        <w:br/>
      </w:r>
      <w:r>
        <w:t xml:space="preserve">CountEmissions EU will therefore contribute to the establishment of the level playing field on</w:t>
      </w:r>
      <w:r>
        <w:t xml:space="preserve"> </w:t>
      </w:r>
      <w:r>
        <w:t xml:space="preserve">the transport market, thus improving the position of SMEs, and at the same time enabling the</w:t>
      </w:r>
      <w:r>
        <w:t xml:space="preserve"> </w:t>
      </w:r>
      <w:r>
        <w:t xml:space="preserve">surfacing of sustainable solutions concerning last mile, door-to-door mobility and logistics. This</w:t>
      </w:r>
      <w:r>
        <w:t xml:space="preserve"> </w:t>
      </w:r>
      <w:r>
        <w:t xml:space="preserve">eventually results in a positive score for this competitiveness check dimension.</w:t>
      </w:r>
    </w:p>
    <w:p>
      <w:pPr>
        <w:pStyle w:val="BodyText"/>
      </w:pPr>
      <w:r>
        <w:t xml:space="preserve">136</w:t>
      </w:r>
    </w:p>
    <w:p>
      <w:pPr>
        <w:pStyle w:val="BodyText"/>
      </w:pPr>
      <w:r>
        <w:t xml:space="preserve">ANNEX 6: DISCARDED POLICY MEASURES</w:t>
      </w:r>
      <w:r>
        <w:t xml:space="preserve"> </w:t>
      </w:r>
      <w:r>
        <w:t xml:space="preserve">During the Impact Assessment process, a number of possible policy measures have been discarded, based on the analytical work and feedback from the</w:t>
      </w:r>
      <w:r>
        <w:t xml:space="preserve"> </w:t>
      </w:r>
      <w:r>
        <w:t xml:space="preserve">stakeholders. This annex provides more detailed information on these measures and reasons for their discarding.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Relevant</w:t>
      </w:r>
      <w:r>
        <w:t xml:space="preserve"> </w:t>
      </w:r>
      <w:r>
        <w:t xml:space="preserve">Driver</w:t>
      </w:r>
      <w:r>
        <w:t xml:space="preserve"> </w:t>
      </w:r>
      <w:r>
        <w:t xml:space="preserve">Short description</w:t>
      </w:r>
      <w:r>
        <w:t xml:space="preserve"> </w:t>
      </w:r>
      <w:r>
        <w:t xml:space="preserve">Reason for discarding</w:t>
      </w:r>
      <w:r>
        <w:t xml:space="preserve"> </w:t>
      </w:r>
      <w:r>
        <w:t xml:space="preserve">EU develops an entirely new reference</w:t>
      </w:r>
      <w:r>
        <w:t xml:space="preserve"> </w:t>
      </w:r>
      <w:r>
        <w:t xml:space="preserve">methodology for accounting emissions</w:t>
      </w:r>
      <w:r>
        <w:t xml:space="preserve"> </w:t>
      </w:r>
      <w:r>
        <w:t xml:space="preserve">from transport services</w:t>
      </w:r>
      <w:r>
        <w:t xml:space="preserve"> </w:t>
      </w:r>
      <w:r>
        <w:t xml:space="preserve">PD1</w:t>
      </w:r>
      <w:r>
        <w:t xml:space="preserve"> </w:t>
      </w:r>
      <w:r>
        <w:t xml:space="preserve">A</w:t>
      </w:r>
      <w:r>
        <w:t xml:space="preserve"> </w:t>
      </w:r>
      <w:r>
        <w:t xml:space="preserve">completely,</w:t>
      </w:r>
      <w:r>
        <w:t xml:space="preserve"> </w:t>
      </w:r>
      <w:r>
        <w:t xml:space="preserve">new,</w:t>
      </w:r>
      <w:r>
        <w:t xml:space="preserve"> </w:t>
      </w:r>
      <w:r>
        <w:t xml:space="preserve">tailor-made</w:t>
      </w:r>
      <w:r>
        <w:t xml:space="preserve"> </w:t>
      </w:r>
      <w:r>
        <w:t xml:space="preserve">reference</w:t>
      </w:r>
      <w:r>
        <w:t xml:space="preserve"> </w:t>
      </w:r>
      <w:r>
        <w:t xml:space="preserve">methodology</w:t>
      </w:r>
      <w:r>
        <w:t xml:space="preserve"> </w:t>
      </w:r>
      <w:r>
        <w:t xml:space="preserve">including</w:t>
      </w:r>
      <w:r>
        <w:t xml:space="preserve"> </w:t>
      </w:r>
      <w:r>
        <w:t xml:space="preserve">all</w:t>
      </w:r>
      <w:r>
        <w:t xml:space="preserve"> </w:t>
      </w:r>
      <w:r>
        <w:t xml:space="preserve">relevant</w:t>
      </w:r>
      <w:r>
        <w:t xml:space="preserve"> </w:t>
      </w:r>
      <w:r>
        <w:t xml:space="preserve">design</w:t>
      </w:r>
      <w:r>
        <w:t xml:space="preserve"> </w:t>
      </w:r>
      <w:r>
        <w:t xml:space="preserve">alternatives and the necessary level of detail in</w:t>
      </w:r>
      <w:r>
        <w:t xml:space="preserve"> </w:t>
      </w:r>
      <w:r>
        <w:t xml:space="preserve">terms of the scope and method of the emission</w:t>
      </w:r>
      <w:r>
        <w:t xml:space="preserve"> </w:t>
      </w:r>
      <w:r>
        <w:t xml:space="preserve">calculation, as well as the allocation of emissions</w:t>
      </w:r>
      <w:r>
        <w:t xml:space="preserve"> </w:t>
      </w:r>
      <w:r>
        <w:t xml:space="preserve">to transport services.</w:t>
      </w:r>
      <w:r>
        <w:t xml:space="preserve"> </w:t>
      </w:r>
      <w:r>
        <w:t xml:space="preserve">More details are provided in Annex 8.</w:t>
      </w:r>
      <w:r>
        <w:t xml:space="preserve"> </w:t>
      </w:r>
      <w:r>
        <w:t xml:space="preserve">Discarded due to the lack of proportionality.</w:t>
      </w:r>
      <w:r>
        <w:t xml:space="preserve"> </w:t>
      </w:r>
      <w:r>
        <w:t xml:space="preserve">The analysis demonstrated limited added value for the achievement</w:t>
      </w:r>
      <w:r>
        <w:t xml:space="preserve"> </w:t>
      </w:r>
      <w:r>
        <w:t xml:space="preserve">of the policy objectives, given the existence of other robust and</w:t>
      </w:r>
      <w:r>
        <w:t xml:space="preserve"> </w:t>
      </w:r>
      <w:r>
        <w:t xml:space="preserve">widely accepted methods and initiatives for emissions accounting.</w:t>
      </w:r>
      <w:r>
        <w:br/>
      </w:r>
      <w:r>
        <w:t xml:space="preserve">This policy measure was not supported by the stakeholders due to:</w:t>
      </w:r>
      <w:r>
        <w:t xml:space="preserve"> </w:t>
      </w:r>
      <w:r>
        <w:t xml:space="preserve"></w:t>
      </w:r>
      <w:r>
        <w:t xml:space="preserve"> </w:t>
      </w:r>
      <w:r>
        <w:t xml:space="preserve">the legacy methods for accounting emissions from</w:t>
      </w:r>
      <w:r>
        <w:t xml:space="preserve"> </w:t>
      </w:r>
      <w:r>
        <w:t xml:space="preserve">transport services (such as ISO 14083 or CEN EN 16258</w:t>
      </w:r>
      <w:r>
        <w:t xml:space="preserve"> </w:t>
      </w:r>
      <w:r>
        <w:t xml:space="preserve">standards),</w:t>
      </w:r>
      <w:r>
        <w:br/>
      </w:r>
      <w:r>
        <w:t xml:space="preserve"></w:t>
      </w:r>
      <w:r>
        <w:t xml:space="preserve"> </w:t>
      </w:r>
      <w:r>
        <w:t xml:space="preserve">the uncertainty concerning the technical process related to</w:t>
      </w:r>
      <w:r>
        <w:t xml:space="preserve"> </w:t>
      </w:r>
      <w:r>
        <w:t xml:space="preserve">the development and implementation of the methodology</w:t>
      </w:r>
      <w:r>
        <w:t xml:space="preserve"> </w:t>
      </w:r>
      <w:r>
        <w:t xml:space="preserve">at the EU level.</w:t>
      </w:r>
    </w:p>
    <w:p>
      <w:pPr>
        <w:pStyle w:val="BodyText"/>
      </w:pPr>
      <w:r>
        <w:t xml:space="preserve">EU establishes the CEN standard EN 16258</w:t>
      </w:r>
      <w:r>
        <w:t xml:space="preserve"> </w:t>
      </w:r>
      <w:r>
        <w:t xml:space="preserve">as the common reference methodology for</w:t>
      </w:r>
      <w:r>
        <w:t xml:space="preserve"> </w:t>
      </w:r>
      <w:r>
        <w:t xml:space="preserve">PD1</w:t>
      </w:r>
      <w:r>
        <w:t xml:space="preserve"> </w:t>
      </w:r>
      <w:r>
        <w:t xml:space="preserve">The CEN standard EN 16258 was published in</w:t>
      </w:r>
      <w:r>
        <w:t xml:space="preserve"> </w:t>
      </w:r>
      <w:r>
        <w:t xml:space="preserve">2012, and until February 2023, it was the only</w:t>
      </w:r>
      <w:r>
        <w:t xml:space="preserve"> </w:t>
      </w:r>
      <w:r>
        <w:t xml:space="preserve">initiative offering specific emissions accounting</w:t>
      </w:r>
      <w:r>
        <w:t xml:space="preserve"> </w:t>
      </w:r>
      <w:r>
        <w:t xml:space="preserve">methodology on the calculation and declaration of</w:t>
      </w:r>
      <w:r>
        <w:t xml:space="preserve"> </w:t>
      </w:r>
      <w:r>
        <w:t xml:space="preserve">Discarded due to the lack of relevance.</w:t>
      </w:r>
      <w:r>
        <w:t xml:space="preserve"> </w:t>
      </w:r>
      <w:r>
        <w:t xml:space="preserve">CEN standard EN 16258 does not reflect the latest scientific</w:t>
      </w:r>
      <w:r>
        <w:t xml:space="preserve"> </w:t>
      </w:r>
      <w:r>
        <w:t xml:space="preserve">knowledge related to the quantification of GHG emissions from</w:t>
      </w:r>
    </w:p>
    <w:p>
      <w:pPr>
        <w:pStyle w:val="BodyText"/>
      </w:pPr>
      <w:r>
        <w:t xml:space="preserve">137</w:t>
      </w:r>
    </w:p>
    <w:p>
      <w:pPr>
        <w:pStyle w:val="BodyText"/>
      </w:pPr>
      <w:r>
        <w:t xml:space="preserve">Policy measure</w:t>
      </w:r>
      <w:r>
        <w:t xml:space="preserve"> </w:t>
      </w:r>
      <w:r>
        <w:t xml:space="preserve">Relevant</w:t>
      </w:r>
      <w:r>
        <w:t xml:space="preserve"> </w:t>
      </w:r>
      <w:r>
        <w:t xml:space="preserve">Driver</w:t>
      </w:r>
      <w:r>
        <w:t xml:space="preserve"> </w:t>
      </w:r>
      <w:r>
        <w:t xml:space="preserve">Short description</w:t>
      </w:r>
      <w:r>
        <w:t xml:space="preserve"> </w:t>
      </w:r>
      <w:r>
        <w:t xml:space="preserve">Reason for discarding</w:t>
      </w:r>
      <w:r>
        <w:t xml:space="preserve"> </w:t>
      </w:r>
      <w:r>
        <w:t xml:space="preserve">accounting</w:t>
      </w:r>
      <w:r>
        <w:t xml:space="preserve"> </w:t>
      </w:r>
      <w:r>
        <w:t xml:space="preserve">emissions</w:t>
      </w:r>
      <w:r>
        <w:t xml:space="preserve"> </w:t>
      </w:r>
      <w:r>
        <w:t xml:space="preserve">from</w:t>
      </w:r>
      <w:r>
        <w:t xml:space="preserve"> </w:t>
      </w:r>
      <w:r>
        <w:t xml:space="preserve">transport</w:t>
      </w:r>
      <w:r>
        <w:t xml:space="preserve"> </w:t>
      </w:r>
      <w:r>
        <w:t xml:space="preserve">services</w:t>
      </w:r>
      <w:r>
        <w:t xml:space="preserve"> </w:t>
      </w:r>
      <w:r>
        <w:t xml:space="preserve">energy consumption and GHG emissions related to</w:t>
      </w:r>
      <w:r>
        <w:t xml:space="preserve"> </w:t>
      </w:r>
      <w:r>
        <w:t xml:space="preserve">transport services. The methodology is in wider</w:t>
      </w:r>
      <w:r>
        <w:t xml:space="preserve"> </w:t>
      </w:r>
      <w:r>
        <w:t xml:space="preserve">use on the EU transport market.</w:t>
      </w:r>
      <w:r>
        <w:t xml:space="preserve"> </w:t>
      </w:r>
      <w:r>
        <w:t xml:space="preserve">More details are provided in Annex 8.</w:t>
      </w:r>
      <w:r>
        <w:t xml:space="preserve"> </w:t>
      </w:r>
      <w:r>
        <w:t xml:space="preserve">transport services and leaves considerable room for users to make</w:t>
      </w:r>
      <w:r>
        <w:t xml:space="preserve"> </w:t>
      </w:r>
      <w:r>
        <w:t xml:space="preserve">their own methodological choices.</w:t>
      </w:r>
      <w:r>
        <w:br/>
      </w:r>
      <w:r>
        <w:t xml:space="preserve">In February 2023, based on specific arrangements between CEN</w:t>
      </w:r>
      <w:r>
        <w:t xml:space="preserve"> </w:t>
      </w:r>
      <w:r>
        <w:t xml:space="preserve">and ISO, EN 16258 was withdrawn and substituted by the new ISO</w:t>
      </w:r>
      <w:r>
        <w:t xml:space="preserve"> </w:t>
      </w:r>
      <w:r>
        <w:t xml:space="preserve">standard 14083.</w:t>
      </w:r>
      <w:r>
        <w:br/>
      </w:r>
      <w:r>
        <w:t xml:space="preserve">EU establishes the common reference</w:t>
      </w:r>
      <w:r>
        <w:t xml:space="preserve"> </w:t>
      </w:r>
      <w:r>
        <w:t xml:space="preserve">methodology for accounting emissions</w:t>
      </w:r>
      <w:r>
        <w:t xml:space="preserve"> </w:t>
      </w:r>
      <w:r>
        <w:t xml:space="preserve">from transport services based on Article L.</w:t>
      </w:r>
      <w:r>
        <w:t xml:space="preserve"> </w:t>
      </w:r>
      <w:r>
        <w:t xml:space="preserve">1431-3 of the French Transport Code</w:t>
      </w:r>
      <w:r>
        <w:br/>
      </w:r>
      <w:r>
        <w:t xml:space="preserve">PD1</w:t>
      </w:r>
      <w:r>
        <w:t xml:space="preserve"> </w:t>
      </w:r>
      <w:r>
        <w:t xml:space="preserve">Article L. 1431-3 of the French Transport Code</w:t>
      </w:r>
      <w:r>
        <w:t xml:space="preserve"> </w:t>
      </w:r>
      <w:r>
        <w:t xml:space="preserve">establishes provisions and a methodology for</w:t>
      </w:r>
      <w:r>
        <w:t xml:space="preserve"> </w:t>
      </w:r>
      <w:r>
        <w:t xml:space="preserve">specific</w:t>
      </w:r>
      <w:r>
        <w:t xml:space="preserve"> </w:t>
      </w:r>
      <w:r>
        <w:t xml:space="preserve">information</w:t>
      </w:r>
      <w:r>
        <w:t xml:space="preserve"> </w:t>
      </w:r>
      <w:r>
        <w:t xml:space="preserve">disclosure,</w:t>
      </w:r>
      <w:r>
        <w:t xml:space="preserve"> </w:t>
      </w:r>
      <w:r>
        <w:t xml:space="preserve">mandating</w:t>
      </w:r>
      <w:r>
        <w:t xml:space="preserve"> </w:t>
      </w:r>
      <w:r>
        <w:t xml:space="preserve">transport service providers to inform users of their</w:t>
      </w:r>
      <w:r>
        <w:t xml:space="preserve"> </w:t>
      </w:r>
      <w:r>
        <w:t xml:space="preserve">carbon dioxide emissions while performing</w:t>
      </w:r>
      <w:r>
        <w:t xml:space="preserve"> </w:t>
      </w:r>
      <w:r>
        <w:t xml:space="preserve">respective transport services. The disclosure</w:t>
      </w:r>
      <w:r>
        <w:t xml:space="preserve"> </w:t>
      </w:r>
      <w:r>
        <w:t xml:space="preserve">requirement became mandatory in 2013.</w:t>
      </w:r>
      <w:r>
        <w:t xml:space="preserve"> </w:t>
      </w:r>
      <w:r>
        <w:t xml:space="preserve">More details are provided in Annex 8</w:t>
      </w:r>
      <w:r>
        <w:t xml:space="preserve"> </w:t>
      </w:r>
      <w:r>
        <w:t xml:space="preserve">Discarded due to the lack of relevance.</w:t>
      </w:r>
      <w:r>
        <w:t xml:space="preserve"> </w:t>
      </w:r>
      <w:r>
        <w:t xml:space="preserve">Article L. 1431-3 of the French Transport Code was designed for</w:t>
      </w:r>
      <w:r>
        <w:t xml:space="preserve"> </w:t>
      </w:r>
      <w:r>
        <w:t xml:space="preserve">use only in France; therefore, this methodology does not meet the</w:t>
      </w:r>
      <w:r>
        <w:t xml:space="preserve"> </w:t>
      </w:r>
      <w:r>
        <w:t xml:space="preserve">expectations of stakeholders, preferring a global geographical scope</w:t>
      </w:r>
      <w:r>
        <w:t xml:space="preserve"> </w:t>
      </w:r>
      <w:r>
        <w:t xml:space="preserve">of the GHG emissions accounting.</w:t>
      </w:r>
      <w:r>
        <w:t xml:space="preserve"> </w:t>
      </w:r>
      <w:r>
        <w:t xml:space="preserve">In addition, building on the CEN standard EN 16258, this method</w:t>
      </w:r>
      <w:r>
        <w:t xml:space="preserve"> </w:t>
      </w:r>
      <w:r>
        <w:t xml:space="preserve">will become redundant following the adoption of the new ISO</w:t>
      </w:r>
      <w:r>
        <w:t xml:space="preserve"> </w:t>
      </w:r>
      <w:r>
        <w:t xml:space="preserve">14083 methodology.</w:t>
      </w:r>
      <w:r>
        <w:br/>
      </w:r>
      <w:r>
        <w:t xml:space="preserve">EU establishes the general framework of</w:t>
      </w:r>
      <w:r>
        <w:t xml:space="preserve"> </w:t>
      </w:r>
      <w:r>
        <w:t xml:space="preserve">the Product Environmental Footprint (PEF)</w:t>
      </w:r>
      <w:r>
        <w:t xml:space="preserve"> </w:t>
      </w:r>
      <w:r>
        <w:t xml:space="preserve">as the common reference methodology for</w:t>
      </w:r>
      <w:r>
        <w:t xml:space="preserve"> </w:t>
      </w:r>
      <w:r>
        <w:t xml:space="preserve">accounting</w:t>
      </w:r>
      <w:r>
        <w:t xml:space="preserve"> </w:t>
      </w:r>
      <w:r>
        <w:t xml:space="preserve">emissions</w:t>
      </w:r>
      <w:r>
        <w:t xml:space="preserve"> </w:t>
      </w:r>
      <w:r>
        <w:t xml:space="preserve">from</w:t>
      </w:r>
      <w:r>
        <w:t xml:space="preserve"> </w:t>
      </w:r>
      <w:r>
        <w:t xml:space="preserve">transport</w:t>
      </w:r>
      <w:r>
        <w:t xml:space="preserve"> </w:t>
      </w:r>
      <w:r>
        <w:t xml:space="preserve">services</w:t>
      </w:r>
      <w:r>
        <w:t xml:space="preserve"> </w:t>
      </w:r>
      <w:r>
        <w:t xml:space="preserve">PD1</w:t>
      </w:r>
      <w:r>
        <w:t xml:space="preserve"> </w:t>
      </w:r>
      <w:r>
        <w:t xml:space="preserve">The Product Environmental Footprint framework</w:t>
      </w:r>
      <w:r>
        <w:t xml:space="preserve"> </w:t>
      </w:r>
      <w:r>
        <w:t xml:space="preserve">was developed by the European Commission (EC)</w:t>
      </w:r>
      <w:r>
        <w:t xml:space="preserve"> </w:t>
      </w:r>
      <w:r>
        <w:t xml:space="preserve">in the context of the Single Market for Green</w:t>
      </w:r>
      <w:r>
        <w:t xml:space="preserve"> </w:t>
      </w:r>
      <w:r>
        <w:t xml:space="preserve">Products Initiative. PEF provides a horizontal and</w:t>
      </w:r>
      <w:r>
        <w:t xml:space="preserve"> </w:t>
      </w:r>
      <w:r>
        <w:t xml:space="preserve">cross-sectoral method for the measurement of the</w:t>
      </w:r>
      <w:r>
        <w:t xml:space="preserve"> </w:t>
      </w:r>
      <w:r>
        <w:t xml:space="preserve">environmental performance of a good or service</w:t>
      </w:r>
      <w:r>
        <w:t xml:space="preserve"> </w:t>
      </w:r>
      <w:r>
        <w:t xml:space="preserve">throughout its full life cycle.</w:t>
      </w:r>
      <w:r>
        <w:br/>
      </w:r>
      <w:r>
        <w:t xml:space="preserve">More details are provided in Annex 8</w:t>
      </w:r>
    </w:p>
    <w:p>
      <w:pPr>
        <w:pStyle w:val="BodyText"/>
      </w:pPr>
      <w:r>
        <w:t xml:space="preserve">Discarded due to the lack of relevance.</w:t>
      </w:r>
      <w:r>
        <w:t xml:space="preserve"> </w:t>
      </w:r>
      <w:r>
        <w:t xml:space="preserve">The general PEF framework does not cover emissions generated at</w:t>
      </w:r>
      <w:r>
        <w:t xml:space="preserve"> </w:t>
      </w:r>
      <w:r>
        <w:t xml:space="preserve">the level of transport services, thus preventing the provision of</w:t>
      </w:r>
      <w:r>
        <w:t xml:space="preserve"> </w:t>
      </w:r>
      <w:r>
        <w:t xml:space="preserve">sufficient and adequate guidance for potential users performing</w:t>
      </w:r>
      <w:r>
        <w:t xml:space="preserve"> </w:t>
      </w:r>
      <w:r>
        <w:t xml:space="preserve">activities related to transporting cargo or/and passengers. This</w:t>
      </w:r>
      <w:r>
        <w:t xml:space="preserve"> </w:t>
      </w:r>
      <w:r>
        <w:t xml:space="preserve">method is not specifically recognised nor used in the business</w:t>
      </w:r>
      <w:r>
        <w:t xml:space="preserve"> </w:t>
      </w:r>
      <w:r>
        <w:t xml:space="preserve">practice in the transport sector.</w:t>
      </w:r>
    </w:p>
    <w:p>
      <w:pPr>
        <w:pStyle w:val="BodyText"/>
      </w:pPr>
      <w:r>
        <w:t xml:space="preserve">138</w:t>
      </w:r>
    </w:p>
    <w:p>
      <w:pPr>
        <w:pStyle w:val="BodyText"/>
      </w:pPr>
      <w:r>
        <w:t xml:space="preserve">Policy measure</w:t>
      </w:r>
      <w:r>
        <w:t xml:space="preserve"> </w:t>
      </w:r>
      <w:r>
        <w:t xml:space="preserve">Relevant</w:t>
      </w:r>
      <w:r>
        <w:t xml:space="preserve"> </w:t>
      </w:r>
      <w:r>
        <w:t xml:space="preserve">Driver</w:t>
      </w:r>
      <w:r>
        <w:t xml:space="preserve"> </w:t>
      </w:r>
      <w:r>
        <w:t xml:space="preserve">Short description</w:t>
      </w:r>
      <w:r>
        <w:t xml:space="preserve"> </w:t>
      </w:r>
      <w:r>
        <w:t xml:space="preserve">Reason for discarding</w:t>
      </w:r>
      <w:r>
        <w:t xml:space="preserve"> </w:t>
      </w:r>
      <w:r>
        <w:t xml:space="preserve">EU establishes the Corporate Value Chain</w:t>
      </w:r>
      <w:r>
        <w:t xml:space="preserve"> </w:t>
      </w:r>
      <w:r>
        <w:t xml:space="preserve">Standard of the GHG Protocol as the</w:t>
      </w:r>
      <w:r>
        <w:t xml:space="preserve"> </w:t>
      </w:r>
      <w:r>
        <w:t xml:space="preserve">common</w:t>
      </w:r>
      <w:r>
        <w:t xml:space="preserve"> </w:t>
      </w:r>
      <w:r>
        <w:t xml:space="preserve">reference</w:t>
      </w:r>
      <w:r>
        <w:t xml:space="preserve"> </w:t>
      </w:r>
      <w:r>
        <w:t xml:space="preserve">methodology</w:t>
      </w:r>
      <w:r>
        <w:t xml:space="preserve"> </w:t>
      </w:r>
      <w:r>
        <w:t xml:space="preserve">for</w:t>
      </w:r>
      <w:r>
        <w:t xml:space="preserve"> </w:t>
      </w:r>
      <w:r>
        <w:t xml:space="preserve">accounting</w:t>
      </w:r>
      <w:r>
        <w:t xml:space="preserve"> </w:t>
      </w:r>
      <w:r>
        <w:t xml:space="preserve">emissions</w:t>
      </w:r>
      <w:r>
        <w:t xml:space="preserve"> </w:t>
      </w:r>
      <w:r>
        <w:t xml:space="preserve">from</w:t>
      </w:r>
      <w:r>
        <w:t xml:space="preserve"> </w:t>
      </w:r>
      <w:r>
        <w:t xml:space="preserve">transport</w:t>
      </w:r>
      <w:r>
        <w:t xml:space="preserve"> </w:t>
      </w:r>
      <w:r>
        <w:t xml:space="preserve">services</w:t>
      </w:r>
      <w:r>
        <w:t xml:space="preserve"> </w:t>
      </w:r>
      <w:r>
        <w:t xml:space="preserve">PD1</w:t>
      </w:r>
      <w:r>
        <w:t xml:space="preserve"> </w:t>
      </w:r>
      <w:r>
        <w:t xml:space="preserve">The GHG Protocol Corporate Accounting and</w:t>
      </w:r>
      <w:r>
        <w:t xml:space="preserve"> </w:t>
      </w:r>
      <w:r>
        <w:t xml:space="preserve">Reporting Standard of 2001 was a pioneering</w:t>
      </w:r>
      <w:r>
        <w:t xml:space="preserve"> </w:t>
      </w:r>
      <w:r>
        <w:t xml:space="preserve">initiative</w:t>
      </w:r>
      <w:r>
        <w:t xml:space="preserve"> </w:t>
      </w:r>
      <w:r>
        <w:t xml:space="preserve">establishing</w:t>
      </w:r>
      <w:r>
        <w:t xml:space="preserve"> </w:t>
      </w:r>
      <w:r>
        <w:t xml:space="preserve">global</w:t>
      </w:r>
      <w:r>
        <w:t xml:space="preserve"> </w:t>
      </w:r>
      <w:r>
        <w:t xml:space="preserve">standardised</w:t>
      </w:r>
      <w:r>
        <w:t xml:space="preserve"> </w:t>
      </w:r>
      <w:r>
        <w:t xml:space="preserve">frameworks to measure and manage GHG</w:t>
      </w:r>
      <w:r>
        <w:t xml:space="preserve"> </w:t>
      </w:r>
      <w:r>
        <w:t xml:space="preserve">emissions from private and public sector</w:t>
      </w:r>
      <w:r>
        <w:t xml:space="preserve"> </w:t>
      </w:r>
      <w:r>
        <w:t xml:space="preserve">operations. The GHG Protocol enables to account</w:t>
      </w:r>
      <w:r>
        <w:t xml:space="preserve"> </w:t>
      </w:r>
      <w:r>
        <w:t xml:space="preserve">indirect emissions from value chain activities,</w:t>
      </w:r>
      <w:r>
        <w:t xml:space="preserve"> </w:t>
      </w:r>
      <w:r>
        <w:t xml:space="preserve">including from transport and logistics.</w:t>
      </w:r>
      <w:r>
        <w:br/>
      </w:r>
      <w:r>
        <w:t xml:space="preserve">More details are provided in Annex 8</w:t>
      </w:r>
      <w:r>
        <w:t xml:space="preserve"> </w:t>
      </w:r>
      <w:r>
        <w:t xml:space="preserve">Discarded due to the lack of relevance.</w:t>
      </w:r>
      <w:r>
        <w:t xml:space="preserve"> </w:t>
      </w:r>
      <w:r>
        <w:t xml:space="preserve">Although highly valuable for accounting GHG emissions of</w:t>
      </w:r>
      <w:r>
        <w:t xml:space="preserve"> </w:t>
      </w:r>
      <w:r>
        <w:t xml:space="preserve">companies, this methodology is less complete and accurate for</w:t>
      </w:r>
      <w:r>
        <w:t xml:space="preserve"> </w:t>
      </w:r>
      <w:r>
        <w:t xml:space="preserve">addressing emissions stemming from the specific transport service</w:t>
      </w:r>
      <w:r>
        <w:t xml:space="preserve"> </w:t>
      </w:r>
      <w:r>
        <w:t xml:space="preserve">level. Therefore, similarly as in the case of PEF, it does not provide</w:t>
      </w:r>
      <w:r>
        <w:t xml:space="preserve"> </w:t>
      </w:r>
      <w:r>
        <w:t xml:space="preserve">sufficient and adequate guidance for potential users performing</w:t>
      </w:r>
      <w:r>
        <w:t xml:space="preserve"> </w:t>
      </w:r>
      <w:r>
        <w:t xml:space="preserve">activities related to transporting cargo or/and passengers.</w:t>
      </w:r>
      <w:r>
        <w:br/>
      </w:r>
      <w:r>
        <w:t xml:space="preserve">EU</w:t>
      </w:r>
      <w:r>
        <w:t xml:space="preserve"> </w:t>
      </w:r>
      <w:r>
        <w:t xml:space="preserve">mandates</w:t>
      </w:r>
      <w:r>
        <w:t xml:space="preserve"> </w:t>
      </w:r>
      <w:r>
        <w:t xml:space="preserve">the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primary</w:t>
      </w:r>
      <w:r>
        <w:t xml:space="preserve"> </w:t>
      </w:r>
      <w:r>
        <w:t xml:space="preserve">information to economic operators and</w:t>
      </w:r>
      <w:r>
        <w:t xml:space="preserve"> </w:t>
      </w:r>
      <w:r>
        <w:t xml:space="preserve">other entities accounting emissions from</w:t>
      </w:r>
      <w:r>
        <w:t xml:space="preserve"> </w:t>
      </w:r>
      <w:r>
        <w:t xml:space="preserve">transport services</w:t>
      </w:r>
      <w:r>
        <w:br/>
      </w:r>
      <w:r>
        <w:t xml:space="preserve">PD2</w:t>
      </w:r>
      <w:r>
        <w:t xml:space="preserve"> </w:t>
      </w:r>
      <w:r>
        <w:t xml:space="preserve">Primary information on the actual fuel/energy</w:t>
      </w:r>
      <w:r>
        <w:t xml:space="preserve"> </w:t>
      </w:r>
      <w:r>
        <w:t xml:space="preserve">consumed is required from economic operators and</w:t>
      </w:r>
      <w:r>
        <w:t xml:space="preserve"> </w:t>
      </w:r>
      <w:r>
        <w:t xml:space="preserve">other relevant entities quantifying GHG emissions</w:t>
      </w:r>
      <w:r>
        <w:t xml:space="preserve"> </w:t>
      </w:r>
      <w:r>
        <w:t xml:space="preserve">from transport services. The use of activity-based</w:t>
      </w:r>
      <w:r>
        <w:t xml:space="preserve"> </w:t>
      </w:r>
      <w:r>
        <w:t xml:space="preserve">default values, i.e. emission intensity factors and</w:t>
      </w:r>
      <w:r>
        <w:t xml:space="preserve"> </w:t>
      </w:r>
      <w:r>
        <w:t xml:space="preserve">modelled data is therefore not allowed.</w:t>
      </w:r>
      <w:r>
        <w:br/>
      </w:r>
      <w:r>
        <w:t xml:space="preserve">Discarded due to the lack of proportionality.</w:t>
      </w:r>
      <w:r>
        <w:t xml:space="preserve"> </w:t>
      </w:r>
      <w:r>
        <w:t xml:space="preserve">The consultation activities and desk research identified limited</w:t>
      </w:r>
      <w:r>
        <w:t xml:space="preserve"> </w:t>
      </w:r>
      <w:r>
        <w:t xml:space="preserve">availability of primary information for certain categories of</w:t>
      </w:r>
      <w:r>
        <w:t xml:space="preserve"> </w:t>
      </w:r>
      <w:r>
        <w:t xml:space="preserve">stakeholders (especially operators representing SMEs and</w:t>
      </w:r>
      <w:r>
        <w:t xml:space="preserve"> </w:t>
      </w:r>
      <w:r>
        <w:t xml:space="preserve">microenterprises) and certain types of transport services (such as</w:t>
      </w:r>
      <w:r>
        <w:t xml:space="preserve"> </w:t>
      </w:r>
      <w:r>
        <w:t xml:space="preserve">last mile operations). Therefore, the mandatory requirements for the</w:t>
      </w:r>
      <w:r>
        <w:t xml:space="preserve"> </w:t>
      </w:r>
      <w:r>
        <w:t xml:space="preserve">exclusive use of primary information would create an excessive</w:t>
      </w:r>
      <w:r>
        <w:t xml:space="preserve"> </w:t>
      </w:r>
      <w:r>
        <w:t xml:space="preserve">and disproportionate burden on businesses and other entities</w:t>
      </w:r>
      <w:r>
        <w:t xml:space="preserve"> </w:t>
      </w:r>
      <w:r>
        <w:t xml:space="preserve">quantifying emissions of transport services.</w:t>
      </w:r>
      <w:r>
        <w:t xml:space="preserve"> </w:t>
      </w:r>
      <w:r>
        <w:t xml:space="preserve">EU</w:t>
      </w:r>
      <w:r>
        <w:t xml:space="preserve"> </w:t>
      </w:r>
      <w:r>
        <w:t xml:space="preserve">provides</w:t>
      </w:r>
      <w:r>
        <w:t xml:space="preserve"> </w:t>
      </w:r>
      <w:r>
        <w:t xml:space="preserve">recommendations</w:t>
      </w:r>
      <w:r>
        <w:t xml:space="preserve"> </w:t>
      </w:r>
      <w:r>
        <w:t xml:space="preserve">for</w:t>
      </w:r>
      <w:r>
        <w:t xml:space="preserve"> </w:t>
      </w:r>
      <w:r>
        <w:t xml:space="preserve">harmonized formats of emissions output</w:t>
      </w:r>
      <w:r>
        <w:t xml:space="preserve"> </w:t>
      </w:r>
      <w:r>
        <w:t xml:space="preserve">data</w:t>
      </w:r>
      <w:r>
        <w:t xml:space="preserve"> </w:t>
      </w:r>
      <w:r>
        <w:t xml:space="preserve">PD3</w:t>
      </w:r>
      <w:r>
        <w:t xml:space="preserve"> </w:t>
      </w:r>
      <w:r>
        <w:t xml:space="preserve">The EC provides recommendations on the</w:t>
      </w:r>
      <w:r>
        <w:t xml:space="preserve"> </w:t>
      </w:r>
      <w:r>
        <w:t xml:space="preserve">harmonised format and metrics (unit of measures)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GHG</w:t>
      </w:r>
      <w:r>
        <w:t xml:space="preserve"> </w:t>
      </w:r>
      <w:r>
        <w:t xml:space="preserve">data</w:t>
      </w:r>
      <w:r>
        <w:t xml:space="preserve"> </w:t>
      </w:r>
      <w:r>
        <w:t xml:space="preserve">generated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CountEmissions EU framework. The measure</w:t>
      </w:r>
      <w:r>
        <w:t xml:space="preserve"> </w:t>
      </w:r>
      <w:r>
        <w:t xml:space="preserve">aims</w:t>
      </w:r>
      <w:r>
        <w:t xml:space="preserve"> </w:t>
      </w:r>
      <w:r>
        <w:t xml:space="preserve">to</w:t>
      </w:r>
      <w:r>
        <w:t xml:space="preserve"> </w:t>
      </w:r>
      <w:r>
        <w:t xml:space="preserve">facilitate</w:t>
      </w:r>
      <w:r>
        <w:t xml:space="preserve"> </w:t>
      </w:r>
      <w:r>
        <w:t xml:space="preserve">the</w:t>
      </w:r>
      <w:r>
        <w:t xml:space="preserve"> </w:t>
      </w:r>
      <w:r>
        <w:t xml:space="preserve">comparability</w:t>
      </w:r>
      <w:r>
        <w:t xml:space="preserve"> </w:t>
      </w:r>
      <w:r>
        <w:t xml:space="preserve">and</w:t>
      </w:r>
      <w:r>
        <w:t xml:space="preserve"> </w:t>
      </w:r>
      <w:r>
        <w:t xml:space="preserve">benchmarking of this data for better transparency</w:t>
      </w:r>
      <w:r>
        <w:t xml:space="preserve"> </w:t>
      </w:r>
      <w:r>
        <w:t xml:space="preserve">on the market and informed decision making by</w:t>
      </w:r>
      <w:r>
        <w:t xml:space="preserve"> </w:t>
      </w:r>
      <w:r>
        <w:t xml:space="preserve">data users.</w:t>
      </w:r>
      <w:r>
        <w:t xml:space="preserve"> </w:t>
      </w:r>
      <w:r>
        <w:t xml:space="preserve">Discarded due to the lack of effectiveness.</w:t>
      </w:r>
      <w:r>
        <w:t xml:space="preserve"> </w:t>
      </w:r>
      <w:r>
        <w:t xml:space="preserve">The consultation activities and desk research identified that</w:t>
      </w:r>
      <w:r>
        <w:t xml:space="preserve"> </w:t>
      </w:r>
      <w:r>
        <w:t xml:space="preserve">companies or groups of companies operating in particular segments</w:t>
      </w:r>
      <w:r>
        <w:t xml:space="preserve"> </w:t>
      </w:r>
      <w:r>
        <w:t xml:space="preserve">of the transport sector very often use their own and specific data</w:t>
      </w:r>
      <w:r>
        <w:t xml:space="preserve"> </w:t>
      </w:r>
      <w:r>
        <w:t xml:space="preserve">formats. Therefore, the recommendation as a policy instrument</w:t>
      </w:r>
      <w:r>
        <w:t xml:space="preserve"> </w:t>
      </w:r>
      <w:r>
        <w:t xml:space="preserve">would not be effective enough to reach the full comparability of</w:t>
      </w:r>
      <w:r>
        <w:t xml:space="preserve"> </w:t>
      </w:r>
      <w:r>
        <w:t xml:space="preserve">various data shared in the transport chain.</w:t>
      </w:r>
    </w:p>
    <w:p>
      <w:pPr>
        <w:pStyle w:val="BodyText"/>
      </w:pPr>
      <w:r>
        <w:t xml:space="preserve">139</w:t>
      </w:r>
    </w:p>
    <w:p>
      <w:pPr>
        <w:pStyle w:val="BodyText"/>
      </w:pPr>
      <w:r>
        <w:t xml:space="preserve">Policy measure</w:t>
      </w:r>
      <w:r>
        <w:t xml:space="preserve"> </w:t>
      </w:r>
      <w:r>
        <w:t xml:space="preserve">Relevant</w:t>
      </w:r>
      <w:r>
        <w:t xml:space="preserve"> </w:t>
      </w:r>
      <w:r>
        <w:t xml:space="preserve">Driver</w:t>
      </w:r>
      <w:r>
        <w:t xml:space="preserve"> </w:t>
      </w:r>
      <w:r>
        <w:t xml:space="preserve">Short description</w:t>
      </w:r>
      <w:r>
        <w:t xml:space="preserve"> </w:t>
      </w:r>
      <w:r>
        <w:t xml:space="preserve">Reason for discarding</w:t>
      </w:r>
      <w:r>
        <w:t xml:space="preserve"> </w:t>
      </w:r>
      <w:r>
        <w:t xml:space="preserve">EU</w:t>
      </w:r>
      <w:r>
        <w:t xml:space="preserve"> </w:t>
      </w:r>
      <w:r>
        <w:t xml:space="preserve">certifies</w:t>
      </w:r>
      <w:r>
        <w:t xml:space="preserve"> </w:t>
      </w:r>
      <w:r>
        <w:t xml:space="preserve">specific</w:t>
      </w:r>
      <w:r>
        <w:t xml:space="preserve"> </w:t>
      </w:r>
      <w:r>
        <w:t xml:space="preserve">sectorial</w:t>
      </w:r>
      <w:r>
        <w:t xml:space="preserve"> </w:t>
      </w:r>
      <w:r>
        <w:t xml:space="preserve">implementation guidelines provided by the</w:t>
      </w:r>
      <w:r>
        <w:t xml:space="preserve"> </w:t>
      </w:r>
      <w:r>
        <w:t xml:space="preserve">market</w:t>
      </w:r>
      <w:r>
        <w:t xml:space="preserve"> </w:t>
      </w:r>
      <w:r>
        <w:t xml:space="preserve">PD5</w:t>
      </w:r>
      <w:r>
        <w:t xml:space="preserve"> </w:t>
      </w:r>
      <w:r>
        <w:t xml:space="preserve">This</w:t>
      </w:r>
      <w:r>
        <w:t xml:space="preserve"> </w:t>
      </w:r>
      <w:r>
        <w:t xml:space="preserve">measure</w:t>
      </w:r>
      <w:r>
        <w:t xml:space="preserve"> </w:t>
      </w:r>
      <w:r>
        <w:t xml:space="preserve">establishes</w:t>
      </w:r>
      <w:r>
        <w:t xml:space="preserve"> </w:t>
      </w:r>
      <w:r>
        <w:t xml:space="preserve">the</w:t>
      </w:r>
      <w:r>
        <w:t xml:space="preserve"> </w:t>
      </w:r>
      <w:r>
        <w:t xml:space="preserve">mandatory</w:t>
      </w:r>
      <w:r>
        <w:t xml:space="preserve"> </w:t>
      </w:r>
      <w:r>
        <w:t xml:space="preserve">certification of specific sectorial implementation</w:t>
      </w:r>
      <w:r>
        <w:t xml:space="preserve"> </w:t>
      </w:r>
      <w:r>
        <w:t xml:space="preserve">guidelines developed by the market. These</w:t>
      </w:r>
      <w:r>
        <w:t xml:space="preserve"> </w:t>
      </w:r>
      <w:r>
        <w:t xml:space="preserve">guidelines may include issues related to the</w:t>
      </w:r>
      <w:r>
        <w:t xml:space="preserve"> </w:t>
      </w:r>
      <w:r>
        <w:t xml:space="preserve">interpretation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common</w:t>
      </w:r>
      <w:r>
        <w:t xml:space="preserve"> </w:t>
      </w:r>
      <w:r>
        <w:t xml:space="preserve">reference</w:t>
      </w:r>
      <w:r>
        <w:t xml:space="preserve"> </w:t>
      </w:r>
      <w:r>
        <w:t xml:space="preserve">methodology,</w:t>
      </w:r>
      <w:r>
        <w:t xml:space="preserve"> </w:t>
      </w:r>
      <w:r>
        <w:t xml:space="preserve">formulas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calculation</w:t>
      </w:r>
      <w:r>
        <w:t xml:space="preserve"> </w:t>
      </w:r>
      <w:r>
        <w:t xml:space="preserve">processes, best practices and default emission</w:t>
      </w:r>
      <w:r>
        <w:t xml:space="preserve"> </w:t>
      </w:r>
      <w:r>
        <w:t xml:space="preserve">factors. For some sectors, such guidelines already</w:t>
      </w:r>
      <w:r>
        <w:t xml:space="preserve"> </w:t>
      </w:r>
      <w:r>
        <w:t xml:space="preserve">exist (e.g. SCF &amp; CEFIC (2021) for the chemical</w:t>
      </w:r>
      <w:r>
        <w:t xml:space="preserve"> </w:t>
      </w:r>
      <w:r>
        <w:t xml:space="preserve">sector).</w:t>
      </w:r>
      <w:r>
        <w:t xml:space="preserve"> </w:t>
      </w:r>
      <w:r>
        <w:t xml:space="preserve">Discarded due to the lack of proportionality.</w:t>
      </w:r>
      <w:r>
        <w:t xml:space="preserve"> </w:t>
      </w:r>
      <w:r>
        <w:t xml:space="preserve">The internal analysis demonstrated the separate certification</w:t>
      </w:r>
      <w:r>
        <w:t xml:space="preserve"> </w:t>
      </w:r>
      <w:r>
        <w:t xml:space="preserve">process for sectorial implementation guidelines would be</w:t>
      </w:r>
      <w:r>
        <w:t xml:space="preserve"> </w:t>
      </w:r>
      <w:r>
        <w:t xml:space="preserve">disproportionate and redundant. This conclusion was based on the</w:t>
      </w:r>
      <w:r>
        <w:t xml:space="preserve"> </w:t>
      </w:r>
      <w:r>
        <w:t xml:space="preserve">fact that the retained policy measures already ensure a high level of</w:t>
      </w:r>
      <w:r>
        <w:t xml:space="preserve"> </w:t>
      </w:r>
      <w:r>
        <w:t xml:space="preserve">methodological harmonisation, namely:</w:t>
      </w:r>
      <w:r>
        <w:t xml:space="preserve"> </w:t>
      </w:r>
      <w:r>
        <w:t xml:space="preserve"></w:t>
      </w:r>
      <w:r>
        <w:t xml:space="preserve"> </w:t>
      </w:r>
      <w:r>
        <w:t xml:space="preserve">common emissions quantification method,</w:t>
      </w:r>
      <w:r>
        <w:t xml:space="preserve"> </w:t>
      </w:r>
      <w:r>
        <w:t xml:space="preserve"></w:t>
      </w:r>
      <w:r>
        <w:t xml:space="preserve"> </w:t>
      </w:r>
      <w:r>
        <w:t xml:space="preserve">harmonised framework of input data (emission factors),</w:t>
      </w:r>
      <w:r>
        <w:t xml:space="preserve"> </w:t>
      </w:r>
      <w:r>
        <w:t xml:space="preserve"></w:t>
      </w:r>
      <w:r>
        <w:t xml:space="preserve"> </w:t>
      </w:r>
      <w:r>
        <w:t xml:space="preserve">rules on a harmonised format and metrics of the output</w:t>
      </w:r>
      <w:r>
        <w:t xml:space="preserve"> </w:t>
      </w:r>
      <w:r>
        <w:t xml:space="preserve">data,</w:t>
      </w:r>
      <w:r>
        <w:t xml:space="preserve"> </w:t>
      </w:r>
      <w:r>
        <w:t xml:space="preserve"></w:t>
      </w:r>
      <w:r>
        <w:t xml:space="preserve"> </w:t>
      </w:r>
      <w:r>
        <w:t xml:space="preserve">verification system for GHG emissions data and</w:t>
      </w:r>
      <w:r>
        <w:t xml:space="preserve"> </w:t>
      </w:r>
      <w:r>
        <w:t xml:space="preserve">calculation processes applied,</w:t>
      </w:r>
      <w:r>
        <w:t xml:space="preserve"> </w:t>
      </w:r>
      <w:r>
        <w:t xml:space="preserve"></w:t>
      </w:r>
      <w:r>
        <w:t xml:space="preserve"> </w:t>
      </w:r>
      <w:r>
        <w:t xml:space="preserve">certified technical calculation tools,</w:t>
      </w:r>
      <w:r>
        <w:t xml:space="preserve"> </w:t>
      </w:r>
      <w:r>
        <w:t xml:space="preserve"></w:t>
      </w:r>
      <w:r>
        <w:t xml:space="preserve"> </w:t>
      </w:r>
      <w:r>
        <w:t xml:space="preserve">horizontal guidelines for the harmonised implementation</w:t>
      </w:r>
      <w:r>
        <w:t xml:space="preserve"> </w:t>
      </w:r>
      <w:r>
        <w:t xml:space="preserve">of CountEmissions EU across various segments of the</w:t>
      </w:r>
      <w:r>
        <w:t xml:space="preserve"> </w:t>
      </w:r>
      <w:r>
        <w:t xml:space="preserve">transport sector.</w:t>
      </w:r>
      <w:r>
        <w:t xml:space="preserve"> </w:t>
      </w:r>
      <w:r>
        <w:t xml:space="preserve">EU</w:t>
      </w:r>
      <w:r>
        <w:t xml:space="preserve"> </w:t>
      </w:r>
      <w:r>
        <w:t xml:space="preserve">provides specific implementation</w:t>
      </w:r>
      <w:r>
        <w:t xml:space="preserve"> </w:t>
      </w:r>
      <w:r>
        <w:t xml:space="preserve">guidelines for each segment of the transport</w:t>
      </w:r>
      <w:r>
        <w:t xml:space="preserve"> </w:t>
      </w:r>
      <w:r>
        <w:t xml:space="preserve">sector</w:t>
      </w:r>
      <w:r>
        <w:t xml:space="preserve"> </w:t>
      </w:r>
      <w:r>
        <w:t xml:space="preserve">PD5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provides</w:t>
      </w:r>
      <w:r>
        <w:t xml:space="preserve"> </w:t>
      </w:r>
      <w:r>
        <w:t xml:space="preserve">detailed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guidelines for each relevant segment of the</w:t>
      </w:r>
      <w:r>
        <w:t xml:space="preserve"> </w:t>
      </w:r>
      <w:r>
        <w:t xml:space="preserve">transport sector. These guidelines include topics</w:t>
      </w:r>
      <w:r>
        <w:t xml:space="preserve"> </w:t>
      </w:r>
      <w:r>
        <w:t xml:space="preserve">related to the interpretation of the common</w:t>
      </w:r>
      <w:r>
        <w:t xml:space="preserve"> </w:t>
      </w:r>
      <w:r>
        <w:t xml:space="preserve">reference</w:t>
      </w:r>
      <w:r>
        <w:t xml:space="preserve"> </w:t>
      </w:r>
      <w:r>
        <w:t xml:space="preserve">methodology,</w:t>
      </w:r>
      <w:r>
        <w:t xml:space="preserve"> </w:t>
      </w:r>
      <w:r>
        <w:t xml:space="preserve">formulas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calculation processes, best practices and default</w:t>
      </w:r>
      <w:r>
        <w:t xml:space="preserve"> </w:t>
      </w:r>
      <w:r>
        <w:t xml:space="preserve">emission factors.</w:t>
      </w:r>
      <w:r>
        <w:br/>
      </w:r>
      <w:r>
        <w:t xml:space="preserve">Discarded due to the lack of effectiveness.</w:t>
      </w:r>
    </w:p>
    <w:p>
      <w:pPr>
        <w:pStyle w:val="BodyText"/>
      </w:pPr>
      <w:r>
        <w:t xml:space="preserve">This measure would be associated with substantial costs, efforts and</w:t>
      </w:r>
      <w:r>
        <w:t xml:space="preserve"> </w:t>
      </w:r>
      <w:r>
        <w:t xml:space="preserve">timescale thus leading to low efficiency and limited value added for</w:t>
      </w:r>
      <w:r>
        <w:t xml:space="preserve"> </w:t>
      </w:r>
      <w:r>
        <w:t xml:space="preserve">achieving the objectives of the initiative. Moreover, it would bear</w:t>
      </w:r>
      <w:r>
        <w:t xml:space="preserve"> </w:t>
      </w:r>
      <w:r>
        <w:t xml:space="preserve">the additional risk of misalignment of various sectorial approaches</w:t>
      </w:r>
      <w:r>
        <w:t xml:space="preserve"> </w:t>
      </w:r>
      <w:r>
        <w:t xml:space="preserve">due to the lack of specific sectorial expertise and insufficient</w:t>
      </w:r>
      <w:r>
        <w:t xml:space="preserve"> </w:t>
      </w:r>
      <w:r>
        <w:t xml:space="preserve">flexibility resulting from time-consuming procedures in the EU.</w:t>
      </w:r>
    </w:p>
    <w:p>
      <w:pPr>
        <w:pStyle w:val="BodyText"/>
      </w:pPr>
      <w:r>
        <w:t xml:space="preserve">140</w:t>
      </w:r>
    </w:p>
    <w:p>
      <w:pPr>
        <w:pStyle w:val="BodyText"/>
      </w:pPr>
      <w:r>
        <w:t xml:space="preserve">Policy measure</w:t>
      </w:r>
      <w:r>
        <w:t xml:space="preserve"> </w:t>
      </w:r>
      <w:r>
        <w:t xml:space="preserve">Relevant</w:t>
      </w:r>
      <w:r>
        <w:t xml:space="preserve"> </w:t>
      </w:r>
      <w:r>
        <w:t xml:space="preserve">Driver</w:t>
      </w:r>
      <w:r>
        <w:t xml:space="preserve"> </w:t>
      </w:r>
      <w:r>
        <w:t xml:space="preserve">Short description</w:t>
      </w:r>
      <w:r>
        <w:t xml:space="preserve"> </w:t>
      </w:r>
      <w:r>
        <w:t xml:space="preserve">Reason for discarding</w:t>
      </w:r>
      <w:r>
        <w:t xml:space="preserve"> </w:t>
      </w:r>
      <w:r>
        <w:t xml:space="preserve">EU allows for GHG emissions calculation</w:t>
      </w:r>
      <w:r>
        <w:t xml:space="preserve"> </w:t>
      </w:r>
      <w:r>
        <w:t xml:space="preserve">tools provided by the market (without</w:t>
      </w:r>
      <w:r>
        <w:t xml:space="preserve"> </w:t>
      </w:r>
      <w:r>
        <w:t xml:space="preserve">further conformity check)</w:t>
      </w:r>
      <w:r>
        <w:t xml:space="preserve"> </w:t>
      </w:r>
      <w:r>
        <w:t xml:space="preserve">PD5</w:t>
      </w:r>
      <w:r>
        <w:t xml:space="preserve"> </w:t>
      </w:r>
      <w:r>
        <w:t xml:space="preserve">The</w:t>
      </w:r>
      <w:r>
        <w:t xml:space="preserve"> </w:t>
      </w:r>
      <w:r>
        <w:t xml:space="preserve">development</w:t>
      </w:r>
      <w:r>
        <w:t xml:space="preserve"> </w:t>
      </w:r>
      <w:r>
        <w:t xml:space="preserve">and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of</w:t>
      </w:r>
      <w:r>
        <w:t xml:space="preserve"> </w:t>
      </w:r>
      <w:r>
        <w:t xml:space="preserve">calculation tools based on the CountEmissions EU</w:t>
      </w:r>
      <w:r>
        <w:t xml:space="preserve"> </w:t>
      </w:r>
      <w:r>
        <w:t xml:space="preserve">framework is left to the market.</w:t>
      </w:r>
    </w:p>
    <w:p>
      <w:pPr>
        <w:pStyle w:val="BodyText"/>
      </w:pPr>
      <w:r>
        <w:t xml:space="preserve">Discarded due to the lack of effectiveness.</w:t>
      </w:r>
      <w:r>
        <w:t xml:space="preserve"> </w:t>
      </w:r>
      <w:r>
        <w:t xml:space="preserve">The proliferation of tools and the lack of control on their set-up and</w:t>
      </w:r>
      <w:r>
        <w:t xml:space="preserve"> </w:t>
      </w:r>
      <w:r>
        <w:t xml:space="preserve">design would not guarantee sufficient alignment and conformity of</w:t>
      </w:r>
      <w:r>
        <w:t xml:space="preserve"> </w:t>
      </w:r>
      <w:r>
        <w:t xml:space="preserve">these tools to CountEmissions EU, thus creating a risk of inaccurate</w:t>
      </w:r>
      <w:r>
        <w:t xml:space="preserve"> </w:t>
      </w:r>
      <w:r>
        <w:t xml:space="preserve">and incomparable emissions calculation output figures. This risk</w:t>
      </w:r>
      <w:r>
        <w:t xml:space="preserve"> </w:t>
      </w:r>
      <w:r>
        <w:t xml:space="preserve">may be particularly meaningful for SMEs that, due to the lack of in-</w:t>
      </w:r>
      <w:r>
        <w:t xml:space="preserve"> </w:t>
      </w:r>
      <w:r>
        <w:t xml:space="preserve">house resources, are expected to be the main users of emissions</w:t>
      </w:r>
      <w:r>
        <w:t xml:space="preserve"> </w:t>
      </w:r>
      <w:r>
        <w:t xml:space="preserve">calculation tools offered on the market.</w:t>
      </w:r>
    </w:p>
    <w:p>
      <w:pPr>
        <w:pStyle w:val="BodyText"/>
      </w:pPr>
      <w:r>
        <w:t xml:space="preserve">141</w:t>
      </w:r>
    </w:p>
    <w:p>
      <w:pPr>
        <w:pStyle w:val="BodyText"/>
      </w:pPr>
      <w:r>
        <w:t xml:space="preserve">ANNEX 7: RETAINED POLICY MEASURES</w:t>
      </w:r>
      <w:r>
        <w:t xml:space="preserve"> </w:t>
      </w:r>
      <w:r>
        <w:t xml:space="preserve">This annex provides a more detailed description of the retained policy measures and their links to the problem drivers, specific objectives and policy areas.</w:t>
      </w:r>
      <w:r>
        <w:t xml:space="preserve"> </w:t>
      </w:r>
      <w:r>
        <w:t xml:space="preserve">Driver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Short description</w:t>
      </w:r>
      <w:r>
        <w:t xml:space="preserve"> </w:t>
      </w:r>
      <w:r>
        <w:t xml:space="preserve">Link to the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</w:t>
      </w:r>
      <w:r>
        <w:t xml:space="preserve"> </w:t>
      </w:r>
      <w:r>
        <w:t xml:space="preserve">Policy Area</w:t>
      </w:r>
      <w:r>
        <w:t xml:space="preserve"> </w:t>
      </w:r>
      <w:r>
        <w:t xml:space="preserve">PD1</w:t>
      </w:r>
      <w:r>
        <w:t xml:space="preserve"> </w:t>
      </w:r>
      <w:r>
        <w:t xml:space="preserve">PM1: ISO 14083 is set as</w:t>
      </w:r>
      <w:r>
        <w:t xml:space="preserve"> </w:t>
      </w:r>
      <w:r>
        <w:t xml:space="preserve">common reference methodology</w:t>
      </w:r>
      <w:r>
        <w:t xml:space="preserve"> </w:t>
      </w:r>
      <w:r>
        <w:t xml:space="preserve">at EU level</w:t>
      </w:r>
      <w:r>
        <w:t xml:space="preserve"> </w:t>
      </w:r>
      <w:r>
        <w:t xml:space="preserve">The EU establishes a common reference methodology for CountEmissions EU based on</w:t>
      </w:r>
      <w:r>
        <w:t xml:space="preserve"> </w:t>
      </w:r>
      <w:r>
        <w:t xml:space="preserve">the new ISO standard 14083 ‘Quantification and reporting of greenhouse gas emissions</w:t>
      </w:r>
      <w:r>
        <w:t xml:space="preserve"> </w:t>
      </w:r>
      <w:r>
        <w:t xml:space="preserve">arising from transport chain operations’ (adopted in February 2023). ISO 14083 in principle</w:t>
      </w:r>
      <w:r>
        <w:t xml:space="preserve"> </w:t>
      </w:r>
      <w:r>
        <w:t xml:space="preserve">addresses Well-to-Wheel GHG emissions, including emissions from the production of fuels.</w:t>
      </w:r>
      <w:r>
        <w:t xml:space="preserve"> </w:t>
      </w:r>
      <w:r>
        <w:t xml:space="preserve">It builds on the harmonisation efforts led by European stakeholders (including industry and</w:t>
      </w:r>
      <w:r>
        <w:t xml:space="preserve"> </w:t>
      </w:r>
      <w:r>
        <w:t xml:space="preserve">standardisation bodies), with the support of the EU-financed projects (COFRET, LEARN).</w:t>
      </w:r>
      <w:r>
        <w:t xml:space="preserve"> </w:t>
      </w:r>
      <w:r>
        <w:t xml:space="preserve">It is currently the only specific standard for accounting emissions from transport services</w:t>
      </w:r>
      <w:r>
        <w:t xml:space="preserve"> </w:t>
      </w:r>
      <w:r>
        <w:t xml:space="preserve">(replacing CEN EN 16258).</w:t>
      </w:r>
      <w:r>
        <w:br/>
      </w:r>
      <w:r>
        <w:t xml:space="preserve">Detailed characteristics and assessment of ISO 14083 is presented in Annex 8.</w:t>
      </w:r>
      <w:r>
        <w:t xml:space="preserve"> </w:t>
      </w:r>
      <w:r>
        <w:t xml:space="preserve">The EU also establishes rules for the future updates and methodological adjustments of</w:t>
      </w:r>
      <w:r>
        <w:t xml:space="preserve"> </w:t>
      </w:r>
      <w:r>
        <w:t xml:space="preserve">the common reference methodology237.</w:t>
      </w:r>
      <w:r>
        <w:t xml:space="preserve"> </w:t>
      </w:r>
      <w:r>
        <w:t xml:space="preserve">SO1</w:t>
      </w:r>
    </w:p>
    <w:p>
      <w:pPr>
        <w:pStyle w:val="BodyText"/>
      </w:pPr>
      <w:r>
        <w:t xml:space="preserve">Methodological</w:t>
      </w:r>
      <w:r>
        <w:t xml:space="preserve"> </w:t>
      </w:r>
      <w:r>
        <w:t xml:space="preserve">framework</w:t>
      </w:r>
    </w:p>
    <w:p>
      <w:pPr>
        <w:pStyle w:val="BodyText"/>
      </w:pPr>
      <w:r>
        <w:t xml:space="preserve">PD1</w:t>
      </w:r>
      <w:r>
        <w:t xml:space="preserve"> </w:t>
      </w:r>
      <w:r>
        <w:t xml:space="preserve">PM2: Product Environmental</w:t>
      </w:r>
      <w:r>
        <w:t xml:space="preserve"> </w:t>
      </w:r>
      <w:r>
        <w:t xml:space="preserve">Footprint Category Rules for</w:t>
      </w:r>
      <w:r>
        <w:t xml:space="preserve"> </w:t>
      </w:r>
      <w:r>
        <w:t xml:space="preserve">GHG emissions in transport,</w:t>
      </w:r>
      <w:r>
        <w:t xml:space="preserve"> </w:t>
      </w:r>
      <w:r>
        <w:t xml:space="preserve">including rules for transport</w:t>
      </w:r>
      <w:r>
        <w:t xml:space="preserve"> </w:t>
      </w:r>
      <w:r>
        <w:t xml:space="preserve">The EU establishes a common reference methodology for CountEmissions EU based on</w:t>
      </w:r>
      <w:r>
        <w:t xml:space="preserve"> </w:t>
      </w:r>
      <w:r>
        <w:t xml:space="preserve">the Product Environmental Footprint Category Rules for GHG emissions in transport,</w:t>
      </w:r>
      <w:r>
        <w:t xml:space="preserve"> </w:t>
      </w:r>
      <w:r>
        <w:t xml:space="preserve">including rules for transport services. Product Environmental Footprint (PEF) originally</w:t>
      </w:r>
      <w:r>
        <w:t xml:space="preserve"> </w:t>
      </w:r>
      <w:r>
        <w:t xml:space="preserve">developed by the European Commission in the context of Single Market for Green Products</w:t>
      </w:r>
      <w:r>
        <w:t xml:space="preserve"> </w:t>
      </w:r>
      <w:r>
        <w:t xml:space="preserve">SO1</w:t>
      </w:r>
      <w:r>
        <w:t xml:space="preserve"> </w:t>
      </w:r>
      <w:r>
        <w:t xml:space="preserve">Methodological</w:t>
      </w:r>
      <w:r>
        <w:t xml:space="preserve"> </w:t>
      </w:r>
      <w:r>
        <w:t xml:space="preserve">framework</w:t>
      </w:r>
    </w:p>
    <w:p>
      <w:pPr>
        <w:pStyle w:val="BodyText"/>
      </w:pPr>
      <w:r>
        <w:t xml:space="preserve">237 These rules shall account for continuous development of the reference methodology, reflecting the scientific state of the art associated with the emissions accounting. Furthermore, the initiative shall</w:t>
      </w:r>
      <w:r>
        <w:t xml:space="preserve"> </w:t>
      </w:r>
      <w:r>
        <w:t xml:space="preserve">include a mechanism allowing for additional methodological adjustments in case the use of the common reference methodology risks to result in undue imbalances between transport segments, for instance</w:t>
      </w:r>
      <w:r>
        <w:t xml:space="preserve"> </w:t>
      </w:r>
      <w:r>
        <w:t xml:space="preserve">in the ex-ante perspective (before the service is provided).</w:t>
      </w:r>
    </w:p>
    <w:p>
      <w:pPr>
        <w:pStyle w:val="BodyText"/>
      </w:pPr>
      <w:r>
        <w:t xml:space="preserve">142</w:t>
      </w:r>
    </w:p>
    <w:p>
      <w:pPr>
        <w:pStyle w:val="BodyText"/>
      </w:pPr>
      <w:r>
        <w:t xml:space="preserve">Driver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Short description</w:t>
      </w:r>
      <w:r>
        <w:t xml:space="preserve"> </w:t>
      </w:r>
      <w:r>
        <w:t xml:space="preserve">Link to the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</w:t>
      </w:r>
      <w:r>
        <w:t xml:space="preserve"> </w:t>
      </w:r>
      <w:r>
        <w:t xml:space="preserve">Policy Area</w:t>
      </w:r>
      <w:r>
        <w:t xml:space="preserve"> </w:t>
      </w:r>
      <w:r>
        <w:t xml:space="preserve">services, is set as common</w:t>
      </w:r>
      <w:r>
        <w:t xml:space="preserve"> </w:t>
      </w:r>
      <w:r>
        <w:t xml:space="preserve">reference methodology at EU</w:t>
      </w:r>
      <w:r>
        <w:t xml:space="preserve"> </w:t>
      </w:r>
      <w:r>
        <w:t xml:space="preserve">level</w:t>
      </w:r>
      <w:r>
        <w:t xml:space="preserve"> </w:t>
      </w:r>
      <w:r>
        <w:t xml:space="preserve">Initiative, provides a cross-sectoral method for the measurement of the environmental</w:t>
      </w:r>
      <w:r>
        <w:t xml:space="preserve"> </w:t>
      </w:r>
      <w:r>
        <w:t xml:space="preserve">performance of a good or service throughout its full life cycle. The general PEF framework</w:t>
      </w:r>
      <w:r>
        <w:t xml:space="preserve"> </w:t>
      </w:r>
      <w:r>
        <w:t xml:space="preserve">does not provide relevant guidance on the calculation of GHG emissions at the transport</w:t>
      </w:r>
      <w:r>
        <w:t xml:space="preserve"> </w:t>
      </w:r>
      <w:r>
        <w:t xml:space="preserve">service level, therefore the implementation of this method would require specific category</w:t>
      </w:r>
      <w:r>
        <w:t xml:space="preserve"> </w:t>
      </w:r>
      <w:r>
        <w:t xml:space="preserve">rules (i.e. set of calculation rules) to be developed for the transport sector. These category</w:t>
      </w:r>
      <w:r>
        <w:t xml:space="preserve"> </w:t>
      </w:r>
      <w:r>
        <w:t xml:space="preserve">rules shall be established by the EU through secondary legislation.</w:t>
      </w:r>
      <w:r>
        <w:t xml:space="preserve"> </w:t>
      </w:r>
      <w:r>
        <w:t xml:space="preserve">Detailed characteristics and assessment of PEFCR is presented in Annex 8.</w:t>
      </w:r>
      <w:r>
        <w:t xml:space="preserve"> </w:t>
      </w:r>
      <w:r>
        <w:t xml:space="preserve">The EU also establishes rules for the future updates and methodological adjustments of</w:t>
      </w:r>
      <w:r>
        <w:t xml:space="preserve"> </w:t>
      </w:r>
      <w:r>
        <w:t xml:space="preserve">the common reference methodology238.</w:t>
      </w:r>
      <w:r>
        <w:t xml:space="preserve"> </w:t>
      </w:r>
      <w:r>
        <w:t xml:space="preserve">PD1</w:t>
      </w:r>
      <w:r>
        <w:t xml:space="preserve"> </w:t>
      </w:r>
      <w:r>
        <w:t xml:space="preserve">PM3: A common reference</w:t>
      </w:r>
      <w:r>
        <w:t xml:space="preserve"> </w:t>
      </w:r>
      <w:r>
        <w:t xml:space="preserve">methodology is set at EU level,</w:t>
      </w:r>
      <w:r>
        <w:t xml:space="preserve"> </w:t>
      </w:r>
      <w:r>
        <w:t xml:space="preserve">based on ISO 14083 but with</w:t>
      </w:r>
      <w:r>
        <w:t xml:space="preserve"> </w:t>
      </w:r>
      <w:r>
        <w:t xml:space="preserve">additional</w:t>
      </w:r>
      <w:r>
        <w:t xml:space="preserve"> </w:t>
      </w:r>
      <w:r>
        <w:t xml:space="preserve">elements</w:t>
      </w:r>
      <w:r>
        <w:t xml:space="preserve"> </w:t>
      </w:r>
      <w:r>
        <w:t xml:space="preserve">and</w:t>
      </w:r>
      <w:r>
        <w:t xml:space="preserve"> </w:t>
      </w:r>
      <w:r>
        <w:t xml:space="preserve">increased accuracy</w:t>
      </w:r>
      <w:r>
        <w:t xml:space="preserve"> </w:t>
      </w:r>
      <w:r>
        <w:t xml:space="preserve">The EU establishes a common reference methodology for CountEmissions EU building</w:t>
      </w:r>
      <w:r>
        <w:t xml:space="preserve"> </w:t>
      </w:r>
      <w:r>
        <w:t xml:space="preserve">on the ISO standard 14083 with additional methodological elements (for instance specific</w:t>
      </w:r>
      <w:r>
        <w:t xml:space="preserve"> </w:t>
      </w:r>
      <w:r>
        <w:t xml:space="preserve">allocation metrics, LCA for certain vehicle components related to the source of energy, etc.)</w:t>
      </w:r>
      <w:r>
        <w:t xml:space="preserve"> </w:t>
      </w:r>
      <w:r>
        <w:t xml:space="preserve">to ensure increased accuracy and comparability of the GHG emissions data.</w:t>
      </w:r>
      <w:r>
        <w:br/>
      </w:r>
      <w:r>
        <w:t xml:space="preserve">The additional elements complementing the ISO 14083 framework shall be developed by the</w:t>
      </w:r>
      <w:r>
        <w:t xml:space="preserve"> </w:t>
      </w:r>
      <w:r>
        <w:t xml:space="preserve">EU through the secondary legislation</w:t>
      </w:r>
      <w:r>
        <w:t xml:space="preserve"> </w:t>
      </w:r>
      <w:r>
        <w:t xml:space="preserve">Detailed characteristics and assessment of the methodology based on upgraded ISO standard</w:t>
      </w:r>
      <w:r>
        <w:t xml:space="preserve"> </w:t>
      </w:r>
      <w:r>
        <w:t xml:space="preserve">14083 is presented in Annex 8.</w:t>
      </w:r>
      <w:r>
        <w:t xml:space="preserve"> </w:t>
      </w:r>
      <w:r>
        <w:t xml:space="preserve">SO1</w:t>
      </w:r>
      <w:r>
        <w:t xml:space="preserve"> </w:t>
      </w:r>
      <w:r>
        <w:t xml:space="preserve">Methodological</w:t>
      </w:r>
      <w:r>
        <w:t xml:space="preserve"> </w:t>
      </w:r>
      <w:r>
        <w:t xml:space="preserve">framework</w:t>
      </w:r>
    </w:p>
    <w:p>
      <w:pPr>
        <w:pStyle w:val="BodyText"/>
      </w:pPr>
      <w:r>
        <w:t xml:space="preserve">238 Idem</w:t>
      </w:r>
    </w:p>
    <w:p>
      <w:pPr>
        <w:pStyle w:val="BodyText"/>
      </w:pPr>
      <w:r>
        <w:t xml:space="preserve">143</w:t>
      </w:r>
    </w:p>
    <w:p>
      <w:pPr>
        <w:pStyle w:val="BodyText"/>
      </w:pPr>
      <w:r>
        <w:t xml:space="preserve">Driver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Short description</w:t>
      </w:r>
      <w:r>
        <w:t xml:space="preserve"> </w:t>
      </w:r>
      <w:r>
        <w:t xml:space="preserve">Link to the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</w:t>
      </w:r>
      <w:r>
        <w:t xml:space="preserve"> </w:t>
      </w:r>
      <w:r>
        <w:t xml:space="preserve">Policy Area</w:t>
      </w:r>
      <w:r>
        <w:t xml:space="preserve"> </w:t>
      </w:r>
      <w:r>
        <w:t xml:space="preserve">The EU also establishes rules for the future updates and methodological adjustments of</w:t>
      </w:r>
      <w:r>
        <w:t xml:space="preserve"> </w:t>
      </w:r>
      <w:r>
        <w:t xml:space="preserve">the common reference methodology239.</w:t>
      </w:r>
      <w:r>
        <w:t xml:space="preserve"> </w:t>
      </w:r>
      <w:r>
        <w:t xml:space="preserve">PD2</w:t>
      </w:r>
      <w:r>
        <w:t xml:space="preserve"> </w:t>
      </w:r>
      <w:r>
        <w:t xml:space="preserve">PD3</w:t>
      </w:r>
      <w:r>
        <w:t xml:space="preserve"> </w:t>
      </w:r>
      <w:r>
        <w:t xml:space="preserve">PM4: The use of primary data is</w:t>
      </w:r>
      <w:r>
        <w:t xml:space="preserve"> </w:t>
      </w:r>
      <w:r>
        <w:t xml:space="preserve">recognised</w:t>
      </w:r>
      <w:r>
        <w:t xml:space="preserve"> </w:t>
      </w:r>
      <w:r>
        <w:t xml:space="preserve">and</w:t>
      </w:r>
      <w:r>
        <w:t xml:space="preserve"> </w:t>
      </w:r>
      <w:r>
        <w:t xml:space="preserve">centralised</w:t>
      </w:r>
      <w:r>
        <w:t xml:space="preserve"> </w:t>
      </w:r>
      <w:r>
        <w:t xml:space="preserve">databases for default values are</w:t>
      </w:r>
      <w:r>
        <w:t xml:space="preserve"> </w:t>
      </w:r>
      <w:r>
        <w:t xml:space="preserve">established at EU level (by</w:t>
      </w:r>
      <w:r>
        <w:t xml:space="preserve"> </w:t>
      </w:r>
      <w:r>
        <w:t xml:space="preserve">European Environment Agency).</w:t>
      </w:r>
      <w:r>
        <w:t xml:space="preserve"> </w:t>
      </w:r>
      <w:r>
        <w:t xml:space="preserve">Modelled</w:t>
      </w:r>
      <w:r>
        <w:t xml:space="preserve"> </w:t>
      </w:r>
      <w:r>
        <w:t xml:space="preserve">data</w:t>
      </w:r>
      <w:r>
        <w:t xml:space="preserve"> </w:t>
      </w:r>
      <w:r>
        <w:t xml:space="preserve">is</w:t>
      </w:r>
      <w:r>
        <w:t xml:space="preserve"> </w:t>
      </w:r>
      <w:r>
        <w:t xml:space="preserve">used</w:t>
      </w:r>
      <w:r>
        <w:t xml:space="preserve"> </w:t>
      </w:r>
      <w:r>
        <w:t xml:space="preserve">in</w:t>
      </w:r>
      <w:r>
        <w:t xml:space="preserve"> </w:t>
      </w:r>
      <w:r>
        <w:t xml:space="preserve">conformity with the reference</w:t>
      </w:r>
      <w:r>
        <w:t xml:space="preserve"> </w:t>
      </w:r>
      <w:r>
        <w:t xml:space="preserve">methodology</w:t>
      </w:r>
      <w:r>
        <w:t xml:space="preserve"> </w:t>
      </w:r>
      <w:r>
        <w:t xml:space="preserve">The EU recommends the use of primary information while accounting emissions, to</w:t>
      </w:r>
      <w:r>
        <w:t xml:space="preserve"> </w:t>
      </w:r>
      <w:r>
        <w:t xml:space="preserve">improve the accuracy and reliability of various GHG emissions output data. The use of</w:t>
      </w:r>
      <w:r>
        <w:t xml:space="preserve"> </w:t>
      </w:r>
      <w:r>
        <w:t xml:space="preserve">primary information is recognised in line with specific provisions referred to in PM8 and</w:t>
      </w:r>
      <w:r>
        <w:t xml:space="preserve"> </w:t>
      </w:r>
      <w:r>
        <w:t xml:space="preserve">PM9. In case the primary information is not available for an economic operator, the EU</w:t>
      </w:r>
      <w:r>
        <w:t xml:space="preserve"> </w:t>
      </w:r>
      <w:r>
        <w:t xml:space="preserve">allows the use of default values derived from a common database of GHG emission</w:t>
      </w:r>
      <w:r>
        <w:t xml:space="preserve"> </w:t>
      </w:r>
      <w:r>
        <w:t xml:space="preserve">intensity factors established at the central EU level.</w:t>
      </w:r>
    </w:p>
    <w:p>
      <w:pPr>
        <w:pStyle w:val="BodyText"/>
      </w:pPr>
      <w:r>
        <w:t xml:space="preserve">The EU also establishes a database of GHG energy emission factors (in case of PO5 this</w:t>
      </w:r>
      <w:r>
        <w:t xml:space="preserve"> </w:t>
      </w:r>
      <w:r>
        <w:t xml:space="preserve">database will include LCA emission factors) and mandates its use for any calculations under</w:t>
      </w:r>
      <w:r>
        <w:t xml:space="preserve"> </w:t>
      </w:r>
      <w:r>
        <w:t xml:space="preserve">the CountEmissions EU framework. This database of emission factors shall include values</w:t>
      </w:r>
      <w:r>
        <w:t xml:space="preserve"> </w:t>
      </w:r>
      <w:r>
        <w:t xml:space="preserve">provided through relevant EU regulatory initiatives, including those forming part of the</w:t>
      </w:r>
      <w:r>
        <w:t xml:space="preserve"> </w:t>
      </w:r>
      <w:r>
        <w:t xml:space="preserve">upcoming Fit-for-55 package. Specific emission factors shall be developed in line with</w:t>
      </w:r>
      <w:r>
        <w:t xml:space="preserve"> </w:t>
      </w:r>
      <w:r>
        <w:t xml:space="preserve">relevant methods and provisions recognised by the EU.</w:t>
      </w:r>
    </w:p>
    <w:p>
      <w:pPr>
        <w:pStyle w:val="BodyText"/>
      </w:pPr>
      <w:r>
        <w:t xml:space="preserve">The development and maintenance of the databases is executed by the European</w:t>
      </w:r>
      <w:r>
        <w:t xml:space="preserve"> </w:t>
      </w:r>
      <w:r>
        <w:t xml:space="preserve">Environmental Agency (EEA), supported by the HorizonEurope programme240.</w:t>
      </w:r>
    </w:p>
    <w:p>
      <w:pPr>
        <w:pStyle w:val="BodyText"/>
      </w:pPr>
      <w:r>
        <w:t xml:space="preserve">The use of modelled data is allowed insofar the modelling is conform to the selected</w:t>
      </w:r>
      <w:r>
        <w:t xml:space="preserve"> </w:t>
      </w:r>
      <w:r>
        <w:t xml:space="preserve">reference methodology and its possible adjustments in line with PM1, PM2 or PM3,</w:t>
      </w:r>
      <w:r>
        <w:t xml:space="preserve"> </w:t>
      </w:r>
      <w:r>
        <w:t xml:space="preserve">respectively.</w:t>
      </w:r>
      <w:r>
        <w:t xml:space="preserve"> </w:t>
      </w:r>
      <w:r>
        <w:t xml:space="preserve">SO1</w:t>
      </w:r>
      <w:r>
        <w:t xml:space="preserve"> </w:t>
      </w:r>
      <w:r>
        <w:t xml:space="preserve">Input data and</w:t>
      </w:r>
      <w:r>
        <w:t xml:space="preserve"> </w:t>
      </w:r>
      <w:r>
        <w:t xml:space="preserve">sources</w:t>
      </w:r>
    </w:p>
    <w:p>
      <w:pPr>
        <w:pStyle w:val="BodyText"/>
      </w:pPr>
      <w:r>
        <w:t xml:space="preserve">239 Idem</w:t>
      </w:r>
      <w:r>
        <w:t xml:space="preserve"> </w:t>
      </w:r>
      <w:r>
        <w:t xml:space="preserve">240 HORIZON-CL5-2023-D6-01-08: Future-proof GHG and environmental emissions factors for accounting emissions from transport and logistics operations</w:t>
      </w:r>
    </w:p>
    <w:p>
      <w:pPr>
        <w:pStyle w:val="BodyText"/>
      </w:pPr>
      <w:r>
        <w:t xml:space="preserve">144</w:t>
      </w:r>
    </w:p>
    <w:p>
      <w:pPr>
        <w:pStyle w:val="BodyText"/>
      </w:pPr>
      <w:r>
        <w:t xml:space="preserve">Driver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Short description</w:t>
      </w:r>
      <w:r>
        <w:t xml:space="preserve"> </w:t>
      </w:r>
      <w:r>
        <w:t xml:space="preserve">Link to the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</w:t>
      </w:r>
      <w:r>
        <w:t xml:space="preserve"> </w:t>
      </w:r>
      <w:r>
        <w:t xml:space="preserve">Policy Area</w:t>
      </w:r>
      <w:r>
        <w:t xml:space="preserve"> </w:t>
      </w:r>
      <w:r>
        <w:t xml:space="preserve">PD2</w:t>
      </w:r>
      <w:r>
        <w:t xml:space="preserve"> </w:t>
      </w:r>
      <w:r>
        <w:t xml:space="preserve">PD3</w:t>
      </w:r>
      <w:r>
        <w:t xml:space="preserve"> </w:t>
      </w:r>
      <w:r>
        <w:t xml:space="preserve">PM5: The use of primary data is</w:t>
      </w:r>
      <w:r>
        <w:t xml:space="preserve"> </w:t>
      </w:r>
      <w:r>
        <w:t xml:space="preserve">incentivised</w:t>
      </w:r>
      <w:r>
        <w:t xml:space="preserve"> </w:t>
      </w:r>
      <w:r>
        <w:t xml:space="preserve">and</w:t>
      </w:r>
      <w:r>
        <w:t xml:space="preserve"> </w:t>
      </w:r>
      <w:r>
        <w:t xml:space="preserve">centralised</w:t>
      </w:r>
      <w:r>
        <w:t xml:space="preserve"> </w:t>
      </w:r>
      <w:r>
        <w:t xml:space="preserve">databases for default values are</w:t>
      </w:r>
      <w:r>
        <w:t xml:space="preserve"> </w:t>
      </w:r>
      <w:r>
        <w:t xml:space="preserve">established at EU level. Quality</w:t>
      </w:r>
      <w:r>
        <w:t xml:space="preserve"> </w:t>
      </w:r>
      <w:r>
        <w:t xml:space="preserve">assurance of external databases</w:t>
      </w:r>
      <w:r>
        <w:t xml:space="preserve"> </w:t>
      </w:r>
      <w:r>
        <w:t xml:space="preserve">operated by third parties is</w:t>
      </w:r>
      <w:r>
        <w:t xml:space="preserve"> </w:t>
      </w:r>
      <w:r>
        <w:t xml:space="preserve">provided</w:t>
      </w:r>
      <w:r>
        <w:t xml:space="preserve"> </w:t>
      </w:r>
      <w:r>
        <w:t xml:space="preserve">at</w:t>
      </w:r>
      <w:r>
        <w:t xml:space="preserve"> </w:t>
      </w:r>
      <w:r>
        <w:t xml:space="preserve">EU</w:t>
      </w:r>
      <w:r>
        <w:t xml:space="preserve"> </w:t>
      </w:r>
      <w:r>
        <w:t xml:space="preserve">level</w:t>
      </w:r>
      <w:r>
        <w:t xml:space="preserve"> </w:t>
      </w:r>
      <w:r>
        <w:t xml:space="preserve">(by</w:t>
      </w:r>
      <w:r>
        <w:t xml:space="preserve"> </w:t>
      </w:r>
      <w:r>
        <w:t xml:space="preserve">European Environment Agency).</w:t>
      </w:r>
      <w:r>
        <w:t xml:space="preserve"> </w:t>
      </w:r>
      <w:r>
        <w:t xml:space="preserve">Modelled</w:t>
      </w:r>
      <w:r>
        <w:t xml:space="preserve"> </w:t>
      </w:r>
      <w:r>
        <w:t xml:space="preserve">data</w:t>
      </w:r>
      <w:r>
        <w:t xml:space="preserve"> </w:t>
      </w:r>
      <w:r>
        <w:t xml:space="preserve">is</w:t>
      </w:r>
      <w:r>
        <w:t xml:space="preserve"> </w:t>
      </w:r>
      <w:r>
        <w:t xml:space="preserve">used</w:t>
      </w:r>
      <w:r>
        <w:t xml:space="preserve"> </w:t>
      </w:r>
      <w:r>
        <w:t xml:space="preserve">in</w:t>
      </w:r>
      <w:r>
        <w:t xml:space="preserve"> </w:t>
      </w:r>
      <w:r>
        <w:t xml:space="preserve">conformity with the reference</w:t>
      </w:r>
      <w:r>
        <w:t xml:space="preserve"> </w:t>
      </w:r>
      <w:r>
        <w:t xml:space="preserve">methodology</w:t>
      </w:r>
      <w:r>
        <w:t xml:space="preserve"> </w:t>
      </w:r>
      <w:r>
        <w:t xml:space="preserve">The EU recommends the use of primary information while accounting emissions, to</w:t>
      </w:r>
      <w:r>
        <w:t xml:space="preserve"> </w:t>
      </w:r>
      <w:r>
        <w:t xml:space="preserve">improve the accuracy and reliability of various GHG emissions output data. The use of</w:t>
      </w:r>
      <w:r>
        <w:t xml:space="preserve"> </w:t>
      </w:r>
      <w:r>
        <w:t xml:space="preserve">primary information is recognised in line with specific provisions referred to in PM8 and</w:t>
      </w:r>
      <w:r>
        <w:t xml:space="preserve"> </w:t>
      </w:r>
      <w:r>
        <w:t xml:space="preserve">PM9. In case the primary information is not available for an economic operator, the EU</w:t>
      </w:r>
      <w:r>
        <w:t xml:space="preserve"> </w:t>
      </w:r>
      <w:r>
        <w:t xml:space="preserve">allows the use of default values from a core database of GHG emission intensity factors</w:t>
      </w:r>
      <w:r>
        <w:t xml:space="preserve"> </w:t>
      </w:r>
      <w:r>
        <w:t xml:space="preserve">established at the central EU level, and/or from other relevant databases operated by third</w:t>
      </w:r>
      <w:r>
        <w:t xml:space="preserve"> </w:t>
      </w:r>
      <w:r>
        <w:t xml:space="preserve">parties at the sectorial and national levels. The databases operated by third parties undergo a</w:t>
      </w:r>
      <w:r>
        <w:t xml:space="preserve"> </w:t>
      </w:r>
      <w:r>
        <w:t xml:space="preserve">quality check based on specific rules set up by the EU through the secondary legislation.</w:t>
      </w:r>
      <w:r>
        <w:br/>
      </w:r>
      <w:r>
        <w:t xml:space="preserve">The EU also establishes a database of GHG energy emission factors and mandates its use</w:t>
      </w:r>
      <w:r>
        <w:t xml:space="preserve"> </w:t>
      </w:r>
      <w:r>
        <w:t xml:space="preserve">for any calculations under the CountEmissions EU framework. The database of energy</w:t>
      </w:r>
      <w:r>
        <w:t xml:space="preserve"> </w:t>
      </w:r>
      <w:r>
        <w:t xml:space="preserve">emission factors shall include values provided through relevant EU regulatory initiatives,</w:t>
      </w:r>
      <w:r>
        <w:t xml:space="preserve"> </w:t>
      </w:r>
      <w:r>
        <w:t xml:space="preserve">including those forming part of the upcoming Fit-for-55 package. Specific energy emission</w:t>
      </w:r>
      <w:r>
        <w:t xml:space="preserve"> </w:t>
      </w:r>
      <w:r>
        <w:t xml:space="preserve">factors shall be developed in line with relevant methods and provisions recognised by the</w:t>
      </w:r>
      <w:r>
        <w:t xml:space="preserve"> </w:t>
      </w:r>
      <w:r>
        <w:t xml:space="preserve">EU.</w:t>
      </w:r>
      <w:r>
        <w:t xml:space="preserve"> </w:t>
      </w:r>
      <w:r>
        <w:t xml:space="preserve">The development and maintenance of the EU-level databases is executed by the European</w:t>
      </w:r>
      <w:r>
        <w:t xml:space="preserve"> </w:t>
      </w:r>
      <w:r>
        <w:t xml:space="preserve">Environmental Agency (EEA), supported by the HorizonEurope programme241. EEA also</w:t>
      </w:r>
      <w:r>
        <w:t xml:space="preserve"> </w:t>
      </w:r>
      <w:r>
        <w:t xml:space="preserve">performs the quality check of external databases operated by third parties.</w:t>
      </w:r>
      <w:r>
        <w:t xml:space="preserve"> </w:t>
      </w:r>
      <w:r>
        <w:t xml:space="preserve">The use of modelled data is allowed insofar the modelling is conform to the selected</w:t>
      </w:r>
      <w:r>
        <w:t xml:space="preserve"> </w:t>
      </w:r>
      <w:r>
        <w:t xml:space="preserve">reference methodology and its possible adjustments in line with PM1, PM2 or PM3,</w:t>
      </w:r>
      <w:r>
        <w:t xml:space="preserve"> </w:t>
      </w:r>
      <w:r>
        <w:t xml:space="preserve">respectively.</w:t>
      </w:r>
      <w:r>
        <w:t xml:space="preserve"> </w:t>
      </w:r>
      <w:r>
        <w:t xml:space="preserve">SO1</w:t>
      </w:r>
      <w:r>
        <w:t xml:space="preserve"> </w:t>
      </w:r>
      <w:r>
        <w:t xml:space="preserve">Input data and</w:t>
      </w:r>
      <w:r>
        <w:t xml:space="preserve"> </w:t>
      </w:r>
      <w:r>
        <w:t xml:space="preserve">sources</w:t>
      </w:r>
    </w:p>
    <w:p>
      <w:pPr>
        <w:pStyle w:val="BodyText"/>
      </w:pPr>
      <w:r>
        <w:t xml:space="preserve">241 Ibidem</w:t>
      </w:r>
    </w:p>
    <w:p>
      <w:pPr>
        <w:pStyle w:val="BodyText"/>
      </w:pPr>
      <w:r>
        <w:t xml:space="preserve">145</w:t>
      </w:r>
    </w:p>
    <w:p>
      <w:pPr>
        <w:pStyle w:val="BodyText"/>
      </w:pPr>
      <w:r>
        <w:t xml:space="preserve">Driver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Short description</w:t>
      </w:r>
      <w:r>
        <w:t xml:space="preserve"> </w:t>
      </w:r>
      <w:r>
        <w:t xml:space="preserve">Link to the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</w:t>
      </w:r>
      <w:r>
        <w:t xml:space="preserve"> </w:t>
      </w:r>
      <w:r>
        <w:t xml:space="preserve">Policy Area</w:t>
      </w:r>
      <w:r>
        <w:t xml:space="preserve"> </w:t>
      </w:r>
      <w:r>
        <w:t xml:space="preserve">PD1</w:t>
      </w:r>
      <w:r>
        <w:t xml:space="preserve"> </w:t>
      </w:r>
      <w:r>
        <w:t xml:space="preserve">PD3</w:t>
      </w:r>
      <w:r>
        <w:t xml:space="preserve"> </w:t>
      </w:r>
      <w:r>
        <w:t xml:space="preserve">PD4</w:t>
      </w:r>
      <w:r>
        <w:t xml:space="preserve"> </w:t>
      </w:r>
      <w:r>
        <w:t xml:space="preserve">PM6: Minimum requirements</w:t>
      </w:r>
      <w:r>
        <w:t xml:space="preserve"> </w:t>
      </w:r>
      <w:r>
        <w:t xml:space="preserve">for harmonised GHG output data</w:t>
      </w:r>
      <w:r>
        <w:t xml:space="preserve"> </w:t>
      </w:r>
      <w:r>
        <w:t xml:space="preserve">formats and metrics are provided</w:t>
      </w:r>
      <w:r>
        <w:t xml:space="preserve"> </w:t>
      </w:r>
      <w:r>
        <w:t xml:space="preserve">at EU level, together with</w:t>
      </w:r>
      <w:r>
        <w:t xml:space="preserve"> </w:t>
      </w:r>
      <w:r>
        <w:t xml:space="preserve">common</w:t>
      </w:r>
      <w:r>
        <w:t xml:space="preserve"> </w:t>
      </w:r>
      <w:r>
        <w:t xml:space="preserve">rules</w:t>
      </w:r>
      <w:r>
        <w:t xml:space="preserve"> </w:t>
      </w:r>
      <w:r>
        <w:t xml:space="preserve">on</w:t>
      </w:r>
      <w:r>
        <w:t xml:space="preserve"> </w:t>
      </w:r>
      <w:r>
        <w:t xml:space="preserve">communication and transparency</w:t>
      </w:r>
      <w:r>
        <w:t xml:space="preserve"> </w:t>
      </w:r>
      <w:r>
        <w:t xml:space="preserve">The EU provides minimum requirements for the harmonised formats and metrics of the</w:t>
      </w:r>
      <w:r>
        <w:t xml:space="preserve"> </w:t>
      </w:r>
      <w:r>
        <w:t xml:space="preserve">GHG emissions output data, to facilitate and simplify the sharing of these data along the</w:t>
      </w:r>
      <w:r>
        <w:t xml:space="preserve"> </w:t>
      </w:r>
      <w:r>
        <w:t xml:space="preserve">transport chain.</w:t>
      </w:r>
      <w:r>
        <w:br/>
      </w:r>
      <w:r>
        <w:t xml:space="preserve">The EU sets up specific requirements for the communication and transparency with</w:t>
      </w:r>
      <w:r>
        <w:t xml:space="preserve"> </w:t>
      </w:r>
      <w:r>
        <w:t xml:space="preserve">respect to any claims related to the GHG emissions accounting of transport services, based</w:t>
      </w:r>
      <w:r>
        <w:t xml:space="preserve"> </w:t>
      </w:r>
      <w:r>
        <w:t xml:space="preserve">on CountEmissions EU242.</w:t>
      </w:r>
      <w:r>
        <w:br/>
      </w:r>
      <w:r>
        <w:t xml:space="preserve">SO1-SO2</w:t>
      </w:r>
      <w:r>
        <w:t xml:space="preserve"> </w:t>
      </w:r>
      <w:r>
        <w:t xml:space="preserve">Harmonised</w:t>
      </w:r>
      <w:r>
        <w:br/>
      </w:r>
      <w:r>
        <w:t xml:space="preserve">emissions output</w:t>
      </w:r>
      <w:r>
        <w:t xml:space="preserve"> </w:t>
      </w:r>
      <w:r>
        <w:t xml:space="preserve">data and</w:t>
      </w:r>
      <w:r>
        <w:t xml:space="preserve"> </w:t>
      </w:r>
      <w:r>
        <w:t xml:space="preserve">transparency</w:t>
      </w:r>
      <w:r>
        <w:t xml:space="preserve"> </w:t>
      </w:r>
      <w:r>
        <w:t xml:space="preserve">PD3</w:t>
      </w:r>
      <w:r>
        <w:t xml:space="preserve"> </w:t>
      </w:r>
      <w:r>
        <w:t xml:space="preserve">PD4</w:t>
      </w:r>
      <w:r>
        <w:br/>
      </w:r>
      <w:r>
        <w:t xml:space="preserve">PD5</w:t>
      </w:r>
      <w:r>
        <w:t xml:space="preserve"> </w:t>
      </w:r>
      <w:r>
        <w:t xml:space="preserve">PM7: Horizontal guidelines for</w:t>
      </w:r>
      <w:r>
        <w:t xml:space="preserve"> </w:t>
      </w:r>
      <w:r>
        <w:t xml:space="preserve">the harmonised implementation</w:t>
      </w:r>
      <w:r>
        <w:t xml:space="preserve"> </w:t>
      </w:r>
      <w:r>
        <w:t xml:space="preserve">of</w:t>
      </w:r>
      <w:r>
        <w:t xml:space="preserve"> </w:t>
      </w:r>
      <w:r>
        <w:t xml:space="preserve">CountEmissions</w:t>
      </w:r>
      <w:r>
        <w:t xml:space="preserve"> </w:t>
      </w:r>
      <w:r>
        <w:t xml:space="preserve">EU</w:t>
      </w:r>
      <w:r>
        <w:t xml:space="preserve"> </w:t>
      </w:r>
      <w:r>
        <w:t xml:space="preserve">in</w:t>
      </w:r>
      <w:r>
        <w:t xml:space="preserve"> </w:t>
      </w:r>
      <w:r>
        <w:t xml:space="preserve">various sectors and segments of</w:t>
      </w:r>
      <w:r>
        <w:t xml:space="preserve"> </w:t>
      </w:r>
      <w:r>
        <w:t xml:space="preserve">the transport market are provided</w:t>
      </w:r>
      <w:r>
        <w:t xml:space="preserve"> </w:t>
      </w:r>
      <w:r>
        <w:t xml:space="preserve">at EU level</w:t>
      </w:r>
      <w:r>
        <w:t xml:space="preserve"> </w:t>
      </w:r>
      <w:r>
        <w:t xml:space="preserve">The EU provides horizontal guidelines for the harmonised implementation of</w:t>
      </w:r>
      <w:r>
        <w:t xml:space="preserve"> </w:t>
      </w:r>
      <w:r>
        <w:t xml:space="preserve">CountEmissions EU across sectors and segments of the transport market including:</w:t>
      </w:r>
      <w:r>
        <w:t xml:space="preserve"> </w:t>
      </w:r>
      <w:r>
        <w:t xml:space="preserve"></w:t>
      </w:r>
      <w:r>
        <w:t xml:space="preserve"> </w:t>
      </w:r>
      <w:r>
        <w:t xml:space="preserve">Data requirements and management;</w:t>
      </w:r>
      <w:r>
        <w:t xml:space="preserve"> </w:t>
      </w:r>
      <w:r>
        <w:t xml:space="preserve"></w:t>
      </w:r>
      <w:r>
        <w:t xml:space="preserve"> </w:t>
      </w:r>
      <w:r>
        <w:t xml:space="preserve">Emissions calculation guidance and best practices;</w:t>
      </w:r>
      <w:r>
        <w:t xml:space="preserve"> </w:t>
      </w:r>
      <w:r>
        <w:t xml:space="preserve"></w:t>
      </w:r>
      <w:r>
        <w:t xml:space="preserve"> </w:t>
      </w:r>
      <w:r>
        <w:t xml:space="preserve">Assurance and verification of the emissions data;</w:t>
      </w:r>
      <w:r>
        <w:t xml:space="preserve"> </w:t>
      </w:r>
      <w:r>
        <w:t xml:space="preserve"></w:t>
      </w:r>
      <w:r>
        <w:t xml:space="preserve"> </w:t>
      </w:r>
      <w:r>
        <w:t xml:space="preserve">Guidance on data sharing.</w:t>
      </w:r>
      <w:r>
        <w:t xml:space="preserve"> </w:t>
      </w:r>
      <w:r>
        <w:t xml:space="preserve">SO1-SO2</w:t>
      </w:r>
      <w:r>
        <w:t xml:space="preserve"> </w:t>
      </w:r>
      <w:r>
        <w:t xml:space="preserve">Sectoral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Support</w:t>
      </w:r>
      <w:r>
        <w:t xml:space="preserve"> </w:t>
      </w:r>
      <w:r>
        <w:t xml:space="preserve">PD4</w:t>
      </w:r>
      <w:r>
        <w:t xml:space="preserve"> </w:t>
      </w:r>
      <w:r>
        <w:t xml:space="preserve">PM8: Mandatory process and</w:t>
      </w:r>
      <w:r>
        <w:t xml:space="preserve"> </w:t>
      </w:r>
      <w:r>
        <w:t xml:space="preserve">data verification for all entities</w:t>
      </w:r>
      <w:r>
        <w:t xml:space="preserve"> </w:t>
      </w:r>
      <w:r>
        <w:t xml:space="preserve">falling under the scope of</w:t>
      </w:r>
      <w:r>
        <w:t xml:space="preserve"> </w:t>
      </w:r>
      <w:r>
        <w:t xml:space="preserve">CountEmissions</w:t>
      </w:r>
      <w:r>
        <w:t xml:space="preserve"> </w:t>
      </w:r>
      <w:r>
        <w:t xml:space="preserve">EU</w:t>
      </w:r>
      <w:r>
        <w:t xml:space="preserve"> </w:t>
      </w:r>
      <w:r>
        <w:t xml:space="preserve">is</w:t>
      </w:r>
      <w:r>
        <w:t xml:space="preserve"> </w:t>
      </w:r>
      <w:r>
        <w:t xml:space="preserve">established at EU level</w:t>
      </w:r>
      <w:r>
        <w:t xml:space="preserve"> </w:t>
      </w:r>
      <w:r>
        <w:t xml:space="preserve">EU establishes a mandatory verification system for the conformity to CountEmissions EU</w:t>
      </w:r>
      <w:r>
        <w:t xml:space="preserve"> </w:t>
      </w:r>
      <w:r>
        <w:t xml:space="preserve">as regards the GHG emissions data generated from transport services and the processes</w:t>
      </w:r>
      <w:r>
        <w:t xml:space="preserve"> </w:t>
      </w:r>
      <w:r>
        <w:t xml:space="preserve">applied for their quantification.</w:t>
      </w:r>
      <w:r>
        <w:br/>
      </w:r>
      <w:r>
        <w:t xml:space="preserve">SO2</w:t>
      </w:r>
    </w:p>
    <w:p>
      <w:pPr>
        <w:pStyle w:val="BodyText"/>
      </w:pPr>
      <w:r>
        <w:t xml:space="preserve">Conformity</w:t>
      </w:r>
    </w:p>
    <w:p>
      <w:pPr>
        <w:pStyle w:val="BodyText"/>
      </w:pPr>
      <w:r>
        <w:t xml:space="preserve">242 Including in conformity to the Unfair Commercial Practices Directive (UCPD)</w:t>
      </w:r>
    </w:p>
    <w:p>
      <w:pPr>
        <w:pStyle w:val="BodyText"/>
      </w:pPr>
      <w:r>
        <w:t xml:space="preserve">146</w:t>
      </w:r>
    </w:p>
    <w:p>
      <w:pPr>
        <w:pStyle w:val="BodyText"/>
      </w:pPr>
      <w:r>
        <w:t xml:space="preserve">Driver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Short description</w:t>
      </w:r>
      <w:r>
        <w:t xml:space="preserve"> </w:t>
      </w:r>
      <w:r>
        <w:t xml:space="preserve">Link to the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</w:t>
      </w:r>
      <w:r>
        <w:t xml:space="preserve"> </w:t>
      </w:r>
      <w:r>
        <w:t xml:space="preserve">Policy Area</w:t>
      </w:r>
      <w:r>
        <w:t xml:space="preserve"> </w:t>
      </w:r>
      <w:r>
        <w:t xml:space="preserve">The verification applies to all economic operators that calculate and disclose GHG emissions</w:t>
      </w:r>
      <w:r>
        <w:t xml:space="preserve"> </w:t>
      </w:r>
      <w:r>
        <w:t xml:space="preserve">data from transport services. The economic operators are required to perform this verification</w:t>
      </w:r>
      <w:r>
        <w:t xml:space="preserve"> </w:t>
      </w:r>
      <w:r>
        <w:t xml:space="preserve">at least on annual basis.</w:t>
      </w:r>
      <w:r>
        <w:t xml:space="preserve"> </w:t>
      </w:r>
      <w:r>
        <w:t xml:space="preserve">The verification shall be based on specific conformity assessment rules established by the</w:t>
      </w:r>
      <w:r>
        <w:t xml:space="preserve"> </w:t>
      </w:r>
      <w:r>
        <w:t xml:space="preserve">EU243 through the secondary legislation, and shall be undertaken by a verifier accredited by</w:t>
      </w:r>
      <w:r>
        <w:t xml:space="preserve"> </w:t>
      </w:r>
      <w:r>
        <w:t xml:space="preserve">national accreditation bodies appointed by the Member States pursuant to Regulation (EC)</w:t>
      </w:r>
      <w:r>
        <w:t xml:space="preserve"> </w:t>
      </w:r>
      <w:r>
        <w:t xml:space="preserve">No 765/2008244. The conformity assessment rules shall include provisions related to the</w:t>
      </w:r>
      <w:r>
        <w:t xml:space="preserve"> </w:t>
      </w:r>
      <w:r>
        <w:t xml:space="preserve">recognition of primary data referred to in PM4 and PM5.</w:t>
      </w:r>
      <w:r>
        <w:t xml:space="preserve"> </w:t>
      </w:r>
      <w:r>
        <w:t xml:space="preserve">The economic operators undergoing the verification of their GHG emissions data and the</w:t>
      </w:r>
      <w:r>
        <w:t xml:space="preserve"> </w:t>
      </w:r>
      <w:r>
        <w:t xml:space="preserve">calculation processes are entitled to obtain a certificate of conformity to CountEmissions</w:t>
      </w:r>
      <w:r>
        <w:t xml:space="preserve"> </w:t>
      </w:r>
      <w:r>
        <w:t xml:space="preserve">EU.</w:t>
      </w:r>
      <w:r>
        <w:t xml:space="preserve"> </w:t>
      </w:r>
      <w:r>
        <w:t xml:space="preserve">PD4</w:t>
      </w:r>
      <w:r>
        <w:t xml:space="preserve"> </w:t>
      </w:r>
      <w:r>
        <w:t xml:space="preserve">PM9: Mandatory process and</w:t>
      </w:r>
      <w:r>
        <w:t xml:space="preserve"> </w:t>
      </w:r>
      <w:r>
        <w:t xml:space="preserve">data verification for entities</w:t>
      </w:r>
      <w:r>
        <w:t xml:space="preserve"> </w:t>
      </w:r>
      <w:r>
        <w:t xml:space="preserve">above a certain size falling under</w:t>
      </w:r>
      <w:r>
        <w:t xml:space="preserve"> </w:t>
      </w:r>
      <w:r>
        <w:t xml:space="preserve">the scope of CountEmissions EU</w:t>
      </w:r>
      <w:r>
        <w:t xml:space="preserve"> </w:t>
      </w:r>
      <w:r>
        <w:t xml:space="preserve">is established at EU level</w:t>
      </w:r>
      <w:r>
        <w:t xml:space="preserve"> </w:t>
      </w:r>
      <w:r>
        <w:t xml:space="preserve">EU establishes a mandatory verification system for the conformity to CountEmissions EU</w:t>
      </w:r>
      <w:r>
        <w:t xml:space="preserve"> </w:t>
      </w:r>
      <w:r>
        <w:t xml:space="preserve">as regards the GHG emissions data generated from transport services and the processes</w:t>
      </w:r>
      <w:r>
        <w:t xml:space="preserve"> </w:t>
      </w:r>
      <w:r>
        <w:t xml:space="preserve">applied for their quantification.</w:t>
      </w:r>
      <w:r>
        <w:br/>
      </w:r>
      <w:r>
        <w:t xml:space="preserve">The verification applies to all economic operators not falling under the definition of SME245</w:t>
      </w:r>
      <w:r>
        <w:t xml:space="preserve"> </w:t>
      </w:r>
      <w:r>
        <w:t xml:space="preserve">that calculate and disclose GHG emissions data from transport services. The economic</w:t>
      </w:r>
      <w:r>
        <w:t xml:space="preserve"> </w:t>
      </w:r>
      <w:r>
        <w:t xml:space="preserve">operators are required to perform this verification at least on annual basis.</w:t>
      </w:r>
      <w:r>
        <w:br/>
      </w:r>
      <w:r>
        <w:t xml:space="preserve">SO2</w:t>
      </w:r>
      <w:r>
        <w:t xml:space="preserve"> </w:t>
      </w:r>
      <w:r>
        <w:t xml:space="preserve">Conformity</w:t>
      </w:r>
    </w:p>
    <w:p>
      <w:pPr>
        <w:pStyle w:val="BodyText"/>
      </w:pPr>
      <w:r>
        <w:t xml:space="preserve">243 For instance taking an example of the rules on financial audits</w:t>
      </w:r>
      <w:r>
        <w:t xml:space="preserve"> </w:t>
      </w:r>
      <w:r>
        <w:t xml:space="preserve">244 This Regulation lays down rules on the organisation and operation of accreditation of conformity assessment bodies performing conformity assessment activities</w:t>
      </w:r>
      <w:r>
        <w:t xml:space="preserve"> </w:t>
      </w:r>
      <w:r>
        <w:t xml:space="preserve">245 Commission Recommendation 2003/361/EC of 6 May 2003 concerning the definition of micro, small and medium-sized enterprises (OJ L 124, 20.5.2003, p. 36).</w:t>
      </w:r>
    </w:p>
    <w:p>
      <w:pPr>
        <w:pStyle w:val="BodyText"/>
      </w:pPr>
      <w:r>
        <w:t xml:space="preserve">147</w:t>
      </w:r>
    </w:p>
    <w:p>
      <w:pPr>
        <w:pStyle w:val="BodyText"/>
      </w:pPr>
      <w:r>
        <w:t xml:space="preserve">Driver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Short description</w:t>
      </w:r>
      <w:r>
        <w:t xml:space="preserve"> </w:t>
      </w:r>
      <w:r>
        <w:t xml:space="preserve">Link to the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</w:t>
      </w:r>
      <w:r>
        <w:t xml:space="preserve"> </w:t>
      </w:r>
      <w:r>
        <w:t xml:space="preserve">Policy Area</w:t>
      </w:r>
      <w:r>
        <w:t xml:space="preserve"> </w:t>
      </w:r>
      <w:r>
        <w:t xml:space="preserve">The verification shall be based on specific conformity assessment rules established by the</w:t>
      </w:r>
      <w:r>
        <w:t xml:space="preserve"> </w:t>
      </w:r>
      <w:r>
        <w:t xml:space="preserve">EU246 through the secondary legislation, and shall be undertaken by a verifier accredited by</w:t>
      </w:r>
      <w:r>
        <w:t xml:space="preserve"> </w:t>
      </w:r>
      <w:r>
        <w:t xml:space="preserve">national accreditation bodies appointed by the Member States pursuant to Regulation (EC)</w:t>
      </w:r>
      <w:r>
        <w:t xml:space="preserve"> </w:t>
      </w:r>
      <w:r>
        <w:t xml:space="preserve">No 765/2008. The conformity assessment rules shall include provisions related to the</w:t>
      </w:r>
      <w:r>
        <w:t xml:space="preserve"> </w:t>
      </w:r>
      <w:r>
        <w:t xml:space="preserve">recognition of primary data referred to in PM4 and PM5.</w:t>
      </w:r>
      <w:r>
        <w:br/>
      </w:r>
      <w:r>
        <w:t xml:space="preserve">The economic operators undergoing the verification of their GHG emissions data and the</w:t>
      </w:r>
      <w:r>
        <w:t xml:space="preserve"> </w:t>
      </w:r>
      <w:r>
        <w:t xml:space="preserve">calculation processes are entitled to obtain a certificate of conformity to CountEmissions</w:t>
      </w:r>
      <w:r>
        <w:t xml:space="preserve"> </w:t>
      </w:r>
      <w:r>
        <w:t xml:space="preserve">EU.</w:t>
      </w:r>
      <w:r>
        <w:br/>
      </w:r>
      <w:r>
        <w:t xml:space="preserve">The verification of conformity may be requested by third parties, including the EU and</w:t>
      </w:r>
      <w:r>
        <w:t xml:space="preserve"> </w:t>
      </w:r>
      <w:r>
        <w:t xml:space="preserve">Member States, especially in case an entity is reported not to follow CountEmissions EU.</w:t>
      </w:r>
      <w:r>
        <w:t xml:space="preserve"> </w:t>
      </w:r>
      <w:r>
        <w:t xml:space="preserve">PD4</w:t>
      </w:r>
      <w:r>
        <w:t xml:space="preserve"> </w:t>
      </w:r>
      <w:r>
        <w:t xml:space="preserve">PM10: Voluntary process and</w:t>
      </w:r>
      <w:r>
        <w:t xml:space="preserve"> </w:t>
      </w:r>
      <w:r>
        <w:t xml:space="preserve">data verification for all entities</w:t>
      </w:r>
      <w:r>
        <w:t xml:space="preserve"> </w:t>
      </w:r>
      <w:r>
        <w:t xml:space="preserve">are established at EU level</w:t>
      </w:r>
      <w:r>
        <w:t xml:space="preserve"> </w:t>
      </w:r>
      <w:r>
        <w:t xml:space="preserve">EU establishes a voluntary verification system for the conformity to CountEmissions EU</w:t>
      </w:r>
      <w:r>
        <w:t xml:space="preserve"> </w:t>
      </w:r>
      <w:r>
        <w:t xml:space="preserve">as regards the GHG emissions data generated from transport services and the processes</w:t>
      </w:r>
      <w:r>
        <w:t xml:space="preserve"> </w:t>
      </w:r>
      <w:r>
        <w:t xml:space="preserve">applied for their quantification..</w:t>
      </w:r>
      <w:r>
        <w:br/>
      </w:r>
      <w:r>
        <w:t xml:space="preserve">The verification shall be based on specific conformity assessment rules established by the</w:t>
      </w:r>
      <w:r>
        <w:t xml:space="preserve"> </w:t>
      </w:r>
      <w:r>
        <w:t xml:space="preserve">EU247 though the secondary legislation, and shall be undertaken by a verifier accredited by</w:t>
      </w:r>
      <w:r>
        <w:t xml:space="preserve"> </w:t>
      </w:r>
      <w:r>
        <w:t xml:space="preserve">national accreditation bodies appointed by the Member States pursuant to Regulation (EC)</w:t>
      </w:r>
      <w:r>
        <w:t xml:space="preserve"> </w:t>
      </w:r>
      <w:r>
        <w:t xml:space="preserve">No 765/2008. The conformity assessment rules shall include provisions related to the</w:t>
      </w:r>
      <w:r>
        <w:t xml:space="preserve"> </w:t>
      </w:r>
      <w:r>
        <w:t xml:space="preserve">recognition of primary data referred to in PM4 and PM5.</w:t>
      </w:r>
      <w:r>
        <w:t xml:space="preserve"> </w:t>
      </w:r>
      <w:r>
        <w:t xml:space="preserve">SO2</w:t>
      </w:r>
      <w:r>
        <w:t xml:space="preserve"> </w:t>
      </w:r>
      <w:r>
        <w:t xml:space="preserve">Conformity</w:t>
      </w:r>
    </w:p>
    <w:p>
      <w:pPr>
        <w:pStyle w:val="BodyText"/>
      </w:pPr>
      <w:r>
        <w:t xml:space="preserve">246 For instance taking an example of the rules on financial audits</w:t>
      </w:r>
      <w:r>
        <w:t xml:space="preserve"> </w:t>
      </w:r>
      <w:r>
        <w:t xml:space="preserve">247 Ibidem</w:t>
      </w:r>
    </w:p>
    <w:p>
      <w:pPr>
        <w:pStyle w:val="BodyText"/>
      </w:pPr>
      <w:r>
        <w:t xml:space="preserve">148</w:t>
      </w:r>
    </w:p>
    <w:p>
      <w:pPr>
        <w:pStyle w:val="BodyText"/>
      </w:pPr>
      <w:r>
        <w:t xml:space="preserve">Driver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Short description</w:t>
      </w:r>
      <w:r>
        <w:t xml:space="preserve"> </w:t>
      </w:r>
      <w:r>
        <w:t xml:space="preserve">Link to the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</w:t>
      </w:r>
      <w:r>
        <w:t xml:space="preserve"> </w:t>
      </w:r>
      <w:r>
        <w:t xml:space="preserve">Policy Area</w:t>
      </w:r>
      <w:r>
        <w:t xml:space="preserve"> </w:t>
      </w:r>
      <w:r>
        <w:t xml:space="preserve">The economic operators undergoing the verification of their GHG emissions data and the</w:t>
      </w:r>
      <w:r>
        <w:t xml:space="preserve"> </w:t>
      </w:r>
      <w:r>
        <w:t xml:space="preserve">calculation processes are entitled to obtain a certificate of conformity to CountEmissions</w:t>
      </w:r>
      <w:r>
        <w:t xml:space="preserve"> </w:t>
      </w:r>
      <w:r>
        <w:t xml:space="preserve">EU.</w:t>
      </w:r>
      <w:r>
        <w:br/>
      </w:r>
      <w:r>
        <w:t xml:space="preserve">The verification of conformity may be requested by third parties, including the EU and</w:t>
      </w:r>
      <w:r>
        <w:t xml:space="preserve"> </w:t>
      </w:r>
      <w:r>
        <w:t xml:space="preserve">Member States, especially in case an entity is reported not to follow CountEmissions EU.</w:t>
      </w:r>
      <w:r>
        <w:t xml:space="preserve"> </w:t>
      </w:r>
      <w:r>
        <w:t xml:space="preserve">PD5</w:t>
      </w:r>
      <w:r>
        <w:t xml:space="preserve"> </w:t>
      </w:r>
      <w:r>
        <w:t xml:space="preserve">PM11: Emissions calculation</w:t>
      </w:r>
      <w:r>
        <w:t xml:space="preserve"> </w:t>
      </w:r>
      <w:r>
        <w:t xml:space="preserve">tools are provided at EU level (by</w:t>
      </w:r>
      <w:r>
        <w:t xml:space="preserve"> </w:t>
      </w:r>
      <w:r>
        <w:t xml:space="preserve">the European Commission)</w:t>
      </w:r>
      <w:r>
        <w:t xml:space="preserve"> </w:t>
      </w:r>
      <w:r>
        <w:t xml:space="preserve">The EU develops and establishes GHG emissions calculation tools at the central EU level,</w:t>
      </w:r>
      <w:r>
        <w:t xml:space="preserve"> </w:t>
      </w:r>
      <w:r>
        <w:t xml:space="preserve">based on the common reference methodology and a set of default values for the input data.</w:t>
      </w:r>
      <w:r>
        <w:br/>
      </w:r>
      <w:r>
        <w:t xml:space="preserve">These tools include a data sharing and exchange mechanism and may be used by any</w:t>
      </w:r>
      <w:r>
        <w:t xml:space="preserve"> </w:t>
      </w:r>
      <w:r>
        <w:t xml:space="preserve">economic operator and any other relevant entities for quantifying and disclosing GHG</w:t>
      </w:r>
      <w:r>
        <w:t xml:space="preserve"> </w:t>
      </w:r>
      <w:r>
        <w:t xml:space="preserve">emissions data from transport services. Security and privacy of the data is ensured by the</w:t>
      </w:r>
      <w:r>
        <w:t xml:space="preserve"> </w:t>
      </w:r>
      <w:r>
        <w:t xml:space="preserve">adherence to the confidentiality standards related to data sharing and exchange.</w:t>
      </w:r>
      <w:r>
        <w:t xml:space="preserve"> </w:t>
      </w:r>
      <w:r>
        <w:t xml:space="preserve">These tools shall be established based on the secondary legislation.</w:t>
      </w:r>
      <w:r>
        <w:t xml:space="preserve"> </w:t>
      </w:r>
      <w:r>
        <w:t xml:space="preserve">SO2</w:t>
      </w:r>
      <w:r>
        <w:t xml:space="preserve"> </w:t>
      </w:r>
      <w:r>
        <w:t xml:space="preserve">Complementary</w:t>
      </w:r>
      <w:r>
        <w:t xml:space="preserve"> </w:t>
      </w:r>
      <w:r>
        <w:t xml:space="preserve">measures</w:t>
      </w:r>
      <w:r>
        <w:t xml:space="preserve"> </w:t>
      </w:r>
      <w:r>
        <w:t xml:space="preserve">PD5</w:t>
      </w:r>
      <w:r>
        <w:t xml:space="preserve"> </w:t>
      </w:r>
      <w:r>
        <w:t xml:space="preserve">PM12: Emissions calculation</w:t>
      </w:r>
      <w:r>
        <w:t xml:space="preserve"> </w:t>
      </w:r>
      <w:r>
        <w:t xml:space="preserve">tools are provided by the market</w:t>
      </w:r>
      <w:r>
        <w:t xml:space="preserve"> </w:t>
      </w:r>
      <w:r>
        <w:t xml:space="preserve">but they are certified at EU level</w:t>
      </w:r>
      <w:r>
        <w:t xml:space="preserve"> </w:t>
      </w:r>
      <w:r>
        <w:t xml:space="preserve">The development and provision of GHG emissions calculation tools is left for the market.</w:t>
      </w:r>
      <w:r>
        <w:t xml:space="preserve"> </w:t>
      </w:r>
      <w:r>
        <w:t xml:space="preserve">The EU establishes a certification process for any commercial and non-profit tools offered</w:t>
      </w:r>
      <w:r>
        <w:t xml:space="preserve"> </w:t>
      </w:r>
      <w:r>
        <w:t xml:space="preserve">publicly for the wider use by the EU economic operators and other entities quantifying and</w:t>
      </w:r>
      <w:r>
        <w:t xml:space="preserve"> </w:t>
      </w:r>
      <w:r>
        <w:t xml:space="preserve">disclosing GHG emissions data from transport services. The EU sets up specific assessment</w:t>
      </w:r>
      <w:r>
        <w:t xml:space="preserve"> </w:t>
      </w:r>
      <w:r>
        <w:t xml:space="preserve">rules for the certification process through the secondary legislation, to ensure the</w:t>
      </w:r>
      <w:r>
        <w:t xml:space="preserve"> </w:t>
      </w:r>
      <w:r>
        <w:t xml:space="preserve">conformity of these tools with the CountEmissions EU framework. These rules include</w:t>
      </w:r>
      <w:r>
        <w:t xml:space="preserve"> </w:t>
      </w:r>
      <w:r>
        <w:t xml:space="preserve">provisions related the security and privacy of data, and the adherence to the confidentiality</w:t>
      </w:r>
      <w:r>
        <w:t xml:space="preserve"> </w:t>
      </w:r>
      <w:r>
        <w:t xml:space="preserve">standards related to data sharing and exchange. The certification shall be undertaken by a</w:t>
      </w:r>
      <w:r>
        <w:t xml:space="preserve"> </w:t>
      </w:r>
      <w:r>
        <w:t xml:space="preserve">body accredited by national accreditation bodies appointed by the Member States pursuant</w:t>
      </w:r>
      <w:r>
        <w:t xml:space="preserve"> </w:t>
      </w:r>
      <w:r>
        <w:t xml:space="preserve">to Regulation (EC) No 765/2008. The economic operators and other entities undergoing the</w:t>
      </w:r>
      <w:r>
        <w:t xml:space="preserve"> </w:t>
      </w:r>
      <w:r>
        <w:t xml:space="preserve">certification of their GHG emissions calculation tools are entitled to obtain a certificate of</w:t>
      </w:r>
      <w:r>
        <w:t xml:space="preserve"> </w:t>
      </w:r>
      <w:r>
        <w:t xml:space="preserve">conformity to CountEmissions EU.</w:t>
      </w:r>
      <w:r>
        <w:t xml:space="preserve"> </w:t>
      </w:r>
      <w:r>
        <w:t xml:space="preserve">SO2</w:t>
      </w:r>
      <w:r>
        <w:t xml:space="preserve"> </w:t>
      </w:r>
      <w:r>
        <w:t xml:space="preserve">Complementary</w:t>
      </w:r>
      <w:r>
        <w:t xml:space="preserve"> </w:t>
      </w:r>
      <w:r>
        <w:t xml:space="preserve">measures</w:t>
      </w:r>
    </w:p>
    <w:p>
      <w:pPr>
        <w:pStyle w:val="BodyText"/>
      </w:pPr>
      <w:r>
        <w:t xml:space="preserve">149</w:t>
      </w:r>
    </w:p>
    <w:p>
      <w:pPr>
        <w:pStyle w:val="BodyText"/>
      </w:pPr>
      <w:r>
        <w:t xml:space="preserve">Driver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Short description</w:t>
      </w:r>
      <w:r>
        <w:t xml:space="preserve"> </w:t>
      </w:r>
      <w:r>
        <w:t xml:space="preserve">Link to the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</w:t>
      </w:r>
      <w:r>
        <w:t xml:space="preserve"> </w:t>
      </w:r>
      <w:r>
        <w:t xml:space="preserve">Policy Area</w:t>
      </w:r>
      <w:r>
        <w:t xml:space="preserve"> </w:t>
      </w:r>
      <w:r>
        <w:t xml:space="preserve">PD5</w:t>
      </w:r>
      <w:r>
        <w:t xml:space="preserve"> </w:t>
      </w:r>
      <w:r>
        <w:t xml:space="preserve">PM13: Mandatory application of</w:t>
      </w:r>
      <w:r>
        <w:t xml:space="preserve"> </w:t>
      </w:r>
      <w:r>
        <w:t xml:space="preserve">CountEmissions</w:t>
      </w:r>
      <w:r>
        <w:t xml:space="preserve"> </w:t>
      </w:r>
      <w:r>
        <w:t xml:space="preserve">EU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transport sector</w:t>
      </w:r>
      <w:r>
        <w:t xml:space="preserve"> </w:t>
      </w:r>
      <w:r>
        <w:t xml:space="preserve">The EU mandates all economic operators and other entities organising and providing</w:t>
      </w:r>
      <w:r>
        <w:t xml:space="preserve"> </w:t>
      </w:r>
      <w:r>
        <w:t xml:space="preserve">transport services on the EU market to quantify GHG emissions from their services</w:t>
      </w:r>
      <w:r>
        <w:t xml:space="preserve"> </w:t>
      </w:r>
      <w:r>
        <w:t xml:space="preserve">based on the CountEmissions EU framework. A transition period until 2035 is foreseen, after</w:t>
      </w:r>
      <w:r>
        <w:t xml:space="preserve"> </w:t>
      </w:r>
      <w:r>
        <w:t xml:space="preserve">which all companies involved in transport services should account GHG emissions.</w:t>
      </w:r>
    </w:p>
    <w:p>
      <w:pPr>
        <w:pStyle w:val="BodyText"/>
      </w:pPr>
      <w:r>
        <w:t xml:space="preserve">SO2</w:t>
      </w:r>
      <w:r>
        <w:t xml:space="preserve"> </w:t>
      </w:r>
      <w:r>
        <w:t xml:space="preserve">Applicability</w:t>
      </w:r>
      <w:r>
        <w:t xml:space="preserve"> </w:t>
      </w:r>
      <w:r>
        <w:t xml:space="preserve">PD5</w:t>
      </w:r>
      <w:r>
        <w:t xml:space="preserve"> </w:t>
      </w:r>
      <w:r>
        <w:t xml:space="preserve">PM14:</w:t>
      </w:r>
      <w:r>
        <w:t xml:space="preserve"> </w:t>
      </w:r>
      <w:r>
        <w:t xml:space="preserve">Binding</w:t>
      </w:r>
      <w:r>
        <w:t xml:space="preserve"> </w:t>
      </w:r>
      <w:r>
        <w:t xml:space="preserve">opt-in</w:t>
      </w:r>
      <w:r>
        <w:t xml:space="preserve"> </w:t>
      </w:r>
      <w:r>
        <w:t xml:space="preserve">application of CountEmissions</w:t>
      </w:r>
      <w:r>
        <w:t xml:space="preserve"> </w:t>
      </w:r>
      <w:r>
        <w:t xml:space="preserve">EU in the transport sector</w:t>
      </w:r>
      <w:r>
        <w:t xml:space="preserve"> </w:t>
      </w:r>
      <w:r>
        <w:t xml:space="preserve">The EU mandates the use of the CountEmissions EU framework to those economic</w:t>
      </w:r>
      <w:r>
        <w:t xml:space="preserve"> </w:t>
      </w:r>
      <w:r>
        <w:t xml:space="preserve">operators (including SMEs) and other entities that decide both to quantify and disclose</w:t>
      </w:r>
      <w:r>
        <w:t xml:space="preserve"> </w:t>
      </w:r>
      <w:r>
        <w:t xml:space="preserve">GHG emissions data from transport services offered and provided on the EU market.</w:t>
      </w:r>
      <w:r>
        <w:t xml:space="preserve"> </w:t>
      </w:r>
      <w:r>
        <w:t xml:space="preserve">SO2</w:t>
      </w:r>
      <w:r>
        <w:t xml:space="preserve"> </w:t>
      </w:r>
      <w:r>
        <w:t xml:space="preserve">Applicability</w:t>
      </w:r>
      <w:r>
        <w:t xml:space="preserve"> </w:t>
      </w:r>
      <w:r>
        <w:t xml:space="preserve">PD5</w:t>
      </w:r>
      <w:r>
        <w:t xml:space="preserve"> </w:t>
      </w:r>
      <w:r>
        <w:t xml:space="preserve">PM15:</w:t>
      </w:r>
      <w:r>
        <w:t xml:space="preserve"> </w:t>
      </w:r>
      <w:r>
        <w:t xml:space="preserve">Voluntary</w:t>
      </w:r>
      <w:r>
        <w:t xml:space="preserve"> </w:t>
      </w:r>
      <w:r>
        <w:t xml:space="preserve">opt-in</w:t>
      </w:r>
      <w:r>
        <w:t xml:space="preserve"> </w:t>
      </w:r>
      <w:r>
        <w:t xml:space="preserve">application of CountEmissions</w:t>
      </w:r>
      <w:r>
        <w:t xml:space="preserve"> </w:t>
      </w:r>
      <w:r>
        <w:t xml:space="preserve">EU in the transport sector with a</w:t>
      </w:r>
      <w:r>
        <w:t xml:space="preserve"> </w:t>
      </w:r>
      <w:r>
        <w:t xml:space="preserve">label</w:t>
      </w:r>
      <w:r>
        <w:t xml:space="preserve"> </w:t>
      </w:r>
      <w:r>
        <w:t xml:space="preserve">The EU recommends the use of the CountEmissions EU framework to the economic</w:t>
      </w:r>
      <w:r>
        <w:t xml:space="preserve"> </w:t>
      </w:r>
      <w:r>
        <w:t xml:space="preserve">operators (including SMEs) and other entities quantifying GHG emissions from their</w:t>
      </w:r>
      <w:r>
        <w:t xml:space="preserve"> </w:t>
      </w:r>
      <w:r>
        <w:t xml:space="preserve">transport services offered and provided on the EU market. In case an economic operator, or</w:t>
      </w:r>
      <w:r>
        <w:t xml:space="preserve"> </w:t>
      </w:r>
      <w:r>
        <w:t xml:space="preserve">another entity decides to account GHG emissions based on CountEmissions EU, it is obliged</w:t>
      </w:r>
      <w:r>
        <w:t xml:space="preserve"> </w:t>
      </w:r>
      <w:r>
        <w:t xml:space="preserve">to correctly apply the common framework. The application of CountEmissions EU is</w:t>
      </w:r>
      <w:r>
        <w:t xml:space="preserve"> </w:t>
      </w:r>
      <w:r>
        <w:t xml:space="preserve">recognised through a label to be established by the EU.</w:t>
      </w:r>
      <w:r>
        <w:t xml:space="preserve"> </w:t>
      </w:r>
      <w:r>
        <w:t xml:space="preserve">SO2</w:t>
      </w:r>
      <w:r>
        <w:t xml:space="preserve"> </w:t>
      </w:r>
      <w:r>
        <w:t xml:space="preserve">Applicability</w:t>
      </w:r>
    </w:p>
    <w:p>
      <w:pPr>
        <w:pStyle w:val="BodyText"/>
      </w:pPr>
      <w:r>
        <w:t xml:space="preserve">150</w:t>
      </w:r>
    </w:p>
    <w:p>
      <w:pPr>
        <w:pStyle w:val="BodyText"/>
      </w:pPr>
      <w:r>
        <w:t xml:space="preserve">ANNEX 8: ANALYSIS OF METHODOLOGICAL CHOICES FOR</w:t>
      </w:r>
      <w:r>
        <w:t xml:space="preserve"> </w:t>
      </w:r>
      <w:r>
        <w:t xml:space="preserve">COUNTEMISSIONS EU</w:t>
      </w:r>
      <w:r>
        <w:t xml:space="preserve"> </w:t>
      </w:r>
      <w:r>
        <w:t xml:space="preserve">The selection of a common reference methodology is one of the key policy areas for</w:t>
      </w:r>
      <w:r>
        <w:t xml:space="preserve"> </w:t>
      </w:r>
      <w:r>
        <w:t xml:space="preserve">CountEmissions EU. In principle, this choice shall ensure that the emissions calculations</w:t>
      </w:r>
      <w:r>
        <w:t xml:space="preserve"> </w:t>
      </w:r>
      <w:r>
        <w:t xml:space="preserve">performed across the entire transport sector provide uniform GHG emissions data,</w:t>
      </w:r>
      <w:r>
        <w:t xml:space="preserve"> </w:t>
      </w:r>
      <w:r>
        <w:t xml:space="preserve">according to a single set of methodological steps. In other words, the methodology needs</w:t>
      </w:r>
      <w:r>
        <w:t xml:space="preserve"> </w:t>
      </w:r>
      <w:r>
        <w:t xml:space="preserve">to offer a clear guidance on the scope of the emission calculation and provide for consistent</w:t>
      </w:r>
      <w:r>
        <w:t xml:space="preserve"> </w:t>
      </w:r>
      <w:r>
        <w:t xml:space="preserve">and unambiguous calculation rules. Preferably, it should also be proportionate and avoid</w:t>
      </w:r>
      <w:r>
        <w:t xml:space="preserve"> </w:t>
      </w:r>
      <w:r>
        <w:t xml:space="preserve">unnecessary complexity that would lead to excessive burden and costs for the market</w:t>
      </w:r>
      <w:r>
        <w:t xml:space="preserve"> </w:t>
      </w:r>
      <w:r>
        <w:t xml:space="preserve">players.</w:t>
      </w:r>
      <w:r>
        <w:br/>
      </w:r>
      <w:r>
        <w:t xml:space="preserve">This annex shows the rationale behind the choice of appropriate methods for</w:t>
      </w:r>
      <w:r>
        <w:t xml:space="preserve"> </w:t>
      </w:r>
      <w:r>
        <w:t xml:space="preserve">CountEmissions EU. It is composed of three sections. The first section, “Methodological</w:t>
      </w:r>
      <w:r>
        <w:t xml:space="preserve"> </w:t>
      </w:r>
      <w:r>
        <w:t xml:space="preserve">elements” presents a list of specific technical components and their design alternatives</w:t>
      </w:r>
      <w:r>
        <w:t xml:space="preserve"> </w:t>
      </w:r>
      <w:r>
        <w:t xml:space="preserve">offered by various emissions accounting methods. The second one “Assessment and</w:t>
      </w:r>
      <w:r>
        <w:t xml:space="preserve"> </w:t>
      </w:r>
      <w:r>
        <w:t xml:space="preserve">ranking of the methodological elements” includes the analysis of appropriateness of these</w:t>
      </w:r>
      <w:r>
        <w:t xml:space="preserve"> </w:t>
      </w:r>
      <w:r>
        <w:t xml:space="preserve">components and alternatives in the context of CountEmissions EU. Finally, “Selection of</w:t>
      </w:r>
      <w:r>
        <w:t xml:space="preserve"> </w:t>
      </w:r>
      <w:r>
        <w:t xml:space="preserve">the reference methodology” provides insights from the evaluation of the emissions</w:t>
      </w:r>
      <w:r>
        <w:t xml:space="preserve"> </w:t>
      </w:r>
      <w:r>
        <w:t xml:space="preserve">accounting methods, and the selection (based on specific criteria) of those that best fit the</w:t>
      </w:r>
      <w:r>
        <w:t xml:space="preserve"> </w:t>
      </w:r>
      <w:r>
        <w:t xml:space="preserve">purpose of the initiative, and that should be considered while developing respective policy</w:t>
      </w:r>
      <w:r>
        <w:t xml:space="preserve"> </w:t>
      </w:r>
      <w:r>
        <w:t xml:space="preserve">measures and options.</w:t>
      </w:r>
      <w:r>
        <w:t xml:space="preserve"> </w:t>
      </w:r>
      <w:r>
        <w:t xml:space="preserve">The analyses are based on the Impact assessment support study.</w:t>
      </w:r>
      <w:r>
        <w:t xml:space="preserve"> </w:t>
      </w:r>
      <w:r>
        <w:t xml:space="preserve">7.</w:t>
      </w:r>
      <w:r>
        <w:t xml:space="preserve"> </w:t>
      </w:r>
      <w:r>
        <w:t xml:space="preserve">METHODOLOGICAL ELEMENTS</w:t>
      </w:r>
      <w:r>
        <w:t xml:space="preserve"> </w:t>
      </w:r>
      <w:r>
        <w:t xml:space="preserve">Two main “clusters” of methodological elements and their design alternatives for the</w:t>
      </w:r>
      <w:r>
        <w:t xml:space="preserve"> </w:t>
      </w:r>
      <w:r>
        <w:t xml:space="preserve">analysed methods were identified in the context of the impact assessment:</w:t>
      </w:r>
      <w:r>
        <w:t xml:space="preserve"> </w:t>
      </w:r>
      <w:r>
        <w:t xml:space="preserve"></w:t>
      </w:r>
      <w:r>
        <w:t xml:space="preserve"> </w:t>
      </w:r>
      <w:r>
        <w:t xml:space="preserve">The scope of GHG emission calculation;</w:t>
      </w:r>
      <w:r>
        <w:t xml:space="preserve"> </w:t>
      </w:r>
      <w:r>
        <w:t xml:space="preserve"></w:t>
      </w:r>
      <w:r>
        <w:t xml:space="preserve"> </w:t>
      </w:r>
      <w:r>
        <w:t xml:space="preserve">The method of GHG emission calculation and allocation to transport services.</w:t>
      </w:r>
      <w:r>
        <w:t xml:space="preserve"> </w:t>
      </w:r>
      <w:r>
        <w:t xml:space="preserve">Table 89Error! Reference source not found. below shows these elements in more detail.</w:t>
      </w:r>
    </w:p>
    <w:p>
      <w:pPr>
        <w:pStyle w:val="BodyText"/>
      </w:pPr>
      <w:r>
        <w:t xml:space="preserve">Table 89: Overview of specific methodological elements and relevant design alternatives of various available and</w:t>
      </w:r>
      <w:r>
        <w:t xml:space="preserve"> </w:t>
      </w:r>
      <w:r>
        <w:t xml:space="preserve">emerging methods.</w:t>
      </w:r>
      <w:r>
        <w:t xml:space="preserve"> </w:t>
      </w:r>
      <w:r>
        <w:t xml:space="preserve">Element</w:t>
      </w:r>
      <w:r>
        <w:t xml:space="preserve"> </w:t>
      </w:r>
      <w:r>
        <w:t xml:space="preserve">Design alternatives</w:t>
      </w:r>
      <w:r>
        <w:t xml:space="preserve"> </w:t>
      </w:r>
      <w:r>
        <w:t xml:space="preserve">Scope of GHG emission calculation</w:t>
      </w:r>
      <w:r>
        <w:t xml:space="preserve"> </w:t>
      </w:r>
      <w:r>
        <w:t xml:space="preserve">Geographical</w:t>
      </w:r>
      <w:r>
        <w:t xml:space="preserve"> </w:t>
      </w:r>
      <w:r>
        <w:t xml:space="preserve">scope</w:t>
      </w:r>
      <w:r>
        <w:t xml:space="preserve"> </w:t>
      </w:r>
      <w:r>
        <w:t xml:space="preserve">Global</w:t>
      </w:r>
      <w:r>
        <w:t xml:space="preserve"> </w:t>
      </w:r>
      <w:r>
        <w:t xml:space="preserve">European</w:t>
      </w:r>
    </w:p>
    <w:p>
      <w:pPr>
        <w:pStyle w:val="BodyText"/>
      </w:pPr>
      <w:r>
        <w:t xml:space="preserve">Type of</w:t>
      </w:r>
      <w:r>
        <w:t xml:space="preserve"> </w:t>
      </w:r>
      <w:r>
        <w:t xml:space="preserve">emissions</w:t>
      </w:r>
      <w:r>
        <w:t xml:space="preserve"> </w:t>
      </w:r>
      <w:r>
        <w:t xml:space="preserve">included</w:t>
      </w:r>
      <w:r>
        <w:t xml:space="preserve"> </w:t>
      </w:r>
      <w:r>
        <w:t xml:space="preserve">CO2-emisisons</w:t>
      </w:r>
      <w:r>
        <w:t xml:space="preserve"> </w:t>
      </w:r>
      <w:r>
        <w:t xml:space="preserve">non-CO2 GHG</w:t>
      </w:r>
      <w:r>
        <w:t xml:space="preserve"> </w:t>
      </w:r>
      <w:r>
        <w:t xml:space="preserve">emissions originating</w:t>
      </w:r>
      <w:r>
        <w:t xml:space="preserve"> </w:t>
      </w:r>
      <w:r>
        <w:t xml:space="preserve">from combustion of</w:t>
      </w:r>
      <w:r>
        <w:t xml:space="preserve"> </w:t>
      </w:r>
      <w:r>
        <w:t xml:space="preserve">fuel</w:t>
      </w:r>
      <w:r>
        <w:t xml:space="preserve"> </w:t>
      </w:r>
      <w:r>
        <w:t xml:space="preserve">non-CO2 GHG</w:t>
      </w:r>
      <w:r>
        <w:t xml:space="preserve"> </w:t>
      </w:r>
      <w:r>
        <w:t xml:space="preserve">emissions</w:t>
      </w:r>
      <w:r>
        <w:t xml:space="preserve"> </w:t>
      </w:r>
      <w:r>
        <w:t xml:space="preserve">originating from</w:t>
      </w:r>
      <w:r>
        <w:t xml:space="preserve"> </w:t>
      </w:r>
      <w:r>
        <w:t xml:space="preserve">refrigeration</w:t>
      </w:r>
    </w:p>
    <w:p>
      <w:pPr>
        <w:pStyle w:val="BodyText"/>
      </w:pPr>
      <w:r>
        <w:t xml:space="preserve">151</w:t>
      </w:r>
    </w:p>
    <w:p>
      <w:pPr>
        <w:pStyle w:val="BodyText"/>
      </w:pPr>
      <w:r>
        <w:t xml:space="preserve">Global warming</w:t>
      </w:r>
      <w:r>
        <w:t xml:space="preserve"> </w:t>
      </w:r>
      <w:r>
        <w:t xml:space="preserve">effect of</w:t>
      </w:r>
      <w:r>
        <w:t xml:space="preserve"> </w:t>
      </w:r>
      <w:r>
        <w:t xml:space="preserve">emission of</w:t>
      </w:r>
      <w:r>
        <w:t xml:space="preserve"> </w:t>
      </w:r>
      <w:r>
        <w:t xml:space="preserve">non-CO2</w:t>
      </w:r>
      <w:r>
        <w:t xml:space="preserve"> </w:t>
      </w:r>
      <w:r>
        <w:t xml:space="preserve">products (e.g. </w:t>
      </w:r>
      <w:r>
        <w:t xml:space="preserve"> </w:t>
      </w:r>
      <w:r>
        <w:t xml:space="preserve">water vapour,</w:t>
      </w:r>
      <w:r>
        <w:t xml:space="preserve"> </w:t>
      </w:r>
      <w:r>
        <w:t xml:space="preserve">contrails, NOx)</w:t>
      </w:r>
      <w:r>
        <w:t xml:space="preserve"> </w:t>
      </w:r>
      <w:r>
        <w:t xml:space="preserve">at high altitudes</w:t>
      </w:r>
      <w:r>
        <w:t xml:space="preserve"> </w:t>
      </w:r>
      <w:r>
        <w:t xml:space="preserve">Global warming effect</w:t>
      </w:r>
      <w:r>
        <w:t xml:space="preserve"> </w:t>
      </w:r>
      <w:r>
        <w:t xml:space="preserve">of black carbon</w:t>
      </w:r>
      <w:r>
        <w:t xml:space="preserve"> </w:t>
      </w:r>
      <w:r>
        <w:t xml:space="preserve">emissions</w:t>
      </w:r>
    </w:p>
    <w:p>
      <w:pPr>
        <w:pStyle w:val="BodyText"/>
      </w:pPr>
      <w:r>
        <w:t xml:space="preserve">Activity</w:t>
      </w:r>
      <w:r>
        <w:t xml:space="preserve"> </w:t>
      </w:r>
      <w:r>
        <w:t xml:space="preserve">boundaries of the</w:t>
      </w:r>
      <w:r>
        <w:t xml:space="preserve"> </w:t>
      </w:r>
      <w:r>
        <w:t xml:space="preserve">methodology</w:t>
      </w:r>
      <w:r>
        <w:t xml:space="preserve"> </w:t>
      </w:r>
      <w:r>
        <w:t xml:space="preserve">Vehicle</w:t>
      </w:r>
      <w:r>
        <w:t xml:space="preserve"> </w:t>
      </w:r>
      <w:r>
        <w:t xml:space="preserve">propulsion</w:t>
      </w:r>
      <w:r>
        <w:t xml:space="preserve"> </w:t>
      </w:r>
      <w:r>
        <w:t xml:space="preserve">emissions</w:t>
      </w:r>
      <w:r>
        <w:t xml:space="preserve"> </w:t>
      </w:r>
      <w:r>
        <w:t xml:space="preserve">related from</w:t>
      </w:r>
      <w:r>
        <w:t xml:space="preserve"> </w:t>
      </w:r>
      <w:r>
        <w:t xml:space="preserve">energy use</w:t>
      </w:r>
      <w:r>
        <w:t xml:space="preserve"> </w:t>
      </w:r>
      <w:r>
        <w:t xml:space="preserve">(TTW)</w:t>
      </w:r>
      <w:r>
        <w:t xml:space="preserve"> </w:t>
      </w:r>
      <w:r>
        <w:t xml:space="preserve">Emissions from</w:t>
      </w:r>
      <w:r>
        <w:t xml:space="preserve"> </w:t>
      </w:r>
      <w:r>
        <w:t xml:space="preserve">auxiliary processes</w:t>
      </w:r>
      <w:r>
        <w:t xml:space="preserve"> </w:t>
      </w:r>
      <w:r>
        <w:t xml:space="preserve">(other than propulsion)</w:t>
      </w:r>
      <w:r>
        <w:t xml:space="preserve"> </w:t>
      </w:r>
      <w:r>
        <w:t xml:space="preserve">during vehicle</w:t>
      </w:r>
      <w:r>
        <w:t xml:space="preserve"> </w:t>
      </w:r>
      <w:r>
        <w:t xml:space="preserve">operation (TTW) (e.g. </w:t>
      </w:r>
      <w:r>
        <w:t xml:space="preserve"> </w:t>
      </w:r>
      <w:r>
        <w:t xml:space="preserve">cooling of freight)</w:t>
      </w:r>
      <w:r>
        <w:t xml:space="preserve"> </w:t>
      </w:r>
      <w:r>
        <w:t xml:space="preserve">Vehicle operation</w:t>
      </w:r>
      <w:r>
        <w:t xml:space="preserve"> </w:t>
      </w:r>
      <w:r>
        <w:t xml:space="preserve">emissions related</w:t>
      </w:r>
      <w:r>
        <w:t xml:space="preserve"> </w:t>
      </w:r>
      <w:r>
        <w:t xml:space="preserve">to leakage and</w:t>
      </w:r>
      <w:r>
        <w:t xml:space="preserve"> </w:t>
      </w:r>
      <w:r>
        <w:t xml:space="preserve">spills</w:t>
      </w:r>
      <w:r>
        <w:br/>
      </w:r>
      <w:r>
        <w:t xml:space="preserve">Emissions from</w:t>
      </w:r>
      <w:r>
        <w:t xml:space="preserve"> </w:t>
      </w:r>
      <w:r>
        <w:t xml:space="preserve">hub activities</w:t>
      </w:r>
      <w:r>
        <w:br/>
      </w:r>
      <w:r>
        <w:t xml:space="preserve">Emission from</w:t>
      </w:r>
      <w:r>
        <w:t xml:space="preserve"> </w:t>
      </w:r>
      <w:r>
        <w:t xml:space="preserve">energy</w:t>
      </w:r>
      <w:r>
        <w:t xml:space="preserve"> </w:t>
      </w:r>
      <w:r>
        <w:t xml:space="preserve">provision</w:t>
      </w:r>
      <w:r>
        <w:t xml:space="preserve"> </w:t>
      </w:r>
      <w:r>
        <w:t xml:space="preserve">(WTT),</w:t>
      </w:r>
      <w:r>
        <w:t xml:space="preserve"> </w:t>
      </w:r>
      <w:r>
        <w:t xml:space="preserve">excluding</w:t>
      </w:r>
      <w:r>
        <w:t xml:space="preserve"> </w:t>
      </w:r>
      <w:r>
        <w:t xml:space="preserve">energy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construction</w:t>
      </w:r>
      <w:r>
        <w:t xml:space="preserve"> </w:t>
      </w:r>
      <w:r>
        <w:t xml:space="preserve">Emission from</w:t>
      </w:r>
      <w:r>
        <w:t xml:space="preserve"> </w:t>
      </w:r>
      <w:r>
        <w:t xml:space="preserve">construction and</w:t>
      </w:r>
      <w:r>
        <w:t xml:space="preserve"> </w:t>
      </w:r>
      <w:r>
        <w:t xml:space="preserve">dismantling of energy</w:t>
      </w:r>
      <w:r>
        <w:t xml:space="preserve"> </w:t>
      </w:r>
      <w:r>
        <w:t xml:space="preserve">production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Life cycle GHG</w:t>
      </w:r>
      <w:r>
        <w:t xml:space="preserve"> </w:t>
      </w:r>
      <w:r>
        <w:t xml:space="preserve">emission of</w:t>
      </w:r>
      <w:r>
        <w:t xml:space="preserve"> </w:t>
      </w:r>
      <w:r>
        <w:t xml:space="preserve">vehicle</w:t>
      </w:r>
      <w:r>
        <w:t xml:space="preserve"> </w:t>
      </w:r>
      <w:r>
        <w:t xml:space="preserve">construction and</w:t>
      </w:r>
      <w:r>
        <w:t xml:space="preserve"> </w:t>
      </w:r>
      <w:r>
        <w:t xml:space="preserve">maintenance</w:t>
      </w:r>
      <w:r>
        <w:t xml:space="preserve"> </w:t>
      </w:r>
      <w:r>
        <w:t xml:space="preserve">Life cycle GHG</w:t>
      </w:r>
      <w:r>
        <w:t xml:space="preserve"> </w:t>
      </w:r>
      <w:r>
        <w:t xml:space="preserve">emission of vehicle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construction and</w:t>
      </w:r>
      <w:r>
        <w:t xml:space="preserve"> </w:t>
      </w:r>
      <w:r>
        <w:t xml:space="preserve">maintenance</w:t>
      </w:r>
      <w:r>
        <w:t xml:space="preserve"> </w:t>
      </w:r>
      <w:r>
        <w:t xml:space="preserve">Intended users</w:t>
      </w:r>
      <w:r>
        <w:t xml:space="preserve"> </w:t>
      </w:r>
      <w:r>
        <w:t xml:space="preserve">Transport</w:t>
      </w:r>
      <w:r>
        <w:t xml:space="preserve"> </w:t>
      </w:r>
      <w:r>
        <w:t xml:space="preserve">service operator</w:t>
      </w:r>
      <w:r>
        <w:t xml:space="preserve"> </w:t>
      </w:r>
      <w:r>
        <w:t xml:space="preserve">Transport service</w:t>
      </w:r>
      <w:r>
        <w:t xml:space="preserve"> </w:t>
      </w:r>
      <w:r>
        <w:t xml:space="preserve">organiser</w:t>
      </w:r>
      <w:r>
        <w:t xml:space="preserve"> </w:t>
      </w:r>
      <w:r>
        <w:t xml:space="preserve">Transport service</w:t>
      </w:r>
      <w:r>
        <w:t xml:space="preserve"> </w:t>
      </w:r>
      <w:r>
        <w:t xml:space="preserve">user (excl.</w:t>
      </w:r>
      <w:r>
        <w:t xml:space="preserve"> </w:t>
      </w:r>
      <w:r>
        <w:t xml:space="preserve">organiser)</w:t>
      </w:r>
    </w:p>
    <w:p>
      <w:pPr>
        <w:pStyle w:val="BodyText"/>
      </w:pPr>
      <w:r>
        <w:t xml:space="preserve">Use perspective</w:t>
      </w:r>
      <w:r>
        <w:t xml:space="preserve"> </w:t>
      </w:r>
      <w:r>
        <w:t xml:space="preserve">Ex-post</w:t>
      </w:r>
      <w:r>
        <w:t xml:space="preserve"> </w:t>
      </w:r>
      <w:r>
        <w:t xml:space="preserve">Ex-ante short term</w:t>
      </w:r>
      <w:r>
        <w:br/>
      </w:r>
      <w:r>
        <w:t xml:space="preserve">Ex-ante</w:t>
      </w:r>
      <w:r>
        <w:t xml:space="preserve"> </w:t>
      </w:r>
      <w:r>
        <w:t xml:space="preserve">calculations for</w:t>
      </w:r>
      <w:r>
        <w:t xml:space="preserve"> </w:t>
      </w:r>
      <w:r>
        <w:t xml:space="preserve">long term</w:t>
      </w:r>
      <w:r>
        <w:t xml:space="preserve"> </w:t>
      </w:r>
      <w:r>
        <w:t xml:space="preserve">scenarios</w:t>
      </w:r>
    </w:p>
    <w:p>
      <w:pPr>
        <w:pStyle w:val="BodyText"/>
      </w:pPr>
      <w:r>
        <w:t xml:space="preserve">Emissions</w:t>
      </w:r>
      <w:r>
        <w:t xml:space="preserve"> </w:t>
      </w:r>
      <w:r>
        <w:t xml:space="preserve">perspective</w:t>
      </w:r>
      <w:r>
        <w:t xml:space="preserve"> </w:t>
      </w:r>
      <w:r>
        <w:t xml:space="preserve">Service average</w:t>
      </w:r>
      <w:r>
        <w:t xml:space="preserve"> </w:t>
      </w:r>
      <w:r>
        <w:t xml:space="preserve">GHG emissions</w:t>
      </w:r>
      <w:r>
        <w:t xml:space="preserve"> </w:t>
      </w:r>
      <w:r>
        <w:t xml:space="preserve">Time/situation specific</w:t>
      </w:r>
      <w:r>
        <w:t xml:space="preserve"> </w:t>
      </w:r>
      <w:r>
        <w:t xml:space="preserve">average GHG</w:t>
      </w:r>
      <w:r>
        <w:t xml:space="preserve"> </w:t>
      </w:r>
      <w:r>
        <w:t xml:space="preserve">emissions</w:t>
      </w:r>
      <w:r>
        <w:t xml:space="preserve"> </w:t>
      </w:r>
      <w:r>
        <w:t xml:space="preserve">Marginal GHG</w:t>
      </w:r>
      <w:r>
        <w:t xml:space="preserve"> </w:t>
      </w:r>
      <w:r>
        <w:t xml:space="preserve">emissions</w:t>
      </w:r>
    </w:p>
    <w:p>
      <w:pPr>
        <w:pStyle w:val="BodyText"/>
      </w:pPr>
      <w:r>
        <w:t xml:space="preserve">The method of emissions calculation and allocation to transport services</w:t>
      </w:r>
      <w:r>
        <w:t xml:space="preserve"> </w:t>
      </w:r>
      <w:r>
        <w:t xml:space="preserve">Required</w:t>
      </w:r>
      <w:r>
        <w:t xml:space="preserve"> </w:t>
      </w:r>
      <w:r>
        <w:t xml:space="preserve">granularity of</w:t>
      </w:r>
      <w:r>
        <w:t xml:space="preserve"> </w:t>
      </w:r>
      <w:r>
        <w:t xml:space="preserve">calculation</w:t>
      </w:r>
      <w:r>
        <w:br/>
      </w:r>
      <w:r>
        <w:t xml:space="preserve">Total GHG of</w:t>
      </w:r>
      <w:r>
        <w:t xml:space="preserve"> </w:t>
      </w:r>
      <w:r>
        <w:t xml:space="preserve">transport</w:t>
      </w:r>
      <w:r>
        <w:t xml:space="preserve"> </w:t>
      </w:r>
      <w:r>
        <w:t xml:space="preserve">operator</w:t>
      </w:r>
      <w:r>
        <w:t xml:space="preserve"> </w:t>
      </w:r>
      <w:r>
        <w:t xml:space="preserve">Total GHG emission</w:t>
      </w:r>
      <w:r>
        <w:t xml:space="preserve"> </w:t>
      </w:r>
      <w:r>
        <w:t xml:space="preserve">of transport service</w:t>
      </w:r>
      <w:r>
        <w:t xml:space="preserve"> </w:t>
      </w:r>
      <w:r>
        <w:t xml:space="preserve">user (freight) or</w:t>
      </w:r>
      <w:r>
        <w:t xml:space="preserve"> </w:t>
      </w:r>
      <w:r>
        <w:t xml:space="preserve">organiser</w:t>
      </w:r>
      <w:r>
        <w:t xml:space="preserve"> </w:t>
      </w:r>
      <w:r>
        <w:t xml:space="preserve">Transport service</w:t>
      </w:r>
      <w:r>
        <w:t xml:space="preserve"> </w:t>
      </w:r>
      <w:r>
        <w:t xml:space="preserve">type</w:t>
      </w:r>
      <w:r>
        <w:t xml:space="preserve"> </w:t>
      </w:r>
      <w:r>
        <w:t xml:space="preserve">Transport chain</w:t>
      </w:r>
      <w:r>
        <w:t xml:space="preserve"> </w:t>
      </w:r>
      <w:r>
        <w:t xml:space="preserve">element / leg</w:t>
      </w:r>
      <w:r>
        <w:t xml:space="preserve"> </w:t>
      </w:r>
      <w:r>
        <w:t xml:space="preserve">(average over</w:t>
      </w:r>
      <w:r>
        <w:t xml:space="preserve"> </w:t>
      </w:r>
      <w:r>
        <w:t xml:space="preserve">period)</w:t>
      </w:r>
      <w:r>
        <w:t xml:space="preserve"> </w:t>
      </w:r>
      <w:r>
        <w:t xml:space="preserve">Single vehicle</w:t>
      </w:r>
      <w:r>
        <w:t xml:space="preserve"> </w:t>
      </w:r>
      <w:r>
        <w:t xml:space="preserve">Individual trip</w:t>
      </w:r>
      <w:r>
        <w:t xml:space="preserve"> </w:t>
      </w:r>
      <w:r>
        <w:t xml:space="preserve">Total GHG</w:t>
      </w:r>
      <w:r>
        <w:t xml:space="preserve"> </w:t>
      </w:r>
      <w:r>
        <w:t xml:space="preserve">emissions of hub</w:t>
      </w:r>
      <w:r>
        <w:t xml:space="preserve"> </w:t>
      </w:r>
      <w:r>
        <w:t xml:space="preserve">operator</w:t>
      </w:r>
      <w:r>
        <w:t xml:space="preserve"> </w:t>
      </w:r>
      <w:r>
        <w:t xml:space="preserve">Per activity at hub</w:t>
      </w:r>
      <w:r>
        <w:t xml:space="preserve"> </w:t>
      </w:r>
      <w:r>
        <w:t xml:space="preserve">Allocation</w:t>
      </w:r>
      <w:r>
        <w:t xml:space="preserve"> </w:t>
      </w:r>
      <w:r>
        <w:t xml:space="preserve">parameter for</w:t>
      </w:r>
      <w:r>
        <w:t xml:space="preserve"> </w:t>
      </w:r>
      <w:r>
        <w:t xml:space="preserve">allocation to</w:t>
      </w:r>
      <w:r>
        <w:t xml:space="preserve"> </w:t>
      </w:r>
      <w:r>
        <w:t xml:space="preserve">transport services</w:t>
      </w:r>
      <w:r>
        <w:t xml:space="preserve"> </w:t>
      </w:r>
      <w:r>
        <w:t xml:space="preserve">Tonne-km</w:t>
      </w:r>
      <w:r>
        <w:t xml:space="preserve"> </w:t>
      </w:r>
      <w:r>
        <w:t xml:space="preserve">passenger-km</w:t>
      </w:r>
      <w:r>
        <w:t xml:space="preserve"> </w:t>
      </w:r>
      <w:r>
        <w:t xml:space="preserve">tonne-km SFD</w:t>
      </w:r>
    </w:p>
    <w:p>
      <w:pPr>
        <w:pStyle w:val="BodyText"/>
      </w:pPr>
      <w:r>
        <w:t xml:space="preserve">passenger-km-</w:t>
      </w:r>
      <w:r>
        <w:t xml:space="preserve"> </w:t>
      </w:r>
      <w:r>
        <w:t xml:space="preserve">SFD</w:t>
      </w:r>
      <w:r>
        <w:t xml:space="preserve"> </w:t>
      </w:r>
      <w:r>
        <w:t xml:space="preserve">tonne-km GCD</w:t>
      </w:r>
      <w:r>
        <w:t xml:space="preserve"> </w:t>
      </w:r>
      <w:r>
        <w:t xml:space="preserve">passenger-km-</w:t>
      </w:r>
      <w:r>
        <w:t xml:space="preserve"> </w:t>
      </w:r>
      <w:r>
        <w:t xml:space="preserve">GCD</w:t>
      </w:r>
    </w:p>
    <w:p>
      <w:pPr>
        <w:pStyle w:val="BodyText"/>
      </w:pPr>
      <w:r>
        <w:t xml:space="preserve">Allocation</w:t>
      </w:r>
      <w:r>
        <w:t xml:space="preserve"> </w:t>
      </w:r>
      <w:r>
        <w:t xml:space="preserve">granularity for</w:t>
      </w:r>
      <w:r>
        <w:t xml:space="preserve"> </w:t>
      </w:r>
      <w:r>
        <w:t xml:space="preserve">allocation to</w:t>
      </w:r>
      <w:r>
        <w:t xml:space="preserve"> </w:t>
      </w:r>
      <w:r>
        <w:t xml:space="preserve">transport services</w:t>
      </w:r>
      <w:r>
        <w:t xml:space="preserve"> </w:t>
      </w:r>
      <w:r>
        <w:t xml:space="preserve">On company</w:t>
      </w:r>
      <w:r>
        <w:t xml:space="preserve"> </w:t>
      </w:r>
      <w:r>
        <w:t xml:space="preserve">level (e.g. </w:t>
      </w:r>
      <w:r>
        <w:t xml:space="preserve"> </w:t>
      </w:r>
      <w:r>
        <w:t xml:space="preserve">average for</w:t>
      </w:r>
      <w:r>
        <w:t xml:space="preserve"> </w:t>
      </w:r>
      <w:r>
        <w:t xml:space="preserve">transport</w:t>
      </w:r>
      <w:r>
        <w:t xml:space="preserve"> </w:t>
      </w:r>
      <w:r>
        <w:t xml:space="preserve">company)</w:t>
      </w:r>
      <w:r>
        <w:t xml:space="preserve"> </w:t>
      </w:r>
      <w:r>
        <w:t xml:space="preserve">transport leg level (e.g. </w:t>
      </w:r>
      <w:r>
        <w:t xml:space="preserve"> </w:t>
      </w:r>
      <w:r>
        <w:t xml:space="preserve">average between hubs)</w:t>
      </w:r>
      <w:r>
        <w:t xml:space="preserve"> </w:t>
      </w:r>
      <w:r>
        <w:t xml:space="preserve">Trip level -</w:t>
      </w:r>
      <w:r>
        <w:t xml:space="preserve"> </w:t>
      </w:r>
      <w:r>
        <w:t xml:space="preserve">journey specific</w:t>
      </w:r>
    </w:p>
    <w:p>
      <w:pPr>
        <w:pStyle w:val="BodyText"/>
      </w:pPr>
      <w:r>
        <w:t xml:space="preserve">Flexibility in</w:t>
      </w:r>
      <w:r>
        <w:t xml:space="preserve"> </w:t>
      </w:r>
      <w:r>
        <w:t xml:space="preserve">calculation</w:t>
      </w:r>
      <w:r>
        <w:t xml:space="preserve"> </w:t>
      </w:r>
      <w:r>
        <w:t xml:space="preserve">method</w:t>
      </w:r>
      <w:r>
        <w:br/>
      </w:r>
      <w:r>
        <w:t xml:space="preserve">The user can</w:t>
      </w:r>
      <w:r>
        <w:t xml:space="preserve"> </w:t>
      </w:r>
      <w:r>
        <w:t xml:space="preserve">choose the</w:t>
      </w:r>
      <w:r>
        <w:t xml:space="preserve"> </w:t>
      </w:r>
      <w:r>
        <w:t xml:space="preserve">calculation</w:t>
      </w:r>
      <w:r>
        <w:t xml:space="preserve"> </w:t>
      </w:r>
      <w:r>
        <w:t xml:space="preserve">option from a</w:t>
      </w:r>
      <w:r>
        <w:t xml:space="preserve"> </w:t>
      </w:r>
      <w:r>
        <w:t xml:space="preserve">predefined list.</w:t>
      </w:r>
      <w:r>
        <w:t xml:space="preserve"> </w:t>
      </w:r>
      <w:r>
        <w:t xml:space="preserve">The required</w:t>
      </w:r>
      <w:r>
        <w:t xml:space="preserve"> </w:t>
      </w:r>
      <w:r>
        <w:t xml:space="preserve">calculation option</w:t>
      </w:r>
      <w:r>
        <w:t xml:space="preserve"> </w:t>
      </w:r>
      <w:r>
        <w:t xml:space="preserve">depends on the</w:t>
      </w:r>
      <w:r>
        <w:t xml:space="preserve"> </w:t>
      </w:r>
      <w:r>
        <w:t xml:space="preserve">stakeholder group</w:t>
      </w:r>
      <w:r>
        <w:t xml:space="preserve"> </w:t>
      </w:r>
      <w:r>
        <w:t xml:space="preserve">applying the</w:t>
      </w:r>
      <w:r>
        <w:t xml:space="preserve"> </w:t>
      </w:r>
      <w:r>
        <w:t xml:space="preserve">calculations.</w:t>
      </w:r>
      <w:r>
        <w:t xml:space="preserve"> </w:t>
      </w:r>
      <w:r>
        <w:t xml:space="preserve">The calculation</w:t>
      </w:r>
      <w:r>
        <w:t xml:space="preserve"> </w:t>
      </w:r>
      <w:r>
        <w:t xml:space="preserve">options are</w:t>
      </w:r>
      <w:r>
        <w:t xml:space="preserve"> </w:t>
      </w:r>
      <w:r>
        <w:t xml:space="preserve">ranked from most</w:t>
      </w:r>
      <w:r>
        <w:t xml:space="preserve"> </w:t>
      </w:r>
      <w:r>
        <w:t xml:space="preserve">preferable to least</w:t>
      </w:r>
      <w:r>
        <w:t xml:space="preserve"> </w:t>
      </w:r>
      <w:r>
        <w:t xml:space="preserve">preferable</w:t>
      </w:r>
      <w:r>
        <w:t xml:space="preserve"> </w:t>
      </w:r>
      <w:r>
        <w:t xml:space="preserve">The calculation</w:t>
      </w:r>
      <w:r>
        <w:t xml:space="preserve"> </w:t>
      </w:r>
      <w:r>
        <w:t xml:space="preserve">option with best</w:t>
      </w:r>
      <w:r>
        <w:t xml:space="preserve"> </w:t>
      </w:r>
      <w:r>
        <w:t xml:space="preserve">accuracy,</w:t>
      </w:r>
      <w:r>
        <w:t xml:space="preserve"> </w:t>
      </w:r>
      <w:r>
        <w:t xml:space="preserve">comparability is</w:t>
      </w:r>
      <w:r>
        <w:t xml:space="preserve"> </w:t>
      </w:r>
      <w:r>
        <w:t xml:space="preserve">prescribed for all</w:t>
      </w:r>
      <w:r>
        <w:t xml:space="preserve"> </w:t>
      </w:r>
      <w:r>
        <w:t xml:space="preserve">users</w:t>
      </w:r>
    </w:p>
    <w:p>
      <w:pPr>
        <w:pStyle w:val="BodyText"/>
      </w:pPr>
      <w:r>
        <w:t xml:space="preserve">152</w:t>
      </w:r>
    </w:p>
    <w:p>
      <w:pPr>
        <w:pStyle w:val="BodyText"/>
      </w:pPr>
      <w:r>
        <w:t xml:space="preserve">calculation</w:t>
      </w:r>
      <w:r>
        <w:t xml:space="preserve"> </w:t>
      </w:r>
      <w:r>
        <w:t xml:space="preserve">option.</w:t>
      </w:r>
      <w:r>
        <w:t xml:space="preserve"> </w:t>
      </w:r>
      <w:r>
        <w:t xml:space="preserve">Source: Ecorys and CE Delft (2023), Impact assessment support study</w:t>
      </w:r>
      <w:r>
        <w:t xml:space="preserve"> </w:t>
      </w:r>
      <w:r>
        <w:t xml:space="preserve">8.</w:t>
      </w:r>
      <w:r>
        <w:t xml:space="preserve"> </w:t>
      </w:r>
      <w:r>
        <w:t xml:space="preserve">ASSESSMENT AND RANKING OF THE METHODOLOGICAL ELEMENTS</w:t>
      </w:r>
      <w:r>
        <w:t xml:space="preserve"> </w:t>
      </w:r>
      <w:r>
        <w:t xml:space="preserve">Seven criteria were established to assess (where applicable) the appropriateness of these</w:t>
      </w:r>
      <w:r>
        <w:t xml:space="preserve"> </w:t>
      </w:r>
      <w:r>
        <w:t xml:space="preserve">methodological elements and their design alternatives for CountEmissions EU:</w:t>
      </w:r>
      <w:r>
        <w:br/>
      </w:r>
      <w:r>
        <w:t xml:space="preserve"></w:t>
      </w:r>
      <w:r>
        <w:t xml:space="preserve"> </w:t>
      </w:r>
      <w:r>
        <w:t xml:space="preserve">Relevance: The extent to which the element is relevant for the GHG emissions</w:t>
      </w:r>
      <w:r>
        <w:t xml:space="preserve"> </w:t>
      </w:r>
      <w:r>
        <w:t xml:space="preserve">within the influence sphere of the reporting entity and/ or serves the decision-</w:t>
      </w:r>
      <w:r>
        <w:t xml:space="preserve"> </w:t>
      </w:r>
      <w:r>
        <w:t xml:space="preserve">making to reduce GHG emissions both internal and external to the company.</w:t>
      </w:r>
      <w:r>
        <w:t xml:space="preserve"> </w:t>
      </w:r>
      <w:r>
        <w:t xml:space="preserve"></w:t>
      </w:r>
      <w:r>
        <w:t xml:space="preserve"> </w:t>
      </w:r>
      <w:r>
        <w:t xml:space="preserve">Applicability by stakeholders: The complexity the reporting entity encounters</w:t>
      </w:r>
      <w:r>
        <w:t xml:space="preserve"> </w:t>
      </w:r>
      <w:r>
        <w:t xml:space="preserve">when applying the element in the quantification of emissions and reporting.</w:t>
      </w:r>
      <w:r>
        <w:t xml:space="preserve"> </w:t>
      </w:r>
      <w:r>
        <w:t xml:space="preserve"></w:t>
      </w:r>
      <w:r>
        <w:t xml:space="preserve"> </w:t>
      </w:r>
      <w:r>
        <w:t xml:space="preserve">Acceptability by stakeholders: The extent to which stakeholders are willing to</w:t>
      </w:r>
      <w:r>
        <w:t xml:space="preserve"> </w:t>
      </w:r>
      <w:r>
        <w:t xml:space="preserve">apply the element in the quantification of emissions and reporting, taking into</w:t>
      </w:r>
      <w:r>
        <w:t xml:space="preserve"> </w:t>
      </w:r>
      <w:r>
        <w:t xml:space="preserve">account the efforts needed and the value they get out of it.</w:t>
      </w:r>
      <w:r>
        <w:t xml:space="preserve"> </w:t>
      </w:r>
      <w:r>
        <w:t xml:space="preserve"></w:t>
      </w:r>
      <w:r>
        <w:t xml:space="preserve"> </w:t>
      </w:r>
      <w:r>
        <w:t xml:space="preserve">Accuracy: The extent to which the reported emissions are free of errors and</w:t>
      </w:r>
      <w:r>
        <w:t xml:space="preserve"> </w:t>
      </w:r>
      <w:r>
        <w:t xml:space="preserve">faithfully represent the actual emissions.</w:t>
      </w:r>
      <w:r>
        <w:t xml:space="preserve"> </w:t>
      </w:r>
      <w:r>
        <w:t xml:space="preserve"></w:t>
      </w:r>
      <w:r>
        <w:t xml:space="preserve"> </w:t>
      </w:r>
      <w:r>
        <w:t xml:space="preserve">Comparability: The extent to which the element allows for meaningful</w:t>
      </w:r>
      <w:r>
        <w:t xml:space="preserve"> </w:t>
      </w:r>
      <w:r>
        <w:t xml:space="preserve">comparisons of GHG emissions over time and between reporting entities (in</w:t>
      </w:r>
      <w:r>
        <w:t xml:space="preserve"> </w:t>
      </w:r>
      <w:r>
        <w:t xml:space="preserve">the same market).</w:t>
      </w:r>
      <w:r>
        <w:br/>
      </w:r>
      <w:r>
        <w:t xml:space="preserve"></w:t>
      </w:r>
      <w:r>
        <w:t xml:space="preserve"> </w:t>
      </w:r>
      <w:r>
        <w:t xml:space="preserve">Reproducibility: The extent to which different organisations using the same</w:t>
      </w:r>
      <w:r>
        <w:t xml:space="preserve"> </w:t>
      </w:r>
      <w:r>
        <w:t xml:space="preserve">methodology and data would arrive at the same GHG emission estimates</w:t>
      </w:r>
      <w:r>
        <w:t xml:space="preserve"> </w:t>
      </w:r>
      <w:r>
        <w:t xml:space="preserve"></w:t>
      </w:r>
      <w:r>
        <w:t xml:space="preserve"> </w:t>
      </w:r>
      <w:r>
        <w:t xml:space="preserve">Robustness: The frequency with which the element has to be updated over time</w:t>
      </w:r>
      <w:r>
        <w:t xml:space="preserve"> </w:t>
      </w:r>
      <w:r>
        <w:t xml:space="preserve">and the amount of effort that requires.</w:t>
      </w:r>
      <w:r>
        <w:t xml:space="preserve"> </w:t>
      </w:r>
      <w:r>
        <w:t xml:space="preserve">Scoring results per each methodological cluster are presented below.</w:t>
      </w:r>
      <w:r>
        <w:t xml:space="preserve"> </w:t>
      </w:r>
      <w:r>
        <w:t xml:space="preserve">a) Cluster “Scope of emission calculations”</w:t>
      </w:r>
      <w:r>
        <w:t xml:space="preserve"> </w:t>
      </w:r>
      <w:r>
        <w:t xml:space="preserve">Geographical scope</w:t>
      </w:r>
      <w:r>
        <w:t xml:space="preserve"> </w:t>
      </w:r>
      <w:r>
        <w:t xml:space="preserve">The geographical scope relates to the extent to which a method can be applied to account</w:t>
      </w:r>
      <w:r>
        <w:t xml:space="preserve"> </w:t>
      </w:r>
      <w:r>
        <w:t xml:space="preserve">transport emission in different geographical areas, and can take into account various modes</w:t>
      </w:r>
      <w:r>
        <w:t xml:space="preserve"> </w:t>
      </w:r>
      <w:r>
        <w:t xml:space="preserve">of transport and different types of fuels and vehicles. In this context, a European and global</w:t>
      </w:r>
      <w:r>
        <w:t xml:space="preserve"> </w:t>
      </w:r>
      <w:r>
        <w:t xml:space="preserve">scopes were considered.</w:t>
      </w:r>
      <w:r>
        <w:br/>
      </w:r>
      <w:r>
        <w:t xml:space="preserve">The objectives of CountEmissions EU focus on the European transport sector. However,</w:t>
      </w:r>
      <w:r>
        <w:t xml:space="preserve"> </w:t>
      </w:r>
      <w:r>
        <w:t xml:space="preserve">for the EU27, 40% of international trade is performed with countries outside the EU27248</w:t>
      </w:r>
    </w:p>
    <w:p>
      <w:pPr>
        <w:pStyle w:val="BodyText"/>
      </w:pPr>
      <w:r>
        <w:t xml:space="preserve">248 Eurostat: “Intra-EU27 (from 2020) trade, by Member State, total product”, and “Extra-EU27 (from 2020)</w:t>
      </w:r>
      <w:r>
        <w:t xml:space="preserve"> </w:t>
      </w:r>
      <w:r>
        <w:t xml:space="preserve">trade, by Member State, total product” ; year 2019.</w:t>
      </w:r>
    </w:p>
    <w:p>
      <w:pPr>
        <w:pStyle w:val="BodyText"/>
      </w:pPr>
      <w:r>
        <w:t xml:space="preserve">153</w:t>
      </w:r>
    </w:p>
    <w:p>
      <w:pPr>
        <w:pStyle w:val="BodyText"/>
      </w:pPr>
      <w:r>
        <w:t xml:space="preserve">and 56% of the passengers in aviation is on flights to or from countries outside the EU27249.</w:t>
      </w:r>
      <w:r>
        <w:t xml:space="preserve"> </w:t>
      </w:r>
      <w:r>
        <w:t xml:space="preserve">Considering these numbers a strong case can be therefore made for a global scope250. On</w:t>
      </w:r>
      <w:r>
        <w:t xml:space="preserve"> </w:t>
      </w:r>
      <w:r>
        <w:t xml:space="preserve">the one hand, this global scope would make the emissions quantification more complex,</w:t>
      </w:r>
      <w:r>
        <w:t xml:space="preserve"> </w:t>
      </w:r>
      <w:r>
        <w:t xml:space="preserve">partly because different emission factors would have to be used for various countries and</w:t>
      </w:r>
      <w:r>
        <w:t xml:space="preserve"> </w:t>
      </w:r>
      <w:r>
        <w:t xml:space="preserve">regions. On the other hand, a number of existing methods (like GHG Protocol, GLEC, ISO</w:t>
      </w:r>
      <w:r>
        <w:t xml:space="preserve"> </w:t>
      </w:r>
      <w:r>
        <w:t xml:space="preserve">14083) already apply the global scope, making it possible to account emissions in a full</w:t>
      </w:r>
      <w:r>
        <w:t xml:space="preserve"> </w:t>
      </w:r>
      <w:r>
        <w:t xml:space="preserve">transport chain with origins or destinations both inside and outside Europe.</w:t>
      </w:r>
      <w:r>
        <w:t xml:space="preserve"> </w:t>
      </w:r>
      <w:r>
        <w:t xml:space="preserve">Looking at the targeted stakeholders’ consultation, 20 out of 28 respondents of the survey</w:t>
      </w:r>
      <w:r>
        <w:t xml:space="preserve"> </w:t>
      </w:r>
      <w:r>
        <w:t xml:space="preserve">favour the global scope for the common accounting methodology.</w:t>
      </w:r>
      <w:r>
        <w:t xml:space="preserve"> </w:t>
      </w:r>
      <w:r>
        <w:t xml:space="preserve">Table 90 shows the selected and discarded design alternatives for the methodological</w:t>
      </w:r>
      <w:r>
        <w:t xml:space="preserve"> </w:t>
      </w:r>
      <w:r>
        <w:t xml:space="preserve">element ‘Geographical scope’.</w:t>
      </w:r>
    </w:p>
    <w:p>
      <w:pPr>
        <w:pStyle w:val="BodyText"/>
      </w:pPr>
      <w:r>
        <w:t xml:space="preserve">Table 90: Selected and discarded design alternatives for the methodological element ‘Geographical scope’</w:t>
      </w:r>
      <w:r>
        <w:t xml:space="preserve"> </w:t>
      </w:r>
      <w:r>
        <w:t xml:space="preserve">Selected design alternatives</w:t>
      </w:r>
      <w:r>
        <w:t xml:space="preserve"> </w:t>
      </w:r>
      <w:r>
        <w:t xml:space="preserve">Discarded design alternatives</w:t>
      </w:r>
      <w:r>
        <w:t xml:space="preserve"> </w:t>
      </w:r>
      <w:r>
        <w:t xml:space="preserve">— Global scope</w:t>
      </w:r>
      <w:r>
        <w:t xml:space="preserve"> </w:t>
      </w:r>
      <w:r>
        <w:t xml:space="preserve">— EU scope</w:t>
      </w:r>
      <w:r>
        <w:t xml:space="preserve"> </w:t>
      </w:r>
      <w:r>
        <w:t xml:space="preserve">Source: Ecorys and CE Delft (2023), Impact assessment support study</w:t>
      </w:r>
      <w:r>
        <w:t xml:space="preserve"> </w:t>
      </w:r>
      <w:r>
        <w:t xml:space="preserve">Type of emissions stemming from transport operations</w:t>
      </w:r>
      <w:r>
        <w:t xml:space="preserve"> </w:t>
      </w:r>
      <w:r>
        <w:t xml:space="preserve">Important greenhouse gasses emitted by transport are carbon dioxide (CO2), methane</w:t>
      </w:r>
      <w:r>
        <w:t xml:space="preserve"> </w:t>
      </w:r>
      <w:r>
        <w:t xml:space="preserve">(CH4), nitrous (N2O) and chlorofluorocarbons (CFCs), e.g. from air conditioning. These</w:t>
      </w:r>
      <w:r>
        <w:t xml:space="preserve"> </w:t>
      </w:r>
      <w:r>
        <w:t xml:space="preserve">have global impact on the climate. The greenhouse gasses can be emitted for instance</w:t>
      </w:r>
      <w:r>
        <w:t xml:space="preserve"> </w:t>
      </w:r>
      <w:r>
        <w:t xml:space="preserve">during the vehicle operation, production of an energy carrier, or the manufacturing of a</w:t>
      </w:r>
      <w:r>
        <w:t xml:space="preserve"> </w:t>
      </w:r>
      <w:r>
        <w:t xml:space="preserve">transport means.</w:t>
      </w:r>
      <w:r>
        <w:br/>
      </w:r>
      <w:r>
        <w:t xml:space="preserve">Besides the GHG emission, global warming is also caused by water and air polluting</w:t>
      </w:r>
      <w:r>
        <w:t xml:space="preserve"> </w:t>
      </w:r>
      <w:r>
        <w:t xml:space="preserve">emission from aviation at high altitude, leading to clouds and aerosols. The global warming</w:t>
      </w:r>
      <w:r>
        <w:t xml:space="preserve"> </w:t>
      </w:r>
      <w:r>
        <w:t xml:space="preserve">effect from emissions at high altitude is more regional251. Finally, black carbon emission,</w:t>
      </w:r>
      <w:r>
        <w:t xml:space="preserve"> </w:t>
      </w:r>
      <w:r>
        <w:t xml:space="preserve">mainly caused by diesel and fuel oil combustions have a local global warming effect due</w:t>
      </w:r>
      <w:r>
        <w:t xml:space="preserve"> </w:t>
      </w:r>
      <w:r>
        <w:t xml:space="preserve">to the absorption and scattering of sunlight.</w:t>
      </w:r>
      <w:r>
        <w:br/>
      </w:r>
      <w:r>
        <w:t xml:space="preserve">CO2-emisisons</w:t>
      </w:r>
      <w:r>
        <w:br/>
      </w:r>
      <w:r>
        <w:t xml:space="preserve">For CountEmissions EU it is clear that CO2-emisisons are fundamental, as they are by far</w:t>
      </w:r>
      <w:r>
        <w:t xml:space="preserve"> </w:t>
      </w:r>
      <w:r>
        <w:t xml:space="preserve">the main type of GHG emitted by transport (e.g. ca 98% in GHG emissions of gasoline and</w:t>
      </w:r>
      <w:r>
        <w:t xml:space="preserve"> </w:t>
      </w:r>
      <w:r>
        <w:t xml:space="preserve">diesel combustion252). CO2-emissions can be accurately calculated from the fuel</w:t>
      </w:r>
      <w:r>
        <w:t xml:space="preserve"> </w:t>
      </w:r>
      <w:r>
        <w:t xml:space="preserve">consumption and fuel emission factors (kg of CO2 per amount of fuel) as they are linearly</w:t>
      </w:r>
    </w:p>
    <w:p>
      <w:pPr>
        <w:pStyle w:val="BodyText"/>
      </w:pPr>
      <w:r>
        <w:t xml:space="preserve">249 Eurostat: “International intra-EU air passenger transport by reporting country and EU partner country”,</w:t>
      </w:r>
      <w:r>
        <w:t xml:space="preserve"> </w:t>
      </w:r>
      <w:r>
        <w:t xml:space="preserve">and “ International extra-EU air passenger transport by reporting country and partner world regions and</w:t>
      </w:r>
      <w:r>
        <w:t xml:space="preserve"> </w:t>
      </w:r>
      <w:r>
        <w:t xml:space="preserve">countries”; march 2022.</w:t>
      </w:r>
      <w:r>
        <w:t xml:space="preserve"> </w:t>
      </w:r>
      <w:r>
        <w:t xml:space="preserve">250 Ehrler, et al., 2016</w:t>
      </w:r>
      <w:r>
        <w:t xml:space="preserve"> </w:t>
      </w:r>
      <w:r>
        <w:t xml:space="preserve">251 IPCC, 1990</w:t>
      </w:r>
      <w:r>
        <w:t xml:space="preserve"> </w:t>
      </w:r>
      <w:r>
        <w:t xml:space="preserve">252 IFEU, 2019</w:t>
      </w:r>
    </w:p>
    <w:p>
      <w:pPr>
        <w:pStyle w:val="BodyText"/>
      </w:pPr>
      <w:r>
        <w:t xml:space="preserve">154</w:t>
      </w:r>
    </w:p>
    <w:p>
      <w:pPr>
        <w:pStyle w:val="BodyText"/>
      </w:pPr>
      <w:r>
        <w:t xml:space="preserve">related to the amount of fuel used. CO2-emission calculations are usually well comparable</w:t>
      </w:r>
      <w:r>
        <w:t xml:space="preserve"> </w:t>
      </w:r>
      <w:r>
        <w:t xml:space="preserve">and reproducible.</w:t>
      </w:r>
      <w:r>
        <w:br/>
      </w:r>
      <w:r>
        <w:t xml:space="preserve">Because of the limited data needed to make a calculation, the methods for calculating</w:t>
      </w:r>
      <w:r>
        <w:t xml:space="preserve"> </w:t>
      </w:r>
      <w:r>
        <w:t xml:space="preserve">(especially direct) CO2 emissions are considered robust.</w:t>
      </w:r>
      <w:r>
        <w:br/>
      </w:r>
      <w:r>
        <w:t xml:space="preserve">Non-CO2 GHG-emissions from fuel combustion</w:t>
      </w:r>
      <w:r>
        <w:br/>
      </w:r>
      <w:r>
        <w:t xml:space="preserve">Other greenhouse gasses such methane (CH4) and nitrous oxide (N2O) do not have a very</w:t>
      </w:r>
      <w:r>
        <w:t xml:space="preserve"> </w:t>
      </w:r>
      <w:r>
        <w:t xml:space="preserve">large contribution in the total GHG emissions of transport in general (e.g. ca 2% in GHG</w:t>
      </w:r>
      <w:r>
        <w:t xml:space="preserve"> </w:t>
      </w:r>
      <w:r>
        <w:t xml:space="preserve">emissions of gasoline and diesel combustion253). Nonetheless, they can have important</w:t>
      </w:r>
      <w:r>
        <w:t xml:space="preserve"> </w:t>
      </w:r>
      <w:r>
        <w:t xml:space="preserve">impacts on the GHG emissions from using specific fuels, such as CNG and LNG, which</w:t>
      </w:r>
      <w:r>
        <w:t xml:space="preserve"> </w:t>
      </w:r>
      <w:r>
        <w:t xml:space="preserve">can cause significant methane emissions.</w:t>
      </w:r>
      <w:r>
        <w:br/>
      </w:r>
      <w:r>
        <w:t xml:space="preserve">For a fair comparison between fuels, it is therefore relevant to include the other greenhouse</w:t>
      </w:r>
      <w:r>
        <w:t xml:space="preserve"> </w:t>
      </w:r>
      <w:r>
        <w:t xml:space="preserve">gasses, specifically methane and nitrous oxide emissions. Precise calculation for these</w:t>
      </w:r>
      <w:r>
        <w:t xml:space="preserve"> </w:t>
      </w:r>
      <w:r>
        <w:t xml:space="preserve">gasses is more complex than for CO2, as the emissions do not only depend on fuel</w:t>
      </w:r>
      <w:r>
        <w:t xml:space="preserve"> </w:t>
      </w:r>
      <w:r>
        <w:t xml:space="preserve">consumption but also on engine technology. However, accurate default factors for fuel-</w:t>
      </w:r>
      <w:r>
        <w:t xml:space="preserve"> </w:t>
      </w:r>
      <w:r>
        <w:t xml:space="preserve">technology combinations are already available in databases such as the EMEP/EEA</w:t>
      </w:r>
      <w:r>
        <w:t xml:space="preserve"> </w:t>
      </w:r>
      <w:r>
        <w:t xml:space="preserve">guidebook254. The global warming potential (GWP) values, needed to express the emission</w:t>
      </w:r>
      <w:r>
        <w:t xml:space="preserve"> </w:t>
      </w:r>
      <w:r>
        <w:t xml:space="preserve">in CO2 equivalents, are regularly updated with new insights by the Intergovernmental</w:t>
      </w:r>
      <w:r>
        <w:t xml:space="preserve"> </w:t>
      </w:r>
      <w:r>
        <w:t xml:space="preserve">Panel on Climate Change (IPCC)255. However, some variations between methods may</w:t>
      </w:r>
      <w:r>
        <w:t xml:space="preserve"> </w:t>
      </w:r>
      <w:r>
        <w:t xml:space="preserve">exists in case these are not fully aligned with the most recent IPCC values, thus giving a</w:t>
      </w:r>
      <w:r>
        <w:t xml:space="preserve"> </w:t>
      </w:r>
      <w:r>
        <w:t xml:space="preserve">slightly lower score on robustness than in the case of the CO2 emissions.</w:t>
      </w:r>
      <w:r>
        <w:t xml:space="preserve"> </w:t>
      </w:r>
      <w:r>
        <w:t xml:space="preserve">Non-CO2 GHG-emissions from refrigeration</w:t>
      </w:r>
      <w:r>
        <w:br/>
      </w:r>
      <w:r>
        <w:t xml:space="preserve">Cooling systems in refrigerated transport, and air conditioning often make use of</w:t>
      </w:r>
      <w:r>
        <w:t xml:space="preserve"> </w:t>
      </w:r>
      <w:r>
        <w:t xml:space="preserve">refrigerants such as hydrofluorocarbons (HFCs) which are fluorinated greenhouse gasses</w:t>
      </w:r>
      <w:r>
        <w:t xml:space="preserve"> </w:t>
      </w:r>
      <w:r>
        <w:t xml:space="preserve">with a very high global warming potential (GWP). The use of these gasses is regulated by</w:t>
      </w:r>
      <w:r>
        <w:t xml:space="preserve"> </w:t>
      </w:r>
      <w:r>
        <w:t xml:space="preserve">the F-gas Regulation256 and the MAC Directive257.</w:t>
      </w:r>
      <w:r>
        <w:br/>
      </w:r>
      <w:r>
        <w:t xml:space="preserve">Although the use of F-gases is currently reduced in the business practice, they are still</w:t>
      </w:r>
      <w:r>
        <w:t xml:space="preserve"> </w:t>
      </w:r>
      <w:r>
        <w:t xml:space="preserve">being used and small losses can have high GHG impacts. The monitoring of refrigerants</w:t>
      </w:r>
      <w:r>
        <w:t xml:space="preserve"> </w:t>
      </w:r>
      <w:r>
        <w:t xml:space="preserve">losses from air conditioning and cooling systems (or the amount of refilling required) is</w:t>
      </w:r>
      <w:r>
        <w:t xml:space="preserve"> </w:t>
      </w:r>
      <w:r>
        <w:t xml:space="preserve">therefore very relevant, and for instance has been included in the calculation method of the</w:t>
      </w:r>
      <w:r>
        <w:t xml:space="preserve"> </w:t>
      </w:r>
      <w:r>
        <w:t xml:space="preserve">upcoming ISO 14083. Including the climate impact of refrigerants in GHG calculations is</w:t>
      </w:r>
      <w:r>
        <w:t xml:space="preserve"> </w:t>
      </w:r>
      <w:r>
        <w:t xml:space="preserve">less common though, especially when the type of a refrigerant or the exact losses are</w:t>
      </w:r>
      <w:r>
        <w:t xml:space="preserve"> </w:t>
      </w:r>
      <w:r>
        <w:t xml:space="preserve">unknown. Given the high difference in global warming potential of various refrigerants</w:t>
      </w:r>
      <w:r>
        <w:t xml:space="preserve"> </w:t>
      </w:r>
      <w:r>
        <w:t xml:space="preserve">(with GWP values below 150 to above 10,000258), the default factors available for these</w:t>
      </w:r>
      <w:r>
        <w:t xml:space="preserve"> </w:t>
      </w:r>
      <w:r>
        <w:t xml:space="preserve">types of emissions are characterised by some degree of uncertainty. Finally, new</w:t>
      </w:r>
    </w:p>
    <w:p>
      <w:pPr>
        <w:pStyle w:val="BodyText"/>
      </w:pPr>
      <w:r>
        <w:t xml:space="preserve">253 idem</w:t>
      </w:r>
      <w:r>
        <w:t xml:space="preserve"> </w:t>
      </w:r>
      <w:r>
        <w:t xml:space="preserve">254 https://www.eea.europa.eu/publications/emep-eea-guidebook-2019</w:t>
      </w:r>
      <w:r>
        <w:br/>
      </w:r>
      <w:r>
        <w:t xml:space="preserve">255 https://www.ipcc.ch/</w:t>
      </w:r>
      <w:r>
        <w:br/>
      </w:r>
      <w:r>
        <w:t xml:space="preserve">256 Regulation (EU) No 517/2014</w:t>
      </w:r>
      <w:r>
        <w:t xml:space="preserve"> </w:t>
      </w:r>
      <w:r>
        <w:t xml:space="preserve">257 Directive 2006/40/EC</w:t>
      </w:r>
      <w:r>
        <w:t xml:space="preserve"> </w:t>
      </w:r>
      <w:r>
        <w:t xml:space="preserve">258 According to the GHG protocol, 2016</w:t>
      </w:r>
    </w:p>
    <w:p>
      <w:pPr>
        <w:pStyle w:val="BodyText"/>
      </w:pPr>
      <w:r>
        <w:t xml:space="preserve">155</w:t>
      </w:r>
    </w:p>
    <w:p>
      <w:pPr>
        <w:pStyle w:val="BodyText"/>
      </w:pPr>
      <w:r>
        <w:t xml:space="preserve">refrigerants with lower GWP are being developed, demanding regular updates of the</w:t>
      </w:r>
      <w:r>
        <w:t xml:space="preserve"> </w:t>
      </w:r>
      <w:r>
        <w:t xml:space="preserve">emission factors, and thus resulting in medium score on robustness for this alternative.</w:t>
      </w:r>
      <w:r>
        <w:br/>
      </w:r>
      <w:r>
        <w:t xml:space="preserve">Global warming effect of non-CO2 emissions at high altitudes</w:t>
      </w:r>
      <w:r>
        <w:br/>
      </w:r>
      <w:r>
        <w:t xml:space="preserve">Besides the CO2-emisisons and other GHG emission from fuel burning, aviation</w:t>
      </w:r>
      <w:r>
        <w:t xml:space="preserve"> </w:t>
      </w:r>
      <w:r>
        <w:t xml:space="preserve">contributes to global warming with non-CO2 climate impacts from NOx, SOx and soot,</w:t>
      </w:r>
      <w:r>
        <w:t xml:space="preserve"> </w:t>
      </w:r>
      <w:r>
        <w:t xml:space="preserve">and also water vapour emissions at high altitude. In conjunction with the anthropogenic</w:t>
      </w:r>
      <w:r>
        <w:t xml:space="preserve"> </w:t>
      </w:r>
      <w:r>
        <w:t xml:space="preserve">sources, these emissions modify atmospheric composition (gases and aerosols), hence</w:t>
      </w:r>
      <w:r>
        <w:t xml:space="preserve"> </w:t>
      </w:r>
      <w:r>
        <w:t xml:space="preserve">radiative forcing and climate259.</w:t>
      </w:r>
      <w:r>
        <w:br/>
      </w:r>
      <w:r>
        <w:t xml:space="preserve">The non-CO2 climate impact of a flight depends on the quantity and type of emissions, but</w:t>
      </w:r>
      <w:r>
        <w:t xml:space="preserve"> </w:t>
      </w:r>
      <w:r>
        <w:t xml:space="preserve">also on where (altitude, geographical location), and under which conditions (time and local</w:t>
      </w:r>
      <w:r>
        <w:t xml:space="preserve"> </w:t>
      </w:r>
      <w:r>
        <w:t xml:space="preserve">weather conditions) the flight takes place. The effect is expressed by the metric radiative</w:t>
      </w:r>
      <w:r>
        <w:t xml:space="preserve"> </w:t>
      </w:r>
      <w:r>
        <w:t xml:space="preserve">forcing, which expresses the difference between incoming solar radiation and outgoing</w:t>
      </w:r>
      <w:r>
        <w:t xml:space="preserve"> </w:t>
      </w:r>
      <w:r>
        <w:t xml:space="preserve">terrestrial radiation. This metric describes climate impact effects at a certain moment and</w:t>
      </w:r>
      <w:r>
        <w:t xml:space="preserve"> </w:t>
      </w:r>
      <w:r>
        <w:t xml:space="preserve">cannot be expressed easily in CO2-equivalents, which takes into account the GWP of</w:t>
      </w:r>
      <w:r>
        <w:t xml:space="preserve"> </w:t>
      </w:r>
      <w:r>
        <w:t xml:space="preserve">emissions measured over a time period of 100 years260.</w:t>
      </w:r>
      <w:r>
        <w:br/>
      </w:r>
      <w:r>
        <w:t xml:space="preserve">Of the available methodologies assessed, only the GHG Protocol mentions the option to</w:t>
      </w:r>
      <w:r>
        <w:t xml:space="preserve"> </w:t>
      </w:r>
      <w:r>
        <w:t xml:space="preserve">apply a multiplier to cover the effect of non-CO2 climate impacts, but notes that there is</w:t>
      </w:r>
      <w:r>
        <w:t xml:space="preserve"> </w:t>
      </w:r>
      <w:r>
        <w:t xml:space="preserve">very significant scientific uncertainty around the magnitude of the effect, with a factor of</w:t>
      </w:r>
      <w:r>
        <w:t xml:space="preserve"> </w:t>
      </w:r>
      <w:r>
        <w:t xml:space="preserve">1 -8.5261 .</w:t>
      </w:r>
      <w:r>
        <w:br/>
      </w:r>
      <w:r>
        <w:t xml:space="preserve">The GLEC framework leaves open the option to include it in future updates. The draft of</w:t>
      </w:r>
      <w:r>
        <w:t xml:space="preserve"> </w:t>
      </w:r>
      <w:r>
        <w:t xml:space="preserve">ISO 14083 does not include the effect in the methodology. At the moment, only average</w:t>
      </w:r>
      <w:r>
        <w:t xml:space="preserve"> </w:t>
      </w:r>
      <w:r>
        <w:t xml:space="preserve">multipliers are used in some calculation tools (e.g. EcoTransIT) to quantify the effect, but</w:t>
      </w:r>
      <w:r>
        <w:t xml:space="preserve"> </w:t>
      </w:r>
      <w:r>
        <w:t xml:space="preserve">no accurate methods is present yet, and therefore the existing approaches are often not</w:t>
      </w:r>
      <w:r>
        <w:t xml:space="preserve"> </w:t>
      </w:r>
      <w:r>
        <w:t xml:space="preserve">widely accepted. Specifically, the average indicators that are applied very often do not</w:t>
      </w:r>
      <w:r>
        <w:t xml:space="preserve"> </w:t>
      </w:r>
      <w:r>
        <w:t xml:space="preserve">represent trip specific effects and do not allow for a good comparison of emissions. As the</w:t>
      </w:r>
      <w:r>
        <w:t xml:space="preserve"> </w:t>
      </w:r>
      <w:r>
        <w:t xml:space="preserve">current approaches are not harmonised, results are also not reproducible.</w:t>
      </w:r>
      <w:r>
        <w:br/>
      </w:r>
      <w:r>
        <w:t xml:space="preserve">Because of the low scores on the analysis, this design alternative was therefore not put</w:t>
      </w:r>
      <w:r>
        <w:t xml:space="preserve"> </w:t>
      </w:r>
      <w:r>
        <w:t xml:space="preserve">forward for the present initiative. However, given its relevance for emissions calculations,</w:t>
      </w:r>
      <w:r>
        <w:t xml:space="preserve"> </w:t>
      </w:r>
      <w:r>
        <w:t xml:space="preserve">the climate impact of this effect is being researched and it might be considered to include</w:t>
      </w:r>
      <w:r>
        <w:t xml:space="preserve"> </w:t>
      </w:r>
      <w:r>
        <w:t xml:space="preserve">it in the framework at a later stage when more accurate methods are available.</w:t>
      </w:r>
      <w:r>
        <w:t xml:space="preserve"> </w:t>
      </w:r>
      <w:r>
        <w:t xml:space="preserve">Black carbon emissions</w:t>
      </w:r>
      <w:r>
        <w:br/>
      </w:r>
      <w:r>
        <w:t xml:space="preserve">Black carbon is a form of particulate matter emissions and consists of dark carbon particles</w:t>
      </w:r>
      <w:r>
        <w:t xml:space="preserve"> </w:t>
      </w:r>
      <w:r>
        <w:t xml:space="preserve">produced from the incomplete combustion of fuels. When airborne, black carbon absorbs</w:t>
      </w:r>
      <w:r>
        <w:t xml:space="preserve"> </w:t>
      </w:r>
      <w:r>
        <w:t xml:space="preserve">and scatter sunlight, which can lead to increased temperatures. When deposited on earth,</w:t>
      </w:r>
    </w:p>
    <w:p>
      <w:pPr>
        <w:pStyle w:val="BodyText"/>
      </w:pPr>
      <w:r>
        <w:t xml:space="preserve">259 IPCC, 1999</w:t>
      </w:r>
      <w:r>
        <w:t xml:space="preserve"> </w:t>
      </w:r>
      <w:r>
        <w:t xml:space="preserve">260 IPCC, 2007; IVE, 2020</w:t>
      </w:r>
      <w:r>
        <w:t xml:space="preserve"> </w:t>
      </w:r>
      <w:r>
        <w:t xml:space="preserve">261 Jungbluth, 2019</w:t>
      </w:r>
    </w:p>
    <w:p>
      <w:pPr>
        <w:pStyle w:val="BodyText"/>
      </w:pPr>
      <w:r>
        <w:t xml:space="preserve">156</w:t>
      </w:r>
    </w:p>
    <w:p>
      <w:pPr>
        <w:pStyle w:val="BodyText"/>
      </w:pPr>
      <w:r>
        <w:t xml:space="preserve">especially in the cryosphere, black carbon causes snow and ice to melt faster, due to</w:t>
      </w:r>
      <w:r>
        <w:t xml:space="preserve"> </w:t>
      </w:r>
      <w:r>
        <w:t xml:space="preserve">reduced reflectivity262.</w:t>
      </w:r>
      <w:r>
        <w:br/>
      </w:r>
      <w:r>
        <w:t xml:space="preserve">The accounting of black carbon itself is quite complex and requires extensive datasets with</w:t>
      </w:r>
      <w:r>
        <w:t xml:space="preserve"> </w:t>
      </w:r>
      <w:r>
        <w:t xml:space="preserve">emission factors differentiating between fuels, engine types, and by preference, also the</w:t>
      </w:r>
      <w:r>
        <w:t xml:space="preserve"> </w:t>
      </w:r>
      <w:r>
        <w:t xml:space="preserve">use characteristics. The databases should be regularly reviewed to keep them up-to-date.</w:t>
      </w:r>
      <w:r>
        <w:t xml:space="preserve"> </w:t>
      </w:r>
      <w:r>
        <w:t xml:space="preserve">After carbon dioxide, black carbon has the second biggest impact on climate forcing in the</w:t>
      </w:r>
      <w:r>
        <w:t xml:space="preserve"> </w:t>
      </w:r>
      <w:r>
        <w:t xml:space="preserve">atmosphere overall. A coalition, with amongst others Smart Freight Centre, ICCT and</w:t>
      </w:r>
      <w:r>
        <w:t xml:space="preserve"> </w:t>
      </w:r>
      <w:r>
        <w:t xml:space="preserve">Smartway, has developed a method to account for black carbon emissions, and to measure</w:t>
      </w:r>
      <w:r>
        <w:t xml:space="preserve"> </w:t>
      </w:r>
      <w:r>
        <w:t xml:space="preserve">it alongside GHG emissions. Respectively, the GLEC framework gives guidance on the</w:t>
      </w:r>
      <w:r>
        <w:t xml:space="preserve"> </w:t>
      </w:r>
      <w:r>
        <w:t xml:space="preserve">reporting of black carbon alongside GHG emission. This method, however, does not</w:t>
      </w:r>
      <w:r>
        <w:t xml:space="preserve"> </w:t>
      </w:r>
      <w:r>
        <w:t xml:space="preserve">express the impact of black carbon in global warming terms, which would be very difficult</w:t>
      </w:r>
      <w:r>
        <w:t xml:space="preserve"> </w:t>
      </w:r>
      <w:r>
        <w:t xml:space="preserve">given the dependency on location and weather.</w:t>
      </w:r>
      <w:r>
        <w:br/>
      </w:r>
      <w:r>
        <w:t xml:space="preserve">Although it is considered very relevant, there is no adequate methodology yet to include</w:t>
      </w:r>
      <w:r>
        <w:t xml:space="preserve"> </w:t>
      </w:r>
      <w:r>
        <w:t xml:space="preserve">the effect of black carbon in GHG accounting in an accurate way at this point of time.</w:t>
      </w:r>
      <w:r>
        <w:t xml:space="preserve"> </w:t>
      </w:r>
      <w:r>
        <w:t xml:space="preserve">Because of the low scores from the analysis, this alternative is not currently considered for</w:t>
      </w:r>
      <w:r>
        <w:t xml:space="preserve"> </w:t>
      </w:r>
      <w:r>
        <w:t xml:space="preserve">CountEmissions EU.</w:t>
      </w:r>
      <w:r>
        <w:br/>
      </w:r>
      <w:r>
        <w:t xml:space="preserve">Table 91 presents the list of selected and discarded design alternatives for the</w:t>
      </w:r>
      <w:r>
        <w:t xml:space="preserve"> </w:t>
      </w:r>
      <w:r>
        <w:t xml:space="preserve">methodological element ‘Type of emissions.</w:t>
      </w:r>
    </w:p>
    <w:p>
      <w:pPr>
        <w:pStyle w:val="BodyText"/>
      </w:pPr>
      <w:r>
        <w:t xml:space="preserve">Table 91: Selected and discarded design alternatives for the methodological element ‘Type of emissions’</w:t>
      </w:r>
      <w:r>
        <w:t xml:space="preserve"> </w:t>
      </w:r>
      <w:r>
        <w:t xml:space="preserve">Selected design alternatives</w:t>
      </w:r>
      <w:r>
        <w:t xml:space="preserve"> </w:t>
      </w:r>
      <w:r>
        <w:t xml:space="preserve">Discarded design alternatives</w:t>
      </w:r>
      <w:r>
        <w:t xml:space="preserve"> </w:t>
      </w:r>
      <w:r>
        <w:t xml:space="preserve">— CO2 emissions</w:t>
      </w:r>
      <w:r>
        <w:t xml:space="preserve"> </w:t>
      </w:r>
      <w:r>
        <w:t xml:space="preserve">— Non-CO2 GHG emissions from fuel</w:t>
      </w:r>
      <w:r>
        <w:t xml:space="preserve"> </w:t>
      </w:r>
      <w:r>
        <w:t xml:space="preserve">combustion</w:t>
      </w:r>
      <w:r>
        <w:t xml:space="preserve"> </w:t>
      </w:r>
      <w:r>
        <w:t xml:space="preserve">— Non-CO2 GHG emissions from</w:t>
      </w:r>
      <w:r>
        <w:t xml:space="preserve"> </w:t>
      </w:r>
      <w:r>
        <w:t xml:space="preserve">refrigeration</w:t>
      </w:r>
      <w:r>
        <w:t xml:space="preserve"> </w:t>
      </w:r>
      <w:r>
        <w:t xml:space="preserve">— Global warming effect of non-CO2 emissions (e.g. </w:t>
      </w:r>
      <w:r>
        <w:t xml:space="preserve"> </w:t>
      </w:r>
      <w:r>
        <w:t xml:space="preserve">water vapour, contrails, NOx) of aviation at high</w:t>
      </w:r>
      <w:r>
        <w:t xml:space="preserve"> </w:t>
      </w:r>
      <w:r>
        <w:t xml:space="preserve">altitudes.</w:t>
      </w:r>
      <w:r>
        <w:t xml:space="preserve"> </w:t>
      </w:r>
      <w:r>
        <w:t xml:space="preserve">— Black carbon emissions</w:t>
      </w:r>
      <w:r>
        <w:t xml:space="preserve"> </w:t>
      </w:r>
      <w:r>
        <w:t xml:space="preserve">Source: Ecorys and CE Delft (2023), Impact assessment support study</w:t>
      </w:r>
      <w:r>
        <w:t xml:space="preserve"> </w:t>
      </w:r>
      <w:r>
        <w:t xml:space="preserve">The results of the stakeholders’ interviews broadly support this selection of the design</w:t>
      </w:r>
      <w:r>
        <w:t xml:space="preserve"> </w:t>
      </w:r>
      <w:r>
        <w:t xml:space="preserve">alternatives. As regards the stakeholders who contributed on this issue, 12 preferred CO2-</w:t>
      </w:r>
      <w:r>
        <w:t xml:space="preserve"> </w:t>
      </w:r>
      <w:r>
        <w:t xml:space="preserve">equivalent emissions in the scope, while only two stakeholders from maritime and aviation</w:t>
      </w:r>
      <w:r>
        <w:t xml:space="preserve"> </w:t>
      </w:r>
      <w:r>
        <w:t xml:space="preserve">suggested focusing on CO2 emissions only (in line with the scope applied in the schemes</w:t>
      </w:r>
      <w:r>
        <w:t xml:space="preserve"> </w:t>
      </w:r>
      <w:r>
        <w:t xml:space="preserve">currently used in those sectors, i.e. EU MRV and CORSIA). Both stakeholders did</w:t>
      </w:r>
      <w:r>
        <w:t xml:space="preserve"> </w:t>
      </w:r>
      <w:r>
        <w:t xml:space="preserve">however mention that an extension to non-CO2 GHG emissions could be considered in the</w:t>
      </w:r>
      <w:r>
        <w:t xml:space="preserve"> </w:t>
      </w:r>
      <w:r>
        <w:t xml:space="preserve">future.</w:t>
      </w:r>
      <w:r>
        <w:br/>
      </w:r>
      <w:r>
        <w:t xml:space="preserve">Activity boundary</w:t>
      </w:r>
      <w:r>
        <w:t xml:space="preserve"> </w:t>
      </w:r>
      <w:r>
        <w:t xml:space="preserve">The activity boundary sets the scope for the type of activities and events that are to be</w:t>
      </w:r>
      <w:r>
        <w:t xml:space="preserve"> </w:t>
      </w:r>
      <w:r>
        <w:t xml:space="preserve">included in the methodological framework.</w:t>
      </w:r>
    </w:p>
    <w:p>
      <w:pPr>
        <w:pStyle w:val="BodyText"/>
      </w:pPr>
      <w:r>
        <w:t xml:space="preserve">262 SFC, 2017</w:t>
      </w:r>
    </w:p>
    <w:p>
      <w:pPr>
        <w:pStyle w:val="BodyText"/>
      </w:pPr>
      <w:r>
        <w:t xml:space="preserve">157</w:t>
      </w:r>
    </w:p>
    <w:p>
      <w:pPr>
        <w:pStyle w:val="BodyText"/>
      </w:pPr>
      <w:r>
        <w:t xml:space="preserve">The identified design alternatives are:</w:t>
      </w:r>
      <w:r>
        <w:br/>
      </w:r>
      <w:r>
        <w:t xml:space="preserve"> Emission from vehicle propulsion: engines exhaust emissions, also called the Tank-</w:t>
      </w:r>
      <w:r>
        <w:t xml:space="preserve"> </w:t>
      </w:r>
      <w:r>
        <w:t xml:space="preserve">To-Wheel emissions (TTW);</w:t>
      </w:r>
      <w:r>
        <w:br/>
      </w:r>
      <w:r>
        <w:t xml:space="preserve"> Emissions from auxiliary processes (vehicle operation related emissions from</w:t>
      </w:r>
      <w:r>
        <w:t xml:space="preserve"> </w:t>
      </w:r>
      <w:r>
        <w:t xml:space="preserve">energy use other than propulsion): emissions from auxiliary processes on vehicles,</w:t>
      </w:r>
      <w:r>
        <w:t xml:space="preserve"> </w:t>
      </w:r>
      <w:r>
        <w:t xml:space="preserve">such as cooling and refrigeration, the operation of on board cranes for transhipment,</w:t>
      </w:r>
      <w:r>
        <w:t xml:space="preserve"> </w:t>
      </w:r>
      <w:r>
        <w:t xml:space="preserve">and vehicle interior heating;</w:t>
      </w:r>
      <w:r>
        <w:br/>
      </w:r>
      <w:r>
        <w:t xml:space="preserve"> Emissions from leakage and spills: vehicle operation related emissions stemming</w:t>
      </w:r>
      <w:r>
        <w:t xml:space="preserve"> </w:t>
      </w:r>
      <w:r>
        <w:t xml:space="preserve">from the loss of refrigerants from the cooling system, fuel evaporation or boil-off</w:t>
      </w:r>
      <w:r>
        <w:t xml:space="preserve"> </w:t>
      </w:r>
      <w:r>
        <w:t xml:space="preserve">(e.g. LNG);</w:t>
      </w:r>
      <w:r>
        <w:t xml:space="preserve"> </w:t>
      </w:r>
      <w:r>
        <w:t xml:space="preserve"> Emissions from hub activities: emissions from activities at locations where</w:t>
      </w:r>
      <w:r>
        <w:t xml:space="preserve"> </w:t>
      </w:r>
      <w:r>
        <w:t xml:space="preserve">passengers and/or goods switch from one vehicle or mode of transportation to</w:t>
      </w:r>
      <w:r>
        <w:t xml:space="preserve"> </w:t>
      </w:r>
      <w:r>
        <w:t xml:space="preserve">another (hubs). Hub activities are, for example, transhipments operations in ports,</w:t>
      </w:r>
      <w:r>
        <w:t xml:space="preserve"> </w:t>
      </w:r>
      <w:r>
        <w:t xml:space="preserve">terminal operations at airports and sorting centres for distribution;</w:t>
      </w:r>
      <w:r>
        <w:t xml:space="preserve"> </w:t>
      </w:r>
      <w:r>
        <w:t xml:space="preserve"> Emissions from energy provision (WTT), excluding energy infrastructure</w:t>
      </w:r>
      <w:r>
        <w:t xml:space="preserve"> </w:t>
      </w:r>
      <w:r>
        <w:t xml:space="preserve">construction: all the GHG emissions of operational processes to provide the energy</w:t>
      </w:r>
      <w:r>
        <w:t xml:space="preserve"> </w:t>
      </w:r>
      <w:r>
        <w:t xml:space="preserve">carrier for use in vehicles or at hubs. They include processes such as extracting,</w:t>
      </w:r>
      <w:r>
        <w:t xml:space="preserve"> </w:t>
      </w:r>
      <w:r>
        <w:t xml:space="preserve">producing, processing, storing, and transporting of energy carriers;</w:t>
      </w:r>
      <w:r>
        <w:t xml:space="preserve"> </w:t>
      </w:r>
      <w:r>
        <w:t xml:space="preserve"> Emissions from construction and dismantling of energy production infrastructure:</w:t>
      </w:r>
      <w:r>
        <w:t xml:space="preserve"> </w:t>
      </w:r>
      <w:r>
        <w:t xml:space="preserve">these emissions are often not included in the WTT as they are not directly related</w:t>
      </w:r>
      <w:r>
        <w:t xml:space="preserve"> </w:t>
      </w:r>
      <w:r>
        <w:t xml:space="preserve">to the fuel use. As the contribution of energy production infrastructure on the total</w:t>
      </w:r>
      <w:r>
        <w:t xml:space="preserve"> </w:t>
      </w:r>
      <w:r>
        <w:t xml:space="preserve">emissions of renewable energy sources is relatively high, by including these</w:t>
      </w:r>
      <w:r>
        <w:t xml:space="preserve"> </w:t>
      </w:r>
      <w:r>
        <w:t xml:space="preserve">emissions a fairer comparison can be made between renewable and fossil energy</w:t>
      </w:r>
      <w:r>
        <w:t xml:space="preserve"> </w:t>
      </w:r>
      <w:r>
        <w:t xml:space="preserve">use;</w:t>
      </w:r>
      <w:r>
        <w:br/>
      </w:r>
      <w:r>
        <w:t xml:space="preserve"> Life-cycle GHG emissions of vehicle construction, maintenance and disposal:</w:t>
      </w:r>
      <w:r>
        <w:t xml:space="preserve"> </w:t>
      </w:r>
      <w:r>
        <w:t xml:space="preserve">concerns the emissions associated to materials used to construct vehicles, the actual</w:t>
      </w:r>
      <w:r>
        <w:t xml:space="preserve"> </w:t>
      </w:r>
      <w:r>
        <w:t xml:space="preserve">construction activities, transport of vehicles, maintenance activities and disposal</w:t>
      </w:r>
      <w:r>
        <w:t xml:space="preserve"> </w:t>
      </w:r>
      <w:r>
        <w:t xml:space="preserve">activities;</w:t>
      </w:r>
      <w:r>
        <w:t xml:space="preserve"> </w:t>
      </w:r>
      <w:r>
        <w:t xml:space="preserve"> Life-cycle emissions of transport infrastructure construction, maintenance and</w:t>
      </w:r>
      <w:r>
        <w:t xml:space="preserve"> </w:t>
      </w:r>
      <w:r>
        <w:t xml:space="preserve">disposal: these are the emissions from the materials used, construction and</w:t>
      </w:r>
      <w:r>
        <w:t xml:space="preserve"> </w:t>
      </w:r>
      <w:r>
        <w:t xml:space="preserve">maintenance activities, demolition of infrastructure, etc.</w:t>
      </w:r>
      <w:r>
        <w:br/>
      </w:r>
      <w:r>
        <w:t xml:space="preserve">The analysis of each individual design alternative is provided below.</w:t>
      </w:r>
      <w:r>
        <w:t xml:space="preserve"> </w:t>
      </w:r>
      <w:r>
        <w:t xml:space="preserve">Vehicle propulsion emissions</w:t>
      </w:r>
      <w:r>
        <w:t xml:space="preserve"> </w:t>
      </w:r>
      <w:r>
        <w:t xml:space="preserve">The basis for GHG accounting of transport services are the vehicle propulsion emissions,</w:t>
      </w:r>
      <w:r>
        <w:t xml:space="preserve"> </w:t>
      </w:r>
      <w:r>
        <w:t xml:space="preserve">which should be fundamental to the methodology. The calculation of propulsion emissions</w:t>
      </w:r>
      <w:r>
        <w:t xml:space="preserve"> </w:t>
      </w:r>
      <w:r>
        <w:t xml:space="preserve">is supported by all available methods. The accuracy, comparability, reproducibility and</w:t>
      </w:r>
      <w:r>
        <w:t xml:space="preserve"> </w:t>
      </w:r>
      <w:r>
        <w:t xml:space="preserve">robustness for this alternative can in principle be high, particularly when calculations are</w:t>
      </w:r>
      <w:r>
        <w:t xml:space="preserve"> </w:t>
      </w:r>
      <w:r>
        <w:t xml:space="preserve">based on actual fuel consumption figures.</w:t>
      </w:r>
    </w:p>
    <w:p>
      <w:pPr>
        <w:pStyle w:val="BodyText"/>
      </w:pPr>
      <w:r>
        <w:t xml:space="preserve">158</w:t>
      </w:r>
    </w:p>
    <w:p>
      <w:pPr>
        <w:pStyle w:val="BodyText"/>
      </w:pPr>
      <w:r>
        <w:t xml:space="preserve">All stakeholders participating in the targeted survey and interviews supported the coverage</w:t>
      </w:r>
      <w:r>
        <w:t xml:space="preserve"> </w:t>
      </w:r>
      <w:r>
        <w:t xml:space="preserve">of these emissions by the harmonised framework.</w:t>
      </w:r>
      <w:r>
        <w:t xml:space="preserve"> </w:t>
      </w:r>
      <w:r>
        <w:t xml:space="preserve">Emission from auxiliary processes</w:t>
      </w:r>
      <w:r>
        <w:br/>
      </w:r>
      <w:r>
        <w:t xml:space="preserve">Not all transport operations include auxiliary processes, but for specific services, such as</w:t>
      </w:r>
      <w:r>
        <w:t xml:space="preserve"> </w:t>
      </w:r>
      <w:r>
        <w:t xml:space="preserve">cooled transport or the heating system in passenger busses, the impact can be in the order</w:t>
      </w:r>
      <w:r>
        <w:t xml:space="preserve"> </w:t>
      </w:r>
      <w:r>
        <w:t xml:space="preserve">of 10-30% of the total GHG emission of fuel combustion263. Sometimes, the auxiliary</w:t>
      </w:r>
      <w:r>
        <w:t xml:space="preserve"> </w:t>
      </w:r>
      <w:r>
        <w:t xml:space="preserve">processes are driven by the main engine and sometimes by auxiliary engines or generators.</w:t>
      </w:r>
      <w:r>
        <w:t xml:space="preserve"> </w:t>
      </w:r>
      <w:r>
        <w:t xml:space="preserve">It is therefore important to include the auxiliary processes for a fair comparison between</w:t>
      </w:r>
      <w:r>
        <w:t xml:space="preserve"> </w:t>
      </w:r>
      <w:r>
        <w:t xml:space="preserve">various transport options.</w:t>
      </w:r>
      <w:r>
        <w:br/>
      </w:r>
      <w:r>
        <w:t xml:space="preserve">The inclusion of auxiliary processes is already included by most existing GHG</w:t>
      </w:r>
      <w:r>
        <w:t xml:space="preserve"> </w:t>
      </w:r>
      <w:r>
        <w:t xml:space="preserve">quantification methods, such as by EN 16258, GLEC, and the French Transport Code. The</w:t>
      </w:r>
      <w:r>
        <w:t xml:space="preserve"> </w:t>
      </w:r>
      <w:r>
        <w:t xml:space="preserve">calculation of auxiliary processes is similar to that of vehicle propulsion emissions, and</w:t>
      </w:r>
      <w:r>
        <w:t xml:space="preserve"> </w:t>
      </w:r>
      <w:r>
        <w:t xml:space="preserve">only requires extra information on the fuel consumption of the auxiliary engine or</w:t>
      </w:r>
      <w:r>
        <w:t xml:space="preserve"> </w:t>
      </w:r>
      <w:r>
        <w:t xml:space="preserve">generator. The applicability, acceptability and the other respective assessment criteria are</w:t>
      </w:r>
      <w:r>
        <w:t xml:space="preserve"> </w:t>
      </w:r>
      <w:r>
        <w:t xml:space="preserve">therefore attributed the same score as for the design alternative “vehicle propulsion</w:t>
      </w:r>
      <w:r>
        <w:t xml:space="preserve"> </w:t>
      </w:r>
      <w:r>
        <w:t xml:space="preserve">emissions”.</w:t>
      </w:r>
      <w:r>
        <w:t xml:space="preserve"> </w:t>
      </w:r>
      <w:r>
        <w:t xml:space="preserve">Emissions from leakage and spills</w:t>
      </w:r>
      <w:r>
        <w:br/>
      </w:r>
      <w:r>
        <w:t xml:space="preserve">Leakage and spills include emissions from refrigerants and boil-off of LNG for example.</w:t>
      </w:r>
      <w:r>
        <w:t xml:space="preserve"> </w:t>
      </w:r>
      <w:r>
        <w:t xml:space="preserve">As explained for CO2-emisissions from refrigeration, and for methane emissions, small</w:t>
      </w:r>
      <w:r>
        <w:t xml:space="preserve"> </w:t>
      </w:r>
      <w:r>
        <w:t xml:space="preserve">quantities can already have a large GHG effect due to the high GWP values of these</w:t>
      </w:r>
      <w:r>
        <w:t xml:space="preserve"> </w:t>
      </w:r>
      <w:r>
        <w:t xml:space="preserve">substances. The emissions of leakage and spills can therefore be very relevant264.</w:t>
      </w:r>
      <w:r>
        <w:br/>
      </w:r>
      <w:r>
        <w:t xml:space="preserve">However, calculations of the climate impact of these emissions is less common than for</w:t>
      </w:r>
      <w:r>
        <w:t xml:space="preserve"> </w:t>
      </w:r>
      <w:r>
        <w:t xml:space="preserve">CO2, as is the provision of default factors for the calculations.</w:t>
      </w:r>
      <w:r>
        <w:br/>
      </w:r>
      <w:r>
        <w:t xml:space="preserve">None of the existing methods, except the concept ISO 14083 standard, clearly addresses</w:t>
      </w:r>
      <w:r>
        <w:t xml:space="preserve"> </w:t>
      </w:r>
      <w:r>
        <w:t xml:space="preserve">this emissions type. Including it in the calculation requires monitoring of refrigerant</w:t>
      </w:r>
      <w:r>
        <w:t xml:space="preserve"> </w:t>
      </w:r>
      <w:r>
        <w:t xml:space="preserve">refilling or the application of default emissions for certain engine technologies. The</w:t>
      </w:r>
      <w:r>
        <w:t xml:space="preserve"> </w:t>
      </w:r>
      <w:r>
        <w:t xml:space="preserve">applicability and acceptability therefore have an average score of 3 in the analysis.</w:t>
      </w:r>
      <w:r>
        <w:t xml:space="preserve"> </w:t>
      </w:r>
      <w:r>
        <w:t xml:space="preserve">Accuracy, comparability, reproducibility and robustness also score average, as the</w:t>
      </w:r>
      <w:r>
        <w:t xml:space="preserve"> </w:t>
      </w:r>
      <w:r>
        <w:t xml:space="preserve">approach for different kind of spills and leakages is not as well established as for emissions</w:t>
      </w:r>
      <w:r>
        <w:t xml:space="preserve"> </w:t>
      </w:r>
      <w:r>
        <w:t xml:space="preserve">from the propulsion.</w:t>
      </w:r>
      <w:r>
        <w:t xml:space="preserve"> </w:t>
      </w:r>
      <w:r>
        <w:t xml:space="preserve">Emissions from hub activities</w:t>
      </w:r>
      <w:r>
        <w:br/>
      </w:r>
      <w:r>
        <w:t xml:space="preserve">To allow a good comparison between emissions of different (multimodal) transport chains,</w:t>
      </w:r>
      <w:r>
        <w:t xml:space="preserve"> </w:t>
      </w:r>
      <w:r>
        <w:t xml:space="preserve">it is very important to include the GHG emission of activities at hubs. For example, the</w:t>
      </w:r>
      <w:r>
        <w:t xml:space="preserve"> </w:t>
      </w:r>
      <w:r>
        <w:t xml:space="preserve">comparison of a combination of transports by inland waterways and truck with direct truck</w:t>
      </w:r>
      <w:r>
        <w:t xml:space="preserve"> </w:t>
      </w:r>
      <w:r>
        <w:t xml:space="preserve">transport is only fair when hub activities are considered. CO2-emissions of the</w:t>
      </w:r>
      <w:r>
        <w:t xml:space="preserve"> </w:t>
      </w:r>
      <w:r>
        <w:t xml:space="preserve">transhipment need to be accounted to determine which option is more CO2-efficient, as</w:t>
      </w:r>
    </w:p>
    <w:p>
      <w:pPr>
        <w:pStyle w:val="BodyText"/>
      </w:pPr>
      <w:r>
        <w:t xml:space="preserve">263 Ricardo Energy &amp; Environment, 2021; OV magazine, 2018</w:t>
      </w:r>
      <w:r>
        <w:t xml:space="preserve"> </w:t>
      </w:r>
      <w:r>
        <w:t xml:space="preserve">264 Saharidis &amp; Konstantzos, 2018</w:t>
      </w:r>
    </w:p>
    <w:p>
      <w:pPr>
        <w:pStyle w:val="BodyText"/>
      </w:pPr>
      <w:r>
        <w:t xml:space="preserve">159</w:t>
      </w:r>
    </w:p>
    <w:p>
      <w:pPr>
        <w:pStyle w:val="BodyText"/>
      </w:pPr>
      <w:r>
        <w:t xml:space="preserve">hub emissions can be significant (e.g. they may sum up to 5-7% of the total emissions of a</w:t>
      </w:r>
      <w:r>
        <w:t xml:space="preserve"> </w:t>
      </w:r>
      <w:r>
        <w:t xml:space="preserve">road shipment in the chemical sector265). Emissions at hubs can be calculated directly from</w:t>
      </w:r>
      <w:r>
        <w:t xml:space="preserve"> </w:t>
      </w:r>
      <w:r>
        <w:t xml:space="preserve">the energy consumption, with a method comparable to that of vehicle operation. For hub</w:t>
      </w:r>
      <w:r>
        <w:t xml:space="preserve"> </w:t>
      </w:r>
      <w:r>
        <w:t xml:space="preserve">operators, that have access to the energy consumption figures, emission calculation is</w:t>
      </w:r>
      <w:r>
        <w:t xml:space="preserve"> </w:t>
      </w:r>
      <w:r>
        <w:t xml:space="preserve">therefore not much more complex than for vehicle propulsion related emissions.</w:t>
      </w:r>
      <w:r>
        <w:t xml:space="preserve"> </w:t>
      </w:r>
      <w:r>
        <w:t xml:space="preserve">However, default factors are not as common as for vehicle operation. Recently a guideline</w:t>
      </w:r>
      <w:r>
        <w:t xml:space="preserve"> </w:t>
      </w:r>
      <w:r>
        <w:t xml:space="preserve">and tool have been released266, also referred to in the concept ISO 14083, but the</w:t>
      </w:r>
      <w:r>
        <w:t xml:space="preserve"> </w:t>
      </w:r>
      <w:r>
        <w:t xml:space="preserve">development of default emission intensity factors within that project is still on-going.</w:t>
      </w:r>
      <w:r>
        <w:t xml:space="preserve"> </w:t>
      </w:r>
      <w:r>
        <w:t xml:space="preserve">Therefore, the applicability of these calculations is scored slightly lower than for vehicle</w:t>
      </w:r>
      <w:r>
        <w:t xml:space="preserve"> </w:t>
      </w:r>
      <w:r>
        <w:t xml:space="preserve">propulsion emissions (2). With a similar method as for vehicle propulsion related</w:t>
      </w:r>
      <w:r>
        <w:t xml:space="preserve"> </w:t>
      </w:r>
      <w:r>
        <w:t xml:space="preserve">emissions, the criteria on accuracy, comparability, and robustness score equally well.</w:t>
      </w:r>
      <w:r>
        <w:br/>
      </w:r>
      <w:r>
        <w:t xml:space="preserve">From the stakeholder interviews, it became clear that the coverage of emissions from hub</w:t>
      </w:r>
      <w:r>
        <w:t xml:space="preserve"> </w:t>
      </w:r>
      <w:r>
        <w:t xml:space="preserve">activities is strongly supported. Three transport associations, tree research oriented</w:t>
      </w:r>
      <w:r>
        <w:t xml:space="preserve"> </w:t>
      </w:r>
      <w:r>
        <w:t xml:space="preserve">organisations and one transport operator explicitly voiced the need for including these</w:t>
      </w:r>
      <w:r>
        <w:t xml:space="preserve"> </w:t>
      </w:r>
      <w:r>
        <w:t xml:space="preserve">emissions. Only one transport association directly discarded this alternative, fearing that it</w:t>
      </w:r>
      <w:r>
        <w:t xml:space="preserve"> </w:t>
      </w:r>
      <w:r>
        <w:t xml:space="preserve">would complicate the calculation process.</w:t>
      </w:r>
      <w:r>
        <w:br/>
      </w:r>
      <w:r>
        <w:t xml:space="preserve">Emissions from the energy provision (excluding energy infrastructure construction)</w:t>
      </w:r>
      <w:r>
        <w:br/>
      </w:r>
      <w:r>
        <w:t xml:space="preserve">As GHG emission have global impact, emissions of the energy provision (WTT) are very</w:t>
      </w:r>
      <w:r>
        <w:t xml:space="preserve"> </w:t>
      </w:r>
      <w:r>
        <w:t xml:space="preserve">relevant to be included in emission accounting to assure a fair comparison between</w:t>
      </w:r>
      <w:r>
        <w:t xml:space="preserve"> </w:t>
      </w:r>
      <w:r>
        <w:t xml:space="preserve">different fuels and energy carriers in the energy lifecycle (WTW) perspective. This</w:t>
      </w:r>
      <w:r>
        <w:t xml:space="preserve"> </w:t>
      </w:r>
      <w:r>
        <w:t xml:space="preserve">becomes very clear, for instance, when analysing the electricity as an energy source, where</w:t>
      </w:r>
      <w:r>
        <w:t xml:space="preserve"> </w:t>
      </w:r>
      <w:r>
        <w:t xml:space="preserve">electric powered vehicles may not be actually zero emissions, in case this electricity is</w:t>
      </w:r>
      <w:r>
        <w:t xml:space="preserve"> </w:t>
      </w:r>
      <w:r>
        <w:t xml:space="preserve">produced from fossil fuels. Also, for some of the fossil fuels the share of WTT emissions</w:t>
      </w:r>
      <w:r>
        <w:t xml:space="preserve"> </w:t>
      </w:r>
      <w:r>
        <w:t xml:space="preserve">in the WTW perspective is very significant. For example, for the use of LNG267 in maritime</w:t>
      </w:r>
      <w:r>
        <w:t xml:space="preserve"> </w:t>
      </w:r>
      <w:r>
        <w:t xml:space="preserve">transport this share may be up to 40%268.</w:t>
      </w:r>
      <w:r>
        <w:br/>
      </w:r>
      <w:r>
        <w:t xml:space="preserve">Most of the current general (not mode specific) GHG methods do include the emissions of</w:t>
      </w:r>
      <w:r>
        <w:t xml:space="preserve"> </w:t>
      </w:r>
      <w:r>
        <w:t xml:space="preserve">energy provision, and Well-To-Tank fuel emission factors are commonly used. There are,</w:t>
      </w:r>
      <w:r>
        <w:t xml:space="preserve"> </w:t>
      </w:r>
      <w:r>
        <w:t xml:space="preserve">however, differences in WTT emission factors of fuels, which are not related to physical</w:t>
      </w:r>
      <w:r>
        <w:t xml:space="preserve"> </w:t>
      </w:r>
      <w:r>
        <w:t xml:space="preserve">differences of the fuel, but to calculation methods or updates. JRC, for example, has</w:t>
      </w:r>
      <w:r>
        <w:t xml:space="preserve"> </w:t>
      </w:r>
      <w:r>
        <w:t xml:space="preserve">published WTT emission factors for diesel and gasoline based on 2 different approaches,</w:t>
      </w:r>
      <w:r>
        <w:t xml:space="preserve"> </w:t>
      </w:r>
      <w:r>
        <w:t xml:space="preserve">the marginal and the average269. Both approaches, together with other emission factors are</w:t>
      </w:r>
      <w:r>
        <w:t xml:space="preserve"> </w:t>
      </w:r>
      <w:r>
        <w:t xml:space="preserve">applied across methods and tools. The comparability and robustness (emission factors are</w:t>
      </w:r>
      <w:r>
        <w:t xml:space="preserve"> </w:t>
      </w:r>
      <w:r>
        <w:t xml:space="preserve">unregularly updated) at the level of the transport sector is therefore currently not optimal.</w:t>
      </w:r>
      <w:r>
        <w:t xml:space="preserve"> </w:t>
      </w:r>
      <w:r>
        <w:t xml:space="preserve">There is a strong support from stakeholders for the inclusion of the emissions from energy</w:t>
      </w:r>
      <w:r>
        <w:t xml:space="preserve"> </w:t>
      </w:r>
      <w:r>
        <w:t xml:space="preserve">provision. The vast majority (93%, i.e. 26 out of 28 respondents) of the stakeholders who</w:t>
      </w:r>
      <w:r>
        <w:t xml:space="preserve"> </w:t>
      </w:r>
      <w:r>
        <w:t xml:space="preserve">filled in the targeted survey, prefers the inclusion of these emissions. At the stakeholder</w:t>
      </w:r>
    </w:p>
    <w:p>
      <w:pPr>
        <w:pStyle w:val="BodyText"/>
      </w:pPr>
      <w:r>
        <w:t xml:space="preserve">265 McKinnon &amp; Piecyk, 2010)</w:t>
      </w:r>
      <w:r>
        <w:t xml:space="preserve"> </w:t>
      </w:r>
      <w:r>
        <w:t xml:space="preserve">266 Fraunhofer IML, 2019</w:t>
      </w:r>
      <w:r>
        <w:t xml:space="preserve"> </w:t>
      </w:r>
      <w:r>
        <w:t xml:space="preserve">267 Liquefied natural gas</w:t>
      </w:r>
      <w:r>
        <w:t xml:space="preserve"> </w:t>
      </w:r>
      <w:r>
        <w:t xml:space="preserve">268 ICCT, 2021b</w:t>
      </w:r>
      <w:r>
        <w:t xml:space="preserve"> </w:t>
      </w:r>
      <w:r>
        <w:t xml:space="preserve">269 JRC, 2020</w:t>
      </w:r>
    </w:p>
    <w:p>
      <w:pPr>
        <w:pStyle w:val="BodyText"/>
      </w:pPr>
      <w:r>
        <w:t xml:space="preserve">160</w:t>
      </w:r>
    </w:p>
    <w:p>
      <w:pPr>
        <w:pStyle w:val="BodyText"/>
      </w:pPr>
      <w:r>
        <w:t xml:space="preserve">interviews, only two representatives from the maritime sector were opposing the inclusion</w:t>
      </w:r>
      <w:r>
        <w:t xml:space="preserve"> </w:t>
      </w:r>
      <w:r>
        <w:t xml:space="preserve">of WTT emissions at this moment of time.</w:t>
      </w:r>
      <w:r>
        <w:t xml:space="preserve"> </w:t>
      </w:r>
      <w:r>
        <w:t xml:space="preserve">Emissions from the construction and dismantling of energy production infrastructure</w:t>
      </w:r>
      <w:r>
        <w:br/>
      </w:r>
      <w:r>
        <w:t xml:space="preserve">Whereas emissions from the energy provision are included in a number of methods, in</w:t>
      </w:r>
      <w:r>
        <w:t xml:space="preserve"> </w:t>
      </w:r>
      <w:r>
        <w:t xml:space="preserve">many cases these do not (explicitly) cover emissions from the construction and dismantling</w:t>
      </w:r>
      <w:r>
        <w:t xml:space="preserve"> </w:t>
      </w:r>
      <w:r>
        <w:t xml:space="preserve">of energy production infrastructure. The upcoming ISO 14083 standard does recommend</w:t>
      </w:r>
      <w:r>
        <w:t xml:space="preserve"> </w:t>
      </w:r>
      <w:r>
        <w:t xml:space="preserve">the inclusion of these emissions, to account amongst others, emission related to solar cell</w:t>
      </w:r>
      <w:r>
        <w:t xml:space="preserve"> </w:t>
      </w:r>
      <w:r>
        <w:t xml:space="preserve">and windmill production, recognising that GHG emissions from these infrastructures is not</w:t>
      </w:r>
      <w:r>
        <w:t xml:space="preserve"> </w:t>
      </w:r>
      <w:r>
        <w:t xml:space="preserve">zero.</w:t>
      </w:r>
      <w:r>
        <w:t xml:space="preserve"> </w:t>
      </w:r>
      <w:r>
        <w:t xml:space="preserve">The contribution of emissions from the construction and dismantling of energy production</w:t>
      </w:r>
      <w:r>
        <w:t xml:space="preserve"> </w:t>
      </w:r>
      <w:r>
        <w:t xml:space="preserve">infrastructure in the WTT figures of fossil fuels is limited (2-3%). For the renewable and</w:t>
      </w:r>
      <w:r>
        <w:t xml:space="preserve"> </w:t>
      </w:r>
      <w:r>
        <w:t xml:space="preserve">nuclear energy the contribution to the total emission is very relevant though270. GHG</w:t>
      </w:r>
      <w:r>
        <w:t xml:space="preserve"> </w:t>
      </w:r>
      <w:r>
        <w:t xml:space="preserve">emissions of specific infrastructure is not easily available271, therefore in this case the</w:t>
      </w:r>
      <w:r>
        <w:t xml:space="preserve"> </w:t>
      </w:r>
      <w:r>
        <w:t xml:space="preserve">calculation should be based on average life cycle analysis studies or databases. In relation</w:t>
      </w:r>
      <w:r>
        <w:t xml:space="preserve"> </w:t>
      </w:r>
      <w:r>
        <w:t xml:space="preserve">to the differences in GHG emission between the infrastructure of different energy carriers,</w:t>
      </w:r>
      <w:r>
        <w:t xml:space="preserve"> </w:t>
      </w:r>
      <w:r>
        <w:t xml:space="preserve">the accuracy in calculating these emissions is still reasonable due to the limited number of</w:t>
      </w:r>
      <w:r>
        <w:t xml:space="preserve"> </w:t>
      </w:r>
      <w:r>
        <w:t xml:space="preserve">variables and significantly lower complexity than in the case of transport infrastructure.</w:t>
      </w:r>
      <w:r>
        <w:br/>
      </w:r>
      <w:r>
        <w:t xml:space="preserve">For businesses, the accounting of these types of emissions would not be associated with</w:t>
      </w:r>
      <w:r>
        <w:t xml:space="preserve"> </w:t>
      </w:r>
      <w:r>
        <w:t xml:space="preserve">particular efforts and costs. Therefore, the applicability and acceptability of this design</w:t>
      </w:r>
      <w:r>
        <w:t xml:space="preserve"> </w:t>
      </w:r>
      <w:r>
        <w:t xml:space="preserve">alternative would score reasonably well, as long as the emissions are included in the</w:t>
      </w:r>
      <w:r>
        <w:t xml:space="preserve"> </w:t>
      </w:r>
      <w:r>
        <w:t xml:space="preserve">available WTT emission factors of energy carriers. However, at this point of time these</w:t>
      </w:r>
      <w:r>
        <w:t xml:space="preserve"> </w:t>
      </w:r>
      <w:r>
        <w:t xml:space="preserve">effects very often are not directly reflected in the existing datasets and databases, therefore</w:t>
      </w:r>
      <w:r>
        <w:t xml:space="preserve"> </w:t>
      </w:r>
      <w:r>
        <w:t xml:space="preserve">causing some issues for their full application in regular business practice. This drawback</w:t>
      </w:r>
      <w:r>
        <w:t xml:space="preserve"> </w:t>
      </w:r>
      <w:r>
        <w:t xml:space="preserve">results in average scores on these criteria.</w:t>
      </w:r>
      <w:r>
        <w:t xml:space="preserve"> </w:t>
      </w:r>
      <w:r>
        <w:t xml:space="preserve">Life-cycle GHG emissions of vehicle construction, maintenance and disposal</w:t>
      </w:r>
      <w:r>
        <w:br/>
      </w:r>
      <w:r>
        <w:t xml:space="preserve">Emissions from vehicle construction, maintenance and disposal can be as high as 20% of</w:t>
      </w:r>
      <w:r>
        <w:t xml:space="preserve"> </w:t>
      </w:r>
      <w:r>
        <w:t xml:space="preserve">the total life cycle emissions for cars and vans and are much lower for larger vehicles such</w:t>
      </w:r>
      <w:r>
        <w:t xml:space="preserve"> </w:t>
      </w:r>
      <w:r>
        <w:t xml:space="preserve">as truck, ships and planes272. The difference in construction, maintenance and disposal</w:t>
      </w:r>
      <w:r>
        <w:t xml:space="preserve"> </w:t>
      </w:r>
      <w:r>
        <w:t xml:space="preserve">emissions between similar vehicles is only a fraction of this 20% and these emission are</w:t>
      </w:r>
      <w:r>
        <w:t xml:space="preserve"> </w:t>
      </w:r>
      <w:r>
        <w:t xml:space="preserve">not expected to play a decisive factor in the comparison of transport services with similar</w:t>
      </w:r>
      <w:r>
        <w:t xml:space="preserve"> </w:t>
      </w:r>
      <w:r>
        <w:t xml:space="preserve">vehicles of the same mode. Between modes, the difference in construction, maintenance</w:t>
      </w:r>
      <w:r>
        <w:t xml:space="preserve"> </w:t>
      </w:r>
      <w:r>
        <w:t xml:space="preserve">and disposal emissions is larger, as shown in Figure Figure 12 below.</w:t>
      </w:r>
    </w:p>
    <w:p>
      <w:pPr>
        <w:pStyle w:val="BodyText"/>
      </w:pPr>
      <w:r>
        <w:t xml:space="preserve">270 CE Delft, 2020</w:t>
      </w:r>
      <w:r>
        <w:t xml:space="preserve"> </w:t>
      </w:r>
      <w:r>
        <w:t xml:space="preserve">271 The specific source for the energy used is often not known (e.g. coal-fired or gas-fired power plant).</w:t>
      </w:r>
      <w:r>
        <w:t xml:space="preserve"> </w:t>
      </w:r>
      <w:r>
        <w:t xml:space="preserve">272 CE Delft, 2021</w:t>
      </w:r>
    </w:p>
    <w:p>
      <w:pPr>
        <w:pStyle w:val="BodyText"/>
      </w:pPr>
      <w:r>
        <w:t xml:space="preserve">161</w:t>
      </w:r>
    </w:p>
    <w:p>
      <w:pPr>
        <w:pStyle w:val="BodyText"/>
      </w:pPr>
      <w:r>
        <w:t xml:space="preserve">Figure 12: Share of processes in LCA GHG emissions for key vehicle categories</w:t>
      </w:r>
    </w:p>
    <w:p>
      <w:pPr>
        <w:pStyle w:val="BodyText"/>
      </w:pPr>
      <w:r>
        <w:t xml:space="preserve">Source: CE Delft, 2021</w:t>
      </w:r>
      <w:r>
        <w:t xml:space="preserve"> </w:t>
      </w:r>
      <w:r>
        <w:t xml:space="preserve">It should be noted however, that data for vehicle construction are not easily available from</w:t>
      </w:r>
      <w:r>
        <w:t xml:space="preserve"> </w:t>
      </w:r>
      <w:r>
        <w:t xml:space="preserve">vehicle manufacturers, and may be subject of substantial variations and uncertainty, in</w:t>
      </w:r>
      <w:r>
        <w:t xml:space="preserve"> </w:t>
      </w:r>
      <w:r>
        <w:t xml:space="preserve">particular for those stemming from the production taking place outside the EU. In addition,</w:t>
      </w:r>
      <w:r>
        <w:t xml:space="preserve"> </w:t>
      </w:r>
      <w:r>
        <w:t xml:space="preserve">translation of the total construction and maintenance emissions of a vehicle to values per</w:t>
      </w:r>
      <w:r>
        <w:t xml:space="preserve"> </w:t>
      </w:r>
      <w:r>
        <w:t xml:space="preserve">kilometre, strongly depends on the use and lifetime of the vehicle, which is not known on</w:t>
      </w:r>
      <w:r>
        <w:t xml:space="preserve"> </w:t>
      </w:r>
      <w:r>
        <w:t xml:space="preserve">forehand and therefore less accurate. The comparability and reproducibility are therefore</w:t>
      </w:r>
      <w:r>
        <w:t xml:space="preserve"> </w:t>
      </w:r>
      <w:r>
        <w:t xml:space="preserve">limited. Also, the default figures should also be regularly updated as the production</w:t>
      </w:r>
      <w:r>
        <w:t xml:space="preserve"> </w:t>
      </w:r>
      <w:r>
        <w:t xml:space="preserve">processes are continuously changed and improved, giving lower score on robustness.</w:t>
      </w:r>
      <w:r>
        <w:br/>
      </w:r>
      <w:r>
        <w:t xml:space="preserve">None of the current transport specific GHG methods that were analysed in the context of</w:t>
      </w:r>
      <w:r>
        <w:t xml:space="preserve"> </w:t>
      </w:r>
      <w:r>
        <w:t xml:space="preserve">this Impact Assessment, includes vehicle construction maintenance and disposal</w:t>
      </w:r>
      <w:r>
        <w:t xml:space="preserve"> </w:t>
      </w:r>
      <w:r>
        <w:t xml:space="preserve">emissions273. Despite low scores on the analysis, this characteristic may be seen as quite</w:t>
      </w:r>
      <w:r>
        <w:t xml:space="preserve"> </w:t>
      </w:r>
      <w:r>
        <w:t xml:space="preserve">relevant as it may account for the entire spectrum of emissions related to a transport</w:t>
      </w:r>
      <w:r>
        <w:t xml:space="preserve"> </w:t>
      </w:r>
      <w:r>
        <w:t xml:space="preserve">activity, seen as a product. In addition, this alternative was supported by a number of</w:t>
      </w:r>
      <w:r>
        <w:t xml:space="preserve"> </w:t>
      </w:r>
      <w:r>
        <w:t xml:space="preserve">stakeholders consulted (see below). However, given important uncertainties of the</w:t>
      </w:r>
      <w:r>
        <w:t xml:space="preserve"> </w:t>
      </w:r>
      <w:r>
        <w:t xml:space="preserve">underlying factors, it should be taken into account rather for the potential future</w:t>
      </w:r>
      <w:r>
        <w:t xml:space="preserve"> </w:t>
      </w:r>
      <w:r>
        <w:t xml:space="preserve">development of CountEmissions EU, when more information becomes available. On this</w:t>
      </w:r>
      <w:r>
        <w:t xml:space="preserve"> </w:t>
      </w:r>
      <w:r>
        <w:t xml:space="preserve">very point, instead of inclusion of all life cycle emission of the vehicle, one might consider</w:t>
      </w:r>
      <w:r>
        <w:t xml:space="preserve"> </w:t>
      </w:r>
      <w:r>
        <w:t xml:space="preserve">only those elements that make real difference between transport options, such as the</w:t>
      </w:r>
      <w:r>
        <w:t xml:space="preserve"> </w:t>
      </w:r>
      <w:r>
        <w:t xml:space="preserve">emissions associated with the powertrain274.</w:t>
      </w:r>
    </w:p>
    <w:p>
      <w:pPr>
        <w:pStyle w:val="BodyText"/>
      </w:pPr>
      <w:r>
        <w:t xml:space="preserve">273 These elements would be in general covered by the PEF methodology. However, PEF is not transport</w:t>
      </w:r>
      <w:r>
        <w:t xml:space="preserve"> </w:t>
      </w:r>
      <w:r>
        <w:t xml:space="preserve">specific and in the absence of specific product category rules, currently it does not cover the vast majority of</w:t>
      </w:r>
      <w:r>
        <w:t xml:space="preserve"> </w:t>
      </w:r>
      <w:r>
        <w:t xml:space="preserve">lifecycle emissions related to transport activities.</w:t>
      </w:r>
      <w:r>
        <w:t xml:space="preserve"> </w:t>
      </w:r>
      <w:r>
        <w:t xml:space="preserve">274 In line with the inclusion of emissions from the construction and dismantling of energy production</w:t>
      </w:r>
      <w:r>
        <w:t xml:space="preserve"> </w:t>
      </w:r>
      <w:r>
        <w:t xml:space="preserve">infrastructure it might be considered to only include the emission of the powertrain production, which for</w:t>
      </w:r>
      <w:r>
        <w:t xml:space="preserve"> </w:t>
      </w:r>
      <w:r>
        <w:t xml:space="preserve">battery electric vehicles would include the CO2-emission of the production of batteries. There are discussions</w:t>
      </w:r>
      <w:r>
        <w:t xml:space="preserve"> </w:t>
      </w:r>
      <w:r>
        <w:t xml:space="preserve">on the environmental impact of the battery production and whether this element could be covered by</w:t>
      </w:r>
      <w:r>
        <w:t xml:space="preserve"> </w:t>
      </w:r>
      <w:r>
        <w:t xml:space="preserve">including it in the scope. The rationale for the inclusion would be that the difference in CO2-emissions</w:t>
      </w:r>
      <w:r>
        <w:t xml:space="preserve"> </w:t>
      </w:r>
      <w:r>
        <w:t xml:space="preserve">between vehicles with and without batteries is relatively large as compared to the uncertainty in the emission</w:t>
      </w:r>
    </w:p>
    <w:p>
      <w:pPr>
        <w:pStyle w:val="BodyText"/>
      </w:pPr>
      <w:r>
        <w:t xml:space="preserve">162</w:t>
      </w:r>
    </w:p>
    <w:p>
      <w:pPr>
        <w:pStyle w:val="BodyText"/>
      </w:pPr>
      <w:r>
        <w:t xml:space="preserve">Among stakeholders, opinions on the inclusion of full lifecycle emissions differ widely.</w:t>
      </w:r>
      <w:r>
        <w:t xml:space="preserve"> </w:t>
      </w:r>
      <w:r>
        <w:t xml:space="preserve">The OPC and targeted survey may indicate that citizens and in general transport service</w:t>
      </w:r>
      <w:r>
        <w:t xml:space="preserve"> </w:t>
      </w:r>
      <w:r>
        <w:t xml:space="preserve">users are more in favour of this approach, while transport operators (and associations</w:t>
      </w:r>
      <w:r>
        <w:t xml:space="preserve"> </w:t>
      </w:r>
      <w:r>
        <w:t xml:space="preserve">representing them and operators of freight greening programmes) being strongly against275.</w:t>
      </w:r>
      <w:r>
        <w:t xml:space="preserve"> </w:t>
      </w:r>
      <w:r>
        <w:t xml:space="preserve">These results would possibly suggest a distinction between the final beneficiaries of</w:t>
      </w:r>
      <w:r>
        <w:t xml:space="preserve"> </w:t>
      </w:r>
      <w:r>
        <w:t xml:space="preserve">transport services and the stakeholders that are more integral part of the transport system,</w:t>
      </w:r>
      <w:r>
        <w:t xml:space="preserve"> </w:t>
      </w:r>
      <w:r>
        <w:t xml:space="preserve">and are directly impacted by the provision of a specific emissions quantification</w:t>
      </w:r>
      <w:r>
        <w:t xml:space="preserve"> </w:t>
      </w:r>
      <w:r>
        <w:t xml:space="preserve">methodology. On the other hand however, these results may have been also affected by the</w:t>
      </w:r>
      <w:r>
        <w:t xml:space="preserve"> </w:t>
      </w:r>
      <w:r>
        <w:t xml:space="preserve">limited understanding of this technical and complex matter, especially by those who are</w:t>
      </w:r>
      <w:r>
        <w:t xml:space="preserve"> </w:t>
      </w:r>
      <w:r>
        <w:t xml:space="preserve">not dealing with it in the everyday practice. In the targeted interviews, none of the</w:t>
      </w:r>
      <w:r>
        <w:t xml:space="preserve"> </w:t>
      </w:r>
      <w:r>
        <w:t xml:space="preserve">participating stakeholders supported the inclusion of lifecycle emissions in the</w:t>
      </w:r>
      <w:r>
        <w:t xml:space="preserve"> </w:t>
      </w:r>
      <w:r>
        <w:t xml:space="preserve">CountEmissions EU framework (at least at this moment of time), and this opinion was</w:t>
      </w:r>
      <w:r>
        <w:t xml:space="preserve"> </w:t>
      </w:r>
      <w:r>
        <w:t xml:space="preserve">shared by the attendees of the stakeholder workshop.</w:t>
      </w:r>
      <w:r>
        <w:br/>
      </w:r>
      <w:r>
        <w:t xml:space="preserve">Life cycle emissions of infrastructure construction, maintenance and disposal</w:t>
      </w:r>
      <w:r>
        <w:br/>
      </w:r>
      <w:r>
        <w:t xml:space="preserve">Infrastructure emissions are estimated to represent up to 20% in transport GHG life cycle</w:t>
      </w:r>
      <w:r>
        <w:t xml:space="preserve"> </w:t>
      </w:r>
      <w:r>
        <w:t xml:space="preserve">emissions on average. However, the difference in emissions from the existing</w:t>
      </w:r>
      <w:r>
        <w:t xml:space="preserve"> </w:t>
      </w:r>
      <w:r>
        <w:t xml:space="preserve">infrastructure is not expected to play a decisive factor in the comparison between modes</w:t>
      </w:r>
      <w:r>
        <w:t xml:space="preserve"> </w:t>
      </w:r>
      <w:r>
        <w:t xml:space="preserve">or within modes, as the impact of vehicle use is strongly dominant for accounting</w:t>
      </w:r>
      <w:r>
        <w:t xml:space="preserve"> </w:t>
      </w:r>
      <w:r>
        <w:t xml:space="preserve">emissions from transport operations. Both transport service operators and users have very</w:t>
      </w:r>
      <w:r>
        <w:t xml:space="preserve"> </w:t>
      </w:r>
      <w:r>
        <w:t xml:space="preserve">little influence on the GHG emission of infrastructure construction276, hence the inclusion</w:t>
      </w:r>
      <w:r>
        <w:t xml:space="preserve"> </w:t>
      </w:r>
      <w:r>
        <w:t xml:space="preserve">of infrastructure emissions is not relevant for making transport choices based on GHG</w:t>
      </w:r>
      <w:r>
        <w:t xml:space="preserve"> </w:t>
      </w:r>
      <w:r>
        <w:t xml:space="preserve">emissions data. Instead, information on this type of emissions may be important factor to</w:t>
      </w:r>
      <w:r>
        <w:t xml:space="preserve"> </w:t>
      </w:r>
      <w:r>
        <w:t xml:space="preserve">support planning and decisions on new investments in transport infrastructure.</w:t>
      </w:r>
      <w:r>
        <w:br/>
      </w:r>
      <w:r>
        <w:t xml:space="preserve">What is more, infrastructure emissions for a specific trip are hard to determine accurately</w:t>
      </w:r>
      <w:r>
        <w:t xml:space="preserve"> </w:t>
      </w:r>
      <w:r>
        <w:t xml:space="preserve">as they depend on many factors, such as the specific infrastructure objects being used, their</w:t>
      </w:r>
      <w:r>
        <w:t xml:space="preserve"> </w:t>
      </w:r>
      <w:r>
        <w:t xml:space="preserve">properties (including bridges, tunnels, type of road, type of surface etc.), traffic intensity,</w:t>
      </w:r>
      <w:r>
        <w:t xml:space="preserve"> </w:t>
      </w:r>
      <w:r>
        <w:t xml:space="preserve">the year of construction and lifetime. Emission factors with this accuracy are hardly</w:t>
      </w:r>
      <w:r>
        <w:t xml:space="preserve"> </w:t>
      </w:r>
      <w:r>
        <w:t xml:space="preserve">available, which makes a reliable comparison impossible. None of the current GHG</w:t>
      </w:r>
      <w:r>
        <w:t xml:space="preserve"> </w:t>
      </w:r>
      <w:r>
        <w:t xml:space="preserve">transport accounting methods includes infrastructure construction maintenance and</w:t>
      </w:r>
      <w:r>
        <w:t xml:space="preserve"> </w:t>
      </w:r>
      <w:r>
        <w:t xml:space="preserve">disposal emissions. The PEF methodology allows it under certain conditions, but in the</w:t>
      </w:r>
      <w:r>
        <w:t xml:space="preserve"> </w:t>
      </w:r>
      <w:r>
        <w:t xml:space="preserve">absence of the Product Category Specific Rules for transport services, it does not provide</w:t>
      </w:r>
      <w:r>
        <w:t xml:space="preserve"> </w:t>
      </w:r>
      <w:r>
        <w:t xml:space="preserve">specific guidance on how to apply it in business practice.</w:t>
      </w:r>
    </w:p>
    <w:p>
      <w:pPr>
        <w:pStyle w:val="BodyText"/>
      </w:pPr>
      <w:r>
        <w:t xml:space="preserve">data. According to CE Delft, 2021, batteries can have up to 10% share in the lifecycle emissions of electric</w:t>
      </w:r>
      <w:r>
        <w:t xml:space="preserve"> </w:t>
      </w:r>
      <w:r>
        <w:t xml:space="preserve">cars, whereas they are zero for vehicles with only internal combustion engines (ICE), having no batteries.</w:t>
      </w:r>
      <w:r>
        <w:t xml:space="preserve"> </w:t>
      </w:r>
      <w:r>
        <w:t xml:space="preserve">None of the current transport GHG methodologies, however, includes these emissions in the scope of the</w:t>
      </w:r>
      <w:r>
        <w:t xml:space="preserve"> </w:t>
      </w:r>
      <w:r>
        <w:t xml:space="preserve">calculation framework.</w:t>
      </w:r>
      <w:r>
        <w:br/>
      </w:r>
      <w:r>
        <w:t xml:space="preserve">275 In the targeted survey, 5 of the 9 transport service users indicated that they prefer full life-cycle emissions,</w:t>
      </w:r>
      <w:r>
        <w:t xml:space="preserve"> </w:t>
      </w:r>
      <w:r>
        <w:t xml:space="preserve">while only 2 out of 8 transport operators/associations share this preference. In the OPC, 17 out of 20 EU</w:t>
      </w:r>
      <w:r>
        <w:t xml:space="preserve"> </w:t>
      </w:r>
      <w:r>
        <w:t xml:space="preserve">citizens indicated that they prefer full life-cycle emissions over WTW emissions compared to 20 out of 58</w:t>
      </w:r>
      <w:r>
        <w:t xml:space="preserve"> </w:t>
      </w:r>
      <w:r>
        <w:t xml:space="preserve">companies that shared the same view (34 of them supporting the WTW approach)</w:t>
      </w:r>
      <w:r>
        <w:t xml:space="preserve"> </w:t>
      </w:r>
      <w:r>
        <w:t xml:space="preserve">276 It can be indirectly associated with new infrastructure investments where the information on transport</w:t>
      </w:r>
      <w:r>
        <w:t xml:space="preserve"> </w:t>
      </w:r>
      <w:r>
        <w:t xml:space="preserve">demand may play a role in the decision-making. However, the construction on infrastructure is subject to</w:t>
      </w:r>
      <w:r>
        <w:t xml:space="preserve"> </w:t>
      </w:r>
      <w:r>
        <w:t xml:space="preserve">specific environmental impact assessment, based on relevant methodologies and lifecycle of this</w:t>
      </w:r>
      <w:r>
        <w:t xml:space="preserve"> </w:t>
      </w:r>
      <w:r>
        <w:t xml:space="preserve">infrastructure</w:t>
      </w:r>
    </w:p>
    <w:p>
      <w:pPr>
        <w:pStyle w:val="BodyText"/>
      </w:pPr>
      <w:r>
        <w:t xml:space="preserve">163</w:t>
      </w:r>
    </w:p>
    <w:p>
      <w:pPr>
        <w:pStyle w:val="BodyText"/>
      </w:pPr>
      <w:r>
        <w:t xml:space="preserve">Because of the low score in the analysis, this characteristic is not considered for</w:t>
      </w:r>
      <w:r>
        <w:t xml:space="preserve"> </w:t>
      </w:r>
      <w:r>
        <w:t xml:space="preserve">CountEmissions EU.</w:t>
      </w:r>
      <w:r>
        <w:t xml:space="preserve"> </w:t>
      </w:r>
      <w:r>
        <w:t xml:space="preserve">Table 92 presents selected and discarded design alternatives for the methodological</w:t>
      </w:r>
      <w:r>
        <w:t xml:space="preserve"> </w:t>
      </w:r>
      <w:r>
        <w:t xml:space="preserve">element ‘Activity boundary’.</w:t>
      </w:r>
    </w:p>
    <w:p>
      <w:pPr>
        <w:pStyle w:val="BodyText"/>
      </w:pPr>
      <w:r>
        <w:t xml:space="preserve">Table 92: Selected and discarded design alternatives for the methodological element ‘Activity boundary’</w:t>
      </w:r>
      <w:r>
        <w:t xml:space="preserve"> </w:t>
      </w:r>
      <w:r>
        <w:t xml:space="preserve">Selected design alternatives</w:t>
      </w:r>
      <w:r>
        <w:t xml:space="preserve"> </w:t>
      </w:r>
      <w:r>
        <w:t xml:space="preserve">Discarded design alternatives</w:t>
      </w:r>
      <w:r>
        <w:t xml:space="preserve"> </w:t>
      </w:r>
      <w:r>
        <w:t xml:space="preserve">— Vehicle propulsion emissions</w:t>
      </w:r>
      <w:r>
        <w:t xml:space="preserve"> </w:t>
      </w:r>
      <w:r>
        <w:t xml:space="preserve">— Emissions from auxiliary processes</w:t>
      </w:r>
      <w:r>
        <w:t xml:space="preserve"> </w:t>
      </w:r>
      <w:r>
        <w:t xml:space="preserve">— Emissions from leakage and spills</w:t>
      </w:r>
      <w:r>
        <w:t xml:space="preserve"> </w:t>
      </w:r>
      <w:r>
        <w:t xml:space="preserve">— Emissions from hub activities</w:t>
      </w:r>
      <w:r>
        <w:t xml:space="preserve"> </w:t>
      </w:r>
      <w:r>
        <w:t xml:space="preserve">— Emissions from energy provision (WTT), excluding</w:t>
      </w:r>
      <w:r>
        <w:t xml:space="preserve"> </w:t>
      </w:r>
      <w:r>
        <w:t xml:space="preserve">energy infrastructure construction</w:t>
      </w:r>
      <w:r>
        <w:t xml:space="preserve"> </w:t>
      </w:r>
      <w:r>
        <w:t xml:space="preserve">— Emissions from construction and dismantling of energy</w:t>
      </w:r>
      <w:r>
        <w:t xml:space="preserve"> </w:t>
      </w:r>
      <w:r>
        <w:t xml:space="preserve">production infrastructure</w:t>
      </w:r>
      <w:r>
        <w:t xml:space="preserve"> </w:t>
      </w:r>
      <w:r>
        <w:t xml:space="preserve">— Life-cycle GHG emissions of vehicle construction,</w:t>
      </w:r>
      <w:r>
        <w:t xml:space="preserve"> </w:t>
      </w:r>
      <w:r>
        <w:t xml:space="preserve">maintenance and disposal277</w:t>
      </w:r>
      <w:r>
        <w:t xml:space="preserve"> </w:t>
      </w:r>
      <w:r>
        <w:t xml:space="preserve">— Life-cycle emissions of vehicle</w:t>
      </w:r>
      <w:r>
        <w:t xml:space="preserve"> </w:t>
      </w:r>
      <w:r>
        <w:t xml:space="preserve">infrastructure construction,</w:t>
      </w:r>
      <w:r>
        <w:t xml:space="preserve"> </w:t>
      </w:r>
      <w:r>
        <w:t xml:space="preserve">maintenance and disposal.</w:t>
      </w:r>
      <w:r>
        <w:br/>
      </w:r>
      <w:r>
        <w:t xml:space="preserve">Source: Ecorys and CE Delft (2023), Impact assessment support study</w:t>
      </w:r>
      <w:r>
        <w:t xml:space="preserve"> </w:t>
      </w:r>
      <w:r>
        <w:t xml:space="preserve">Intended user</w:t>
      </w:r>
      <w:r>
        <w:t xml:space="preserve"> </w:t>
      </w:r>
      <w:r>
        <w:t xml:space="preserve">From the analysis of current methodologies and standards, the main groups of users of the</w:t>
      </w:r>
      <w:r>
        <w:t xml:space="preserve"> </w:t>
      </w:r>
      <w:r>
        <w:t xml:space="preserve">methodological framework for GHG accounting are:</w:t>
      </w:r>
      <w:r>
        <w:t xml:space="preserve"> </w:t>
      </w:r>
      <w:r>
        <w:t xml:space="preserve"> Transport service organisers and hub operators;</w:t>
      </w:r>
      <w:r>
        <w:t xml:space="preserve"> </w:t>
      </w:r>
      <w:r>
        <w:t xml:space="preserve"> Transport operators, distinguished here from the first category, given their</w:t>
      </w:r>
      <w:r>
        <w:t xml:space="preserve"> </w:t>
      </w:r>
      <w:r>
        <w:t xml:space="preserve">important role as entities carrying out physical transports of passengers or freight</w:t>
      </w:r>
      <w:r>
        <w:t xml:space="preserve"> </w:t>
      </w:r>
      <w:r>
        <w:t xml:space="preserve">as a service;</w:t>
      </w:r>
      <w:r>
        <w:br/>
      </w:r>
      <w:r>
        <w:t xml:space="preserve"> Transport service users.</w:t>
      </w:r>
      <w:r>
        <w:t xml:space="preserve"> </w:t>
      </w:r>
      <w:r>
        <w:t xml:space="preserve">Most of the current methods account for all three types of users as provided above. Article</w:t>
      </w:r>
      <w:r>
        <w:t xml:space="preserve"> </w:t>
      </w:r>
      <w:r>
        <w:t xml:space="preserve">L. 1431-3 of the French transport code is the sole exception, as it envisages only transport</w:t>
      </w:r>
      <w:r>
        <w:br/>
      </w:r>
      <w:r>
        <w:t xml:space="preserve">service organisers and operators to report emissions of their services. Also, it is worth</w:t>
      </w:r>
      <w:r>
        <w:t xml:space="preserve"> </w:t>
      </w:r>
      <w:r>
        <w:t xml:space="preserve">noting that most methods expect transport operators to calculate emissions based on</w:t>
      </w:r>
      <w:r>
        <w:t xml:space="preserve"> </w:t>
      </w:r>
      <w:r>
        <w:t xml:space="preserve">primary data (e.g fuel use and transport performance) whereas they allow transport users</w:t>
      </w:r>
      <w:r>
        <w:t xml:space="preserve"> </w:t>
      </w:r>
      <w:r>
        <w:t xml:space="preserve">and organisers to use default factors and “modelled” emission values.</w:t>
      </w:r>
      <w:r>
        <w:t xml:space="preserve"> </w:t>
      </w:r>
      <w:r>
        <w:t xml:space="preserve">Transport operators</w:t>
      </w:r>
      <w:r>
        <w:t xml:space="preserve"> </w:t>
      </w:r>
      <w:r>
        <w:t xml:space="preserve">It is very relevant to include transport operators as they have access to primary energy data</w:t>
      </w:r>
      <w:r>
        <w:t xml:space="preserve"> </w:t>
      </w:r>
      <w:r>
        <w:t xml:space="preserve">of the vehicles and so are able to calculate GHG emission of transport very accurately.</w:t>
      </w:r>
    </w:p>
    <w:p>
      <w:pPr>
        <w:pStyle w:val="BodyText"/>
      </w:pPr>
      <w:r>
        <w:t xml:space="preserve">277 This design alternative has been included in the construction and assessment of the policy options</w:t>
      </w:r>
      <w:r>
        <w:t xml:space="preserve"> </w:t>
      </w:r>
      <w:r>
        <w:t xml:space="preserve">(specifically PO3 and PO5) with an important caveat that it may not be ready for the full implementation on</w:t>
      </w:r>
      <w:r>
        <w:t xml:space="preserve"> </w:t>
      </w:r>
      <w:r>
        <w:t xml:space="preserve">the EU transport market in the short and medium term.</w:t>
      </w:r>
    </w:p>
    <w:p>
      <w:pPr>
        <w:pStyle w:val="BodyText"/>
      </w:pPr>
      <w:r>
        <w:t xml:space="preserve">164</w:t>
      </w:r>
    </w:p>
    <w:p>
      <w:pPr>
        <w:pStyle w:val="BodyText"/>
      </w:pPr>
      <w:r>
        <w:t xml:space="preserve">When operators share data with their users, the users can also calculate their emission</w:t>
      </w:r>
      <w:r>
        <w:t xml:space="preserve"> </w:t>
      </w:r>
      <w:r>
        <w:t xml:space="preserve">accurately based on primary data of the operator.</w:t>
      </w:r>
      <w:r>
        <w:br/>
      </w:r>
      <w:r>
        <w:t xml:space="preserve">Transport service organisers</w:t>
      </w:r>
      <w:r>
        <w:t xml:space="preserve"> </w:t>
      </w:r>
      <w:r>
        <w:t xml:space="preserve">In the passenger segment, transport organisers (like travel agencies) act as intermediaries</w:t>
      </w:r>
      <w:r>
        <w:t xml:space="preserve"> </w:t>
      </w:r>
      <w:r>
        <w:t xml:space="preserve">between transport operators and end users, and therefore need to be able to account</w:t>
      </w:r>
      <w:r>
        <w:t xml:space="preserve"> </w:t>
      </w:r>
      <w:r>
        <w:t xml:space="preserve">emissions to provide information on the performance of various transport choices for</w:t>
      </w:r>
      <w:r>
        <w:t xml:space="preserve"> </w:t>
      </w:r>
      <w:r>
        <w:t xml:space="preserve">passengers.</w:t>
      </w:r>
      <w:r>
        <w:br/>
      </w:r>
      <w:r>
        <w:t xml:space="preserve">In freight transport, logistics service providers and freight forwarders are often the contact</w:t>
      </w:r>
      <w:r>
        <w:t xml:space="preserve"> </w:t>
      </w:r>
      <w:r>
        <w:t xml:space="preserve">point between a manufacturer/shipper (cargo owner) and a transport operator. These can</w:t>
      </w:r>
      <w:r>
        <w:t xml:space="preserve"> </w:t>
      </w:r>
      <w:r>
        <w:t xml:space="preserve">organise complete transport chains from origin to destination of the goods. Therefore, it is</w:t>
      </w:r>
      <w:r>
        <w:t xml:space="preserve"> </w:t>
      </w:r>
      <w:r>
        <w:t xml:space="preserve">very relevant that transport organisers have a solid methodology to report the emissions to</w:t>
      </w:r>
      <w:r>
        <w:t xml:space="preserve"> </w:t>
      </w:r>
      <w:r>
        <w:t xml:space="preserve">users, such that the latter can make decisions based on GHG emissions of transport options.</w:t>
      </w:r>
      <w:r>
        <w:br/>
      </w:r>
      <w:r>
        <w:t xml:space="preserve">When transport organisers cannot get information from their transport operators, default</w:t>
      </w:r>
      <w:r>
        <w:t xml:space="preserve"> </w:t>
      </w:r>
      <w:r>
        <w:t xml:space="preserve">emission factors or models are needed to make GHG calculation. This makes the methods</w:t>
      </w:r>
      <w:r>
        <w:t xml:space="preserve"> </w:t>
      </w:r>
      <w:r>
        <w:t xml:space="preserve">more complex than for transport operators who can often simply use primary data.</w:t>
      </w:r>
      <w:r>
        <w:br/>
      </w:r>
      <w:r>
        <w:t xml:space="preserve">Transport service users</w:t>
      </w:r>
      <w:r>
        <w:t xml:space="preserve"> </w:t>
      </w:r>
      <w:r>
        <w:t xml:space="preserve">Passenger transport service users can be individual passengers, customers (end users of the</w:t>
      </w:r>
      <w:r>
        <w:t xml:space="preserve"> </w:t>
      </w:r>
      <w:r>
        <w:t xml:space="preserve">service) or organisation and businesses buying transport for their employees. Individual</w:t>
      </w:r>
      <w:r>
        <w:t xml:space="preserve"> </w:t>
      </w:r>
      <w:r>
        <w:t xml:space="preserve">passengers would not be the intended users of CountEmissions’ methodology, but rather</w:t>
      </w:r>
      <w:r>
        <w:t xml:space="preserve"> </w:t>
      </w:r>
      <w:r>
        <w:t xml:space="preserve">be the beneficiaries of the initiative. On the other hand, organisations and businesses</w:t>
      </w:r>
      <w:r>
        <w:t xml:space="preserve"> </w:t>
      </w:r>
      <w:r>
        <w:t xml:space="preserve">usually need a relevant method to quantify and report on the GHG emissions of business</w:t>
      </w:r>
      <w:r>
        <w:t xml:space="preserve"> </w:t>
      </w:r>
      <w:r>
        <w:t xml:space="preserve">travels they purchase, especially when this information is not supplied by the transport</w:t>
      </w:r>
      <w:r>
        <w:t xml:space="preserve"> </w:t>
      </w:r>
      <w:r>
        <w:t xml:space="preserve">service operator or organiser.</w:t>
      </w:r>
      <w:r>
        <w:t xml:space="preserve"> </w:t>
      </w:r>
      <w:r>
        <w:t xml:space="preserve">Freight transport service users are shippers/cargo owners and individual customers of</w:t>
      </w:r>
      <w:r>
        <w:t xml:space="preserve"> </w:t>
      </w:r>
      <w:r>
        <w:t xml:space="preserve">online stores. Very often shippers are strongly interested in the emissions of services they</w:t>
      </w:r>
      <w:r>
        <w:t xml:space="preserve"> </w:t>
      </w:r>
      <w:r>
        <w:t xml:space="preserve">buy, especially for making informed transport choices, and also for regulatory reporting</w:t>
      </w:r>
      <w:r>
        <w:t xml:space="preserve"> </w:t>
      </w:r>
      <w:r>
        <w:t xml:space="preserve">purposes. It is therefore important and relevant that the Count Emissions EU includes a</w:t>
      </w:r>
      <w:r>
        <w:t xml:space="preserve"> </w:t>
      </w:r>
      <w:r>
        <w:t xml:space="preserve">suitable method for shippers to calculate these emissions in a consistent way. As regards</w:t>
      </w:r>
      <w:r>
        <w:t xml:space="preserve"> </w:t>
      </w:r>
      <w:r>
        <w:t xml:space="preserve">the individual customers of online stores, similarly to passengers they would be rather the</w:t>
      </w:r>
      <w:r>
        <w:t xml:space="preserve"> </w:t>
      </w:r>
      <w:r>
        <w:t xml:space="preserve">beneficiaries of the common methodology than its regular users.</w:t>
      </w:r>
      <w:r>
        <w:br/>
      </w:r>
      <w:r>
        <w:t xml:space="preserve">In general, when transport service users cannot get proper and accurate information from</w:t>
      </w:r>
      <w:r>
        <w:t xml:space="preserve"> </w:t>
      </w:r>
      <w:r>
        <w:t xml:space="preserve">their transport operators or organisers, default emission factors or models are needed to</w:t>
      </w:r>
      <w:r>
        <w:t xml:space="preserve"> </w:t>
      </w:r>
      <w:r>
        <w:t xml:space="preserve">make GHG calculations. In case a harmonised approach for calculating emissions is</w:t>
      </w:r>
      <w:r>
        <w:t xml:space="preserve"> </w:t>
      </w:r>
      <w:r>
        <w:t xml:space="preserve">available in the transport sector, the administrative burden to aggregate and compare</w:t>
      </w:r>
      <w:r>
        <w:t xml:space="preserve"> </w:t>
      </w:r>
      <w:r>
        <w:t xml:space="preserve">various emissions data will be however significantly reduced.</w:t>
      </w:r>
      <w:r>
        <w:br/>
      </w:r>
      <w:r>
        <w:t xml:space="preserve">In order to cover emissions accounting along the entire transport chain, it is therefore</w:t>
      </w:r>
      <w:r>
        <w:t xml:space="preserve"> </w:t>
      </w:r>
      <w:r>
        <w:t xml:space="preserve">recommended that CountEmissions EU methodology applies respectively to transport</w:t>
      </w:r>
      <w:r>
        <w:t xml:space="preserve"> </w:t>
      </w:r>
      <w:r>
        <w:t xml:space="preserve">service organisers, operators, and users, although the use of the harmonised methodology</w:t>
      </w:r>
      <w:r>
        <w:t xml:space="preserve"> </w:t>
      </w:r>
      <w:r>
        <w:t xml:space="preserve">by the latter group is considered to be at a lower level than for the other two.</w:t>
      </w:r>
    </w:p>
    <w:p>
      <w:pPr>
        <w:pStyle w:val="BodyText"/>
      </w:pPr>
      <w:r>
        <w:t xml:space="preserve">165</w:t>
      </w:r>
    </w:p>
    <w:p>
      <w:pPr>
        <w:pStyle w:val="BodyText"/>
      </w:pPr>
      <w:r>
        <w:t xml:space="preserve">As shown in Table 93 all these design alternatives should be relevant for the scope of</w:t>
      </w:r>
      <w:r>
        <w:t xml:space="preserve"> </w:t>
      </w:r>
      <w:r>
        <w:t xml:space="preserve">CountEmissions EU.</w:t>
      </w:r>
    </w:p>
    <w:p>
      <w:pPr>
        <w:pStyle w:val="BodyText"/>
      </w:pPr>
      <w:r>
        <w:t xml:space="preserve">Table 93: Selected and discarded design alternatives for the methodological element ‘Intended user’</w:t>
      </w:r>
      <w:r>
        <w:t xml:space="preserve"> </w:t>
      </w:r>
      <w:r>
        <w:t xml:space="preserve">Selected design alternatives</w:t>
      </w:r>
      <w:r>
        <w:t xml:space="preserve"> </w:t>
      </w:r>
      <w:r>
        <w:t xml:space="preserve">Discarded design alternatives</w:t>
      </w:r>
      <w:r>
        <w:t xml:space="preserve"> </w:t>
      </w:r>
      <w:r>
        <w:t xml:space="preserve">— Transport service organiser</w:t>
      </w:r>
      <w:r>
        <w:t xml:space="preserve"> </w:t>
      </w:r>
      <w:r>
        <w:t xml:space="preserve">— Transport operator</w:t>
      </w:r>
      <w:r>
        <w:t xml:space="preserve"> </w:t>
      </w:r>
      <w:r>
        <w:t xml:space="preserve">— Transport service user</w:t>
      </w:r>
    </w:p>
    <w:p>
      <w:pPr>
        <w:pStyle w:val="BodyText"/>
      </w:pPr>
      <w:r>
        <w:t xml:space="preserve">Source: Ecorys and CE Delft (2023), Impact assessment support study</w:t>
      </w:r>
      <w:r>
        <w:t xml:space="preserve"> </w:t>
      </w:r>
      <w:r>
        <w:t xml:space="preserve">Use perspective</w:t>
      </w:r>
      <w:r>
        <w:t xml:space="preserve"> </w:t>
      </w:r>
      <w:r>
        <w:t xml:space="preserve">Emission accounting can be made after (ex-post) or before (ex-ante) a service is performed.</w:t>
      </w:r>
      <w:r>
        <w:t xml:space="preserve"> </w:t>
      </w:r>
      <w:r>
        <w:t xml:space="preserve">Ex-post calculations are often used to report GHG emissions of transport activities to third</w:t>
      </w:r>
      <w:r>
        <w:t xml:space="preserve"> </w:t>
      </w:r>
      <w:r>
        <w:t xml:space="preserve">parties, and to monitor emissions reduction over years. Ex-ante accounting can be used for</w:t>
      </w:r>
      <w:r>
        <w:t xml:space="preserve"> </w:t>
      </w:r>
      <w:r>
        <w:t xml:space="preserve">short term decision making (e.g. comparing train and aviation for a certain trip) or applied</w:t>
      </w:r>
      <w:r>
        <w:t xml:space="preserve"> </w:t>
      </w:r>
      <w:r>
        <w:t xml:space="preserve">for strategic decision making in the longer term (e.g. for investments in infrastructure or</w:t>
      </w:r>
      <w:r>
        <w:t xml:space="preserve"> </w:t>
      </w:r>
      <w:r>
        <w:t xml:space="preserve">modal shift policies).</w:t>
      </w:r>
      <w:r>
        <w:t xml:space="preserve"> </w:t>
      </w:r>
      <w:r>
        <w:t xml:space="preserve">The identified use perspectives are therefore the following:</w:t>
      </w:r>
      <w:r>
        <w:t xml:space="preserve"> </w:t>
      </w:r>
      <w:r>
        <w:t xml:space="preserve"> Ex-post</w:t>
      </w:r>
      <w:r>
        <w:t xml:space="preserve"> </w:t>
      </w:r>
      <w:r>
        <w:t xml:space="preserve"> Ex-ante for short term decision making</w:t>
      </w:r>
      <w:r>
        <w:t xml:space="preserve"> </w:t>
      </w:r>
      <w:r>
        <w:t xml:space="preserve"> Ex-ante for long term strategies</w:t>
      </w:r>
      <w:r>
        <w:br/>
      </w:r>
      <w:r>
        <w:t xml:space="preserve">Ex-post</w:t>
      </w:r>
      <w:r>
        <w:t xml:space="preserve"> </w:t>
      </w:r>
      <w:r>
        <w:t xml:space="preserve">All existing methodologies and standards take ex-post calculations into account, based on</w:t>
      </w:r>
      <w:r>
        <w:t xml:space="preserve"> </w:t>
      </w:r>
      <w:r>
        <w:t xml:space="preserve">the realised transport performance data. As ex-post calculations are based on real practice,</w:t>
      </w:r>
      <w:r>
        <w:t xml:space="preserve"> </w:t>
      </w:r>
      <w:r>
        <w:t xml:space="preserve">this use perspective is potentially most accurate and comparable and therefore also very</w:t>
      </w:r>
      <w:r>
        <w:t xml:space="preserve"> </w:t>
      </w:r>
      <w:r>
        <w:t xml:space="preserve">relevant. Having the actual transport data (for transport operations), no estimations need to</w:t>
      </w:r>
      <w:r>
        <w:t xml:space="preserve"> </w:t>
      </w:r>
      <w:r>
        <w:t xml:space="preserve">be made, thus making the calculation highly reproducible. Also among stakeholders, there</w:t>
      </w:r>
      <w:r>
        <w:t xml:space="preserve"> </w:t>
      </w:r>
      <w:r>
        <w:t xml:space="preserve">is strong support for ex-post calculations. Only one (a public authority) out of 27</w:t>
      </w:r>
      <w:r>
        <w:t xml:space="preserve"> </w:t>
      </w:r>
      <w:r>
        <w:t xml:space="preserve">stakeholders participating in the targeted survey indicated that there is no need to cover ex-</w:t>
      </w:r>
      <w:r>
        <w:t xml:space="preserve"> </w:t>
      </w:r>
      <w:r>
        <w:t xml:space="preserve">post calculations by the harmonised methodological framework.</w:t>
      </w:r>
      <w:r>
        <w:br/>
      </w:r>
      <w:r>
        <w:t xml:space="preserve">Ex-ante for short-term decision-making</w:t>
      </w:r>
      <w:r>
        <w:t xml:space="preserve"> </w:t>
      </w:r>
      <w:r>
        <w:t xml:space="preserve">To allow transport service users for making their transport choices effectively, ex-ante</w:t>
      </w:r>
      <w:r>
        <w:t xml:space="preserve"> </w:t>
      </w:r>
      <w:r>
        <w:t xml:space="preserve">information on GHG emissions of transport services appears as a very powerful tool for</w:t>
      </w:r>
      <w:r>
        <w:t xml:space="preserve"> </w:t>
      </w:r>
      <w:r>
        <w:t xml:space="preserve">creating incentives and therefore represents a relevant option for CountEmissions EU. The</w:t>
      </w:r>
      <w:r>
        <w:t xml:space="preserve"> </w:t>
      </w:r>
      <w:r>
        <w:t xml:space="preserve">ex-ante calculations should be preferably based on ex-post outputs with additional</w:t>
      </w:r>
      <w:r>
        <w:t xml:space="preserve"> </w:t>
      </w:r>
      <w:r>
        <w:t xml:space="preserve">prognoses on routing and vehicle use. In case only default values are used, these should be</w:t>
      </w:r>
      <w:r>
        <w:t xml:space="preserve"> </w:t>
      </w:r>
      <w:r>
        <w:t xml:space="preserve">sufficiently reliable and accurate, to prevent from generating incorrect information on</w:t>
      </w:r>
      <w:r>
        <w:t xml:space="preserve"> </w:t>
      </w:r>
      <w:r>
        <w:t xml:space="preserve">GHG emissions that may lead to perverse incentives and unintended adverse effects on the</w:t>
      </w:r>
    </w:p>
    <w:p>
      <w:pPr>
        <w:pStyle w:val="BodyText"/>
      </w:pPr>
      <w:r>
        <w:t xml:space="preserve">166</w:t>
      </w:r>
    </w:p>
    <w:p>
      <w:pPr>
        <w:pStyle w:val="BodyText"/>
      </w:pPr>
      <w:r>
        <w:t xml:space="preserve">transport market. Therefore, it is important to determine appropriate parameters and</w:t>
      </w:r>
      <w:r>
        <w:t xml:space="preserve"> </w:t>
      </w:r>
      <w:r>
        <w:t xml:space="preserve">assumptions reflecting the type of a service concerned and its characteristics, for instance</w:t>
      </w:r>
      <w:r>
        <w:t xml:space="preserve"> </w:t>
      </w:r>
      <w:r>
        <w:t xml:space="preserve">regarding the re-use of primary data obtained from a similar service, the definition of</w:t>
      </w:r>
      <w:r>
        <w:t xml:space="preserve"> </w:t>
      </w:r>
      <w:r>
        <w:t xml:space="preserve">service averages, loading and occupancy rates, or the uptake of specific default values.</w:t>
      </w:r>
      <w:r>
        <w:t xml:space="preserve"> </w:t>
      </w:r>
      <w:r>
        <w:t xml:space="preserve">Most existing methods/standards allow for both kind of calculations (ex-post and ex-ante</w:t>
      </w:r>
      <w:r>
        <w:t xml:space="preserve"> </w:t>
      </w:r>
      <w:r>
        <w:t xml:space="preserve">for short term decision making), suggesting that stakeholder applicability should not be a</w:t>
      </w:r>
      <w:r>
        <w:t xml:space="preserve"> </w:t>
      </w:r>
      <w:r>
        <w:t xml:space="preserve">major problem. Finally, there is strong support from stakeholders for this kind of emissions</w:t>
      </w:r>
      <w:r>
        <w:t xml:space="preserve"> </w:t>
      </w:r>
      <w:r>
        <w:t xml:space="preserve">calculations: 21 out of 27 respondents to the stakeholder survey see the need for ex-ante</w:t>
      </w:r>
      <w:r>
        <w:t xml:space="preserve"> </w:t>
      </w:r>
      <w:r>
        <w:t xml:space="preserve">calculations</w:t>
      </w:r>
      <w:r>
        <w:br/>
      </w:r>
      <w:r>
        <w:t xml:space="preserve">Ex-ante for long term strategies</w:t>
      </w:r>
      <w:r>
        <w:br/>
      </w:r>
      <w:r>
        <w:t xml:space="preserve">CountEmissions EU will not directly address long-term strategic decisions and projections</w:t>
      </w:r>
      <w:r>
        <w:t xml:space="preserve"> </w:t>
      </w:r>
      <w:r>
        <w:t xml:space="preserve">that are based on specific methodological frameworks, and require tailor made estimations</w:t>
      </w:r>
      <w:r>
        <w:t xml:space="preserve"> </w:t>
      </w:r>
      <w:r>
        <w:t xml:space="preserve">for the future emission factors and vehicle use. Since the ex-ante calculations for long-term</w:t>
      </w:r>
      <w:r>
        <w:t xml:space="preserve"> </w:t>
      </w:r>
      <w:r>
        <w:t xml:space="preserve">scenarios do not reply to the objectives of CountEmissions EU, this characteristic is not</w:t>
      </w:r>
      <w:r>
        <w:t xml:space="preserve"> </w:t>
      </w:r>
      <w:r>
        <w:t xml:space="preserve">considered for its future reference methodology.</w:t>
      </w:r>
      <w:r>
        <w:br/>
      </w:r>
      <w:r>
        <w:t xml:space="preserve">Selected and discarded design alternatives for the methodological element ‘Use</w:t>
      </w:r>
      <w:r>
        <w:t xml:space="preserve"> </w:t>
      </w:r>
      <w:r>
        <w:t xml:space="preserve">perspective’ are presented in Table 94.</w:t>
      </w:r>
    </w:p>
    <w:p>
      <w:pPr>
        <w:pStyle w:val="BodyText"/>
      </w:pPr>
      <w:r>
        <w:t xml:space="preserve">Table 94: Selected and discarded design alternatives for the methodological element ‘Use perspective’</w:t>
      </w:r>
      <w:r>
        <w:t xml:space="preserve"> </w:t>
      </w:r>
      <w:r>
        <w:t xml:space="preserve">Selected design alternatives</w:t>
      </w:r>
      <w:r>
        <w:t xml:space="preserve"> </w:t>
      </w:r>
      <w:r>
        <w:t xml:space="preserve">Discarded design alternatives</w:t>
      </w:r>
      <w:r>
        <w:t xml:space="preserve"> </w:t>
      </w:r>
      <w:r>
        <w:t xml:space="preserve">— Ex-post</w:t>
      </w:r>
      <w:r>
        <w:t xml:space="preserve"> </w:t>
      </w:r>
      <w:r>
        <w:t xml:space="preserve">— Ex-ante for short term decision making</w:t>
      </w:r>
      <w:r>
        <w:t xml:space="preserve"> </w:t>
      </w:r>
      <w:r>
        <w:t xml:space="preserve">— Ex-ante for long term strategies</w:t>
      </w:r>
      <w:r>
        <w:t xml:space="preserve"> </w:t>
      </w:r>
      <w:r>
        <w:t xml:space="preserve">Source: Ecorys and CE Delft (2023), Impact assessment support study</w:t>
      </w:r>
      <w:r>
        <w:t xml:space="preserve"> </w:t>
      </w:r>
      <w:r>
        <w:t xml:space="preserve">Emission perspective</w:t>
      </w:r>
      <w:r>
        <w:t xml:space="preserve"> </w:t>
      </w:r>
      <w:r>
        <w:t xml:space="preserve">For the emission perspective we may distinguish three design alternatives:</w:t>
      </w:r>
      <w:r>
        <w:br/>
      </w:r>
      <w:r>
        <w:t xml:space="preserve"> Service average GHG emissions: give information on the average performance (in</w:t>
      </w:r>
      <w:r>
        <w:t xml:space="preserve"> </w:t>
      </w:r>
      <w:r>
        <w:t xml:space="preserve">terms of emissions) of a transport service from a specific transport operator. It</w:t>
      </w:r>
      <w:r>
        <w:t xml:space="preserve"> </w:t>
      </w:r>
      <w:r>
        <w:t xml:space="preserve">allows a comparison between different transport operators for a particular transport</w:t>
      </w:r>
      <w:r>
        <w:t xml:space="preserve"> </w:t>
      </w:r>
      <w:r>
        <w:t xml:space="preserve">service.</w:t>
      </w:r>
      <w:r>
        <w:br/>
      </w:r>
      <w:r>
        <w:t xml:space="preserve"> Time/situation specific average GHG emissions: take into account differences in</w:t>
      </w:r>
      <w:r>
        <w:t xml:space="preserve"> </w:t>
      </w:r>
      <w:r>
        <w:t xml:space="preserve">emission levels of a transport service over the day, e.g. due to variance in</w:t>
      </w:r>
      <w:r>
        <w:t xml:space="preserve"> </w:t>
      </w:r>
      <w:r>
        <w:t xml:space="preserve">occupation rates (higher in peak hours) or traffic situation (e.g. peak hour). This</w:t>
      </w:r>
      <w:r>
        <w:t xml:space="preserve"> </w:t>
      </w:r>
      <w:r>
        <w:t xml:space="preserve">time differentiation can be used to express the difference in the performance (in</w:t>
      </w:r>
      <w:r>
        <w:t xml:space="preserve"> </w:t>
      </w:r>
      <w:r>
        <w:t xml:space="preserve">terms of emissions) of the service over the day. In peak hours, for example, the</w:t>
      </w:r>
      <w:r>
        <w:t xml:space="preserve"> </w:t>
      </w:r>
      <w:r>
        <w:t xml:space="preserve">occupation of a train is higher than during off-peak hours, leading to lower emission</w:t>
      </w:r>
      <w:r>
        <w:t xml:space="preserve"> </w:t>
      </w:r>
      <w:r>
        <w:t xml:space="preserve">per passenger-kilometre than on average. On the other hand, a taxi will probably</w:t>
      </w:r>
      <w:r>
        <w:t xml:space="preserve"> </w:t>
      </w:r>
      <w:r>
        <w:t xml:space="preserve">have higher GHG emission per passenger kilometre in peak hours, because of</w:t>
      </w:r>
      <w:r>
        <w:t xml:space="preserve"> </w:t>
      </w:r>
      <w:r>
        <w:t xml:space="preserve">increased GHG emission per kilometre during time spent in traffic jams.</w:t>
      </w:r>
    </w:p>
    <w:p>
      <w:pPr>
        <w:pStyle w:val="BodyText"/>
      </w:pPr>
      <w:r>
        <w:t xml:space="preserve">167</w:t>
      </w:r>
    </w:p>
    <w:p>
      <w:pPr>
        <w:pStyle w:val="BodyText"/>
      </w:pPr>
      <w:r>
        <w:t xml:space="preserve"> Marginal GHG emissions: whereas average (day average or specific time average)</w:t>
      </w:r>
      <w:r>
        <w:t xml:space="preserve"> </w:t>
      </w:r>
      <w:r>
        <w:t xml:space="preserve">emissions address the efficiency of a transport service or system, marginal GHG</w:t>
      </w:r>
      <w:r>
        <w:t xml:space="preserve"> </w:t>
      </w:r>
      <w:r>
        <w:t xml:space="preserve">emissions consider the impacts of changing the utilisation of a service. Marginal</w:t>
      </w:r>
      <w:r>
        <w:t xml:space="preserve"> </w:t>
      </w:r>
      <w:r>
        <w:t xml:space="preserve">GHG emissions are defined as the extra GHG emissions as a result of an extra</w:t>
      </w:r>
      <w:r>
        <w:t xml:space="preserve"> </w:t>
      </w:r>
      <w:r>
        <w:t xml:space="preserve">passenger or extra cargo (Bigazzi, 2020). In passenger scheduled (e.g. rail</w:t>
      </w:r>
      <w:r>
        <w:t xml:space="preserve"> </w:t>
      </w:r>
      <w:r>
        <w:t xml:space="preserve">passenger) transport, the extra passenger will, on average, hardly add to the total</w:t>
      </w:r>
      <w:r>
        <w:t xml:space="preserve"> </w:t>
      </w:r>
      <w:r>
        <w:t xml:space="preserve">GHG emission (Rietveld, 2001), whereas an extra customer for a taxi will likely</w:t>
      </w:r>
      <w:r>
        <w:t xml:space="preserve"> </w:t>
      </w:r>
      <w:r>
        <w:t xml:space="preserve">have the same impact as an average taxi passenger. The marginal perspective can</w:t>
      </w:r>
      <w:r>
        <w:t xml:space="preserve"> </w:t>
      </w:r>
      <w:r>
        <w:t xml:space="preserve">be applied to both service average GHG emissions and time specific average GHG</w:t>
      </w:r>
      <w:r>
        <w:t xml:space="preserve"> </w:t>
      </w:r>
      <w:r>
        <w:t xml:space="preserve">emissions. When applied to time specific average GHG emissions, off-peak</w:t>
      </w:r>
      <w:r>
        <w:t xml:space="preserve"> </w:t>
      </w:r>
      <w:r>
        <w:t xml:space="preserve">emissions of public transport will in general be lower than during peak hours, as</w:t>
      </w:r>
      <w:r>
        <w:t xml:space="preserve"> </w:t>
      </w:r>
      <w:r>
        <w:t xml:space="preserve">these hours extra passengers in public transport might lead to extra vehicle</w:t>
      </w:r>
      <w:r>
        <w:t xml:space="preserve"> </w:t>
      </w:r>
      <w:r>
        <w:t xml:space="preserve">operations (as existing vehicles do not have capacity to transport additional</w:t>
      </w:r>
      <w:r>
        <w:t xml:space="preserve"> </w:t>
      </w:r>
      <w:r>
        <w:t xml:space="preserve">passengers), which is unlikely during off-peak hours. The marginal perspective is</w:t>
      </w:r>
      <w:r>
        <w:t xml:space="preserve"> </w:t>
      </w:r>
      <w:r>
        <w:t xml:space="preserve">particularly relevant for ex-ante GHG emission calculations, as it informs transport</w:t>
      </w:r>
      <w:r>
        <w:t xml:space="preserve"> </w:t>
      </w:r>
      <w:r>
        <w:t xml:space="preserve">service users on the impact of other transport decisions, such as switching modes</w:t>
      </w:r>
      <w:r>
        <w:t xml:space="preserve"> </w:t>
      </w:r>
      <w:r>
        <w:t xml:space="preserve">or changing departure times (Bigazzi, 2020).</w:t>
      </w:r>
      <w:r>
        <w:t xml:space="preserve"> </w:t>
      </w:r>
      <w:r>
        <w:t xml:space="preserve">Service average GHG emissions</w:t>
      </w:r>
      <w:r>
        <w:t xml:space="preserve"> </w:t>
      </w:r>
      <w:r>
        <w:t xml:space="preserve">Service average emissions are very relevant and give transport service users the possibility</w:t>
      </w:r>
      <w:r>
        <w:t xml:space="preserve"> </w:t>
      </w:r>
      <w:r>
        <w:t xml:space="preserve">to compare different transport services on their performance. When longer term (e.g. </w:t>
      </w:r>
      <w:r>
        <w:t xml:space="preserve"> </w:t>
      </w:r>
      <w:r>
        <w:t xml:space="preserve">annual) averages are used, influences of weather conditions or traffic circumstances have</w:t>
      </w:r>
      <w:r>
        <w:t xml:space="preserve"> </w:t>
      </w:r>
      <w:r>
        <w:t xml:space="preserve">no effect on the calculated emissions. The relevance of transport service average GHG</w:t>
      </w:r>
      <w:r>
        <w:t xml:space="preserve"> </w:t>
      </w:r>
      <w:r>
        <w:t xml:space="preserve">emissions is therefore high. The calculation of averages does not require a journey specific</w:t>
      </w:r>
      <w:r>
        <w:t xml:space="preserve"> </w:t>
      </w:r>
      <w:r>
        <w:t xml:space="preserve">information, and therefore the applicability, acceptability and accuracy score high. When</w:t>
      </w:r>
      <w:r>
        <w:t xml:space="preserve"> </w:t>
      </w:r>
      <w:r>
        <w:t xml:space="preserve">calculated at the service level (especially when using precise ex-post emissions data, based</w:t>
      </w:r>
      <w:r>
        <w:t xml:space="preserve"> </w:t>
      </w:r>
      <w:r>
        <w:t xml:space="preserve">on primary information), e.g. a flight from Paris to Madrid or a parcel from Berlin to</w:t>
      </w:r>
      <w:r>
        <w:t xml:space="preserve"> </w:t>
      </w:r>
      <w:r>
        <w:t xml:space="preserve">Warsaw, the average performance of operators can be fairly compared.</w:t>
      </w:r>
      <w:r>
        <w:br/>
      </w:r>
      <w:r>
        <w:t xml:space="preserve">Time/ situation specific average GHG emissions</w:t>
      </w:r>
      <w:r>
        <w:t xml:space="preserve"> </w:t>
      </w:r>
      <w:r>
        <w:t xml:space="preserve">Time specific or situation specific average GHG emissions reflect the GHG emissions of</w:t>
      </w:r>
      <w:r>
        <w:t xml:space="preserve"> </w:t>
      </w:r>
      <w:r>
        <w:t xml:space="preserve">a service under specific circumstances. For ex-post calculations it can be useful for</w:t>
      </w:r>
      <w:r>
        <w:t xml:space="preserve"> </w:t>
      </w:r>
      <w:r>
        <w:t xml:space="preserve">transport operators to understand the difference in GHG efficiency between peak hours</w:t>
      </w:r>
      <w:r>
        <w:t xml:space="preserve"> </w:t>
      </w:r>
      <w:r>
        <w:t xml:space="preserve">and off-peak hours, or the effect of weather circumstances (e.g. temperature effects on the</w:t>
      </w:r>
      <w:r>
        <w:t xml:space="preserve"> </w:t>
      </w:r>
      <w:r>
        <w:t xml:space="preserve">efficiency of electric vehicles). They can use the information to optimise operations and</w:t>
      </w:r>
      <w:r>
        <w:t xml:space="preserve"> </w:t>
      </w:r>
      <w:r>
        <w:t xml:space="preserve">improve the overall performance.</w:t>
      </w:r>
      <w:r>
        <w:br/>
      </w:r>
      <w:r>
        <w:t xml:space="preserve">Whereas time/situation specific information can be very relevant for self-assessment of a</w:t>
      </w:r>
      <w:r>
        <w:t xml:space="preserve"> </w:t>
      </w:r>
      <w:r>
        <w:t xml:space="preserve">transport operator, it might be less useful or even misleading for transport service users,</w:t>
      </w:r>
      <w:r>
        <w:t xml:space="preserve"> </w:t>
      </w:r>
      <w:r>
        <w:t xml:space="preserve">especially in the ex-ante calculation perspective. For instance, while the GHG-emissions</w:t>
      </w:r>
      <w:r>
        <w:t xml:space="preserve"> </w:t>
      </w:r>
      <w:r>
        <w:t xml:space="preserve">per passenger-kilometre of public transport are lower during peak hours (due to high</w:t>
      </w:r>
      <w:r>
        <w:t xml:space="preserve"> </w:t>
      </w:r>
      <w:r>
        <w:t xml:space="preserve">occupancy rates), it might not be favourable to attract more passengers during this time (it</w:t>
      </w:r>
      <w:r>
        <w:t xml:space="preserve"> </w:t>
      </w:r>
      <w:r>
        <w:t xml:space="preserve">may even increase the total level of GHG emissions due to higher weight of a vehicle, or</w:t>
      </w:r>
      <w:r>
        <w:t xml:space="preserve"> </w:t>
      </w:r>
      <w:r>
        <w:t xml:space="preserve">in case more vehicles have to be scheduled in peak hours to transport additional travelers).</w:t>
      </w:r>
      <w:r>
        <w:t xml:space="preserve"> </w:t>
      </w:r>
      <w:r>
        <w:t xml:space="preserve">Also, parcel delivery during peak hours might result in higher GHG emissions for this</w:t>
      </w:r>
      <w:r>
        <w:t xml:space="preserve"> </w:t>
      </w:r>
      <w:r>
        <w:t xml:space="preserve">delivery, but it still might me the best option in the overall delivery system of the transport</w:t>
      </w:r>
      <w:r>
        <w:t xml:space="preserve"> </w:t>
      </w:r>
      <w:r>
        <w:t xml:space="preserve">operator.</w:t>
      </w:r>
    </w:p>
    <w:p>
      <w:pPr>
        <w:pStyle w:val="BodyText"/>
      </w:pPr>
      <w:r>
        <w:t xml:space="preserve">168</w:t>
      </w:r>
    </w:p>
    <w:p>
      <w:pPr>
        <w:pStyle w:val="BodyText"/>
      </w:pPr>
      <w:r>
        <w:t xml:space="preserve">Therefore, based on the analysis performed in this Impact Assessment, only mediocre score</w:t>
      </w:r>
      <w:r>
        <w:t xml:space="preserve"> </w:t>
      </w:r>
      <w:r>
        <w:t xml:space="preserve">can be attributed to the relevance of time/situation specific average GHG emissions.</w:t>
      </w:r>
      <w:r>
        <w:t xml:space="preserve"> </w:t>
      </w:r>
      <w:r>
        <w:t xml:space="preserve">Similar score should be attributed to the criterion related to the applicability, as more</w:t>
      </w:r>
      <w:r>
        <w:t xml:space="preserve"> </w:t>
      </w:r>
      <w:r>
        <w:t xml:space="preserve">detailed input data is needed than for calculating the service average GHG emissions. The</w:t>
      </w:r>
      <w:r>
        <w:t xml:space="preserve"> </w:t>
      </w:r>
      <w:r>
        <w:t xml:space="preserve">acceptability will score average too, because of extra efforts that are required to generate</w:t>
      </w:r>
      <w:r>
        <w:t xml:space="preserve"> </w:t>
      </w:r>
      <w:r>
        <w:t xml:space="preserve">emissions data, and their limited relevance for transport service users. As regards the</w:t>
      </w:r>
      <w:r>
        <w:t xml:space="preserve"> </w:t>
      </w:r>
      <w:r>
        <w:t xml:space="preserve">accuracy, comparability, reproducibility and robustness, the time/situation specific average</w:t>
      </w:r>
      <w:r>
        <w:t xml:space="preserve"> </w:t>
      </w:r>
      <w:r>
        <w:t xml:space="preserve">GHG emission also score lower than service average GHG emissions, due to higher</w:t>
      </w:r>
      <w:r>
        <w:t xml:space="preserve"> </w:t>
      </w:r>
      <w:r>
        <w:t xml:space="preserve">complexity and additional choices that need to be made, and which can lead to significant</w:t>
      </w:r>
      <w:r>
        <w:t xml:space="preserve"> </w:t>
      </w:r>
      <w:r>
        <w:t xml:space="preserve">differences between the GHG emissions outputs (e.g. depending on the definition of peak</w:t>
      </w:r>
      <w:r>
        <w:t xml:space="preserve"> </w:t>
      </w:r>
      <w:r>
        <w:t xml:space="preserve">hours or allocation of fuel to different traffic situations).</w:t>
      </w:r>
      <w:r>
        <w:t xml:space="preserve"> </w:t>
      </w:r>
      <w:r>
        <w:t xml:space="preserve">Marginal GHG emissions</w:t>
      </w:r>
      <w:r>
        <w:t xml:space="preserve"> </w:t>
      </w:r>
      <w:r>
        <w:t xml:space="preserve">Marginal emissions are relevant to inform transport service users on the effect of their</w:t>
      </w:r>
      <w:r>
        <w:t xml:space="preserve"> </w:t>
      </w:r>
      <w:r>
        <w:t xml:space="preserve">choices for a certain transport mode or a certain transport service operator. The</w:t>
      </w:r>
      <w:r>
        <w:t xml:space="preserve"> </w:t>
      </w:r>
      <w:r>
        <w:t xml:space="preserve">applicability of marginal emissions, however, very much depends on the specific situation</w:t>
      </w:r>
      <w:r>
        <w:t xml:space="preserve"> </w:t>
      </w:r>
      <w:r>
        <w:t xml:space="preserve">and vary by context. For public transport, the difference between the average emissions</w:t>
      </w:r>
      <w:r>
        <w:t xml:space="preserve"> </w:t>
      </w:r>
      <w:r>
        <w:t xml:space="preserve">and the marginal emissions will, for example, depend on the population density of the area</w:t>
      </w:r>
      <w:r>
        <w:t xml:space="preserve"> </w:t>
      </w:r>
      <w:r>
        <w:t xml:space="preserve">where the transport services is provided, the density of the transport network, the actual</w:t>
      </w:r>
      <w:r>
        <w:t xml:space="preserve"> </w:t>
      </w:r>
      <w:r>
        <w:t xml:space="preserve">occupancy rates and traffic conditions e.g. during rush hour and off-peak. The calculation</w:t>
      </w:r>
      <w:r>
        <w:t xml:space="preserve"> </w:t>
      </w:r>
      <w:r>
        <w:t xml:space="preserve">of such marginal emissions may require a broad set of specific data and possibly specific</w:t>
      </w:r>
      <w:r>
        <w:t xml:space="preserve"> </w:t>
      </w:r>
      <w:r>
        <w:t xml:space="preserve">elasticity factors, giving the relation between vehicle use and passenger demand. The</w:t>
      </w:r>
      <w:r>
        <w:t xml:space="preserve"> </w:t>
      </w:r>
      <w:r>
        <w:t xml:space="preserve">calculations are therefore very complex and burdensome, thus negatively affecting the</w:t>
      </w:r>
      <w:r>
        <w:t xml:space="preserve"> </w:t>
      </w:r>
      <w:r>
        <w:t xml:space="preserve">applicability and acceptability of this design alternative. A method to calculate marginal</w:t>
      </w:r>
      <w:r>
        <w:t xml:space="preserve"> </w:t>
      </w:r>
      <w:r>
        <w:t xml:space="preserve">emissions is not yet broadly established and is still subject to scientific research.</w:t>
      </w:r>
      <w:r>
        <w:t xml:space="preserve"> </w:t>
      </w:r>
      <w:r>
        <w:t xml:space="preserve">Consequently, the accuracy, comparability, and reproducibility are given the average score</w:t>
      </w:r>
      <w:r>
        <w:t xml:space="preserve"> </w:t>
      </w:r>
      <w:r>
        <w:t xml:space="preserve">too. In addition, to provide correct values, the elasticity values and input data need be</w:t>
      </w:r>
      <w:r>
        <w:t xml:space="preserve"> </w:t>
      </w:r>
      <w:r>
        <w:t xml:space="preserve">monitored on permanent basis, resulting in a low score on robustness.</w:t>
      </w:r>
      <w:r>
        <w:t xml:space="preserve"> </w:t>
      </w:r>
      <w:r>
        <w:t xml:space="preserve">As shown in Table 95, the preferred design alternative for CountEmissions EU is the one</w:t>
      </w:r>
      <w:r>
        <w:t xml:space="preserve"> </w:t>
      </w:r>
      <w:r>
        <w:t xml:space="preserve">related to the service average GHG emissions.</w:t>
      </w:r>
    </w:p>
    <w:p>
      <w:pPr>
        <w:pStyle w:val="BodyText"/>
      </w:pPr>
      <w:r>
        <w:t xml:space="preserve">Table 95: Selected and discarded design alternatives for the methodological element ‘Emission perspective’</w:t>
      </w:r>
      <w:r>
        <w:t xml:space="preserve"> </w:t>
      </w:r>
      <w:r>
        <w:t xml:space="preserve">Selected design alternatives</w:t>
      </w:r>
      <w:r>
        <w:t xml:space="preserve"> </w:t>
      </w:r>
      <w:r>
        <w:t xml:space="preserve">Discarded design alternatives</w:t>
      </w:r>
      <w:r>
        <w:t xml:space="preserve"> </w:t>
      </w:r>
      <w:r>
        <w:t xml:space="preserve">— Service average GHG emissions</w:t>
      </w:r>
      <w:r>
        <w:t xml:space="preserve"> </w:t>
      </w:r>
      <w:r>
        <w:t xml:space="preserve">— Time/situation specific average GHG</w:t>
      </w:r>
      <w:r>
        <w:t xml:space="preserve"> </w:t>
      </w:r>
      <w:r>
        <w:t xml:space="preserve">emissions</w:t>
      </w:r>
      <w:r>
        <w:br/>
      </w:r>
      <w:r>
        <w:t xml:space="preserve">— Marginal GHG emissions</w:t>
      </w:r>
      <w:r>
        <w:t xml:space="preserve"> </w:t>
      </w:r>
      <w:r>
        <w:t xml:space="preserve">Source: Ecorys and CE Delft (2023), Impact assessment support study</w:t>
      </w:r>
      <w:r>
        <w:t xml:space="preserve"> </w:t>
      </w:r>
      <w:r>
        <w:t xml:space="preserve">However, given the specific case of comparative claims between the passenger scheduled</w:t>
      </w:r>
      <w:r>
        <w:t xml:space="preserve"> </w:t>
      </w:r>
      <w:r>
        <w:t xml:space="preserve">service and on-demand passenger service (such as taxi), additional consideration should</w:t>
      </w:r>
      <w:r>
        <w:t xml:space="preserve"> </w:t>
      </w:r>
      <w:r>
        <w:t xml:space="preserve">be made for the ex ante comparison of the scheduled passenger services and the on-</w:t>
      </w:r>
      <w:r>
        <w:t xml:space="preserve"> </w:t>
      </w:r>
      <w:r>
        <w:t xml:space="preserve">demand services, where applying the average based approach may give an undue</w:t>
      </w:r>
      <w:r>
        <w:t xml:space="preserve"> </w:t>
      </w:r>
      <w:r>
        <w:t xml:space="preserve">advantage to the latter.</w:t>
      </w:r>
      <w:r>
        <w:br/>
      </w:r>
      <w:r>
        <w:t xml:space="preserve">b) Cluster “Emission calculation method and allocation to transport services”</w:t>
      </w:r>
    </w:p>
    <w:p>
      <w:pPr>
        <w:pStyle w:val="BodyText"/>
      </w:pPr>
      <w:r>
        <w:t xml:space="preserve">169</w:t>
      </w:r>
    </w:p>
    <w:p>
      <w:pPr>
        <w:pStyle w:val="BodyText"/>
      </w:pPr>
      <w:r>
        <w:t xml:space="preserve">Minimum level of granularity of emission calculation</w:t>
      </w:r>
      <w:r>
        <w:t xml:space="preserve"> </w:t>
      </w:r>
      <w:r>
        <w:t xml:space="preserve">GHG emission accounting can be performed with different granularity, which is important</w:t>
      </w:r>
      <w:r>
        <w:t xml:space="preserve"> </w:t>
      </w:r>
      <w:r>
        <w:t xml:space="preserve">to allow for the comparability of data. The granularity defines the minimum level of</w:t>
      </w:r>
      <w:r>
        <w:t xml:space="preserve"> </w:t>
      </w:r>
      <w:r>
        <w:t xml:space="preserve">transport activity for which the energy consumption needs to be distinguished. The</w:t>
      </w:r>
      <w:r>
        <w:t xml:space="preserve"> </w:t>
      </w:r>
      <w:r>
        <w:t xml:space="preserve">following levels of granularity have been identified:</w:t>
      </w:r>
      <w:r>
        <w:t xml:space="preserve"> </w:t>
      </w:r>
      <w:r>
        <w:t xml:space="preserve"> Total GHG emissions of transport operator;</w:t>
      </w:r>
      <w:r>
        <w:t xml:space="preserve"> </w:t>
      </w:r>
      <w:r>
        <w:t xml:space="preserve"> Total GHG emissions of transport service user of organiser;</w:t>
      </w:r>
      <w:r>
        <w:t xml:space="preserve"> </w:t>
      </w:r>
      <w:r>
        <w:t xml:space="preserve"> Total GHG of hub operator;</w:t>
      </w:r>
      <w:r>
        <w:t xml:space="preserve"> </w:t>
      </w:r>
      <w:r>
        <w:t xml:space="preserve"> Transport service type278;</w:t>
      </w:r>
      <w:r>
        <w:br/>
      </w:r>
      <w:r>
        <w:t xml:space="preserve"> Transport chain element279.</w:t>
      </w:r>
      <w:r>
        <w:t xml:space="preserve"> </w:t>
      </w:r>
      <w:r>
        <w:t xml:space="preserve"> Single vehicle;</w:t>
      </w:r>
      <w:r>
        <w:t xml:space="preserve"> </w:t>
      </w:r>
      <w:r>
        <w:t xml:space="preserve"> Individual trip;</w:t>
      </w:r>
      <w:r>
        <w:t xml:space="preserve"> </w:t>
      </w:r>
      <w:r>
        <w:t xml:space="preserve">Total emission of transport operator, hub operator and transport service user or organiser</w:t>
      </w:r>
      <w:r>
        <w:br/>
      </w:r>
      <w:r>
        <w:t xml:space="preserve">Total emissions of a transport service operator and hub operator can be calculated</w:t>
      </w:r>
      <w:r>
        <w:t xml:space="preserve"> </w:t>
      </w:r>
      <w:r>
        <w:t xml:space="preserve">relatively easily and accurately from the energy consumption. This reasoning also broadly</w:t>
      </w:r>
      <w:r>
        <w:t xml:space="preserve"> </w:t>
      </w:r>
      <w:r>
        <w:t xml:space="preserve">applies to transport organisers or users, but in these cases more efforts are needed to</w:t>
      </w:r>
      <w:r>
        <w:t xml:space="preserve"> </w:t>
      </w:r>
      <w:r>
        <w:t xml:space="preserve">quantify emissions, and the output may be less accurate especially when modelled or</w:t>
      </w:r>
      <w:r>
        <w:t xml:space="preserve"> </w:t>
      </w:r>
      <w:r>
        <w:t xml:space="preserve">default values are used. Although information on total emissions at the company level is</w:t>
      </w:r>
      <w:r>
        <w:t xml:space="preserve"> </w:t>
      </w:r>
      <w:r>
        <w:t xml:space="preserve">relevant for the general monitoring purpose, it is useless for the comparability needs, as</w:t>
      </w:r>
      <w:r>
        <w:t xml:space="preserve"> </w:t>
      </w:r>
      <w:r>
        <w:t xml:space="preserve">transport activities of individual companies vary significantly. This design alternative has</w:t>
      </w:r>
      <w:r>
        <w:t xml:space="preserve"> </w:t>
      </w:r>
      <w:r>
        <w:t xml:space="preserve">therefore been discarded for CountEmissions EU.</w:t>
      </w:r>
      <w:r>
        <w:t xml:space="preserve"> </w:t>
      </w:r>
      <w:r>
        <w:t xml:space="preserve">Transport service type</w:t>
      </w:r>
      <w:r>
        <w:t xml:space="preserve"> </w:t>
      </w:r>
      <w:r>
        <w:t xml:space="preserve">When company data are differentiated per type of service (rail, road, container transport,</w:t>
      </w:r>
      <w:r>
        <w:t xml:space="preserve"> </w:t>
      </w:r>
      <w:r>
        <w:t xml:space="preserve">etc.), they are better comparable with other services of similar kind. GHG data generated</w:t>
      </w:r>
      <w:r>
        <w:t xml:space="preserve"> </w:t>
      </w:r>
      <w:r>
        <w:t xml:space="preserve">at this level also give useful information on the efficiency of a given service. Also, in this</w:t>
      </w:r>
      <w:r>
        <w:t xml:space="preserve"> </w:t>
      </w:r>
      <w:r>
        <w:t xml:space="preserve">case, energy consumption figures or default data and models are available for the emissions</w:t>
      </w:r>
      <w:r>
        <w:t xml:space="preserve"> </w:t>
      </w:r>
      <w:r>
        <w:t xml:space="preserve">calculation, thus scoring high on the applicability and acceptability. This level of</w:t>
      </w:r>
      <w:r>
        <w:t xml:space="preserve"> </w:t>
      </w:r>
      <w:r>
        <w:t xml:space="preserve">granularity was supported in the stakeholders’ survey, where 16 out of 28 respondents</w:t>
      </w:r>
      <w:r>
        <w:t xml:space="preserve"> </w:t>
      </w:r>
      <w:r>
        <w:t xml:space="preserve">(57%) mentioned the service type as the preferred level of granularity. However, at the</w:t>
      </w:r>
      <w:r>
        <w:t xml:space="preserve"> </w:t>
      </w:r>
      <w:r>
        <w:t xml:space="preserve">generic service type level, the emissions cannot be specified for a particular service user,</w:t>
      </w:r>
      <w:r>
        <w:t xml:space="preserve"> </w:t>
      </w:r>
      <w:r>
        <w:t xml:space="preserve">and therefore not sufficient neither relevant for CountEmissions EU.</w:t>
      </w:r>
    </w:p>
    <w:p>
      <w:pPr>
        <w:pStyle w:val="BodyText"/>
      </w:pPr>
      <w:r>
        <w:t xml:space="preserve">278 Transport service type can be, for example: rail transport, container transport or delivery of packages.</w:t>
      </w:r>
      <w:r>
        <w:br/>
      </w:r>
      <w:r>
        <w:t xml:space="preserve">Transport services might include multiple modes and hub operations. Transport service users provide</w:t>
      </w:r>
      <w:r>
        <w:t xml:space="preserve"> </w:t>
      </w:r>
      <w:r>
        <w:t xml:space="preserve">transport services that include the transport of passengers or goods from A to B.</w:t>
      </w:r>
      <w:r>
        <w:br/>
      </w:r>
      <w:r>
        <w:t xml:space="preserve">279 A transport chain element is the transport between two hubs with a single mode. Transport modes can be</w:t>
      </w:r>
      <w:r>
        <w:t xml:space="preserve"> </w:t>
      </w:r>
      <w:r>
        <w:t xml:space="preserve">changed at hubs.</w:t>
      </w:r>
    </w:p>
    <w:p>
      <w:pPr>
        <w:pStyle w:val="BodyText"/>
      </w:pPr>
      <w:r>
        <w:t xml:space="preserve">170</w:t>
      </w:r>
    </w:p>
    <w:p>
      <w:pPr>
        <w:pStyle w:val="BodyText"/>
      </w:pPr>
      <w:r>
        <w:t xml:space="preserve">Transport chain elements/ leg (service level)</w:t>
      </w:r>
      <w:r>
        <w:t xml:space="preserve"> </w:t>
      </w:r>
      <w:r>
        <w:t xml:space="preserve">Breaking down the GHG emission to leg level, means that a company should monitor the</w:t>
      </w:r>
      <w:r>
        <w:t xml:space="preserve"> </w:t>
      </w:r>
      <w:r>
        <w:t xml:space="preserve">fuel consumption of transport between to hubs (or hubs and destination). Also, some</w:t>
      </w:r>
      <w:r>
        <w:t xml:space="preserve"> </w:t>
      </w:r>
      <w:r>
        <w:t xml:space="preserve">variance in the definition of transport leg is possible. For example, it can be differentiated</w:t>
      </w:r>
      <w:r>
        <w:t xml:space="preserve"> </w:t>
      </w:r>
      <w:r>
        <w:t xml:space="preserve">between different types of destinations (e.g. destinations in the inner city, the suburbs and</w:t>
      </w:r>
      <w:r>
        <w:t xml:space="preserve"> </w:t>
      </w:r>
      <w:r>
        <w:t xml:space="preserve">outside the city). This level of granularity is applied by most of the general methods</w:t>
      </w:r>
      <w:r>
        <w:t xml:space="preserve"> </w:t>
      </w:r>
      <w:r>
        <w:t xml:space="preserve">(covering all modes) and it is also used in combination with the data on transport</w:t>
      </w:r>
      <w:r>
        <w:t xml:space="preserve"> </w:t>
      </w:r>
      <w:r>
        <w:t xml:space="preserve">performance on a particular leg, as the basis of allocation (see the next item). It is therefore</w:t>
      </w:r>
      <w:r>
        <w:t xml:space="preserve"> </w:t>
      </w:r>
      <w:r>
        <w:t xml:space="preserve">very relevant. This level of granularity does require more efforts for calculation, as more</w:t>
      </w:r>
      <w:r>
        <w:t xml:space="preserve"> </w:t>
      </w:r>
      <w:r>
        <w:t xml:space="preserve">differentiation in the data is needed, but allows for a good comparability between GHG</w:t>
      </w:r>
      <w:r>
        <w:t xml:space="preserve"> </w:t>
      </w:r>
      <w:r>
        <w:t xml:space="preserve">emissions outputs, at the level of a transport service and service user specific.</w:t>
      </w:r>
      <w:r>
        <w:br/>
      </w:r>
      <w:r>
        <w:t xml:space="preserve">Single vehicle level</w:t>
      </w:r>
      <w:r>
        <w:t xml:space="preserve"> </w:t>
      </w:r>
      <w:r>
        <w:t xml:space="preserve">Emissions at single vehicle level are relevant for monitoring GHG efficiency and can be</w:t>
      </w:r>
      <w:r>
        <w:t xml:space="preserve"> </w:t>
      </w:r>
      <w:r>
        <w:t xml:space="preserve">used to feed data to be generated at other levels. Fuel consumption, for instance, can be</w:t>
      </w:r>
      <w:r>
        <w:t xml:space="preserve"> </w:t>
      </w:r>
      <w:r>
        <w:t xml:space="preserve">monitored via refuelling data or on-board computer data, which is relatively easy and</w:t>
      </w:r>
      <w:r>
        <w:t xml:space="preserve"> </w:t>
      </w:r>
      <w:r>
        <w:t xml:space="preserve">accurate. Information stemming from the single vehicle granularity level may in some</w:t>
      </w:r>
      <w:r>
        <w:t xml:space="preserve"> </w:t>
      </w:r>
      <w:r>
        <w:t xml:space="preserve">cases feed in quantifying emissions at the operational level, but since it does not directly</w:t>
      </w:r>
      <w:r>
        <w:t xml:space="preserve"> </w:t>
      </w:r>
      <w:r>
        <w:t xml:space="preserve">allow for comparison between competing transport services, it would be discarded as a</w:t>
      </w:r>
      <w:r>
        <w:t xml:space="preserve"> </w:t>
      </w:r>
      <w:r>
        <w:t xml:space="preserve">design alternative for the common reference methodology.</w:t>
      </w:r>
      <w:r>
        <w:br/>
      </w:r>
      <w:r>
        <w:t xml:space="preserve">Individual trip</w:t>
      </w:r>
      <w:r>
        <w:br/>
      </w:r>
      <w:r>
        <w:t xml:space="preserve">Calculation at the level of individual trips may also be relevant and useful for</w:t>
      </w:r>
      <w:r>
        <w:t xml:space="preserve"> </w:t>
      </w:r>
      <w:r>
        <w:t xml:space="preserve">CountEmissions EU framework. However, it should be noted that the resulting data do not</w:t>
      </w:r>
      <w:r>
        <w:t xml:space="preserve"> </w:t>
      </w:r>
      <w:r>
        <w:t xml:space="preserve">provide a good representation of the transport service at average, thus affecting the</w:t>
      </w:r>
      <w:r>
        <w:t xml:space="preserve"> </w:t>
      </w:r>
      <w:r>
        <w:t xml:space="preserve">comparability between various services. For instance, the emissions generated at the level</w:t>
      </w:r>
      <w:r>
        <w:t xml:space="preserve"> </w:t>
      </w:r>
      <w:r>
        <w:t xml:space="preserve">of an individual trip may substantially depart from typical emissions from this service due</w:t>
      </w:r>
      <w:r>
        <w:t xml:space="preserve"> </w:t>
      </w:r>
      <w:r>
        <w:t xml:space="preserve">to an accident or other unexpected event taking place while performing the operation. In</w:t>
      </w:r>
      <w:r>
        <w:t xml:space="preserve"> </w:t>
      </w:r>
      <w:r>
        <w:t xml:space="preserve">addition, this approach requires substantial effort to allocate the fuel consumption of a</w:t>
      </w:r>
      <w:r>
        <w:t xml:space="preserve"> </w:t>
      </w:r>
      <w:r>
        <w:t xml:space="preserve">vehicle to a specific trip. The relevance, acceptability and accuracy are therefore lower</w:t>
      </w:r>
      <w:r>
        <w:t xml:space="preserve"> </w:t>
      </w:r>
      <w:r>
        <w:t xml:space="preserve">than for the granularity at transport chain element level.</w:t>
      </w:r>
      <w:r>
        <w:t xml:space="preserve"> </w:t>
      </w:r>
      <w:r>
        <w:t xml:space="preserve">Per activity at hub</w:t>
      </w:r>
      <w:r>
        <w:t xml:space="preserve"> </w:t>
      </w:r>
      <w:r>
        <w:t xml:space="preserve">For hubs the comparability GHG emissions data is higher when emissions are expressed</w:t>
      </w:r>
      <w:r>
        <w:t xml:space="preserve"> </w:t>
      </w:r>
      <w:r>
        <w:t xml:space="preserve">per activity and therefore this alternative was retained for CountEmissions EU. This level</w:t>
      </w:r>
      <w:r>
        <w:t xml:space="preserve"> </w:t>
      </w:r>
      <w:r>
        <w:t xml:space="preserve">of granularity requires however, that energy consumption per type of machine or activity</w:t>
      </w:r>
      <w:r>
        <w:t xml:space="preserve"> </w:t>
      </w:r>
      <w:r>
        <w:t xml:space="preserve">is monitored or that these data are available otherwise (via a model or defaults).</w:t>
      </w:r>
      <w:r>
        <w:br/>
      </w:r>
      <w:r>
        <w:t xml:space="preserve">Based on the analysis two alternatives are selected for CountEmissions EU, as shown in</w:t>
      </w:r>
      <w:r>
        <w:t xml:space="preserve"> </w:t>
      </w:r>
      <w:r>
        <w:t xml:space="preserve">Table 96.</w:t>
      </w:r>
    </w:p>
    <w:p>
      <w:pPr>
        <w:pStyle w:val="BodyText"/>
      </w:pPr>
      <w:r>
        <w:t xml:space="preserve">171</w:t>
      </w:r>
    </w:p>
    <w:p>
      <w:pPr>
        <w:pStyle w:val="BodyText"/>
      </w:pPr>
      <w:r>
        <w:t xml:space="preserve">Table 96: Selected and discarded design alternatives for the methodological element ‘Minimum level of granularity of</w:t>
      </w:r>
      <w:r>
        <w:t xml:space="preserve"> </w:t>
      </w:r>
      <w:r>
        <w:t xml:space="preserve">emission calculation’</w:t>
      </w:r>
      <w:r>
        <w:t xml:space="preserve"> </w:t>
      </w:r>
      <w:r>
        <w:t xml:space="preserve">Selected design alternatives</w:t>
      </w:r>
      <w:r>
        <w:t xml:space="preserve"> </w:t>
      </w:r>
      <w:r>
        <w:t xml:space="preserve">Discarded design alternatives</w:t>
      </w:r>
      <w:r>
        <w:t xml:space="preserve"> </w:t>
      </w:r>
      <w:r>
        <w:t xml:space="preserve">— Transport chain element (service level)</w:t>
      </w:r>
      <w:r>
        <w:t xml:space="preserve"> </w:t>
      </w:r>
      <w:r>
        <w:t xml:space="preserve">— GHG emissions per activity</w:t>
      </w:r>
      <w:r>
        <w:br/>
      </w:r>
      <w:r>
        <w:t xml:space="preserve">— Total GHG emissions of transport operator</w:t>
      </w:r>
      <w:r>
        <w:t xml:space="preserve"> </w:t>
      </w:r>
      <w:r>
        <w:t xml:space="preserve">and/or hub operator</w:t>
      </w:r>
      <w:r>
        <w:t xml:space="preserve"> </w:t>
      </w:r>
      <w:r>
        <w:t xml:space="preserve">— Total GHG emissions of transport service user</w:t>
      </w:r>
      <w:r>
        <w:t xml:space="preserve"> </w:t>
      </w:r>
      <w:r>
        <w:t xml:space="preserve">or organiser</w:t>
      </w:r>
      <w:r>
        <w:t xml:space="preserve"> </w:t>
      </w:r>
      <w:r>
        <w:t xml:space="preserve">— Transport service type</w:t>
      </w:r>
      <w:r>
        <w:t xml:space="preserve"> </w:t>
      </w:r>
      <w:r>
        <w:t xml:space="preserve">— Single vehicle</w:t>
      </w:r>
      <w:r>
        <w:br/>
      </w:r>
      <w:r>
        <w:t xml:space="preserve">— Individual trip</w:t>
      </w:r>
      <w:r>
        <w:t xml:space="preserve"> </w:t>
      </w:r>
      <w:r>
        <w:t xml:space="preserve">Source: Ecorys and CE Delft (2023), Impact assessment support study</w:t>
      </w:r>
      <w:r>
        <w:t xml:space="preserve"> </w:t>
      </w:r>
      <w:r>
        <w:t xml:space="preserve">Parameter for the allocation to transport services</w:t>
      </w:r>
      <w:r>
        <w:t xml:space="preserve"> </w:t>
      </w:r>
      <w:r>
        <w:t xml:space="preserve">The emissions generated by a transport activity can be derived from a measurement of the</w:t>
      </w:r>
      <w:r>
        <w:t xml:space="preserve"> </w:t>
      </w:r>
      <w:r>
        <w:t xml:space="preserve">consumed fuel, but can also be estimated by multiplying the actually driven distance with</w:t>
      </w:r>
      <w:r>
        <w:t xml:space="preserve"> </w:t>
      </w:r>
      <w:r>
        <w:t xml:space="preserve">an emission factor that is representative for the type of vehicle and transport mode that is</w:t>
      </w:r>
      <w:r>
        <w:t xml:space="preserve"> </w:t>
      </w:r>
      <w:r>
        <w:t xml:space="preserve">used. The distance unit (kilometres) can be measured including the concepts of actually</w:t>
      </w:r>
      <w:r>
        <w:t xml:space="preserve"> </w:t>
      </w:r>
      <w:r>
        <w:t xml:space="preserve">driven distance (ADD), great circle distance (GCD), and shortest feasible distance</w:t>
      </w:r>
      <w:r>
        <w:t xml:space="preserve"> </w:t>
      </w:r>
      <w:r>
        <w:t xml:space="preserve">(SFD)280:</w:t>
      </w:r>
      <w:r>
        <w:t xml:space="preserve"> </w:t>
      </w:r>
      <w:r>
        <w:t xml:space="preserve"> Actually Driven Distance is the distance driven by the vehicle. This distance can</w:t>
      </w:r>
      <w:r>
        <w:t xml:space="preserve"> </w:t>
      </w:r>
      <w:r>
        <w:t xml:space="preserve">be for instance measured by the vehicle’s odometer.</w:t>
      </w:r>
      <w:r>
        <w:br/>
      </w:r>
      <w:r>
        <w:t xml:space="preserve"> Great Circle Distance. The great circle distance is the shortest distance between</w:t>
      </w:r>
      <w:r>
        <w:t xml:space="preserve"> </w:t>
      </w:r>
      <w:r>
        <w:t xml:space="preserve">two points on the surface of the Earth, measured along the surface of the Earth. It</w:t>
      </w:r>
      <w:r>
        <w:t xml:space="preserve"> </w:t>
      </w:r>
      <w:r>
        <w:t xml:space="preserve">is also known as the “as the crow flies” distance: this distance does not consider</w:t>
      </w:r>
      <w:r>
        <w:t xml:space="preserve"> </w:t>
      </w:r>
      <w:r>
        <w:t xml:space="preserve">any infrastructure, so two points are connected directly, as if there is a straight road</w:t>
      </w:r>
      <w:r>
        <w:t xml:space="preserve"> </w:t>
      </w:r>
      <w:r>
        <w:t xml:space="preserve">between them. The GCD is associated with the net transport work independent of</w:t>
      </w:r>
      <w:r>
        <w:t xml:space="preserve"> </w:t>
      </w:r>
      <w:r>
        <w:t xml:space="preserve">the operational details, such as the chosen modality, infrastructure density and</w:t>
      </w:r>
      <w:r>
        <w:t xml:space="preserve"> </w:t>
      </w:r>
      <w:r>
        <w:t xml:space="preserve">routing of the goods flow. It is considered the most suitable measure for distance</w:t>
      </w:r>
      <w:r>
        <w:t xml:space="preserve"> </w:t>
      </w:r>
      <w:r>
        <w:t xml:space="preserve">especially for long haul intercontinental trips.</w:t>
      </w:r>
      <w:r>
        <w:br/>
      </w:r>
      <w:r>
        <w:t xml:space="preserve"> Shortest Feasible Distance is the shortest distance between two places on a mode-</w:t>
      </w:r>
      <w:r>
        <w:t xml:space="preserve"> </w:t>
      </w:r>
      <w:r>
        <w:t xml:space="preserve">specific network. The SFD may not be the most optimal route as it may include</w:t>
      </w:r>
      <w:r>
        <w:t xml:space="preserve"> </w:t>
      </w:r>
      <w:r>
        <w:t xml:space="preserve">slow moving streets, or toll roads. The advantage of the SFD is that it is easily</w:t>
      </w:r>
      <w:r>
        <w:t xml:space="preserve"> </w:t>
      </w:r>
      <w:r>
        <w:t xml:space="preserve">understood, that it can be computed ex-ante and that under certain conditions it is</w:t>
      </w:r>
      <w:r>
        <w:t xml:space="preserve"> </w:t>
      </w:r>
      <w:r>
        <w:t xml:space="preserve">the same for all users that use the same software to compute it. Computation of</w:t>
      </w:r>
      <w:r>
        <w:t xml:space="preserve"> </w:t>
      </w:r>
      <w:r>
        <w:t xml:space="preserve">SFD depends on the software implementation, state of infrastructure and implicit</w:t>
      </w:r>
      <w:r>
        <w:t xml:space="preserve"> </w:t>
      </w:r>
      <w:r>
        <w:t xml:space="preserve">assumptions, such as avoidance of city centres281.</w:t>
      </w:r>
      <w:r>
        <w:t xml:space="preserve"> </w:t>
      </w:r>
      <w:r>
        <w:t xml:space="preserve">To fulfil the objectives of CountEmissions EU, the selected method should allow for the</w:t>
      </w:r>
      <w:r>
        <w:t xml:space="preserve"> </w:t>
      </w:r>
      <w:r>
        <w:t xml:space="preserve">allocation of GHG emissions data from transport activities to specific users. In case there</w:t>
      </w:r>
    </w:p>
    <w:p>
      <w:pPr>
        <w:pStyle w:val="BodyText"/>
      </w:pPr>
      <w:r>
        <w:t xml:space="preserve">280 TNO, 2021</w:t>
      </w:r>
      <w:r>
        <w:t xml:space="preserve"> </w:t>
      </w:r>
      <w:r>
        <w:t xml:space="preserve">281 idem</w:t>
      </w:r>
    </w:p>
    <w:p>
      <w:pPr>
        <w:pStyle w:val="BodyText"/>
      </w:pPr>
      <w:r>
        <w:t xml:space="preserve">172</w:t>
      </w:r>
    </w:p>
    <w:p>
      <w:pPr>
        <w:pStyle w:val="BodyText"/>
      </w:pPr>
      <w:r>
        <w:t xml:space="preserve">are a number of users in the same transport chain, this allocation should be performed in a</w:t>
      </w:r>
      <w:r>
        <w:t xml:space="preserve"> </w:t>
      </w:r>
      <w:r>
        <w:t xml:space="preserve">correct and balanced way.</w:t>
      </w:r>
      <w:r>
        <w:br/>
      </w:r>
      <w:r>
        <w:t xml:space="preserve">There are different metrics identified from the current methods that have been taken into</w:t>
      </w:r>
      <w:r>
        <w:t xml:space="preserve"> </w:t>
      </w:r>
      <w:r>
        <w:t xml:space="preserve">account for the analysis:</w:t>
      </w:r>
      <w:r>
        <w:t xml:space="preserve"> </w:t>
      </w:r>
      <w:r>
        <w:t xml:space="preserve"> Tonne-km: the amount of freight in tonnes multiplied by the actual distance over</w:t>
      </w:r>
      <w:r>
        <w:t xml:space="preserve"> </w:t>
      </w:r>
      <w:r>
        <w:t xml:space="preserve">which it is transported;</w:t>
      </w:r>
      <w:r>
        <w:t xml:space="preserve"> </w:t>
      </w:r>
      <w:r>
        <w:t xml:space="preserve"> Passenger-km: the number of passenger multiplied by the actual distances (in km)</w:t>
      </w:r>
      <w:r>
        <w:t xml:space="preserve"> </w:t>
      </w:r>
      <w:r>
        <w:t xml:space="preserve">over which they are transported;</w:t>
      </w:r>
      <w:r>
        <w:t xml:space="preserve"> </w:t>
      </w:r>
      <w:r>
        <w:t xml:space="preserve"> Tonne-km SFD: the amount of freight in tonnes multiplied by the shortest feasible</w:t>
      </w:r>
      <w:r>
        <w:t xml:space="preserve"> </w:t>
      </w:r>
      <w:r>
        <w:t xml:space="preserve">distance (SFD) between origin and destination;</w:t>
      </w:r>
      <w:r>
        <w:t xml:space="preserve"> </w:t>
      </w:r>
      <w:r>
        <w:t xml:space="preserve"> Passenger-km SFD: the number of passengers multiplied by the shortest feasible</w:t>
      </w:r>
      <w:r>
        <w:t xml:space="preserve"> </w:t>
      </w:r>
      <w:r>
        <w:t xml:space="preserve">distance (SFD) between origin and destination;</w:t>
      </w:r>
      <w:r>
        <w:t xml:space="preserve"> </w:t>
      </w:r>
      <w:r>
        <w:t xml:space="preserve"> Tonne-km GCD: the amount of freight in tonnes multiplied by the shortest feasible</w:t>
      </w:r>
      <w:r>
        <w:t xml:space="preserve"> </w:t>
      </w:r>
      <w:r>
        <w:t xml:space="preserve">distance (GCD) between origin and destination;</w:t>
      </w:r>
      <w:r>
        <w:t xml:space="preserve"> </w:t>
      </w:r>
      <w:r>
        <w:t xml:space="preserve"> Passenger-km GCD: the number of passengers multiplied by the shortest feasible</w:t>
      </w:r>
      <w:r>
        <w:t xml:space="preserve"> </w:t>
      </w:r>
      <w:r>
        <w:t xml:space="preserve">distance (GCD) between origin and destination.</w:t>
      </w:r>
      <w:r>
        <w:t xml:space="preserve"> </w:t>
      </w:r>
      <w:r>
        <w:t xml:space="preserve">Tonne-km and passenger-km (real/ SFD or GCD) concepts are used across all investigated</w:t>
      </w:r>
      <w:r>
        <w:t xml:space="preserve"> </w:t>
      </w:r>
      <w:r>
        <w:t xml:space="preserve">methods, as the standard allocation parameters.</w:t>
      </w:r>
      <w:r>
        <w:t xml:space="preserve"> </w:t>
      </w:r>
      <w:r>
        <w:t xml:space="preserve">Real tonne-km and passenger-km</w:t>
      </w:r>
      <w:r>
        <w:t xml:space="preserve"> </w:t>
      </w:r>
      <w:r>
        <w:t xml:space="preserve">Allocation of emission based on real passenger- or tonne-kilometre is quite common and</w:t>
      </w:r>
      <w:r>
        <w:t xml:space="preserve"> </w:t>
      </w:r>
      <w:r>
        <w:t xml:space="preserve">therefore applicable and acceptable. However, the calculation based on the real tonne-</w:t>
      </w:r>
      <w:r>
        <w:t xml:space="preserve"> </w:t>
      </w:r>
      <w:r>
        <w:t xml:space="preserve">kilometres can be difficult for multimodal transport or multiple distribution trips, as it</w:t>
      </w:r>
      <w:r>
        <w:t xml:space="preserve"> </w:t>
      </w:r>
      <w:r>
        <w:t xml:space="preserve">requires the monitoring of the real driven kilometres per delivery. Moreover the allocation</w:t>
      </w:r>
      <w:r>
        <w:t xml:space="preserve"> </w:t>
      </w:r>
      <w:r>
        <w:t xml:space="preserve">in a delivery round, quite arbitrary, depends on the way the route is driven, and therefore</w:t>
      </w:r>
      <w:r>
        <w:t xml:space="preserve"> </w:t>
      </w:r>
      <w:r>
        <w:t xml:space="preserve">the services at the end of a distribution round may get allocated more GHG emissions. For</w:t>
      </w:r>
      <w:r>
        <w:t xml:space="preserve"> </w:t>
      </w:r>
      <w:r>
        <w:t xml:space="preserve">(public) passenger transport it is often easier to monitor real passenger kilometres as trains</w:t>
      </w:r>
      <w:r>
        <w:t xml:space="preserve"> </w:t>
      </w:r>
      <w:r>
        <w:t xml:space="preserve">and public transport busses drive the same routes every time, which makes the metric also</w:t>
      </w:r>
      <w:r>
        <w:t xml:space="preserve"> </w:t>
      </w:r>
      <w:r>
        <w:t xml:space="preserve">more accurate and reproducible. On the other hand, GHG intensity factors based on real</w:t>
      </w:r>
      <w:r>
        <w:t xml:space="preserve"> </w:t>
      </w:r>
      <w:r>
        <w:t xml:space="preserve">passenger-kilometres or tonne-kilometres do not allow for a good comparison on</w:t>
      </w:r>
      <w:r>
        <w:t xml:space="preserve"> </w:t>
      </w:r>
      <w:r>
        <w:t xml:space="preserve">efficiency, as emissions generated on detouring will not be properly reflected282.</w:t>
      </w:r>
      <w:r>
        <w:br/>
      </w:r>
      <w:r>
        <w:t xml:space="preserve">Tonne-km SFD and passenger-km SFD</w:t>
      </w:r>
      <w:r>
        <w:t xml:space="preserve"> </w:t>
      </w:r>
      <w:r>
        <w:t xml:space="preserve">Applying the allocation based on tonne-km SFD is already included in some of the current</w:t>
      </w:r>
      <w:r>
        <w:t xml:space="preserve"> </w:t>
      </w:r>
      <w:r>
        <w:t xml:space="preserve">GHG methodologies, such as GLEC, and the concept ISO 14083. The method proves to</w:t>
      </w:r>
      <w:r>
        <w:t xml:space="preserve"> </w:t>
      </w:r>
      <w:r>
        <w:t xml:space="preserve">be easily applicable as no detailed routing data are needed (score 1). In addition, based on</w:t>
      </w:r>
      <w:r>
        <w:t xml:space="preserve"> </w:t>
      </w:r>
      <w:r>
        <w:t xml:space="preserve">the discussion with the stakeholders, it appears that is may also feature high on the</w:t>
      </w:r>
    </w:p>
    <w:p>
      <w:pPr>
        <w:pStyle w:val="BodyText"/>
      </w:pPr>
      <w:r>
        <w:t xml:space="preserve">282 McKinnon, 2015; TNO, 2021</w:t>
      </w:r>
    </w:p>
    <w:p>
      <w:pPr>
        <w:pStyle w:val="BodyText"/>
      </w:pPr>
      <w:r>
        <w:t xml:space="preserve">173</w:t>
      </w:r>
    </w:p>
    <w:p>
      <w:pPr>
        <w:pStyle w:val="BodyText"/>
      </w:pPr>
      <w:r>
        <w:t xml:space="preserve">acceptability criterion, although the methods is not commonly known and practiced in the</w:t>
      </w:r>
      <w:r>
        <w:t xml:space="preserve"> </w:t>
      </w:r>
      <w:r>
        <w:t xml:space="preserve">transport sector, especially in the passenger segment. The allocation based on tonne-km</w:t>
      </w:r>
      <w:r>
        <w:t xml:space="preserve"> </w:t>
      </w:r>
      <w:r>
        <w:t xml:space="preserve">SFD or passenger-km SFD is independent of the actual route, and may improve accuracy,</w:t>
      </w:r>
      <w:r>
        <w:t xml:space="preserve"> </w:t>
      </w:r>
      <w:r>
        <w:t xml:space="preserve">comparability, and reproducibility as compared to real-passenger and tonne-km. Shortest</w:t>
      </w:r>
      <w:r>
        <w:t xml:space="preserve"> </w:t>
      </w:r>
      <w:r>
        <w:t xml:space="preserve">feasible distance can be interpreted in different ways though, and may depend on the route</w:t>
      </w:r>
      <w:r>
        <w:t xml:space="preserve"> </w:t>
      </w:r>
      <w:r>
        <w:t xml:space="preserve">planner, the mode of transport and the moment in time.</w:t>
      </w:r>
      <w:r>
        <w:br/>
      </w:r>
      <w:r>
        <w:t xml:space="preserve">Tonne-km GCD and passenger-km GCD</w:t>
      </w:r>
      <w:r>
        <w:t xml:space="preserve"> </w:t>
      </w:r>
      <w:r>
        <w:t xml:space="preserve">The allocation based on tonne-km GCD is already included in a number of current GHG</w:t>
      </w:r>
      <w:r>
        <w:t xml:space="preserve"> </w:t>
      </w:r>
      <w:r>
        <w:t xml:space="preserve">emissions accounting methodologies, such as GLEC, Topsector Logistics, and the concept</w:t>
      </w:r>
      <w:r>
        <w:t xml:space="preserve"> </w:t>
      </w:r>
      <w:r>
        <w:t xml:space="preserve">ISO 14083. It also features in some of the emissions calculation tools, including BigMile.</w:t>
      </w:r>
      <w:r>
        <w:t xml:space="preserve"> </w:t>
      </w:r>
      <w:r>
        <w:t xml:space="preserve">The method is assessed as being easily applicable, as no detailed routing data are needed.</w:t>
      </w:r>
      <w:r>
        <w:t xml:space="preserve"> </w:t>
      </w:r>
      <w:r>
        <w:t xml:space="preserve">Similarly as for the SFD, the acceptability for the freight segment can be scored a bit higher</w:t>
      </w:r>
      <w:r>
        <w:t xml:space="preserve"> </w:t>
      </w:r>
      <w:r>
        <w:t xml:space="preserve">than for the passenger one, the reason being that for the latter the allocation of passenger-</w:t>
      </w:r>
      <w:r>
        <w:t xml:space="preserve"> </w:t>
      </w:r>
      <w:r>
        <w:t xml:space="preserve">km based on passenger-km GCD is not being practised yet, except in aviation (mostly to</w:t>
      </w:r>
      <w:r>
        <w:t xml:space="preserve"> </w:t>
      </w:r>
      <w:r>
        <w:t xml:space="preserve">make the repartition between passengers and freight). Allocation based on tonne-km GCD</w:t>
      </w:r>
      <w:r>
        <w:t xml:space="preserve"> </w:t>
      </w:r>
      <w:r>
        <w:t xml:space="preserve">or passenger-km GCD improves accuracy, comparability, and reproducibility compared to</w:t>
      </w:r>
      <w:r>
        <w:t xml:space="preserve"> </w:t>
      </w:r>
      <w:r>
        <w:t xml:space="preserve">real-passenger and tonne-km, and also to the SFD metrics, as the great circle distance</w:t>
      </w:r>
      <w:r>
        <w:t xml:space="preserve"> </w:t>
      </w:r>
      <w:r>
        <w:t xml:space="preserve">between two locations is a constant factor and does not depend on route planners, new</w:t>
      </w:r>
      <w:r>
        <w:t xml:space="preserve"> </w:t>
      </w:r>
      <w:r>
        <w:t xml:space="preserve">infrastructure or modes. When Great Circle Distance is applied then only one interpretation</w:t>
      </w:r>
      <w:r>
        <w:t xml:space="preserve"> </w:t>
      </w:r>
      <w:r>
        <w:t xml:space="preserve">of the metrics is possible giving high accuracy, comparability reproducibility and</w:t>
      </w:r>
      <w:r>
        <w:t xml:space="preserve"> </w:t>
      </w:r>
      <w:r>
        <w:t xml:space="preserve">robustness (TNO, 2021).</w:t>
      </w:r>
      <w:r>
        <w:br/>
      </w:r>
      <w:r>
        <w:t xml:space="preserve">Based on the analysis of the various allocation parameters, all but the real tonne-km are</w:t>
      </w:r>
      <w:r>
        <w:t xml:space="preserve"> </w:t>
      </w:r>
      <w:r>
        <w:t xml:space="preserve">selected as design alternatives for CountEmissions EU.</w:t>
      </w:r>
    </w:p>
    <w:p>
      <w:pPr>
        <w:pStyle w:val="BodyText"/>
      </w:pPr>
      <w:r>
        <w:t xml:space="preserve">Table 97: Selected and discarded design alternatives for the methodological element ‘Allocation parameter’</w:t>
      </w:r>
      <w:r>
        <w:t xml:space="preserve"> </w:t>
      </w:r>
      <w:r>
        <w:t xml:space="preserve">Selected design alternatives</w:t>
      </w:r>
      <w:r>
        <w:t xml:space="preserve"> </w:t>
      </w:r>
      <w:r>
        <w:t xml:space="preserve">Discarded design alternatives</w:t>
      </w:r>
      <w:r>
        <w:t xml:space="preserve"> </w:t>
      </w:r>
      <w:r>
        <w:t xml:space="preserve">— Real passenger-km</w:t>
      </w:r>
      <w:r>
        <w:t xml:space="preserve"> </w:t>
      </w:r>
      <w:r>
        <w:t xml:space="preserve">— Tonne-km SFD and passenger-km SFD</w:t>
      </w:r>
      <w:r>
        <w:t xml:space="preserve"> </w:t>
      </w:r>
      <w:r>
        <w:t xml:space="preserve">— Tonne-km GCD and passenger-km GCD</w:t>
      </w:r>
      <w:r>
        <w:br/>
      </w:r>
      <w:r>
        <w:t xml:space="preserve">— Real tonne kilometre</w:t>
      </w:r>
      <w:r>
        <w:t xml:space="preserve"> </w:t>
      </w:r>
      <w:r>
        <w:t xml:space="preserve">Source: Ecorys and CE Delft (2023), Impact assessment support study</w:t>
      </w:r>
      <w:r>
        <w:t xml:space="preserve"> </w:t>
      </w:r>
      <w:r>
        <w:t xml:space="preserve">Granularity for the allocation to transport services</w:t>
      </w:r>
      <w:r>
        <w:t xml:space="preserve"> </w:t>
      </w:r>
      <w:r>
        <w:t xml:space="preserve">The allocation granularity is closely correlated with the granularity of emission calculation.</w:t>
      </w:r>
      <w:r>
        <w:t xml:space="preserve"> </w:t>
      </w:r>
      <w:r>
        <w:t xml:space="preserve">However, while the latter gives the level at which fuel/emissions information needs to be</w:t>
      </w:r>
      <w:r>
        <w:t xml:space="preserve"> </w:t>
      </w:r>
      <w:r>
        <w:t xml:space="preserve">collected, the allocation granularity defines at which level the emission/fuel should be</w:t>
      </w:r>
      <w:r>
        <w:t xml:space="preserve"> </w:t>
      </w:r>
      <w:r>
        <w:t xml:space="preserve">allocated to services. As shown above, the emissions from a transport service provider can</w:t>
      </w:r>
      <w:r>
        <w:t xml:space="preserve"> </w:t>
      </w:r>
      <w:r>
        <w:t xml:space="preserve">be allocated based on passenger-km or tonne-km per client. However, this allocation can</w:t>
      </w:r>
      <w:r>
        <w:t xml:space="preserve"> </w:t>
      </w:r>
      <w:r>
        <w:t xml:space="preserve">be also made from a different perspective, namely:</w:t>
      </w:r>
      <w:r>
        <w:br/>
      </w:r>
      <w:r>
        <w:t xml:space="preserve"> at the company level (e.g. average for transport company);</w:t>
      </w:r>
      <w:r>
        <w:t xml:space="preserve"> </w:t>
      </w:r>
      <w:r>
        <w:t xml:space="preserve"> at the transport leg level (e.g. average between hubs);</w:t>
      </w:r>
      <w:r>
        <w:t xml:space="preserve"> </w:t>
      </w:r>
      <w:r>
        <w:t xml:space="preserve"> at the trip level - journey specific.</w:t>
      </w:r>
    </w:p>
    <w:p>
      <w:pPr>
        <w:pStyle w:val="BodyText"/>
      </w:pPr>
      <w:r>
        <w:t xml:space="preserve">174</w:t>
      </w:r>
    </w:p>
    <w:p>
      <w:pPr>
        <w:pStyle w:val="BodyText"/>
      </w:pPr>
      <w:r>
        <w:t xml:space="preserve">The company level (e.g. the average for a transport company)</w:t>
      </w:r>
      <w:r>
        <w:t xml:space="preserve"> </w:t>
      </w:r>
      <w:r>
        <w:t xml:space="preserve">Allocation of total emissions at the company level provides no data on the emissions</w:t>
      </w:r>
      <w:r>
        <w:t xml:space="preserve"> </w:t>
      </w:r>
      <w:r>
        <w:t xml:space="preserve">related to a specific transport service. Company level calculations are not complex, as no</w:t>
      </w:r>
      <w:r>
        <w:t xml:space="preserve"> </w:t>
      </w:r>
      <w:r>
        <w:t xml:space="preserve">detailed input on fuel consumption of a given service or trip is needed. Acceptability and</w:t>
      </w:r>
      <w:r>
        <w:t xml:space="preserve"> </w:t>
      </w:r>
      <w:r>
        <w:t xml:space="preserve">applicability of this alternative is therefore high amongst the transport operators, and</w:t>
      </w:r>
      <w:r>
        <w:t xml:space="preserve"> </w:t>
      </w:r>
      <w:r>
        <w:t xml:space="preserve">stakeholders in general. However, since the results cannot be generated for a specific</w:t>
      </w:r>
      <w:r>
        <w:t xml:space="preserve"> </w:t>
      </w:r>
      <w:r>
        <w:t xml:space="preserve">service, this option scores very low on the accuracy, comparability and relevance.</w:t>
      </w:r>
      <w:r>
        <w:t xml:space="preserve"> </w:t>
      </w:r>
      <w:r>
        <w:t xml:space="preserve">Consequently, it will not be taken into account for CountEmissions EU.</w:t>
      </w:r>
      <w:r>
        <w:br/>
      </w:r>
      <w:r>
        <w:t xml:space="preserve">Transport leg level (e.g. average between hubs.)</w:t>
      </w:r>
      <w:r>
        <w:t xml:space="preserve"> </w:t>
      </w:r>
      <w:r>
        <w:t xml:space="preserve">Between hubs, where transport activities are performed with similar vehicle types, the</w:t>
      </w:r>
      <w:r>
        <w:t xml:space="preserve"> </w:t>
      </w:r>
      <w:r>
        <w:t xml:space="preserve">GHG intensity factors calculated for the allocation are usually representative for the</w:t>
      </w:r>
      <w:r>
        <w:t xml:space="preserve"> </w:t>
      </w:r>
      <w:r>
        <w:t xml:space="preserve">specific type of a service, and can be compared to other ones involving similar activities.</w:t>
      </w:r>
      <w:r>
        <w:t xml:space="preserve"> </w:t>
      </w:r>
      <w:r>
        <w:t xml:space="preserve">The relevance of this allocation is therefore high, provided that data on fuel consumption</w:t>
      </w:r>
      <w:r>
        <w:t xml:space="preserve"> </w:t>
      </w:r>
      <w:r>
        <w:t xml:space="preserve">is also detailed at the leg level. These data can be available for most companies, and tools</w:t>
      </w:r>
      <w:r>
        <w:t xml:space="preserve"> </w:t>
      </w:r>
      <w:r>
        <w:t xml:space="preserve">to perform this kind of allocation are already in use (e.g. BigMile). This option provides a</w:t>
      </w:r>
      <w:r>
        <w:t xml:space="preserve"> </w:t>
      </w:r>
      <w:r>
        <w:t xml:space="preserve">good insight in the network performance of an operator, and is quite well reflects actual</w:t>
      </w:r>
      <w:r>
        <w:t xml:space="preserve"> </w:t>
      </w:r>
      <w:r>
        <w:t xml:space="preserve">emissions generated by a specific service, with high accuracy and comparability.</w:t>
      </w:r>
      <w:r>
        <w:t xml:space="preserve"> </w:t>
      </w:r>
      <w:r>
        <w:t xml:space="preserve">Trip level - journey specific</w:t>
      </w:r>
      <w:r>
        <w:t xml:space="preserve"> </w:t>
      </w:r>
      <w:r>
        <w:t xml:space="preserve">Trip level allocation provides more detailed information on emissions generated during the</w:t>
      </w:r>
      <w:r>
        <w:t xml:space="preserve"> </w:t>
      </w:r>
      <w:r>
        <w:t xml:space="preserve">specific trip, and often reflect specific elements, such as weather and traffic conditions.</w:t>
      </w:r>
      <w:r>
        <w:t xml:space="preserve"> </w:t>
      </w:r>
      <w:r>
        <w:t xml:space="preserve">This results in a high score on the accuracy. Allocation at the trip level requires however</w:t>
      </w:r>
      <w:r>
        <w:t xml:space="preserve"> </w:t>
      </w:r>
      <w:r>
        <w:t xml:space="preserve">the provision of detailed information, e.g. on fuel consumption for this particular trip,</w:t>
      </w:r>
      <w:r>
        <w:t xml:space="preserve"> </w:t>
      </w:r>
      <w:r>
        <w:t xml:space="preserve">which makes this option less applicable and acceptable by stakeholders.</w:t>
      </w:r>
      <w:r>
        <w:br/>
      </w:r>
      <w:r>
        <w:t xml:space="preserve">To conclude, to compare various transport services, the average performance at the leg</w:t>
      </w:r>
      <w:r>
        <w:t xml:space="preserve"> </w:t>
      </w:r>
      <w:r>
        <w:t xml:space="preserve">level is sufficient to provide valuable and relevant information, and hence it is most</w:t>
      </w:r>
      <w:r>
        <w:t xml:space="preserve"> </w:t>
      </w:r>
      <w:r>
        <w:t xml:space="preserve">relevant for the needs of CountEmissions EU. The allocation at the trip level might be</w:t>
      </w:r>
      <w:r>
        <w:t xml:space="preserve"> </w:t>
      </w:r>
      <w:r>
        <w:t xml:space="preserve">however considered in special cases, especially where more detailed service performance</w:t>
      </w:r>
      <w:r>
        <w:t xml:space="preserve"> </w:t>
      </w:r>
      <w:r>
        <w:t xml:space="preserve">data is required.</w:t>
      </w:r>
    </w:p>
    <w:p>
      <w:pPr>
        <w:pStyle w:val="BodyText"/>
      </w:pPr>
      <w:r>
        <w:t xml:space="preserve">Table 98: Selected and discarded design alternatives for the methodological element ‘Allocation granularity’</w:t>
      </w:r>
      <w:r>
        <w:t xml:space="preserve"> </w:t>
      </w:r>
      <w:r>
        <w:t xml:space="preserve">Selected design alternatives</w:t>
      </w:r>
      <w:r>
        <w:t xml:space="preserve"> </w:t>
      </w:r>
      <w:r>
        <w:t xml:space="preserve">Discarded design alternatives</w:t>
      </w:r>
      <w:r>
        <w:t xml:space="preserve"> </w:t>
      </w:r>
      <w:r>
        <w:t xml:space="preserve">— Transport leg level</w:t>
      </w:r>
      <w:r>
        <w:t xml:space="preserve"> </w:t>
      </w:r>
      <w:r>
        <w:t xml:space="preserve">— Trip level – journey specific</w:t>
      </w:r>
      <w:r>
        <w:br/>
      </w:r>
      <w:r>
        <w:t xml:space="preserve">— Company level</w:t>
      </w:r>
      <w:r>
        <w:t xml:space="preserve"> </w:t>
      </w:r>
      <w:r>
        <w:t xml:space="preserve">Source: Ecorys and CE Delft (2023), Impact assessment support study</w:t>
      </w:r>
      <w:r>
        <w:t xml:space="preserve"> </w:t>
      </w:r>
      <w:r>
        <w:t xml:space="preserve">Flexibility in the calculation method</w:t>
      </w:r>
      <w:r>
        <w:t xml:space="preserve"> </w:t>
      </w:r>
      <w:r>
        <w:t xml:space="preserve">A number of the available methods allow for a significant level of flexibility for choosing</w:t>
      </w:r>
      <w:r>
        <w:t xml:space="preserve"> </w:t>
      </w:r>
      <w:r>
        <w:t xml:space="preserve">relevant methodological elements while calculating emissions. In this respect, several</w:t>
      </w:r>
      <w:r>
        <w:t xml:space="preserve"> </w:t>
      </w:r>
      <w:r>
        <w:t xml:space="preserve">distinctive approaches may be considered under CountEmissions EU, to account for</w:t>
      </w:r>
      <w:r>
        <w:t xml:space="preserve"> </w:t>
      </w:r>
      <w:r>
        <w:t xml:space="preserve">specific requirements regarding the choice of these methodological elements:</w:t>
      </w:r>
    </w:p>
    <w:p>
      <w:pPr>
        <w:pStyle w:val="BodyText"/>
      </w:pPr>
      <w:r>
        <w:t xml:space="preserve">175</w:t>
      </w:r>
    </w:p>
    <w:p>
      <w:pPr>
        <w:pStyle w:val="BodyText"/>
      </w:pPr>
      <w:r>
        <w:t xml:space="preserve"> The user can choose a methodological element from a predefined list, without</w:t>
      </w:r>
      <w:r>
        <w:t xml:space="preserve"> </w:t>
      </w:r>
      <w:r>
        <w:t xml:space="preserve">further restrictions;</w:t>
      </w:r>
      <w:r>
        <w:t xml:space="preserve"> </w:t>
      </w:r>
      <w:r>
        <w:t xml:space="preserve"> The choice of a methodological element depends on the stakeholder group applying</w:t>
      </w:r>
      <w:r>
        <w:t xml:space="preserve"> </w:t>
      </w:r>
      <w:r>
        <w:t xml:space="preserve">the calculations, and is adapted to data availability and common practice of this</w:t>
      </w:r>
      <w:r>
        <w:t xml:space="preserve"> </w:t>
      </w:r>
      <w:r>
        <w:t xml:space="preserve">stakeholder group;</w:t>
      </w:r>
      <w:r>
        <w:t xml:space="preserve"> </w:t>
      </w:r>
      <w:r>
        <w:t xml:space="preserve"> The available methodological elements are ranked from most preferable to least</w:t>
      </w:r>
      <w:r>
        <w:t xml:space="preserve"> </w:t>
      </w:r>
      <w:r>
        <w:t xml:space="preserve">preferable choices. These elements are labelled to express the quality of the</w:t>
      </w:r>
      <w:r>
        <w:t xml:space="preserve"> </w:t>
      </w:r>
      <w:r>
        <w:t xml:space="preserve">method.</w:t>
      </w:r>
      <w:r>
        <w:br/>
      </w:r>
      <w:r>
        <w:t xml:space="preserve"> The methodological element with best accuracy, reproducibility and comparability</w:t>
      </w:r>
      <w:r>
        <w:t xml:space="preserve"> </w:t>
      </w:r>
      <w:r>
        <w:t xml:space="preserve">is prescribed for all users.</w:t>
      </w:r>
      <w:r>
        <w:br/>
      </w:r>
      <w:r>
        <w:t xml:space="preserve">The different design alternatives related to the “Flexibility in the calculation method” and</w:t>
      </w:r>
      <w:r>
        <w:t xml:space="preserve"> </w:t>
      </w:r>
      <w:r>
        <w:t xml:space="preserve">their scores on the respective assessment criteria are discussed in more detail below.</w:t>
      </w:r>
      <w:r>
        <w:t xml:space="preserve"> </w:t>
      </w:r>
      <w:r>
        <w:t xml:space="preserve">The user can choose the methodological element from a predefined list without further</w:t>
      </w:r>
      <w:r>
        <w:t xml:space="preserve"> </w:t>
      </w:r>
      <w:r>
        <w:t xml:space="preserve">restrictions</w:t>
      </w:r>
      <w:r>
        <w:t xml:space="preserve"> </w:t>
      </w:r>
      <w:r>
        <w:t xml:space="preserve">Some of the current GHG methodologies allow more than one calculation choice. For</w:t>
      </w:r>
      <w:r>
        <w:t xml:space="preserve"> </w:t>
      </w:r>
      <w:r>
        <w:t xml:space="preserve">example, CEN EN 16258 recommends calculation on real distance metrics, but also</w:t>
      </w:r>
      <w:r>
        <w:t xml:space="preserve"> </w:t>
      </w:r>
      <w:r>
        <w:t xml:space="preserve">accepts SFD or GCD concepts for the distribution calculations. The applicability and</w:t>
      </w:r>
      <w:r>
        <w:t xml:space="preserve"> </w:t>
      </w:r>
      <w:r>
        <w:t xml:space="preserve">acceptability are therefore high, as this alternative allows users that are already applying a</w:t>
      </w:r>
      <w:r>
        <w:t xml:space="preserve"> </w:t>
      </w:r>
      <w:r>
        <w:t xml:space="preserve">specific methodological element to continue it without excessive hassle and</w:t>
      </w:r>
      <w:r>
        <w:t xml:space="preserve"> </w:t>
      </w:r>
      <w:r>
        <w:t xml:space="preserve">implementation costs. On the other hand, this approach very often leads to increased</w:t>
      </w:r>
      <w:r>
        <w:t xml:space="preserve"> </w:t>
      </w:r>
      <w:r>
        <w:t xml:space="preserve">ambiguity and may be considered as potentially hindering the comparability and</w:t>
      </w:r>
      <w:r>
        <w:t xml:space="preserve"> </w:t>
      </w:r>
      <w:r>
        <w:t xml:space="preserve">reproducibility of the emissions output data (TNO, 2021). Therefore, this design option</w:t>
      </w:r>
      <w:r>
        <w:t xml:space="preserve"> </w:t>
      </w:r>
      <w:r>
        <w:t xml:space="preserve">has not been considered for CountEmissions EU.</w:t>
      </w:r>
      <w:r>
        <w:t xml:space="preserve"> </w:t>
      </w:r>
      <w:r>
        <w:t xml:space="preserve">The required calculation option depends on the stakeholder group applying the calculations</w:t>
      </w:r>
      <w:r>
        <w:br/>
      </w:r>
      <w:r>
        <w:t xml:space="preserve">The choice of a certain methodological element can also be differentiated according to the</w:t>
      </w:r>
      <w:r>
        <w:t xml:space="preserve"> </w:t>
      </w:r>
      <w:r>
        <w:t xml:space="preserve">type of users and their capability of performing calculations. For example, passenger</w:t>
      </w:r>
      <w:r>
        <w:t xml:space="preserve"> </w:t>
      </w:r>
      <w:r>
        <w:t xml:space="preserve">transport service operators may use actual data to express CO2-intensity values for the</w:t>
      </w:r>
      <w:r>
        <w:t xml:space="preserve"> </w:t>
      </w:r>
      <w:r>
        <w:t xml:space="preserve">allocation of emissions, whereas freight transport service operators may be required to use</w:t>
      </w:r>
      <w:r>
        <w:t xml:space="preserve"> </w:t>
      </w:r>
      <w:r>
        <w:t xml:space="preserve">intensity values based on SFD or GCD. This design alternative would have a good</w:t>
      </w:r>
      <w:r>
        <w:t xml:space="preserve"> </w:t>
      </w:r>
      <w:r>
        <w:t xml:space="preserve">acceptability and applicability amongst users as it shows a high degree of adaptability. Due</w:t>
      </w:r>
      <w:r>
        <w:t xml:space="preserve"> </w:t>
      </w:r>
      <w:r>
        <w:t xml:space="preserve">to better alignment in the method amongst stakeholders performing similar type of</w:t>
      </w:r>
      <w:r>
        <w:t xml:space="preserve"> </w:t>
      </w:r>
      <w:r>
        <w:t xml:space="preserve">activities, the accuracy, comparability and reproducibility of the resulting GHG emissions</w:t>
      </w:r>
      <w:r>
        <w:t xml:space="preserve"> </w:t>
      </w:r>
      <w:r>
        <w:t xml:space="preserve">data would score higher than in the first alternative above, at least for the individual</w:t>
      </w:r>
      <w:r>
        <w:t xml:space="preserve"> </w:t>
      </w:r>
      <w:r>
        <w:t xml:space="preserve">stakeholders’ groups.</w:t>
      </w:r>
      <w:r>
        <w:br/>
      </w:r>
      <w:r>
        <w:t xml:space="preserve">The calculation options are ranked from most preferable to least preferable (and labelled)</w:t>
      </w:r>
      <w:r>
        <w:br/>
      </w:r>
      <w:r>
        <w:t xml:space="preserve">Most of the current methods allow for more than one calculation alternative, but clearly</w:t>
      </w:r>
      <w:r>
        <w:t xml:space="preserve"> </w:t>
      </w:r>
      <w:r>
        <w:t xml:space="preserve">state a preference for one of the choices offered. For example, the concept ISO 14083</w:t>
      </w:r>
      <w:r>
        <w:t xml:space="preserve"> </w:t>
      </w:r>
      <w:r>
        <w:t xml:space="preserve">recommends the use of GHG emissions of energy production infrastructure, but allows</w:t>
      </w:r>
      <w:r>
        <w:t xml:space="preserve"> </w:t>
      </w:r>
      <w:r>
        <w:t xml:space="preserve">leaving them out when the underlying data are not available. The acceptability and</w:t>
      </w:r>
    </w:p>
    <w:p>
      <w:pPr>
        <w:pStyle w:val="BodyText"/>
      </w:pPr>
      <w:r>
        <w:t xml:space="preserve">176</w:t>
      </w:r>
    </w:p>
    <w:p>
      <w:pPr>
        <w:pStyle w:val="BodyText"/>
      </w:pPr>
      <w:r>
        <w:t xml:space="preserve">applicability therefore score well, and the accuracy, comparability and reproducibility are</w:t>
      </w:r>
      <w:r>
        <w:t xml:space="preserve"> </w:t>
      </w:r>
      <w:r>
        <w:t xml:space="preserve">marked at the same level as in the previous alternative</w:t>
      </w:r>
      <w:r>
        <w:t xml:space="preserve"> </w:t>
      </w:r>
      <w:r>
        <w:t xml:space="preserve">For this design alternative one may also consider that these preferences are labelled, clearly</w:t>
      </w:r>
      <w:r>
        <w:t xml:space="preserve"> </w:t>
      </w:r>
      <w:r>
        <w:t xml:space="preserve">differentiating between the best choice and the less preferred, alternative ones. This</w:t>
      </w:r>
      <w:r>
        <w:t xml:space="preserve"> </w:t>
      </w:r>
      <w:r>
        <w:t xml:space="preserve">approach would create additional incentives for the methodology users to adopt the best</w:t>
      </w:r>
      <w:r>
        <w:t xml:space="preserve"> </w:t>
      </w:r>
      <w:r>
        <w:t xml:space="preserve">quality label at the most convenient time..</w:t>
      </w:r>
      <w:r>
        <w:br/>
      </w:r>
      <w:r>
        <w:t xml:space="preserve">The calculation alternative with best accuracy, reproducibility and comparability is</w:t>
      </w:r>
      <w:r>
        <w:t xml:space="preserve"> </w:t>
      </w:r>
      <w:r>
        <w:t xml:space="preserve">mandated for all users</w:t>
      </w:r>
      <w:r>
        <w:t xml:space="preserve"> </w:t>
      </w:r>
      <w:r>
        <w:t xml:space="preserve">This alternative mandates the most relevant methodological elements, enabling accuracy,</w:t>
      </w:r>
      <w:r>
        <w:t xml:space="preserve"> </w:t>
      </w:r>
      <w:r>
        <w:t xml:space="preserve">comparability and reproducibility of the GHG emissions data. However, the mandatory</w:t>
      </w:r>
      <w:r>
        <w:t xml:space="preserve"> </w:t>
      </w:r>
      <w:r>
        <w:t xml:space="preserve">component would likely translate in slightly lower acceptability and applicability by the</w:t>
      </w:r>
      <w:r>
        <w:t xml:space="preserve"> </w:t>
      </w:r>
      <w:r>
        <w:t xml:space="preserve">stakeholders. On the other hand, some specific requirements might apply as from a certain</w:t>
      </w:r>
      <w:r>
        <w:t xml:space="preserve"> </w:t>
      </w:r>
      <w:r>
        <w:t xml:space="preserve">date, and this date may be possibly differentiated for certain stakeholders’ groups.</w:t>
      </w:r>
      <w:r>
        <w:t xml:space="preserve"> </w:t>
      </w:r>
      <w:r>
        <w:t xml:space="preserve">Based on the attributed scores the last three design alternatives were selected for the</w:t>
      </w:r>
      <w:r>
        <w:t xml:space="preserve"> </w:t>
      </w:r>
      <w:r>
        <w:t xml:space="preserve">analysis of the most relevant reference GHG accounting methodology to be applied under</w:t>
      </w:r>
      <w:r>
        <w:t xml:space="preserve"> </w:t>
      </w:r>
      <w:r>
        <w:t xml:space="preserve">CountEmissions EU.</w:t>
      </w:r>
      <w:r>
        <w:t xml:space="preserve"> </w:t>
      </w:r>
      <w:r>
        <w:t xml:space="preserve">Table 99: Selected and discarded design alternatives for the methodological element ‘Flexibility in the calculation</w:t>
      </w:r>
      <w:r>
        <w:t xml:space="preserve"> </w:t>
      </w:r>
      <w:r>
        <w:t xml:space="preserve">method’</w:t>
      </w:r>
      <w:r>
        <w:t xml:space="preserve"> </w:t>
      </w:r>
      <w:r>
        <w:t xml:space="preserve">Selected design alternatives</w:t>
      </w:r>
      <w:r>
        <w:t xml:space="preserve"> </w:t>
      </w:r>
      <w:r>
        <w:t xml:space="preserve">Discarded design alternatives</w:t>
      </w:r>
      <w:r>
        <w:t xml:space="preserve"> </w:t>
      </w:r>
      <w:r>
        <w:t xml:space="preserve">— The required calculation option depends on the</w:t>
      </w:r>
      <w:r>
        <w:t xml:space="preserve"> </w:t>
      </w:r>
      <w:r>
        <w:t xml:space="preserve">stakeholder group applying the calculations</w:t>
      </w:r>
      <w:r>
        <w:br/>
      </w:r>
      <w:r>
        <w:t xml:space="preserve">— The calculation options are ranked from most</w:t>
      </w:r>
      <w:r>
        <w:t xml:space="preserve"> </w:t>
      </w:r>
      <w:r>
        <w:t xml:space="preserve">preferable to least preferable (and labelled)</w:t>
      </w:r>
      <w:r>
        <w:t xml:space="preserve"> </w:t>
      </w:r>
      <w:r>
        <w:t xml:space="preserve">— The calculation alternative with best accuracy,</w:t>
      </w:r>
      <w:r>
        <w:t xml:space="preserve"> </w:t>
      </w:r>
      <w:r>
        <w:t xml:space="preserve">reproducibility and comparability is mandated</w:t>
      </w:r>
      <w:r>
        <w:t xml:space="preserve"> </w:t>
      </w:r>
      <w:r>
        <w:t xml:space="preserve">for all users</w:t>
      </w:r>
      <w:r>
        <w:t xml:space="preserve"> </w:t>
      </w:r>
      <w:r>
        <w:t xml:space="preserve">— The user can choose the methodological</w:t>
      </w:r>
      <w:r>
        <w:t xml:space="preserve"> </w:t>
      </w:r>
      <w:r>
        <w:t xml:space="preserve">element from a predefined list without further</w:t>
      </w:r>
      <w:r>
        <w:t xml:space="preserve"> </w:t>
      </w:r>
      <w:r>
        <w:t xml:space="preserve">restrictions</w:t>
      </w:r>
      <w:r>
        <w:t xml:space="preserve"> </w:t>
      </w:r>
      <w:r>
        <w:t xml:space="preserve">Source: Ecorys and CE Delft (2023), Impact assessment support study</w:t>
      </w:r>
      <w:r>
        <w:t xml:space="preserve"> </w:t>
      </w:r>
      <w:r>
        <w:t xml:space="preserve">c) Preferred methodological design alternatives</w:t>
      </w:r>
      <w:r>
        <w:t xml:space="preserve"> </w:t>
      </w:r>
      <w:r>
        <w:t xml:space="preserve">Table 100 gives an overview of all 42 design alternatives, distinguished between those</w:t>
      </w:r>
      <w:r>
        <w:t xml:space="preserve"> </w:t>
      </w:r>
      <w:r>
        <w:t xml:space="preserve">selected as the most appropriate (green) and those that were discarded (orange) for defining</w:t>
      </w:r>
      <w:r>
        <w:t xml:space="preserve"> </w:t>
      </w:r>
      <w:r>
        <w:t xml:space="preserve">conditions for the proper reference methodology under CountEmissions EU.</w:t>
      </w:r>
    </w:p>
    <w:p>
      <w:pPr>
        <w:pStyle w:val="BodyText"/>
      </w:pPr>
      <w:r>
        <w:t xml:space="preserve">Table 100: Overview of selected and discarded design alternatives per methodological element</w:t>
      </w:r>
      <w:r>
        <w:t xml:space="preserve"> </w:t>
      </w:r>
      <w:r>
        <w:t xml:space="preserve">Element</w:t>
      </w:r>
      <w:r>
        <w:t xml:space="preserve"> </w:t>
      </w:r>
      <w:r>
        <w:t xml:space="preserve">Design options</w:t>
      </w:r>
      <w:r>
        <w:t xml:space="preserve"> </w:t>
      </w:r>
      <w:r>
        <w:t xml:space="preserve">Scope of emission calculation</w:t>
      </w:r>
      <w:r>
        <w:t xml:space="preserve"> </w:t>
      </w:r>
      <w:r>
        <w:t xml:space="preserve">Geographical</w:t>
      </w:r>
      <w:r>
        <w:t xml:space="preserve"> </w:t>
      </w:r>
      <w:r>
        <w:t xml:space="preserve">scope</w:t>
      </w:r>
      <w:r>
        <w:t xml:space="preserve"> </w:t>
      </w:r>
      <w:r>
        <w:t xml:space="preserve">Global</w:t>
      </w:r>
      <w:r>
        <w:t xml:space="preserve"> </w:t>
      </w:r>
      <w:r>
        <w:t xml:space="preserve">European</w:t>
      </w:r>
    </w:p>
    <w:p>
      <w:pPr>
        <w:pStyle w:val="BodyText"/>
      </w:pPr>
      <w:r>
        <w:t xml:space="preserve">Type of</w:t>
      </w:r>
      <w:r>
        <w:t xml:space="preserve"> </w:t>
      </w:r>
      <w:r>
        <w:t xml:space="preserve">emissions</w:t>
      </w:r>
      <w:r>
        <w:t xml:space="preserve"> </w:t>
      </w:r>
      <w:r>
        <w:t xml:space="preserve">included</w:t>
      </w:r>
      <w:r>
        <w:t xml:space="preserve"> </w:t>
      </w:r>
      <w:r>
        <w:t xml:space="preserve">CO2-emisisons</w:t>
      </w:r>
      <w:r>
        <w:t xml:space="preserve"> </w:t>
      </w:r>
      <w:r>
        <w:t xml:space="preserve">non-CO2 GHG</w:t>
      </w:r>
      <w:r>
        <w:t xml:space="preserve"> </w:t>
      </w:r>
      <w:r>
        <w:t xml:space="preserve">emissions originating</w:t>
      </w:r>
      <w:r>
        <w:t xml:space="preserve"> </w:t>
      </w:r>
      <w:r>
        <w:t xml:space="preserve">from combustion of</w:t>
      </w:r>
      <w:r>
        <w:t xml:space="preserve"> </w:t>
      </w:r>
      <w:r>
        <w:t xml:space="preserve">fuel</w:t>
      </w:r>
      <w:r>
        <w:t xml:space="preserve"> </w:t>
      </w:r>
      <w:r>
        <w:t xml:space="preserve">non-CO2 GHG</w:t>
      </w:r>
      <w:r>
        <w:t xml:space="preserve"> </w:t>
      </w:r>
      <w:r>
        <w:t xml:space="preserve">emissions</w:t>
      </w:r>
      <w:r>
        <w:t xml:space="preserve"> </w:t>
      </w:r>
      <w:r>
        <w:t xml:space="preserve">originating from</w:t>
      </w:r>
      <w:r>
        <w:t xml:space="preserve"> </w:t>
      </w:r>
      <w:r>
        <w:t xml:space="preserve">refrigeration</w:t>
      </w:r>
    </w:p>
    <w:p>
      <w:pPr>
        <w:pStyle w:val="BodyText"/>
      </w:pPr>
      <w:r>
        <w:t xml:space="preserve">177</w:t>
      </w:r>
    </w:p>
    <w:p>
      <w:pPr>
        <w:pStyle w:val="BodyText"/>
      </w:pPr>
      <w:r>
        <w:t xml:space="preserve">Global warming</w:t>
      </w:r>
      <w:r>
        <w:t xml:space="preserve"> </w:t>
      </w:r>
      <w:r>
        <w:t xml:space="preserve">effect of</w:t>
      </w:r>
      <w:r>
        <w:t xml:space="preserve"> </w:t>
      </w:r>
      <w:r>
        <w:t xml:space="preserve">emission of</w:t>
      </w:r>
      <w:r>
        <w:t xml:space="preserve"> </w:t>
      </w:r>
      <w:r>
        <w:t xml:space="preserve">non-CO2</w:t>
      </w:r>
      <w:r>
        <w:t xml:space="preserve"> </w:t>
      </w:r>
      <w:r>
        <w:t xml:space="preserve">products (e.g. </w:t>
      </w:r>
      <w:r>
        <w:t xml:space="preserve"> </w:t>
      </w:r>
      <w:r>
        <w:t xml:space="preserve">water vapour,</w:t>
      </w:r>
      <w:r>
        <w:t xml:space="preserve"> </w:t>
      </w:r>
      <w:r>
        <w:t xml:space="preserve">contrails, NOx)</w:t>
      </w:r>
      <w:r>
        <w:t xml:space="preserve"> </w:t>
      </w:r>
      <w:r>
        <w:t xml:space="preserve">at high altitudes</w:t>
      </w:r>
      <w:r>
        <w:t xml:space="preserve"> </w:t>
      </w:r>
      <w:r>
        <w:t xml:space="preserve">Global warming effect</w:t>
      </w:r>
      <w:r>
        <w:t xml:space="preserve"> </w:t>
      </w:r>
      <w:r>
        <w:t xml:space="preserve">of black carbon</w:t>
      </w:r>
      <w:r>
        <w:t xml:space="preserve"> </w:t>
      </w:r>
      <w:r>
        <w:t xml:space="preserve">emissions</w:t>
      </w:r>
    </w:p>
    <w:p>
      <w:pPr>
        <w:pStyle w:val="BodyText"/>
      </w:pPr>
      <w:r>
        <w:t xml:space="preserve">Activity</w:t>
      </w:r>
      <w:r>
        <w:t xml:space="preserve"> </w:t>
      </w:r>
      <w:r>
        <w:t xml:space="preserve">boundaries of the</w:t>
      </w:r>
      <w:r>
        <w:t xml:space="preserve"> </w:t>
      </w:r>
      <w:r>
        <w:t xml:space="preserve">methodology</w:t>
      </w:r>
      <w:r>
        <w:t xml:space="preserve"> </w:t>
      </w:r>
      <w:r>
        <w:t xml:space="preserve">Vehicle</w:t>
      </w:r>
      <w:r>
        <w:t xml:space="preserve"> </w:t>
      </w:r>
      <w:r>
        <w:t xml:space="preserve">propulsion</w:t>
      </w:r>
      <w:r>
        <w:t xml:space="preserve"> </w:t>
      </w:r>
      <w:r>
        <w:t xml:space="preserve">emissions</w:t>
      </w:r>
      <w:r>
        <w:t xml:space="preserve"> </w:t>
      </w:r>
      <w:r>
        <w:t xml:space="preserve">related from</w:t>
      </w:r>
      <w:r>
        <w:t xml:space="preserve"> </w:t>
      </w:r>
      <w:r>
        <w:t xml:space="preserve">energy use</w:t>
      </w:r>
      <w:r>
        <w:t xml:space="preserve"> </w:t>
      </w:r>
      <w:r>
        <w:t xml:space="preserve">(TTW)</w:t>
      </w:r>
      <w:r>
        <w:t xml:space="preserve"> </w:t>
      </w:r>
      <w:r>
        <w:t xml:space="preserve">Emissions from</w:t>
      </w:r>
      <w:r>
        <w:t xml:space="preserve"> </w:t>
      </w:r>
      <w:r>
        <w:t xml:space="preserve">auxiliary processes</w:t>
      </w:r>
      <w:r>
        <w:t xml:space="preserve"> </w:t>
      </w:r>
      <w:r>
        <w:t xml:space="preserve">(other than propulsion)</w:t>
      </w:r>
      <w:r>
        <w:t xml:space="preserve"> </w:t>
      </w:r>
      <w:r>
        <w:t xml:space="preserve">during vehicle</w:t>
      </w:r>
      <w:r>
        <w:t xml:space="preserve"> </w:t>
      </w:r>
      <w:r>
        <w:t xml:space="preserve">operation (TTW) (e.g. </w:t>
      </w:r>
      <w:r>
        <w:t xml:space="preserve"> </w:t>
      </w:r>
      <w:r>
        <w:t xml:space="preserve">cooling of freight)</w:t>
      </w:r>
      <w:r>
        <w:t xml:space="preserve"> </w:t>
      </w:r>
      <w:r>
        <w:t xml:space="preserve">Vehicle operation</w:t>
      </w:r>
      <w:r>
        <w:t xml:space="preserve"> </w:t>
      </w:r>
      <w:r>
        <w:t xml:space="preserve">emissions related</w:t>
      </w:r>
      <w:r>
        <w:t xml:space="preserve"> </w:t>
      </w:r>
      <w:r>
        <w:t xml:space="preserve">to leakage and</w:t>
      </w:r>
      <w:r>
        <w:t xml:space="preserve"> </w:t>
      </w:r>
      <w:r>
        <w:t xml:space="preserve">spills</w:t>
      </w:r>
      <w:r>
        <w:br/>
      </w:r>
      <w:r>
        <w:t xml:space="preserve">Emissions from</w:t>
      </w:r>
      <w:r>
        <w:t xml:space="preserve"> </w:t>
      </w:r>
      <w:r>
        <w:t xml:space="preserve">hub activities</w:t>
      </w:r>
      <w:r>
        <w:br/>
      </w:r>
      <w:r>
        <w:t xml:space="preserve">Emission from</w:t>
      </w:r>
      <w:r>
        <w:t xml:space="preserve"> </w:t>
      </w:r>
      <w:r>
        <w:t xml:space="preserve">energy</w:t>
      </w:r>
      <w:r>
        <w:t xml:space="preserve"> </w:t>
      </w:r>
      <w:r>
        <w:t xml:space="preserve">provision</w:t>
      </w:r>
      <w:r>
        <w:t xml:space="preserve"> </w:t>
      </w:r>
      <w:r>
        <w:t xml:space="preserve">(WTT),</w:t>
      </w:r>
      <w:r>
        <w:t xml:space="preserve"> </w:t>
      </w:r>
      <w:r>
        <w:t xml:space="preserve">excluding</w:t>
      </w:r>
      <w:r>
        <w:t xml:space="preserve"> </w:t>
      </w:r>
      <w:r>
        <w:t xml:space="preserve">energy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construction</w:t>
      </w:r>
      <w:r>
        <w:t xml:space="preserve"> </w:t>
      </w:r>
      <w:r>
        <w:t xml:space="preserve">Emission from</w:t>
      </w:r>
      <w:r>
        <w:t xml:space="preserve"> </w:t>
      </w:r>
      <w:r>
        <w:t xml:space="preserve">construction and</w:t>
      </w:r>
      <w:r>
        <w:t xml:space="preserve"> </w:t>
      </w:r>
      <w:r>
        <w:t xml:space="preserve">dismantling of energy</w:t>
      </w:r>
      <w:r>
        <w:t xml:space="preserve"> </w:t>
      </w:r>
      <w:r>
        <w:t xml:space="preserve">production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Life cycle GHG</w:t>
      </w:r>
      <w:r>
        <w:t xml:space="preserve"> </w:t>
      </w:r>
      <w:r>
        <w:t xml:space="preserve">emission of</w:t>
      </w:r>
      <w:r>
        <w:t xml:space="preserve"> </w:t>
      </w:r>
      <w:r>
        <w:t xml:space="preserve">vehicle</w:t>
      </w:r>
      <w:r>
        <w:t xml:space="preserve"> </w:t>
      </w:r>
      <w:r>
        <w:t xml:space="preserve">construction and</w:t>
      </w:r>
      <w:r>
        <w:t xml:space="preserve"> </w:t>
      </w:r>
      <w:r>
        <w:t xml:space="preserve">maintenance</w:t>
      </w:r>
      <w:r>
        <w:t xml:space="preserve"> </w:t>
      </w:r>
      <w:r>
        <w:t xml:space="preserve">Life cycle GHG</w:t>
      </w:r>
      <w:r>
        <w:t xml:space="preserve"> </w:t>
      </w:r>
      <w:r>
        <w:t xml:space="preserve">emission of vehicle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construction and</w:t>
      </w:r>
      <w:r>
        <w:t xml:space="preserve"> </w:t>
      </w:r>
      <w:r>
        <w:t xml:space="preserve">maintenance</w:t>
      </w:r>
      <w:r>
        <w:t xml:space="preserve"> </w:t>
      </w:r>
      <w:r>
        <w:t xml:space="preserve">Intended users</w:t>
      </w:r>
      <w:r>
        <w:t xml:space="preserve"> </w:t>
      </w:r>
      <w:r>
        <w:t xml:space="preserve">Transport</w:t>
      </w:r>
      <w:r>
        <w:t xml:space="preserve"> </w:t>
      </w:r>
      <w:r>
        <w:t xml:space="preserve">service operator</w:t>
      </w:r>
      <w:r>
        <w:t xml:space="preserve"> </w:t>
      </w:r>
      <w:r>
        <w:t xml:space="preserve">Transport service</w:t>
      </w:r>
      <w:r>
        <w:t xml:space="preserve"> </w:t>
      </w:r>
      <w:r>
        <w:t xml:space="preserve">organiser</w:t>
      </w:r>
      <w:r>
        <w:t xml:space="preserve"> </w:t>
      </w:r>
      <w:r>
        <w:t xml:space="preserve">Transport service</w:t>
      </w:r>
      <w:r>
        <w:t xml:space="preserve"> </w:t>
      </w:r>
      <w:r>
        <w:t xml:space="preserve">user (excl.</w:t>
      </w:r>
      <w:r>
        <w:t xml:space="preserve"> </w:t>
      </w:r>
      <w:r>
        <w:t xml:space="preserve">organiser)</w:t>
      </w:r>
    </w:p>
    <w:p>
      <w:pPr>
        <w:pStyle w:val="BodyText"/>
      </w:pPr>
      <w:r>
        <w:t xml:space="preserve">Use perspective</w:t>
      </w:r>
      <w:r>
        <w:t xml:space="preserve"> </w:t>
      </w:r>
      <w:r>
        <w:t xml:space="preserve">Ex-post</w:t>
      </w:r>
      <w:r>
        <w:t xml:space="preserve"> </w:t>
      </w:r>
      <w:r>
        <w:t xml:space="preserve">Ex-ante short term</w:t>
      </w:r>
      <w:r>
        <w:br/>
      </w:r>
      <w:r>
        <w:t xml:space="preserve">Ex-ante long term</w:t>
      </w:r>
      <w:r>
        <w:t xml:space="preserve"> </w:t>
      </w:r>
      <w:r>
        <w:t xml:space="preserve">scenarios</w:t>
      </w:r>
    </w:p>
    <w:p>
      <w:pPr>
        <w:pStyle w:val="BodyText"/>
      </w:pPr>
      <w:r>
        <w:t xml:space="preserve">Emission</w:t>
      </w:r>
      <w:r>
        <w:t xml:space="preserve"> </w:t>
      </w:r>
      <w:r>
        <w:t xml:space="preserve">perspective</w:t>
      </w:r>
      <w:r>
        <w:t xml:space="preserve"> </w:t>
      </w:r>
      <w:r>
        <w:t xml:space="preserve">Service average</w:t>
      </w:r>
      <w:r>
        <w:t xml:space="preserve"> </w:t>
      </w:r>
      <w:r>
        <w:t xml:space="preserve">GHG emissions</w:t>
      </w:r>
      <w:r>
        <w:t xml:space="preserve"> </w:t>
      </w:r>
      <w:r>
        <w:t xml:space="preserve">Time/ situation</w:t>
      </w:r>
      <w:r>
        <w:t xml:space="preserve"> </w:t>
      </w:r>
      <w:r>
        <w:t xml:space="preserve">specific average GHG</w:t>
      </w:r>
      <w:r>
        <w:t xml:space="preserve"> </w:t>
      </w:r>
      <w:r>
        <w:t xml:space="preserve">emissions</w:t>
      </w:r>
      <w:r>
        <w:t xml:space="preserve"> </w:t>
      </w:r>
      <w:r>
        <w:t xml:space="preserve">Marginal GHG</w:t>
      </w:r>
      <w:r>
        <w:t xml:space="preserve"> </w:t>
      </w:r>
      <w:r>
        <w:t xml:space="preserve">emissions</w:t>
      </w:r>
    </w:p>
    <w:p>
      <w:pPr>
        <w:pStyle w:val="BodyText"/>
      </w:pPr>
      <w:r>
        <w:t xml:space="preserve">The method of emission calculation and allocation to transport services</w:t>
      </w:r>
      <w:r>
        <w:t xml:space="preserve"> </w:t>
      </w:r>
      <w:r>
        <w:t xml:space="preserve">Minimum level of</w:t>
      </w:r>
      <w:r>
        <w:t xml:space="preserve"> </w:t>
      </w:r>
      <w:r>
        <w:t xml:space="preserve">granularity of</w:t>
      </w:r>
      <w:r>
        <w:t xml:space="preserve"> </w:t>
      </w:r>
      <w:r>
        <w:t xml:space="preserve">emission</w:t>
      </w:r>
      <w:r>
        <w:t xml:space="preserve"> </w:t>
      </w:r>
      <w:r>
        <w:t xml:space="preserve">calculation</w:t>
      </w:r>
      <w:r>
        <w:t xml:space="preserve"> </w:t>
      </w:r>
      <w:r>
        <w:t xml:space="preserve">Total GHG of</w:t>
      </w:r>
      <w:r>
        <w:t xml:space="preserve"> </w:t>
      </w:r>
      <w:r>
        <w:t xml:space="preserve">transport</w:t>
      </w:r>
      <w:r>
        <w:t xml:space="preserve"> </w:t>
      </w:r>
      <w:r>
        <w:t xml:space="preserve">operator</w:t>
      </w:r>
      <w:r>
        <w:t xml:space="preserve"> </w:t>
      </w:r>
      <w:r>
        <w:t xml:space="preserve">Total GHG emission</w:t>
      </w:r>
      <w:r>
        <w:t xml:space="preserve"> </w:t>
      </w:r>
      <w:r>
        <w:t xml:space="preserve">of transport service</w:t>
      </w:r>
      <w:r>
        <w:t xml:space="preserve"> </w:t>
      </w:r>
      <w:r>
        <w:t xml:space="preserve">user (freight) or</w:t>
      </w:r>
      <w:r>
        <w:t xml:space="preserve"> </w:t>
      </w:r>
      <w:r>
        <w:t xml:space="preserve">organiser</w:t>
      </w:r>
      <w:r>
        <w:t xml:space="preserve"> </w:t>
      </w:r>
      <w:r>
        <w:t xml:space="preserve">Transport service</w:t>
      </w:r>
      <w:r>
        <w:t xml:space="preserve"> </w:t>
      </w:r>
      <w:r>
        <w:t xml:space="preserve">type</w:t>
      </w:r>
      <w:r>
        <w:t xml:space="preserve"> </w:t>
      </w:r>
      <w:r>
        <w:t xml:space="preserve">Transport chain</w:t>
      </w:r>
      <w:r>
        <w:t xml:space="preserve"> </w:t>
      </w:r>
      <w:r>
        <w:t xml:space="preserve">element / leg</w:t>
      </w:r>
      <w:r>
        <w:t xml:space="preserve"> </w:t>
      </w:r>
      <w:r>
        <w:t xml:space="preserve">(average over</w:t>
      </w:r>
      <w:r>
        <w:t xml:space="preserve"> </w:t>
      </w:r>
      <w:r>
        <w:t xml:space="preserve">period)</w:t>
      </w:r>
      <w:r>
        <w:t xml:space="preserve"> </w:t>
      </w:r>
      <w:r>
        <w:t xml:space="preserve">Single vehicle</w:t>
      </w:r>
      <w:r>
        <w:t xml:space="preserve"> </w:t>
      </w:r>
      <w:r>
        <w:t xml:space="preserve">Individual trip</w:t>
      </w:r>
      <w:r>
        <w:t xml:space="preserve"> </w:t>
      </w:r>
      <w:r>
        <w:t xml:space="preserve">Total GHG</w:t>
      </w:r>
      <w:r>
        <w:t xml:space="preserve"> </w:t>
      </w:r>
      <w:r>
        <w:t xml:space="preserve">emissions of hub</w:t>
      </w:r>
      <w:r>
        <w:t xml:space="preserve"> </w:t>
      </w:r>
      <w:r>
        <w:t xml:space="preserve">operator</w:t>
      </w:r>
      <w:r>
        <w:t xml:space="preserve"> </w:t>
      </w:r>
      <w:r>
        <w:t xml:space="preserve">Per activity at hub</w:t>
      </w:r>
      <w:r>
        <w:t xml:space="preserve"> </w:t>
      </w:r>
      <w:r>
        <w:t xml:space="preserve">Allocation</w:t>
      </w:r>
      <w:r>
        <w:t xml:space="preserve"> </w:t>
      </w:r>
      <w:r>
        <w:t xml:space="preserve">parameter for</w:t>
      </w:r>
      <w:r>
        <w:t xml:space="preserve"> </w:t>
      </w:r>
      <w:r>
        <w:t xml:space="preserve">allocation to</w:t>
      </w:r>
      <w:r>
        <w:t xml:space="preserve"> </w:t>
      </w:r>
      <w:r>
        <w:t xml:space="preserve">transport services</w:t>
      </w:r>
      <w:r>
        <w:t xml:space="preserve"> </w:t>
      </w:r>
      <w:r>
        <w:t xml:space="preserve">Tonne-km</w:t>
      </w:r>
      <w:r>
        <w:t xml:space="preserve"> </w:t>
      </w:r>
      <w:r>
        <w:t xml:space="preserve">passenger-km</w:t>
      </w:r>
      <w:r>
        <w:t xml:space="preserve"> </w:t>
      </w:r>
      <w:r>
        <w:t xml:space="preserve">tonne-km SFD</w:t>
      </w:r>
    </w:p>
    <w:p>
      <w:pPr>
        <w:pStyle w:val="BodyText"/>
      </w:pPr>
      <w:r>
        <w:t xml:space="preserve">passenger-km-</w:t>
      </w:r>
      <w:r>
        <w:t xml:space="preserve"> </w:t>
      </w:r>
      <w:r>
        <w:t xml:space="preserve">SFD</w:t>
      </w:r>
      <w:r>
        <w:t xml:space="preserve"> </w:t>
      </w:r>
      <w:r>
        <w:t xml:space="preserve">tonne-km GCD</w:t>
      </w:r>
      <w:r>
        <w:t xml:space="preserve"> </w:t>
      </w:r>
      <w:r>
        <w:t xml:space="preserve">passenger-km-</w:t>
      </w:r>
      <w:r>
        <w:t xml:space="preserve"> </w:t>
      </w:r>
      <w:r>
        <w:t xml:space="preserve">GCD</w:t>
      </w:r>
    </w:p>
    <w:p>
      <w:pPr>
        <w:pStyle w:val="BodyText"/>
      </w:pPr>
      <w:r>
        <w:t xml:space="preserve">Allocation</w:t>
      </w:r>
      <w:r>
        <w:t xml:space="preserve"> </w:t>
      </w:r>
      <w:r>
        <w:t xml:space="preserve">granularity for</w:t>
      </w:r>
      <w:r>
        <w:t xml:space="preserve"> </w:t>
      </w:r>
      <w:r>
        <w:t xml:space="preserve">allocation to</w:t>
      </w:r>
      <w:r>
        <w:t xml:space="preserve"> </w:t>
      </w:r>
      <w:r>
        <w:t xml:space="preserve">transport services</w:t>
      </w:r>
      <w:r>
        <w:t xml:space="preserve"> </w:t>
      </w:r>
      <w:r>
        <w:t xml:space="preserve">On company</w:t>
      </w:r>
      <w:r>
        <w:t xml:space="preserve"> </w:t>
      </w:r>
      <w:r>
        <w:t xml:space="preserve">level (e.g. </w:t>
      </w:r>
      <w:r>
        <w:t xml:space="preserve"> </w:t>
      </w:r>
      <w:r>
        <w:t xml:space="preserve">average for</w:t>
      </w:r>
      <w:r>
        <w:t xml:space="preserve"> </w:t>
      </w:r>
      <w:r>
        <w:t xml:space="preserve">transport</w:t>
      </w:r>
      <w:r>
        <w:t xml:space="preserve"> </w:t>
      </w:r>
      <w:r>
        <w:t xml:space="preserve">company)</w:t>
      </w:r>
      <w:r>
        <w:t xml:space="preserve"> </w:t>
      </w:r>
      <w:r>
        <w:t xml:space="preserve">transport leg level (e.g. </w:t>
      </w:r>
      <w:r>
        <w:t xml:space="preserve"> </w:t>
      </w:r>
      <w:r>
        <w:t xml:space="preserve">average between hubs)</w:t>
      </w:r>
      <w:r>
        <w:t xml:space="preserve"> </w:t>
      </w:r>
      <w:r>
        <w:t xml:space="preserve">Trip level -</w:t>
      </w:r>
      <w:r>
        <w:t xml:space="preserve"> </w:t>
      </w:r>
      <w:r>
        <w:t xml:space="preserve">journey specific</w:t>
      </w:r>
    </w:p>
    <w:p>
      <w:pPr>
        <w:pStyle w:val="BodyText"/>
      </w:pPr>
      <w:r>
        <w:t xml:space="preserve">Flexibility in</w:t>
      </w:r>
      <w:r>
        <w:t xml:space="preserve"> </w:t>
      </w:r>
      <w:r>
        <w:t xml:space="preserve">calculation</w:t>
      </w:r>
      <w:r>
        <w:t xml:space="preserve"> </w:t>
      </w:r>
      <w:r>
        <w:t xml:space="preserve">method</w:t>
      </w:r>
      <w:r>
        <w:br/>
      </w:r>
      <w:r>
        <w:t xml:space="preserve">The user can</w:t>
      </w:r>
      <w:r>
        <w:t xml:space="preserve"> </w:t>
      </w:r>
      <w:r>
        <w:t xml:space="preserve">choose the</w:t>
      </w:r>
      <w:r>
        <w:t xml:space="preserve"> </w:t>
      </w:r>
      <w:r>
        <w:t xml:space="preserve">calculation</w:t>
      </w:r>
      <w:r>
        <w:t xml:space="preserve"> </w:t>
      </w:r>
      <w:r>
        <w:t xml:space="preserve">option from a</w:t>
      </w:r>
      <w:r>
        <w:t xml:space="preserve"> </w:t>
      </w:r>
      <w:r>
        <w:t xml:space="preserve">predefined list.</w:t>
      </w:r>
      <w:r>
        <w:t xml:space="preserve"> </w:t>
      </w:r>
      <w:r>
        <w:t xml:space="preserve">The required</w:t>
      </w:r>
      <w:r>
        <w:t xml:space="preserve"> </w:t>
      </w:r>
      <w:r>
        <w:t xml:space="preserve">calculation option</w:t>
      </w:r>
      <w:r>
        <w:t xml:space="preserve"> </w:t>
      </w:r>
      <w:r>
        <w:t xml:space="preserve">depends on the</w:t>
      </w:r>
      <w:r>
        <w:t xml:space="preserve"> </w:t>
      </w:r>
      <w:r>
        <w:t xml:space="preserve">stakeholder group</w:t>
      </w:r>
      <w:r>
        <w:t xml:space="preserve"> </w:t>
      </w:r>
      <w:r>
        <w:t xml:space="preserve">applying the</w:t>
      </w:r>
      <w:r>
        <w:t xml:space="preserve"> </w:t>
      </w:r>
      <w:r>
        <w:t xml:space="preserve">calculations.</w:t>
      </w:r>
      <w:r>
        <w:t xml:space="preserve"> </w:t>
      </w:r>
      <w:r>
        <w:t xml:space="preserve">The calculation</w:t>
      </w:r>
      <w:r>
        <w:t xml:space="preserve"> </w:t>
      </w:r>
      <w:r>
        <w:t xml:space="preserve">options are</w:t>
      </w:r>
      <w:r>
        <w:t xml:space="preserve"> </w:t>
      </w:r>
      <w:r>
        <w:t xml:space="preserve">ranked from most</w:t>
      </w:r>
      <w:r>
        <w:t xml:space="preserve"> </w:t>
      </w:r>
      <w:r>
        <w:t xml:space="preserve">preferable to least</w:t>
      </w:r>
      <w:r>
        <w:t xml:space="preserve"> </w:t>
      </w:r>
      <w:r>
        <w:t xml:space="preserve">preferable</w:t>
      </w:r>
      <w:r>
        <w:t xml:space="preserve"> </w:t>
      </w:r>
      <w:r>
        <w:t xml:space="preserve">calculation option</w:t>
      </w:r>
      <w:r>
        <w:t xml:space="preserve"> </w:t>
      </w:r>
      <w:r>
        <w:t xml:space="preserve">and includes</w:t>
      </w:r>
      <w:r>
        <w:t xml:space="preserve"> </w:t>
      </w:r>
      <w:r>
        <w:t xml:space="preserve">labelling.</w:t>
      </w:r>
      <w:r>
        <w:t xml:space="preserve"> </w:t>
      </w:r>
      <w:r>
        <w:t xml:space="preserve">The calculation</w:t>
      </w:r>
      <w:r>
        <w:t xml:space="preserve"> </w:t>
      </w:r>
      <w:r>
        <w:t xml:space="preserve">option with best</w:t>
      </w:r>
      <w:r>
        <w:t xml:space="preserve"> </w:t>
      </w:r>
      <w:r>
        <w:t xml:space="preserve">accuracy,</w:t>
      </w:r>
      <w:r>
        <w:t xml:space="preserve"> </w:t>
      </w:r>
      <w:r>
        <w:t xml:space="preserve">comparability is</w:t>
      </w:r>
      <w:r>
        <w:t xml:space="preserve"> </w:t>
      </w:r>
      <w:r>
        <w:t xml:space="preserve">prescribed for all</w:t>
      </w:r>
      <w:r>
        <w:t xml:space="preserve"> </w:t>
      </w:r>
      <w:r>
        <w:t xml:space="preserve">users</w:t>
      </w:r>
    </w:p>
    <w:p>
      <w:pPr>
        <w:pStyle w:val="BodyText"/>
      </w:pPr>
      <w:r>
        <w:t xml:space="preserve">178</w:t>
      </w:r>
    </w:p>
    <w:p>
      <w:pPr>
        <w:pStyle w:val="BodyText"/>
      </w:pPr>
      <w:r>
        <w:t xml:space="preserve">Source: Ecorys and CE Delft (2023), Impact assessment support study</w:t>
      </w:r>
      <w:r>
        <w:t xml:space="preserve"> </w:t>
      </w:r>
      <w:r>
        <w:t xml:space="preserve">9.</w:t>
      </w:r>
      <w:r>
        <w:t xml:space="preserve"> </w:t>
      </w:r>
      <w:r>
        <w:t xml:space="preserve">SELECTION OF THE REFERENCE METHODOLOGY</w:t>
      </w:r>
      <w:r>
        <w:t xml:space="preserve"> </w:t>
      </w:r>
      <w:r>
        <w:t xml:space="preserve">The reference methodology for CountEmissions EU may be newly developed within the</w:t>
      </w:r>
      <w:r>
        <w:t xml:space="preserve"> </w:t>
      </w:r>
      <w:r>
        <w:t xml:space="preserve">initiative, but may also be based on an existing or emerging method. This section provides</w:t>
      </w:r>
      <w:r>
        <w:t xml:space="preserve"> </w:t>
      </w:r>
      <w:r>
        <w:t xml:space="preserve">the rationale behind the choice of the most relevant methods, to be further included in</w:t>
      </w:r>
      <w:r>
        <w:t xml:space="preserve"> </w:t>
      </w:r>
      <w:r>
        <w:t xml:space="preserve">respective policy measures and policy options.</w:t>
      </w:r>
    </w:p>
    <w:p>
      <w:pPr>
        <w:pStyle w:val="Compact"/>
        <w:numPr>
          <w:ilvl w:val="0"/>
          <w:numId w:val="1014"/>
        </w:numPr>
      </w:pPr>
      <w:r>
        <w:t xml:space="preserve">Overview of the existing and emerging methods</w:t>
      </w:r>
      <w:r>
        <w:t xml:space="preserve"> </w:t>
      </w:r>
      <w:r>
        <w:t xml:space="preserve">Table 101 outlines the most important GHG emissions accounting standards and</w:t>
      </w:r>
      <w:r>
        <w:t xml:space="preserve"> </w:t>
      </w:r>
      <w:r>
        <w:t xml:space="preserve">methodologies. Detailed description and assessment of these methods, as well as various</w:t>
      </w:r>
      <w:r>
        <w:t xml:space="preserve"> </w:t>
      </w:r>
      <w:r>
        <w:t xml:space="preserve">emissions calculating tools is provided in the technical support study</w:t>
      </w:r>
    </w:p>
    <w:p>
      <w:pPr>
        <w:pStyle w:val="FirstParagraph"/>
      </w:pPr>
      <w:r>
        <w:t xml:space="preserve">Table 101: Overview of the main standards and methodologies for GHG emissions accounting in the transport sector</w:t>
      </w:r>
      <w:r>
        <w:t xml:space="preserve"> </w:t>
      </w:r>
      <w:r>
        <w:t xml:space="preserve">Standard/methodology</w:t>
      </w:r>
      <w:r>
        <w:t xml:space="preserve"> </w:t>
      </w:r>
      <w:r>
        <w:t xml:space="preserve">Transport</w:t>
      </w:r>
      <w:r>
        <w:t xml:space="preserve"> </w:t>
      </w:r>
      <w:r>
        <w:t xml:space="preserve">modes</w:t>
      </w:r>
      <w:r>
        <w:t xml:space="preserve"> </w:t>
      </w:r>
      <w:r>
        <w:t xml:space="preserve">covered</w:t>
      </w:r>
      <w:r>
        <w:t xml:space="preserve"> </w:t>
      </w:r>
      <w:r>
        <w:t xml:space="preserve">Geographical</w:t>
      </w:r>
      <w:r>
        <w:t xml:space="preserve"> </w:t>
      </w:r>
      <w:r>
        <w:t xml:space="preserve">coverage</w:t>
      </w:r>
      <w:r>
        <w:br/>
      </w:r>
      <w:r>
        <w:t xml:space="preserve">Type</w:t>
      </w:r>
      <w:r>
        <w:t xml:space="preserve"> </w:t>
      </w:r>
      <w:r>
        <w:t xml:space="preserve">of</w:t>
      </w:r>
      <w:r>
        <w:t xml:space="preserve"> </w:t>
      </w:r>
      <w:r>
        <w:t xml:space="preserve">instrument</w:t>
      </w:r>
      <w:r>
        <w:br/>
      </w:r>
      <w:r>
        <w:t xml:space="preserve">Corporate value chain (scope 3) standard</w:t>
      </w:r>
      <w:r>
        <w:t xml:space="preserve"> </w:t>
      </w:r>
      <w:r>
        <w:t xml:space="preserve">of the GHG protocol</w:t>
      </w:r>
      <w:r>
        <w:t xml:space="preserve"> </w:t>
      </w:r>
      <w:r>
        <w:t xml:space="preserve">All modes</w:t>
      </w:r>
      <w:r>
        <w:t xml:space="preserve"> </w:t>
      </w:r>
      <w:r>
        <w:t xml:space="preserve">World-wide</w:t>
      </w:r>
      <w:r>
        <w:t xml:space="preserve"> </w:t>
      </w:r>
      <w:r>
        <w:t xml:space="preserve">Standard</w:t>
      </w:r>
      <w:r>
        <w:t xml:space="preserve"> </w:t>
      </w:r>
      <w:r>
        <w:t xml:space="preserve">CEN standard EN 16258</w:t>
      </w:r>
      <w:r>
        <w:t xml:space="preserve"> </w:t>
      </w:r>
      <w:r>
        <w:t xml:space="preserve">All modes</w:t>
      </w:r>
      <w:r>
        <w:t xml:space="preserve"> </w:t>
      </w:r>
      <w:r>
        <w:t xml:space="preserve">EU</w:t>
      </w:r>
      <w:r>
        <w:t xml:space="preserve"> </w:t>
      </w:r>
      <w:r>
        <w:t xml:space="preserve">Standard</w:t>
      </w:r>
      <w:r>
        <w:t xml:space="preserve"> </w:t>
      </w:r>
      <w:r>
        <w:t xml:space="preserve">ISO 14083</w:t>
      </w:r>
      <w:r>
        <w:br/>
      </w:r>
      <w:r>
        <w:t xml:space="preserve">All modes</w:t>
      </w:r>
      <w:r>
        <w:t xml:space="preserve"> </w:t>
      </w:r>
      <w:r>
        <w:t xml:space="preserve">World-wide</w:t>
      </w:r>
      <w:r>
        <w:t xml:space="preserve"> </w:t>
      </w:r>
      <w:r>
        <w:t xml:space="preserve">Standard</w:t>
      </w:r>
      <w:r>
        <w:t xml:space="preserve"> </w:t>
      </w:r>
      <w:r>
        <w:t xml:space="preserve">Product Environmental Footprint (PEF)</w:t>
      </w:r>
      <w:r>
        <w:t xml:space="preserve"> </w:t>
      </w:r>
      <w:r>
        <w:t xml:space="preserve">All modes</w:t>
      </w:r>
      <w:r>
        <w:t xml:space="preserve"> </w:t>
      </w:r>
      <w:r>
        <w:t xml:space="preserve">EU</w:t>
      </w:r>
      <w:r>
        <w:t xml:space="preserve"> </w:t>
      </w:r>
      <w:r>
        <w:t xml:space="preserve">Legislation</w:t>
      </w:r>
      <w:r>
        <w:t xml:space="preserve"> </w:t>
      </w:r>
      <w:r>
        <w:t xml:space="preserve">with</w:t>
      </w:r>
      <w:r>
        <w:t xml:space="preserve"> </w:t>
      </w:r>
      <w:r>
        <w:t xml:space="preserve">methodology</w:t>
      </w:r>
      <w:r>
        <w:t xml:space="preserve"> </w:t>
      </w:r>
      <w:r>
        <w:t xml:space="preserve">Article L. 1431-3 of the French transport</w:t>
      </w:r>
      <w:r>
        <w:t xml:space="preserve"> </w:t>
      </w:r>
      <w:r>
        <w:t xml:space="preserve">code (Objectif CO2)</w:t>
      </w:r>
      <w:r>
        <w:t xml:space="preserve"> </w:t>
      </w:r>
      <w:r>
        <w:t xml:space="preserve">All modes*</w:t>
      </w:r>
      <w:r>
        <w:t xml:space="preserve"> </w:t>
      </w:r>
      <w:r>
        <w:t xml:space="preserve">France</w:t>
      </w:r>
      <w:r>
        <w:t xml:space="preserve"> </w:t>
      </w:r>
      <w:r>
        <w:t xml:space="preserve">Legislation</w:t>
      </w:r>
      <w:r>
        <w:t xml:space="preserve"> </w:t>
      </w:r>
      <w:r>
        <w:t xml:space="preserve">with</w:t>
      </w:r>
      <w:r>
        <w:t xml:space="preserve"> </w:t>
      </w:r>
      <w:r>
        <w:t xml:space="preserve">methodology</w:t>
      </w:r>
      <w:r>
        <w:t xml:space="preserve"> </w:t>
      </w:r>
      <w:r>
        <w:t xml:space="preserve">and</w:t>
      </w:r>
      <w:r>
        <w:t xml:space="preserve"> </w:t>
      </w:r>
      <w:r>
        <w:t xml:space="preserve">program</w:t>
      </w:r>
      <w:r>
        <w:t xml:space="preserve"> </w:t>
      </w:r>
      <w:r>
        <w:t xml:space="preserve">(Objectif</w:t>
      </w:r>
      <w:r>
        <w:t xml:space="preserve"> </w:t>
      </w:r>
      <w:r>
        <w:t xml:space="preserve">CO2)</w:t>
      </w:r>
      <w:r>
        <w:t xml:space="preserve"> </w:t>
      </w:r>
      <w:r>
        <w:t xml:space="preserve">Parcel Delivery Environmental Footprint</w:t>
      </w:r>
      <w:r>
        <w:t xml:space="preserve"> </w:t>
      </w:r>
      <w:r>
        <w:t xml:space="preserve">All</w:t>
      </w:r>
      <w:r>
        <w:t xml:space="preserve"> </w:t>
      </w:r>
      <w:r>
        <w:t xml:space="preserve">modes</w:t>
      </w:r>
      <w:r>
        <w:t xml:space="preserve"> </w:t>
      </w:r>
      <w:r>
        <w:t xml:space="preserve">involved</w:t>
      </w:r>
      <w:r>
        <w:t xml:space="preserve"> </w:t>
      </w:r>
      <w:r>
        <w:t xml:space="preserve">in</w:t>
      </w:r>
      <w:r>
        <w:t xml:space="preserve"> </w:t>
      </w:r>
      <w:r>
        <w:t xml:space="preserve">parcel</w:t>
      </w:r>
      <w:r>
        <w:t xml:space="preserve"> </w:t>
      </w:r>
      <w:r>
        <w:t xml:space="preserve">delivery</w:t>
      </w:r>
      <w:r>
        <w:t xml:space="preserve"> </w:t>
      </w:r>
      <w:r>
        <w:t xml:space="preserve">EU</w:t>
      </w:r>
      <w:r>
        <w:t xml:space="preserve"> </w:t>
      </w:r>
      <w:r>
        <w:t xml:space="preserve">Standard</w:t>
      </w:r>
      <w:r>
        <w:t xml:space="preserve"> </w:t>
      </w:r>
      <w:r>
        <w:t xml:space="preserve">GLEC framework v1.0</w:t>
      </w:r>
      <w:r>
        <w:t xml:space="preserve"> </w:t>
      </w:r>
      <w:r>
        <w:t xml:space="preserve">All</w:t>
      </w:r>
      <w:r>
        <w:t xml:space="preserve"> </w:t>
      </w:r>
      <w:r>
        <w:t xml:space="preserve">freight</w:t>
      </w:r>
      <w:r>
        <w:t xml:space="preserve"> </w:t>
      </w:r>
      <w:r>
        <w:t xml:space="preserve">modes*</w:t>
      </w:r>
      <w:r>
        <w:t xml:space="preserve"> </w:t>
      </w:r>
      <w:r>
        <w:t xml:space="preserve">World-wide</w:t>
      </w:r>
      <w:r>
        <w:t xml:space="preserve"> </w:t>
      </w:r>
      <w:r>
        <w:t xml:space="preserve">Methodology</w:t>
      </w:r>
      <w:r>
        <w:t xml:space="preserve"> </w:t>
      </w:r>
      <w:r>
        <w:t xml:space="preserve">framework</w:t>
      </w:r>
      <w:r>
        <w:t xml:space="preserve"> </w:t>
      </w:r>
      <w:r>
        <w:t xml:space="preserve">SmartWay program</w:t>
      </w:r>
      <w:r>
        <w:t xml:space="preserve"> </w:t>
      </w:r>
      <w:r>
        <w:t xml:space="preserve">All</w:t>
      </w:r>
      <w:r>
        <w:t xml:space="preserve"> </w:t>
      </w:r>
      <w:r>
        <w:t xml:space="preserve">freight</w:t>
      </w:r>
      <w:r>
        <w:t xml:space="preserve"> </w:t>
      </w:r>
      <w:r>
        <w:t xml:space="preserve">modes*</w:t>
      </w:r>
      <w:r>
        <w:t xml:space="preserve"> </w:t>
      </w:r>
      <w:r>
        <w:t xml:space="preserve">North America</w:t>
      </w:r>
      <w:r>
        <w:t xml:space="preserve"> </w:t>
      </w:r>
      <w:r>
        <w:t xml:space="preserve">Program</w:t>
      </w:r>
      <w:r>
        <w:t xml:space="preserve"> </w:t>
      </w:r>
      <w:r>
        <w:t xml:space="preserve">and</w:t>
      </w:r>
      <w:r>
        <w:t xml:space="preserve"> </w:t>
      </w:r>
      <w:r>
        <w:t xml:space="preserve">methodology</w:t>
      </w:r>
      <w:r>
        <w:t xml:space="preserve"> </w:t>
      </w:r>
      <w:r>
        <w:t xml:space="preserve">Topsector Logistics method</w:t>
      </w:r>
      <w:r>
        <w:br/>
      </w:r>
      <w:r>
        <w:t xml:space="preserve">All</w:t>
      </w:r>
      <w:r>
        <w:t xml:space="preserve"> </w:t>
      </w:r>
      <w:r>
        <w:t xml:space="preserve">freight</w:t>
      </w:r>
      <w:r>
        <w:t xml:space="preserve"> </w:t>
      </w:r>
      <w:r>
        <w:t xml:space="preserve">modes*</w:t>
      </w:r>
      <w:r>
        <w:t xml:space="preserve"> </w:t>
      </w:r>
      <w:r>
        <w:t xml:space="preserve">EU (mainly applied in</w:t>
      </w:r>
      <w:r>
        <w:t xml:space="preserve"> </w:t>
      </w:r>
      <w:r>
        <w:t xml:space="preserve">NL)</w:t>
      </w:r>
      <w:r>
        <w:br/>
      </w:r>
      <w:r>
        <w:t xml:space="preserve">Methodology</w:t>
      </w:r>
      <w:r>
        <w:t xml:space="preserve"> </w:t>
      </w:r>
      <w:r>
        <w:t xml:space="preserve">Clean Cargo Working Group Carbon</w:t>
      </w:r>
      <w:r>
        <w:t xml:space="preserve"> </w:t>
      </w:r>
      <w:r>
        <w:t xml:space="preserve">Emissions Accounting Methodology</w:t>
      </w:r>
      <w:r>
        <w:t xml:space="preserve"> </w:t>
      </w:r>
      <w:r>
        <w:t xml:space="preserve">Sea transport</w:t>
      </w:r>
      <w:r>
        <w:t xml:space="preserve"> </w:t>
      </w:r>
      <w:r>
        <w:t xml:space="preserve">of containers</w:t>
      </w:r>
      <w:r>
        <w:t xml:space="preserve"> </w:t>
      </w:r>
      <w:r>
        <w:t xml:space="preserve">World-wide</w:t>
      </w:r>
      <w:r>
        <w:t xml:space="preserve"> </w:t>
      </w:r>
      <w:r>
        <w:t xml:space="preserve">Program</w:t>
      </w:r>
      <w:r>
        <w:t xml:space="preserve"> </w:t>
      </w:r>
      <w:r>
        <w:t xml:space="preserve">and</w:t>
      </w:r>
      <w:r>
        <w:t xml:space="preserve"> </w:t>
      </w:r>
      <w:r>
        <w:t xml:space="preserve">methodology</w:t>
      </w:r>
    </w:p>
    <w:p>
      <w:pPr>
        <w:pStyle w:val="BodyText"/>
      </w:pPr>
      <w:r>
        <w:t xml:space="preserve">179</w:t>
      </w:r>
    </w:p>
    <w:p>
      <w:pPr>
        <w:pStyle w:val="BodyText"/>
      </w:pPr>
      <w:r>
        <w:t xml:space="preserve">EU MRV</w:t>
      </w:r>
      <w:r>
        <w:t xml:space="preserve"> </w:t>
      </w:r>
      <w:r>
        <w:t xml:space="preserve">Sea shipping</w:t>
      </w:r>
      <w:r>
        <w:t xml:space="preserve"> </w:t>
      </w:r>
      <w:r>
        <w:t xml:space="preserve">EU</w:t>
      </w:r>
      <w:r>
        <w:t xml:space="preserve"> </w:t>
      </w:r>
      <w:r>
        <w:t xml:space="preserve">Legislation</w:t>
      </w:r>
      <w:r>
        <w:t xml:space="preserve"> </w:t>
      </w:r>
      <w:r>
        <w:t xml:space="preserve">with</w:t>
      </w:r>
      <w:r>
        <w:t xml:space="preserve"> </w:t>
      </w:r>
      <w:r>
        <w:t xml:space="preserve">methodology</w:t>
      </w:r>
      <w:r>
        <w:t xml:space="preserve"> </w:t>
      </w:r>
      <w:r>
        <w:t xml:space="preserve">IMO DCS</w:t>
      </w:r>
      <w:r>
        <w:t xml:space="preserve"> </w:t>
      </w:r>
      <w:r>
        <w:t xml:space="preserve">Sea shipping</w:t>
      </w:r>
      <w:r>
        <w:t xml:space="preserve"> </w:t>
      </w:r>
      <w:r>
        <w:t xml:space="preserve">World-wide</w:t>
      </w:r>
      <w:r>
        <w:t xml:space="preserve"> </w:t>
      </w:r>
      <w:r>
        <w:t xml:space="preserve">Legislation</w:t>
      </w:r>
      <w:r>
        <w:t xml:space="preserve"> </w:t>
      </w:r>
      <w:r>
        <w:t xml:space="preserve">with</w:t>
      </w:r>
      <w:r>
        <w:t xml:space="preserve"> </w:t>
      </w:r>
      <w:r>
        <w:t xml:space="preserve">methodology</w:t>
      </w:r>
      <w:r>
        <w:t xml:space="preserve"> </w:t>
      </w:r>
      <w:r>
        <w:t xml:space="preserve">CORSIA</w:t>
      </w:r>
      <w:r>
        <w:t xml:space="preserve"> </w:t>
      </w:r>
      <w:r>
        <w:t xml:space="preserve">Aviation</w:t>
      </w:r>
      <w:r>
        <w:t xml:space="preserve"> </w:t>
      </w:r>
      <w:r>
        <w:t xml:space="preserve">World-wide</w:t>
      </w:r>
      <w:r>
        <w:t xml:space="preserve"> </w:t>
      </w:r>
      <w:r>
        <w:t xml:space="preserve">Program</w:t>
      </w:r>
      <w:r>
        <w:t xml:space="preserve"> </w:t>
      </w:r>
      <w:r>
        <w:t xml:space="preserve">and</w:t>
      </w:r>
      <w:r>
        <w:t xml:space="preserve"> </w:t>
      </w:r>
      <w:r>
        <w:t xml:space="preserve">methodology</w:t>
      </w:r>
      <w:r>
        <w:t xml:space="preserve"> </w:t>
      </w:r>
      <w:r>
        <w:t xml:space="preserve">ICAO/IATA RP1678</w:t>
      </w:r>
      <w:r>
        <w:t xml:space="preserve"> </w:t>
      </w:r>
      <w:r>
        <w:t xml:space="preserve">Aviation</w:t>
      </w:r>
      <w:r>
        <w:t xml:space="preserve"> </w:t>
      </w:r>
      <w:r>
        <w:t xml:space="preserve">freight</w:t>
      </w:r>
      <w:r>
        <w:t xml:space="preserve"> </w:t>
      </w:r>
      <w:r>
        <w:t xml:space="preserve">World-wide</w:t>
      </w:r>
      <w:r>
        <w:t xml:space="preserve"> </w:t>
      </w:r>
      <w:r>
        <w:t xml:space="preserve">Standard</w:t>
      </w:r>
      <w:r>
        <w:t xml:space="preserve"> </w:t>
      </w:r>
      <w:r>
        <w:t xml:space="preserve">IATA</w:t>
      </w:r>
      <w:r>
        <w:t xml:space="preserve"> </w:t>
      </w:r>
      <w:r>
        <w:t xml:space="preserve">Recommended</w:t>
      </w:r>
      <w:r>
        <w:t xml:space="preserve"> </w:t>
      </w:r>
      <w:r>
        <w:t xml:space="preserve">practice</w:t>
      </w:r>
      <w:r>
        <w:t xml:space="preserve"> </w:t>
      </w:r>
      <w:r>
        <w:t xml:space="preserve">per-</w:t>
      </w:r>
      <w:r>
        <w:t xml:space="preserve"> </w:t>
      </w:r>
      <w:r>
        <w:t xml:space="preserve">passenger CO2-calculation Methodology</w:t>
      </w:r>
      <w:r>
        <w:t xml:space="preserve"> </w:t>
      </w:r>
      <w:r>
        <w:t xml:space="preserve">Aviation</w:t>
      </w:r>
      <w:r>
        <w:t xml:space="preserve"> </w:t>
      </w:r>
      <w:r>
        <w:t xml:space="preserve">passenger</w:t>
      </w:r>
      <w:r>
        <w:t xml:space="preserve"> </w:t>
      </w:r>
      <w:r>
        <w:t xml:space="preserve">World-wide</w:t>
      </w:r>
      <w:r>
        <w:t xml:space="preserve"> </w:t>
      </w:r>
      <w:r>
        <w:t xml:space="preserve">Standard</w:t>
      </w:r>
      <w:r>
        <w:t xml:space="preserve"> </w:t>
      </w:r>
      <w:r>
        <w:t xml:space="preserve">EU ETS aviation</w:t>
      </w:r>
      <w:r>
        <w:t xml:space="preserve"> </w:t>
      </w:r>
      <w:r>
        <w:t xml:space="preserve">Aviation</w:t>
      </w:r>
      <w:r>
        <w:t xml:space="preserve"> </w:t>
      </w:r>
      <w:r>
        <w:t xml:space="preserve">EU</w:t>
      </w:r>
      <w:r>
        <w:t xml:space="preserve"> </w:t>
      </w:r>
      <w:r>
        <w:t xml:space="preserve">Legislation</w:t>
      </w:r>
      <w:r>
        <w:t xml:space="preserve"> </w:t>
      </w:r>
      <w:r>
        <w:t xml:space="preserve">with</w:t>
      </w:r>
      <w:r>
        <w:t xml:space="preserve"> </w:t>
      </w:r>
      <w:r>
        <w:t xml:space="preserve">methodology</w:t>
      </w:r>
      <w:r>
        <w:t xml:space="preserve"> </w:t>
      </w:r>
      <w:r>
        <w:t xml:space="preserve">Source: Ecorys and CE Delft (2023), Impact assessment support study</w:t>
      </w:r>
      <w:r>
        <w:t xml:space="preserve"> </w:t>
      </w:r>
      <w:r>
        <w:t xml:space="preserve">b) Shortlisted methods</w:t>
      </w:r>
      <w:r>
        <w:t xml:space="preserve"> </w:t>
      </w:r>
      <w:r>
        <w:t xml:space="preserve">Out of all the standards and methodologies presented above, five methods cover both</w:t>
      </w:r>
      <w:r>
        <w:t xml:space="preserve"> </w:t>
      </w:r>
      <w:r>
        <w:t xml:space="preserve">freight and passenger segments of the transport sector, and all transport modes. This is the</w:t>
      </w:r>
      <w:r>
        <w:t xml:space="preserve"> </w:t>
      </w:r>
      <w:r>
        <w:t xml:space="preserve">condition sine qua non for a single method for the quantification of emissions from all</w:t>
      </w:r>
      <w:r>
        <w:t xml:space="preserve"> </w:t>
      </w:r>
      <w:r>
        <w:t xml:space="preserve">types of transport services in the multimodal perspective. These methods were therefore</w:t>
      </w:r>
      <w:r>
        <w:t xml:space="preserve"> </w:t>
      </w:r>
      <w:r>
        <w:t xml:space="preserve">shortlisted as the potential reference methodologies for CountEmissions EU:</w:t>
      </w:r>
      <w:r>
        <w:t xml:space="preserve"> </w:t>
      </w:r>
      <w:r>
        <w:t xml:space="preserve"> Article L. 1431-3 of the French transport code (Objectif CO2)</w:t>
      </w:r>
      <w:r>
        <w:t xml:space="preserve"> </w:t>
      </w:r>
      <w:r>
        <w:t xml:space="preserve"> Corporate value chain (scope3) standard of the GHG protocol</w:t>
      </w:r>
    </w:p>
    <w:p>
      <w:pPr>
        <w:pStyle w:val="BodyText"/>
      </w:pPr>
      <w:r>
        <w:t xml:space="preserve"> Product Environmental Footprint (PEF)</w:t>
      </w:r>
      <w:r>
        <w:t xml:space="preserve"> </w:t>
      </w:r>
      <w:r>
        <w:t xml:space="preserve"> CEN standard EN 16258</w:t>
      </w:r>
    </w:p>
    <w:p>
      <w:pPr>
        <w:pStyle w:val="BodyText"/>
      </w:pPr>
      <w:r>
        <w:t xml:space="preserve"> ISO 14083.</w:t>
      </w:r>
    </w:p>
    <w:p>
      <w:pPr>
        <w:pStyle w:val="BodyText"/>
      </w:pPr>
      <w:r>
        <w:t xml:space="preserve">These shortlisted methods were consequently compared and analysed with respect to the</w:t>
      </w:r>
      <w:r>
        <w:t xml:space="preserve"> </w:t>
      </w:r>
      <w:r>
        <w:t xml:space="preserve">design alternatives identified under section 2 as the most relevant for CountEmissions EU.</w:t>
      </w:r>
      <w:r>
        <w:t xml:space="preserve"> </w:t>
      </w:r>
      <w:r>
        <w:t xml:space="preserve">This is presented in Table 102 below.</w:t>
      </w:r>
    </w:p>
    <w:p>
      <w:pPr>
        <w:pStyle w:val="BodyText"/>
      </w:pPr>
      <w:r>
        <w:t xml:space="preserve">Table 102: Comparing the shortlisted methods to the selected design alternatives</w:t>
      </w:r>
      <w:r>
        <w:t xml:space="preserve"> </w:t>
      </w:r>
      <w:r>
        <w:t xml:space="preserve">Policy elements Article L. 1431-</w:t>
      </w:r>
      <w:r>
        <w:t xml:space="preserve"> </w:t>
      </w:r>
      <w:r>
        <w:t xml:space="preserve">3 of the French</w:t>
      </w:r>
      <w:r>
        <w:t xml:space="preserve"> </w:t>
      </w:r>
      <w:r>
        <w:t xml:space="preserve">transport code</w:t>
      </w:r>
      <w:r>
        <w:t xml:space="preserve"> </w:t>
      </w:r>
      <w:r>
        <w:t xml:space="preserve">Corporat</w:t>
      </w:r>
      <w:r>
        <w:t xml:space="preserve"> </w:t>
      </w:r>
      <w:r>
        <w:t xml:space="preserve">e value</w:t>
      </w:r>
      <w:r>
        <w:t xml:space="preserve"> </w:t>
      </w:r>
      <w:r>
        <w:t xml:space="preserve">chain</w:t>
      </w:r>
      <w:r>
        <w:t xml:space="preserve"> </w:t>
      </w:r>
      <w:r>
        <w:t xml:space="preserve">(scope3)</w:t>
      </w:r>
      <w:r>
        <w:br/>
      </w:r>
      <w:r>
        <w:t xml:space="preserve">PEF</w:t>
      </w:r>
      <w:r>
        <w:t xml:space="preserve"> </w:t>
      </w:r>
      <w:r>
        <w:t xml:space="preserve">CEN standard</w:t>
      </w:r>
      <w:r>
        <w:t xml:space="preserve"> </w:t>
      </w:r>
      <w:r>
        <w:t xml:space="preserve">EN 16258</w:t>
      </w:r>
      <w:r>
        <w:t xml:space="preserve"> </w:t>
      </w:r>
      <w:r>
        <w:t xml:space="preserve">concept ISO 14083</w:t>
      </w:r>
      <w:r>
        <w:t xml:space="preserve"> </w:t>
      </w:r>
      <w:r>
        <w:t xml:space="preserve">Scope of emission calculation</w:t>
      </w:r>
      <w:r>
        <w:br/>
      </w:r>
      <w:r>
        <w:t xml:space="preserve">Geographical</w:t>
      </w:r>
      <w:r>
        <w:t xml:space="preserve"> </w:t>
      </w:r>
      <w:r>
        <w:t xml:space="preserve">scope</w:t>
      </w:r>
      <w:r>
        <w:t xml:space="preserve"> </w:t>
      </w:r>
      <w:r>
        <w:t xml:space="preserve">France</w:t>
      </w:r>
      <w:r>
        <w:t xml:space="preserve"> </w:t>
      </w:r>
      <w:r>
        <w:t xml:space="preserve">Global</w:t>
      </w:r>
      <w:r>
        <w:t xml:space="preserve"> </w:t>
      </w:r>
      <w:r>
        <w:t xml:space="preserve">Type of GHG</w:t>
      </w:r>
      <w:r>
        <w:t xml:space="preserve"> </w:t>
      </w:r>
      <w:r>
        <w:t xml:space="preserve">emissions</w:t>
      </w:r>
      <w:r>
        <w:t xml:space="preserve"> </w:t>
      </w:r>
      <w:r>
        <w:t xml:space="preserve">CO2-eq of combustion and refrigeration</w:t>
      </w:r>
    </w:p>
    <w:p>
      <w:pPr>
        <w:pStyle w:val="BodyText"/>
      </w:pPr>
      <w:r>
        <w:t xml:space="preserve">180</w:t>
      </w:r>
    </w:p>
    <w:p>
      <w:pPr>
        <w:pStyle w:val="BodyText"/>
      </w:pPr>
      <w:r>
        <w:t xml:space="preserve">Policy elements Article L. 1431-</w:t>
      </w:r>
      <w:r>
        <w:t xml:space="preserve"> </w:t>
      </w:r>
      <w:r>
        <w:t xml:space="preserve">3 of the French</w:t>
      </w:r>
      <w:r>
        <w:t xml:space="preserve"> </w:t>
      </w:r>
      <w:r>
        <w:t xml:space="preserve">transport code</w:t>
      </w:r>
      <w:r>
        <w:t xml:space="preserve"> </w:t>
      </w:r>
      <w:r>
        <w:t xml:space="preserve">Corporat</w:t>
      </w:r>
      <w:r>
        <w:t xml:space="preserve"> </w:t>
      </w:r>
      <w:r>
        <w:t xml:space="preserve">e value</w:t>
      </w:r>
      <w:r>
        <w:t xml:space="preserve"> </w:t>
      </w:r>
      <w:r>
        <w:t xml:space="preserve">chain</w:t>
      </w:r>
      <w:r>
        <w:t xml:space="preserve"> </w:t>
      </w:r>
      <w:r>
        <w:t xml:space="preserve">(scope3)</w:t>
      </w:r>
      <w:r>
        <w:br/>
      </w:r>
      <w:r>
        <w:t xml:space="preserve">PEF</w:t>
      </w:r>
      <w:r>
        <w:t xml:space="preserve"> </w:t>
      </w:r>
      <w:r>
        <w:t xml:space="preserve">CEN standard</w:t>
      </w:r>
      <w:r>
        <w:t xml:space="preserve"> </w:t>
      </w:r>
      <w:r>
        <w:t xml:space="preserve">EN 16258</w:t>
      </w:r>
      <w:r>
        <w:t xml:space="preserve"> </w:t>
      </w:r>
      <w:r>
        <w:t xml:space="preserve">concept ISO 14083</w:t>
      </w:r>
      <w:r>
        <w:t xml:space="preserve"> </w:t>
      </w:r>
      <w:r>
        <w:t xml:space="preserve">Activity</w:t>
      </w:r>
      <w:r>
        <w:t xml:space="preserve"> </w:t>
      </w:r>
      <w:r>
        <w:t xml:space="preserve">boundaries</w:t>
      </w:r>
      <w:r>
        <w:t xml:space="preserve"> </w:t>
      </w:r>
      <w:r>
        <w:t xml:space="preserve">WTW</w:t>
      </w:r>
      <w:r>
        <w:t xml:space="preserve"> </w:t>
      </w:r>
      <w:r>
        <w:t xml:space="preserve">propulsion and</w:t>
      </w:r>
      <w:r>
        <w:t xml:space="preserve"> </w:t>
      </w:r>
      <w:r>
        <w:t xml:space="preserve">auxiliary</w:t>
      </w:r>
      <w:r>
        <w:t xml:space="preserve"> </w:t>
      </w:r>
      <w:r>
        <w:t xml:space="preserve">processes (excl.</w:t>
      </w:r>
      <w:r>
        <w:t xml:space="preserve"> </w:t>
      </w:r>
      <w:r>
        <w:t xml:space="preserve">energy infra)</w:t>
      </w:r>
      <w:r>
        <w:br/>
      </w:r>
      <w:r>
        <w:t xml:space="preserve">WTW propulsion and</w:t>
      </w:r>
      <w:r>
        <w:t xml:space="preserve"> </w:t>
      </w:r>
      <w:r>
        <w:t xml:space="preserve">auxiliary processes</w:t>
      </w:r>
      <w:r>
        <w:t xml:space="preserve"> </w:t>
      </w:r>
      <w:r>
        <w:t xml:space="preserve">(incl. energy infra) +</w:t>
      </w:r>
      <w:r>
        <w:t xml:space="preserve"> </w:t>
      </w:r>
      <w:r>
        <w:t xml:space="preserve">hubs leakages and</w:t>
      </w:r>
      <w:r>
        <w:t xml:space="preserve"> </w:t>
      </w:r>
      <w:r>
        <w:t xml:space="preserve">spills</w:t>
      </w:r>
      <w:r>
        <w:br/>
      </w:r>
      <w:r>
        <w:t xml:space="preserve">WTW</w:t>
      </w:r>
      <w:r>
        <w:t xml:space="preserve"> </w:t>
      </w:r>
      <w:r>
        <w:t xml:space="preserve">propulsion and</w:t>
      </w:r>
      <w:r>
        <w:t xml:space="preserve"> </w:t>
      </w:r>
      <w:r>
        <w:t xml:space="preserve">auxiliary</w:t>
      </w:r>
      <w:r>
        <w:t xml:space="preserve"> </w:t>
      </w:r>
      <w:r>
        <w:t xml:space="preserve">processes (excl.</w:t>
      </w:r>
      <w:r>
        <w:t xml:space="preserve"> </w:t>
      </w:r>
      <w:r>
        <w:t xml:space="preserve">energy infra)</w:t>
      </w:r>
      <w:r>
        <w:br/>
      </w:r>
      <w:r>
        <w:t xml:space="preserve">WTW propulsion and</w:t>
      </w:r>
      <w:r>
        <w:t xml:space="preserve"> </w:t>
      </w:r>
      <w:r>
        <w:t xml:space="preserve">auxiliary processes</w:t>
      </w:r>
      <w:r>
        <w:t xml:space="preserve"> </w:t>
      </w:r>
      <w:r>
        <w:t xml:space="preserve">(incl. energy infra) +</w:t>
      </w:r>
      <w:r>
        <w:t xml:space="preserve"> </w:t>
      </w:r>
      <w:r>
        <w:t xml:space="preserve">hubs, leakages and</w:t>
      </w:r>
      <w:r>
        <w:t xml:space="preserve"> </w:t>
      </w:r>
      <w:r>
        <w:t xml:space="preserve">spills</w:t>
      </w:r>
      <w:r>
        <w:br/>
      </w:r>
      <w:r>
        <w:t xml:space="preserve">Intended user</w:t>
      </w:r>
      <w:r>
        <w:t xml:space="preserve"> </w:t>
      </w:r>
      <w:r>
        <w:t xml:space="preserve">Transport</w:t>
      </w:r>
      <w:r>
        <w:t xml:space="preserve"> </w:t>
      </w:r>
      <w:r>
        <w:t xml:space="preserve">service operator,</w:t>
      </w:r>
      <w:r>
        <w:t xml:space="preserve"> </w:t>
      </w:r>
      <w:r>
        <w:t xml:space="preserve">organiser and</w:t>
      </w:r>
      <w:r>
        <w:t xml:space="preserve"> </w:t>
      </w:r>
      <w:r>
        <w:t xml:space="preserve">user</w:t>
      </w:r>
      <w:r>
        <w:br/>
      </w:r>
      <w:r>
        <w:t xml:space="preserve">Transport</w:t>
      </w:r>
      <w:r>
        <w:t xml:space="preserve"> </w:t>
      </w:r>
      <w:r>
        <w:t xml:space="preserve">service</w:t>
      </w:r>
      <w:r>
        <w:t xml:space="preserve"> </w:t>
      </w:r>
      <w:r>
        <w:t xml:space="preserve">organiser</w:t>
      </w:r>
      <w:r>
        <w:t xml:space="preserve"> </w:t>
      </w:r>
      <w:r>
        <w:t xml:space="preserve">and user</w:t>
      </w:r>
      <w:r>
        <w:br/>
      </w:r>
      <w:r>
        <w:t xml:space="preserve">Transport service operator, organiser and user</w:t>
      </w:r>
    </w:p>
    <w:p>
      <w:pPr>
        <w:pStyle w:val="BodyText"/>
      </w:pPr>
      <w:r>
        <w:t xml:space="preserve">Use Perspective</w:t>
      </w:r>
      <w:r>
        <w:t xml:space="preserve"> </w:t>
      </w:r>
      <w:r>
        <w:t xml:space="preserve">Ex-post and ex-ante short term</w:t>
      </w:r>
      <w:r>
        <w:br/>
      </w:r>
      <w:r>
        <w:t xml:space="preserve">Emission</w:t>
      </w:r>
      <w:r>
        <w:t xml:space="preserve"> </w:t>
      </w:r>
      <w:r>
        <w:t xml:space="preserve">perspective</w:t>
      </w:r>
      <w:r>
        <w:t xml:space="preserve"> </w:t>
      </w:r>
      <w:r>
        <w:t xml:space="preserve">Service average</w:t>
      </w:r>
      <w:r>
        <w:t xml:space="preserve"> </w:t>
      </w:r>
      <w:r>
        <w:t xml:space="preserve">GHG emissions</w:t>
      </w:r>
      <w:r>
        <w:br/>
      </w:r>
      <w:r>
        <w:t xml:space="preserve">Not defined (focus on</w:t>
      </w:r>
      <w:r>
        <w:t xml:space="preserve"> </w:t>
      </w:r>
      <w:r>
        <w:t xml:space="preserve">product/ company</w:t>
      </w:r>
      <w:r>
        <w:t xml:space="preserve"> </w:t>
      </w:r>
      <w:r>
        <w:t xml:space="preserve">average GHG</w:t>
      </w:r>
      <w:r>
        <w:t xml:space="preserve"> </w:t>
      </w:r>
      <w:r>
        <w:t xml:space="preserve">emission)</w:t>
      </w:r>
      <w:r>
        <w:t xml:space="preserve"> </w:t>
      </w:r>
      <w:r>
        <w:t xml:space="preserve">Service average GHG emissions</w:t>
      </w:r>
      <w:r>
        <w:br/>
      </w:r>
      <w:r>
        <w:t xml:space="preserve">The method of emission calculation and allocation to transport services</w:t>
      </w:r>
      <w:r>
        <w:t xml:space="preserve"> </w:t>
      </w:r>
      <w:r>
        <w:t xml:space="preserve">Minimum level</w:t>
      </w:r>
      <w:r>
        <w:t xml:space="preserve"> </w:t>
      </w:r>
      <w:r>
        <w:t xml:space="preserve">of granularity of</w:t>
      </w:r>
      <w:r>
        <w:t xml:space="preserve"> </w:t>
      </w:r>
      <w:r>
        <w:t xml:space="preserve">emission</w:t>
      </w:r>
      <w:r>
        <w:t xml:space="preserve"> </w:t>
      </w:r>
      <w:r>
        <w:t xml:space="preserve">calculation and</w:t>
      </w:r>
      <w:r>
        <w:t xml:space="preserve"> </w:t>
      </w:r>
      <w:r>
        <w:t xml:space="preserve">allocation</w:t>
      </w:r>
      <w:r>
        <w:t xml:space="preserve"> </w:t>
      </w:r>
      <w:r>
        <w:t xml:space="preserve">leg level and trip</w:t>
      </w:r>
      <w:r>
        <w:t xml:space="preserve"> </w:t>
      </w:r>
      <w:r>
        <w:t xml:space="preserve">level</w:t>
      </w:r>
      <w:r>
        <w:br/>
      </w:r>
      <w:r>
        <w:t xml:space="preserve">not</w:t>
      </w:r>
      <w:r>
        <w:t xml:space="preserve"> </w:t>
      </w:r>
      <w:r>
        <w:t xml:space="preserve">defined</w:t>
      </w:r>
    </w:p>
    <w:p>
      <w:pPr>
        <w:pStyle w:val="BodyText"/>
      </w:pPr>
      <w:r>
        <w:t xml:space="preserve">not</w:t>
      </w:r>
      <w:r>
        <w:t xml:space="preserve"> </w:t>
      </w:r>
      <w:r>
        <w:t xml:space="preserve">defined</w:t>
      </w:r>
      <w:r>
        <w:t xml:space="preserve"> </w:t>
      </w:r>
      <w:r>
        <w:t xml:space="preserve">leg level and trip</w:t>
      </w:r>
      <w:r>
        <w:t xml:space="preserve"> </w:t>
      </w:r>
      <w:r>
        <w:t xml:space="preserve">level</w:t>
      </w:r>
      <w:r>
        <w:br/>
      </w:r>
      <w:r>
        <w:t xml:space="preserve">leg level and trip level</w:t>
      </w:r>
      <w:r>
        <w:t xml:space="preserve"> </w:t>
      </w:r>
      <w:r>
        <w:t xml:space="preserve">and per hub activity</w:t>
      </w:r>
      <w:r>
        <w:t xml:space="preserve"> </w:t>
      </w:r>
      <w:r>
        <w:t xml:space="preserve">Metrics for</w:t>
      </w:r>
      <w:r>
        <w:t xml:space="preserve"> </w:t>
      </w:r>
      <w:r>
        <w:t xml:space="preserve">GHG intensity</w:t>
      </w:r>
      <w:r>
        <w:t xml:space="preserve"> </w:t>
      </w:r>
      <w:r>
        <w:t xml:space="preserve">factors and</w:t>
      </w:r>
      <w:r>
        <w:t xml:space="preserve"> </w:t>
      </w:r>
      <w:r>
        <w:t xml:space="preserve">allocation</w:t>
      </w:r>
      <w:r>
        <w:br/>
      </w:r>
      <w:r>
        <w:t xml:space="preserve">Based on</w:t>
      </w:r>
      <w:r>
        <w:t xml:space="preserve"> </w:t>
      </w:r>
      <w:r>
        <w:t xml:space="preserve">passenger-km or</w:t>
      </w:r>
      <w:r>
        <w:t xml:space="preserve"> </w:t>
      </w:r>
      <w:r>
        <w:t xml:space="preserve">tonne-km</w:t>
      </w:r>
      <w:r>
        <w:br/>
      </w:r>
      <w:r>
        <w:t xml:space="preserve">Not</w:t>
      </w:r>
      <w:r>
        <w:t xml:space="preserve"> </w:t>
      </w:r>
      <w:r>
        <w:t xml:space="preserve">defined</w:t>
      </w:r>
      <w:r>
        <w:t xml:space="preserve"> </w:t>
      </w:r>
      <w:r>
        <w:t xml:space="preserve">Not</w:t>
      </w:r>
      <w:r>
        <w:t xml:space="preserve"> </w:t>
      </w:r>
      <w:r>
        <w:t xml:space="preserve">defined</w:t>
      </w:r>
      <w:r>
        <w:t xml:space="preserve"> </w:t>
      </w:r>
      <w:r>
        <w:t xml:space="preserve">All alternatives</w:t>
      </w:r>
      <w:r>
        <w:br/>
      </w:r>
      <w:r>
        <w:t xml:space="preserve">Based on tonne-km or</w:t>
      </w:r>
      <w:r>
        <w:t xml:space="preserve"> </w:t>
      </w:r>
      <w:r>
        <w:t xml:space="preserve">passenger-km SFD or</w:t>
      </w:r>
      <w:r>
        <w:t xml:space="preserve"> </w:t>
      </w:r>
      <w:r>
        <w:t xml:space="preserve">GCD</w:t>
      </w:r>
    </w:p>
    <w:p>
      <w:pPr>
        <w:pStyle w:val="BodyText"/>
      </w:pPr>
      <w:r>
        <w:t xml:space="preserve">Flexibility in</w:t>
      </w:r>
      <w:r>
        <w:t xml:space="preserve"> </w:t>
      </w:r>
      <w:r>
        <w:t xml:space="preserve">calculation</w:t>
      </w:r>
      <w:r>
        <w:t xml:space="preserve"> </w:t>
      </w:r>
      <w:r>
        <w:t xml:space="preserve">approach (e.g. </w:t>
      </w:r>
      <w:r>
        <w:t xml:space="preserve"> </w:t>
      </w:r>
      <w:r>
        <w:t xml:space="preserve">input data and</w:t>
      </w:r>
      <w:r>
        <w:t xml:space="preserve"> </w:t>
      </w:r>
      <w:r>
        <w:t xml:space="preserve">metrics)</w:t>
      </w:r>
      <w:r>
        <w:br/>
      </w:r>
      <w:r>
        <w:t xml:space="preserve">The user can</w:t>
      </w:r>
      <w:r>
        <w:t xml:space="preserve"> </w:t>
      </w:r>
      <w:r>
        <w:t xml:space="preserve">choose the</w:t>
      </w:r>
      <w:r>
        <w:t xml:space="preserve"> </w:t>
      </w:r>
      <w:r>
        <w:t xml:space="preserve">metrics from a</w:t>
      </w:r>
      <w:r>
        <w:t xml:space="preserve"> </w:t>
      </w:r>
      <w:r>
        <w:t xml:space="preserve">predefined list</w:t>
      </w:r>
      <w:r>
        <w:t xml:space="preserve"> </w:t>
      </w:r>
      <w:r>
        <w:t xml:space="preserve">(not selected)</w:t>
      </w:r>
      <w:r>
        <w:br/>
      </w:r>
      <w:r>
        <w:t xml:space="preserve">not</w:t>
      </w:r>
      <w:r>
        <w:t xml:space="preserve"> </w:t>
      </w:r>
      <w:r>
        <w:t xml:space="preserve">defined</w:t>
      </w:r>
      <w:r>
        <w:t xml:space="preserve"> </w:t>
      </w:r>
      <w:r>
        <w:t xml:space="preserve">not</w:t>
      </w:r>
      <w:r>
        <w:t xml:space="preserve"> </w:t>
      </w:r>
      <w:r>
        <w:t xml:space="preserve">defined</w:t>
      </w:r>
      <w:r>
        <w:t xml:space="preserve"> </w:t>
      </w:r>
      <w:r>
        <w:t xml:space="preserve">The user can</w:t>
      </w:r>
      <w:r>
        <w:t xml:space="preserve"> </w:t>
      </w:r>
      <w:r>
        <w:t xml:space="preserve">choose the</w:t>
      </w:r>
      <w:r>
        <w:t xml:space="preserve"> </w:t>
      </w:r>
      <w:r>
        <w:t xml:space="preserve">metrics from a</w:t>
      </w:r>
      <w:r>
        <w:t xml:space="preserve"> </w:t>
      </w:r>
      <w:r>
        <w:t xml:space="preserve">predefined list</w:t>
      </w:r>
      <w:r>
        <w:t xml:space="preserve"> </w:t>
      </w:r>
      <w:r>
        <w:t xml:space="preserve">(not selected)</w:t>
      </w:r>
      <w:r>
        <w:br/>
      </w:r>
      <w:r>
        <w:t xml:space="preserve">The required</w:t>
      </w:r>
      <w:r>
        <w:t xml:space="preserve"> </w:t>
      </w:r>
      <w:r>
        <w:t xml:space="preserve">calculation method</w:t>
      </w:r>
      <w:r>
        <w:t xml:space="preserve"> </w:t>
      </w:r>
      <w:r>
        <w:t xml:space="preserve">depends on the</w:t>
      </w:r>
      <w:r>
        <w:t xml:space="preserve"> </w:t>
      </w:r>
      <w:r>
        <w:t xml:space="preserve">stakeholder group</w:t>
      </w:r>
      <w:r>
        <w:t xml:space="preserve"> </w:t>
      </w:r>
      <w:r>
        <w:t xml:space="preserve">applying the</w:t>
      </w:r>
      <w:r>
        <w:t xml:space="preserve"> </w:t>
      </w:r>
      <w:r>
        <w:t xml:space="preserve">calculations.</w:t>
      </w:r>
      <w:r>
        <w:br/>
      </w:r>
      <w:r>
        <w:t xml:space="preserve">Source: Ecorys and CE Delft (2023), Impact assessment support study</w:t>
      </w:r>
    </w:p>
    <w:p>
      <w:pPr>
        <w:pStyle w:val="BodyText"/>
      </w:pPr>
      <w:r>
        <w:t xml:space="preserve">As shown in Table 102, most of the selected design alternatives are covered by the existing</w:t>
      </w:r>
      <w:r>
        <w:t xml:space="preserve"> </w:t>
      </w:r>
      <w:r>
        <w:t xml:space="preserve">methodologies. There are, however, a few important caveats:</w:t>
      </w:r>
    </w:p>
    <w:p>
      <w:pPr>
        <w:pStyle w:val="BodyText"/>
      </w:pPr>
      <w:r>
        <w:t xml:space="preserve"> Article L. 1431-3 of the French transport code applies a national scale. All other</w:t>
      </w:r>
      <w:r>
        <w:t xml:space="preserve"> </w:t>
      </w:r>
      <w:r>
        <w:t xml:space="preserve">methodologies apply a global scale. However, while the PEF methodology can be</w:t>
      </w:r>
      <w:r>
        <w:t xml:space="preserve"> </w:t>
      </w:r>
      <w:r>
        <w:t xml:space="preserve">technically implemented to account emissions from international transport chains,</w:t>
      </w:r>
      <w:r>
        <w:t xml:space="preserve"> </w:t>
      </w:r>
      <w:r>
        <w:t xml:space="preserve">it is not used elsewhere, thus creating issues for a potential global alignment.</w:t>
      </w:r>
      <w:r>
        <w:t xml:space="preserve"> </w:t>
      </w:r>
      <w:r>
        <w:t xml:space="preserve"> Article L. 1431-3 of the French transport code and the CEN standard do not cover</w:t>
      </w:r>
      <w:r>
        <w:t xml:space="preserve"> </w:t>
      </w:r>
      <w:r>
        <w:t xml:space="preserve">the emissions of leakages and spills, hub activities and the emissions of</w:t>
      </w:r>
      <w:r>
        <w:t xml:space="preserve"> </w:t>
      </w:r>
      <w:r>
        <w:t xml:space="preserve">construction and dismantling of energy production infrastructure. The other</w:t>
      </w:r>
      <w:r>
        <w:t xml:space="preserve"> </w:t>
      </w:r>
      <w:r>
        <w:t xml:space="preserve">methodologies do cover the emissions of all relevant transport/logistic activities.</w:t>
      </w:r>
    </w:p>
    <w:p>
      <w:pPr>
        <w:pStyle w:val="BodyText"/>
      </w:pPr>
      <w:r>
        <w:t xml:space="preserve">181</w:t>
      </w:r>
    </w:p>
    <w:p>
      <w:pPr>
        <w:pStyle w:val="BodyText"/>
      </w:pPr>
      <w:r>
        <w:t xml:space="preserve"> The corporate value chain (scope 3) standard does not consider transport operators,</w:t>
      </w:r>
      <w:r>
        <w:t xml:space="preserve"> </w:t>
      </w:r>
      <w:r>
        <w:t xml:space="preserve">but only transport users and organisers. The other methodologies do cover all types</w:t>
      </w:r>
      <w:r>
        <w:t xml:space="preserve"> </w:t>
      </w:r>
      <w:r>
        <w:t xml:space="preserve">of entities.</w:t>
      </w:r>
      <w:r>
        <w:br/>
      </w:r>
      <w:r>
        <w:t xml:space="preserve"> The Corporate value chain (scope 3) standard and the PEF do not give specific</w:t>
      </w:r>
      <w:r>
        <w:t xml:space="preserve"> </w:t>
      </w:r>
      <w:r>
        <w:t xml:space="preserve">guidance on allocation of emissions for transport. Both methods allow for the</w:t>
      </w:r>
      <w:r>
        <w:t xml:space="preserve"> </w:t>
      </w:r>
      <w:r>
        <w:t xml:space="preserve">allocation rules, but these are not specified across the transport sector283.</w:t>
      </w:r>
      <w:r>
        <w:br/>
      </w:r>
      <w:r>
        <w:t xml:space="preserve"> Article L. 1431-3 of the French Transport Code recommends the use of the real</w:t>
      </w:r>
      <w:r>
        <w:t xml:space="preserve"> </w:t>
      </w:r>
      <w:r>
        <w:t xml:space="preserve">tonne-kilometres as allocation parameter instead of the preferred SCF or GCD</w:t>
      </w:r>
      <w:r>
        <w:t xml:space="preserve"> </w:t>
      </w:r>
      <w:r>
        <w:t xml:space="preserve">tonne-kilometres. Both the CEN standard and ISO do allow the use of these</w:t>
      </w:r>
      <w:r>
        <w:t xml:space="preserve"> </w:t>
      </w:r>
      <w:r>
        <w:t xml:space="preserve">allocation parameters for freight transport. ISO does, however, provide more</w:t>
      </w:r>
      <w:r>
        <w:t xml:space="preserve"> </w:t>
      </w:r>
      <w:r>
        <w:t xml:space="preserve">guidance on which allocation parameter should be applied.</w:t>
      </w:r>
      <w:r>
        <w:br/>
      </w:r>
      <w:r>
        <w:t xml:space="preserve"> As for the methodological element ‘flexibility in calculation approach’, both</w:t>
      </w:r>
      <w:r>
        <w:t xml:space="preserve"> </w:t>
      </w:r>
      <w:r>
        <w:t xml:space="preserve">Article L. 1431-3 of the French Transport Code and the CEN-standard provide</w:t>
      </w:r>
      <w:r>
        <w:t xml:space="preserve"> </w:t>
      </w:r>
      <w:r>
        <w:t xml:space="preserve">more than preferred flexibility to the users on the approach to be chosen for the</w:t>
      </w:r>
      <w:r>
        <w:t xml:space="preserve"> </w:t>
      </w:r>
      <w:r>
        <w:t xml:space="preserve">calculations of GHG emissions. ISO 14084 does provide more specific guidance</w:t>
      </w:r>
      <w:r>
        <w:t xml:space="preserve"> </w:t>
      </w:r>
      <w:r>
        <w:t xml:space="preserve">on the calculation approach to be applied.</w:t>
      </w:r>
      <w:r>
        <w:br/>
      </w:r>
      <w:r>
        <w:t xml:space="preserve">c) Screening the shortlisted methods</w:t>
      </w:r>
      <w:r>
        <w:t xml:space="preserve"> </w:t>
      </w:r>
      <w:r>
        <w:t xml:space="preserve">These five methodologies were screened on the following criteria:</w:t>
      </w:r>
    </w:p>
    <w:p>
      <w:pPr>
        <w:pStyle w:val="BodyText"/>
      </w:pPr>
      <w:r>
        <w:t xml:space="preserve"> Completeness of methodology (does it address the selected design alternatives)</w:t>
      </w:r>
      <w:r>
        <w:t xml:space="preserve"> </w:t>
      </w:r>
      <w:r>
        <w:t xml:space="preserve"> Acceptability and applicability for users</w:t>
      </w:r>
      <w:r>
        <w:t xml:space="preserve"> </w:t>
      </w:r>
      <w:r>
        <w:t xml:space="preserve"> Accuracy and comparability</w:t>
      </w:r>
      <w:r>
        <w:t xml:space="preserve"> </w:t>
      </w:r>
      <w:r>
        <w:t xml:space="preserve"> Coherence with industry initiatives and other policy initiatives</w:t>
      </w:r>
      <w:r>
        <w:t xml:space="preserve"> </w:t>
      </w:r>
      <w:r>
        <w:t xml:space="preserve">Table 103 presents results of the screening analysis.</w:t>
      </w:r>
    </w:p>
    <w:p>
      <w:pPr>
        <w:pStyle w:val="BodyText"/>
      </w:pPr>
      <w:r>
        <w:t xml:space="preserve">Table 103: Screening analysis of existing/emerging methodologies for CountEmissions EU</w:t>
      </w:r>
      <w:r>
        <w:t xml:space="preserve"> </w:t>
      </w:r>
      <w:r>
        <w:t xml:space="preserve">Methodology</w:t>
      </w:r>
      <w:r>
        <w:t xml:space="preserve"> </w:t>
      </w:r>
      <w:r>
        <w:t xml:space="preserve">Completeness</w:t>
      </w:r>
      <w:r>
        <w:t xml:space="preserve"> </w:t>
      </w:r>
      <w:r>
        <w:t xml:space="preserve">Acceptability and</w:t>
      </w:r>
      <w:r>
        <w:t xml:space="preserve"> </w:t>
      </w:r>
      <w:r>
        <w:t xml:space="preserve">applicability of</w:t>
      </w:r>
      <w:r>
        <w:t xml:space="preserve"> </w:t>
      </w:r>
      <w:r>
        <w:t xml:space="preserve">users</w:t>
      </w:r>
      <w:r>
        <w:t xml:space="preserve"> </w:t>
      </w:r>
      <w:r>
        <w:t xml:space="preserve">Accuracy and</w:t>
      </w:r>
      <w:r>
        <w:t xml:space="preserve"> </w:t>
      </w:r>
      <w:r>
        <w:t xml:space="preserve">comparability</w:t>
      </w:r>
      <w:r>
        <w:t xml:space="preserve"> </w:t>
      </w:r>
      <w:r>
        <w:t xml:space="preserve">Coherence with</w:t>
      </w:r>
      <w:r>
        <w:t xml:space="preserve"> </w:t>
      </w:r>
      <w:r>
        <w:t xml:space="preserve">industry initiatives</w:t>
      </w:r>
      <w:r>
        <w:br/>
      </w:r>
      <w:r>
        <w:t xml:space="preserve">and other policy</w:t>
      </w:r>
      <w:r>
        <w:t xml:space="preserve"> </w:t>
      </w:r>
      <w:r>
        <w:t xml:space="preserve">initiatives</w:t>
      </w:r>
      <w:r>
        <w:t xml:space="preserve"> </w:t>
      </w:r>
      <w:r>
        <w:t xml:space="preserve">Article L. 1431-3</w:t>
      </w:r>
      <w:r>
        <w:t xml:space="preserve"> </w:t>
      </w:r>
      <w:r>
        <w:t xml:space="preserve">of the French</w:t>
      </w:r>
      <w:r>
        <w:t xml:space="preserve"> </w:t>
      </w:r>
      <w:r>
        <w:t xml:space="preserve">transport code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Corporate value</w:t>
      </w:r>
      <w:r>
        <w:t xml:space="preserve"> </w:t>
      </w:r>
      <w:r>
        <w:t xml:space="preserve">chain (scope3)</w:t>
      </w:r>
      <w:r>
        <w:t xml:space="preserve"> </w:t>
      </w:r>
      <w:r>
        <w:t xml:space="preserve">standard of the</w:t>
      </w:r>
      <w:r>
        <w:t xml:space="preserve"> </w:t>
      </w:r>
      <w:r>
        <w:t xml:space="preserve">GHG protocol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PEF / OEF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</w:p>
    <w:p>
      <w:pPr>
        <w:pStyle w:val="BodyText"/>
      </w:pPr>
      <w:r>
        <w:t xml:space="preserve">283 Within the framework of the PEF, currently specific calculation rules (i.e. category rules) are being</w:t>
      </w:r>
      <w:r>
        <w:t xml:space="preserve"> </w:t>
      </w:r>
      <w:r>
        <w:t xml:space="preserve">developed for aircrafts, which do include specific allocation rules for life cycle emissions of aircrafts.</w:t>
      </w:r>
    </w:p>
    <w:p>
      <w:pPr>
        <w:pStyle w:val="BodyText"/>
      </w:pPr>
      <w:r>
        <w:t xml:space="preserve">182</w:t>
      </w:r>
    </w:p>
    <w:p>
      <w:pPr>
        <w:pStyle w:val="BodyText"/>
      </w:pPr>
      <w:r>
        <w:t xml:space="preserve">CEN standard EN</w:t>
      </w:r>
      <w:r>
        <w:t xml:space="preserve"> </w:t>
      </w:r>
      <w:r>
        <w:t xml:space="preserve">16258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Draft ISO 14083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Scores from 1-5 range from high to low</w:t>
      </w:r>
      <w:r>
        <w:t xml:space="preserve"> </w:t>
      </w:r>
      <w:r>
        <w:t xml:space="preserve">Source: Ecorys and CE Delft (2023), Impact assessment support study</w:t>
      </w:r>
      <w:r>
        <w:t xml:space="preserve"> </w:t>
      </w:r>
      <w:r>
        <w:t xml:space="preserve">From the existing methodologies/standards, the (draft) ISO 14083 norm is most complete</w:t>
      </w:r>
      <w:r>
        <w:t xml:space="preserve"> </w:t>
      </w:r>
      <w:r>
        <w:t xml:space="preserve">on the scope and calculation/allocation methods (as shown in the previous section). It also</w:t>
      </w:r>
      <w:r>
        <w:t xml:space="preserve"> </w:t>
      </w:r>
      <w:r>
        <w:t xml:space="preserve">received a significant support from the stakeholders participating in various consultation</w:t>
      </w:r>
      <w:r>
        <w:t xml:space="preserve"> </w:t>
      </w:r>
      <w:r>
        <w:t xml:space="preserve">activities, including in the workshop and some individual interviews. Therefore, its</w:t>
      </w:r>
      <w:r>
        <w:t xml:space="preserve"> </w:t>
      </w:r>
      <w:r>
        <w:t xml:space="preserve">acceptability features high in the assessment. Accuracy and comparability of output data</w:t>
      </w:r>
      <w:r>
        <w:t xml:space="preserve"> </w:t>
      </w:r>
      <w:r>
        <w:t xml:space="preserve">were also ranked high, although the methodology leaves some room to users to make their</w:t>
      </w:r>
      <w:r>
        <w:t xml:space="preserve"> </w:t>
      </w:r>
      <w:r>
        <w:t xml:space="preserve">own decisions, which may slightly lower the score on this criterion. ISO 14083 has been</w:t>
      </w:r>
      <w:r>
        <w:t xml:space="preserve"> </w:t>
      </w:r>
      <w:r>
        <w:t xml:space="preserve">developed with the support of many stakeholders, based on GLEC and EU financed</w:t>
      </w:r>
      <w:r>
        <w:t xml:space="preserve"> </w:t>
      </w:r>
      <w:r>
        <w:t xml:space="preserve">research projects (COFRET, LEARN). The coherence with industry activities is therefore</w:t>
      </w:r>
      <w:r>
        <w:t xml:space="preserve"> </w:t>
      </w:r>
      <w:r>
        <w:t xml:space="preserve">considered to be at the good level. No specific inconsistencies with the policy framework</w:t>
      </w:r>
      <w:r>
        <w:t xml:space="preserve"> </w:t>
      </w:r>
      <w:r>
        <w:t xml:space="preserve">were identified either. Based on these remarks, the method has been selected as a specific</w:t>
      </w:r>
      <w:r>
        <w:t xml:space="preserve"> </w:t>
      </w:r>
      <w:r>
        <w:t xml:space="preserve">policy measure to be considered under CountEmissions EU.</w:t>
      </w:r>
    </w:p>
    <w:p>
      <w:pPr>
        <w:pStyle w:val="BodyText"/>
      </w:pPr>
      <w:r>
        <w:t xml:space="preserve">From the other existing methodologies/standards, particularly CEN standard EN 16258,</w:t>
      </w:r>
      <w:r>
        <w:t xml:space="preserve"> </w:t>
      </w:r>
      <w:r>
        <w:t xml:space="preserve">and to a lesser extent, Article L. 1431-3 of the French transport code are considered</w:t>
      </w:r>
      <w:r>
        <w:t xml:space="preserve"> </w:t>
      </w:r>
      <w:r>
        <w:t xml:space="preserve">reasonable alternatives. Both are already in use, and therefore are very acceptable and</w:t>
      </w:r>
      <w:r>
        <w:t xml:space="preserve"> </w:t>
      </w:r>
      <w:r>
        <w:t xml:space="preserve">applicable for the market players. However, they have more limited methodological scope</w:t>
      </w:r>
      <w:r>
        <w:t xml:space="preserve"> </w:t>
      </w:r>
      <w:r>
        <w:t xml:space="preserve">compared to ISO 14083 concept, e.g. emissions of hubs and from leakages and spills are</w:t>
      </w:r>
      <w:r>
        <w:t xml:space="preserve"> </w:t>
      </w:r>
      <w:r>
        <w:t xml:space="preserve">not included. Also, the methodologies do not give direction on the use of specific</w:t>
      </w:r>
      <w:r>
        <w:t xml:space="preserve"> </w:t>
      </w:r>
      <w:r>
        <w:t xml:space="preserve">calculation options to be made, leaving considerable room to users to make their own</w:t>
      </w:r>
      <w:r>
        <w:t xml:space="preserve"> </w:t>
      </w:r>
      <w:r>
        <w:t xml:space="preserve">methodological decisions284. Therefore, these methodologies produce less accurate and</w:t>
      </w:r>
      <w:r>
        <w:t xml:space="preserve"> </w:t>
      </w:r>
      <w:r>
        <w:t xml:space="preserve">comparable GHG emissions figures than those expected under ISO 14083. Furthermore,</w:t>
      </w:r>
      <w:r>
        <w:t xml:space="preserve"> </w:t>
      </w:r>
      <w:r>
        <w:t xml:space="preserve">Article L. 1431-3 of the French transport code is restricted for the use in France only, thus</w:t>
      </w:r>
      <w:r>
        <w:t xml:space="preserve"> </w:t>
      </w:r>
      <w:r>
        <w:t xml:space="preserve">negatively affecting its acceptability among broader stakeholders’ groups. Finally, EN</w:t>
      </w:r>
      <w:r>
        <w:t xml:space="preserve"> </w:t>
      </w:r>
      <w:r>
        <w:t xml:space="preserve">16258 has been withdrawn upon the publication of the ISO 14083, and therefore in the</w:t>
      </w:r>
      <w:r>
        <w:t xml:space="preserve"> </w:t>
      </w:r>
      <w:r>
        <w:t xml:space="preserve">medium and long perspective it would not be any more coherent with relevant industry and</w:t>
      </w:r>
      <w:r>
        <w:t xml:space="preserve"> </w:t>
      </w:r>
      <w:r>
        <w:t xml:space="preserve">regulatory initiatives. The same applies for Article L. 1431-3 of the French transport code,</w:t>
      </w:r>
      <w:r>
        <w:t xml:space="preserve"> </w:t>
      </w:r>
      <w:r>
        <w:t xml:space="preserve">which currently relies on EN 16258. For these reasons, CEN EN 16258 and Article L.</w:t>
      </w:r>
      <w:r>
        <w:t xml:space="preserve"> </w:t>
      </w:r>
      <w:r>
        <w:t xml:space="preserve">1431-3 of the French transport code have been discarded as policy measures.</w:t>
      </w:r>
    </w:p>
    <w:p>
      <w:pPr>
        <w:pStyle w:val="BodyText"/>
      </w:pPr>
      <w:r>
        <w:t xml:space="preserve">As mentioned above, the Corporate value chain standard of the GHG protocol and the</w:t>
      </w:r>
      <w:r>
        <w:t xml:space="preserve"> </w:t>
      </w:r>
      <w:r>
        <w:t xml:space="preserve">general PEF framework do not give specific guidance for allocation of transport emissions</w:t>
      </w:r>
      <w:r>
        <w:t xml:space="preserve"> </w:t>
      </w:r>
      <w:r>
        <w:t xml:space="preserve">to transport services. Although highly valuable for accounting GHG emissions of</w:t>
      </w:r>
      <w:r>
        <w:t xml:space="preserve"> </w:t>
      </w:r>
      <w:r>
        <w:t xml:space="preserve">companies or products, these methods are considered less complete and accurate for</w:t>
      </w:r>
      <w:r>
        <w:t xml:space="preserve"> </w:t>
      </w:r>
      <w:r>
        <w:t xml:space="preserve">quantifying emissions at the specific transport service level. Consequently, they score</w:t>
      </w:r>
      <w:r>
        <w:t xml:space="preserve"> </w:t>
      </w:r>
      <w:r>
        <w:t xml:space="preserve">lower on the comparability of emissions data produced. Also their acceptability and</w:t>
      </w:r>
      <w:r>
        <w:t xml:space="preserve"> </w:t>
      </w:r>
      <w:r>
        <w:t xml:space="preserve">applicability do not feature high, since these methods do not give complete guidance on</w:t>
      </w:r>
      <w:r>
        <w:t xml:space="preserve"> </w:t>
      </w:r>
      <w:r>
        <w:t xml:space="preserve">how to effectively calculate emissions for various type of transport services. Furthermore,</w:t>
      </w:r>
      <w:r>
        <w:t xml:space="preserve"> </w:t>
      </w:r>
      <w:r>
        <w:t xml:space="preserve">these methods are not sufficiently aligned with specific needs of the transport sector (e.g. </w:t>
      </w:r>
    </w:p>
    <w:p>
      <w:pPr>
        <w:pStyle w:val="BodyText"/>
      </w:pPr>
      <w:r>
        <w:t xml:space="preserve">284 For instance, the CEN standard allows the use of all relevant types of allocation parameters</w:t>
      </w:r>
    </w:p>
    <w:p>
      <w:pPr>
        <w:pStyle w:val="BodyText"/>
      </w:pPr>
      <w:r>
        <w:t xml:space="preserve">183</w:t>
      </w:r>
    </w:p>
    <w:p>
      <w:pPr>
        <w:pStyle w:val="BodyText"/>
      </w:pPr>
      <w:r>
        <w:t xml:space="preserve">concerning allocation rules), resulting in a medium score on the coherence. For these</w:t>
      </w:r>
      <w:r>
        <w:t xml:space="preserve"> </w:t>
      </w:r>
      <w:r>
        <w:t xml:space="preserve">reasons, also these two methodologies were discarded.</w:t>
      </w:r>
    </w:p>
    <w:p>
      <w:pPr>
        <w:pStyle w:val="Compact"/>
        <w:numPr>
          <w:ilvl w:val="0"/>
          <w:numId w:val="1015"/>
        </w:numPr>
      </w:pPr>
      <w:r>
        <w:t xml:space="preserve">New reference methodology</w:t>
      </w:r>
      <w:r>
        <w:t xml:space="preserve"> </w:t>
      </w:r>
      <w:r>
        <w:t xml:space="preserve">In addition to the methods shortlisted above, a new, specific and tailored reference</w:t>
      </w:r>
      <w:r>
        <w:t xml:space="preserve"> </w:t>
      </w:r>
      <w:r>
        <w:t xml:space="preserve">methodology may be considered for CountEmissions EU. In this respect, the following</w:t>
      </w:r>
      <w:r>
        <w:t xml:space="preserve"> </w:t>
      </w:r>
      <w:r>
        <w:t xml:space="preserve">alternatives have been identified:</w:t>
      </w:r>
    </w:p>
    <w:p>
      <w:pPr>
        <w:pStyle w:val="FirstParagraph"/>
      </w:pPr>
      <w:r>
        <w:t xml:space="preserve"> A complete new reference methodology. This methodology should provide more</w:t>
      </w:r>
      <w:r>
        <w:t xml:space="preserve"> </w:t>
      </w:r>
      <w:r>
        <w:t xml:space="preserve">guidance</w:t>
      </w:r>
      <w:r>
        <w:t xml:space="preserve"> </w:t>
      </w:r>
      <w:r>
        <w:t xml:space="preserve">to</w:t>
      </w:r>
      <w:r>
        <w:t xml:space="preserve"> </w:t>
      </w:r>
      <w:r>
        <w:t xml:space="preserve">entities</w:t>
      </w:r>
      <w:r>
        <w:t xml:space="preserve"> </w:t>
      </w:r>
      <w:r>
        <w:t xml:space="preserve">accounting</w:t>
      </w:r>
      <w:r>
        <w:t xml:space="preserve"> </w:t>
      </w:r>
      <w:r>
        <w:t xml:space="preserve">emissions</w:t>
      </w:r>
      <w:r>
        <w:t xml:space="preserve"> </w:t>
      </w:r>
      <w:r>
        <w:t xml:space="preserve">than</w:t>
      </w:r>
      <w:r>
        <w:t xml:space="preserve"> </w:t>
      </w:r>
      <w:r>
        <w:t xml:space="preserve">the</w:t>
      </w:r>
      <w:r>
        <w:t xml:space="preserve"> </w:t>
      </w:r>
      <w:r>
        <w:t xml:space="preserve">current/emerging</w:t>
      </w:r>
      <w:r>
        <w:t xml:space="preserve"> </w:t>
      </w:r>
      <w:r>
        <w:t xml:space="preserve">methodologies/standards, thus resulting in more accurate and comparable results.</w:t>
      </w:r>
      <w:r>
        <w:t xml:space="preserve"> </w:t>
      </w:r>
      <w:r>
        <w:t xml:space="preserve">The methodology will cover all preferred design alternatives discussed in Section</w:t>
      </w:r>
      <w:r>
        <w:t xml:space="preserve"> </w:t>
      </w:r>
      <w:r>
        <w:t xml:space="preserve">II.</w:t>
      </w:r>
    </w:p>
    <w:p>
      <w:pPr>
        <w:pStyle w:val="BodyText"/>
      </w:pPr>
      <w:r>
        <w:t xml:space="preserve"> A new reference methodology based on ISO 14083, but with additional elements</w:t>
      </w:r>
      <w:r>
        <w:t xml:space="preserve"> </w:t>
      </w:r>
      <w:r>
        <w:t xml:space="preserve">and increased accuracy. This idea comes from the fact that ISO 14083 still provides</w:t>
      </w:r>
      <w:r>
        <w:t xml:space="preserve"> </w:t>
      </w:r>
      <w:r>
        <w:t xml:space="preserve">quite some flexibility to users. This may negatively affect the accuracy and</w:t>
      </w:r>
      <w:r>
        <w:t xml:space="preserve"> </w:t>
      </w:r>
      <w:r>
        <w:t xml:space="preserve">comparability of the GHG emission figures generated with the use of the common</w:t>
      </w:r>
      <w:r>
        <w:t xml:space="preserve"> </w:t>
      </w:r>
      <w:r>
        <w:t xml:space="preserve">framework. This new methodology, therefore, builds on ISO 14083 but provides</w:t>
      </w:r>
      <w:r>
        <w:t xml:space="preserve"> </w:t>
      </w:r>
      <w:r>
        <w:t xml:space="preserve">more guidance on specific methodological elements, including:</w:t>
      </w:r>
      <w:r>
        <w:t xml:space="preserve"> </w:t>
      </w:r>
      <w:r>
        <w:t xml:space="preserve">-</w:t>
      </w:r>
      <w:r>
        <w:t xml:space="preserve"> </w:t>
      </w:r>
      <w:r>
        <w:t xml:space="preserve">Clear definition of a transport operation category (TOC) per market segment.</w:t>
      </w:r>
      <w:r>
        <w:t xml:space="preserve"> </w:t>
      </w:r>
      <w:r>
        <w:t xml:space="preserve">In ISO 14083, the transport chain category is defined as a group of operations</w:t>
      </w:r>
      <w:r>
        <w:t xml:space="preserve"> </w:t>
      </w:r>
      <w:r>
        <w:t xml:space="preserve">of a certain transport operator, with similar characteristics (e.g. the final leg</w:t>
      </w:r>
      <w:r>
        <w:t xml:space="preserve"> </w:t>
      </w:r>
      <w:r>
        <w:t xml:space="preserve">from a distribution centre to clients). The transport chain category is the level</w:t>
      </w:r>
      <w:r>
        <w:t xml:space="preserve"> </w:t>
      </w:r>
      <w:r>
        <w:t xml:space="preserve">at which emission are allocated to services, and for which relevant emission</w:t>
      </w:r>
      <w:r>
        <w:t xml:space="preserve"> </w:t>
      </w:r>
      <w:r>
        <w:t xml:space="preserve">intensity factor is applied (g/ tkm GCD or SFC). Within ISO, it is up to the user</w:t>
      </w:r>
      <w:r>
        <w:t xml:space="preserve"> </w:t>
      </w:r>
      <w:r>
        <w:t xml:space="preserve">to define the transport operation category. Different competitors might apply</w:t>
      </w:r>
      <w:r>
        <w:t xml:space="preserve"> </w:t>
      </w:r>
      <w:r>
        <w:t xml:space="preserve">differently the boundaries of a transport operation category, which may lead to</w:t>
      </w:r>
      <w:r>
        <w:t xml:space="preserve"> </w:t>
      </w:r>
      <w:r>
        <w:t xml:space="preserve">incomparable results. The new methodology may define precisely these rules.</w:t>
      </w:r>
      <w:r>
        <w:t xml:space="preserve"> </w:t>
      </w:r>
      <w:r>
        <w:t xml:space="preserve">-</w:t>
      </w:r>
      <w:r>
        <w:t xml:space="preserve"> </w:t>
      </w:r>
      <w:r>
        <w:t xml:space="preserve">Time aggregation: ISO 14083 recommends to base the emission calculations</w:t>
      </w:r>
      <w:r>
        <w:t xml:space="preserve"> </w:t>
      </w:r>
      <w:r>
        <w:t xml:space="preserve">on annual average emissions on each transport leg, trip or hub activity but</w:t>
      </w:r>
      <w:r>
        <w:t xml:space="preserve"> </w:t>
      </w:r>
      <w:r>
        <w:t xml:space="preserve">allows different time periods as well, when explained by a user. A precise time</w:t>
      </w:r>
      <w:r>
        <w:t xml:space="preserve"> </w:t>
      </w:r>
      <w:r>
        <w:t xml:space="preserve">aggregation may be put forward by the new methodology per specific transport</w:t>
      </w:r>
      <w:r>
        <w:t xml:space="preserve"> </w:t>
      </w:r>
      <w:r>
        <w:t xml:space="preserve">segment;</w:t>
      </w:r>
      <w:r>
        <w:t xml:space="preserve"> </w:t>
      </w:r>
      <w:r>
        <w:t xml:space="preserve">-</w:t>
      </w:r>
      <w:r>
        <w:t xml:space="preserve"> </w:t>
      </w:r>
      <w:r>
        <w:t xml:space="preserve">Allocation parameter: ISO 14083 provides users the opportunity to make use</w:t>
      </w:r>
      <w:r>
        <w:t xml:space="preserve"> </w:t>
      </w:r>
      <w:r>
        <w:t xml:space="preserve">of tonne-km GCD or SFD (for freight transport) and passenger-km GCD or</w:t>
      </w:r>
      <w:r>
        <w:t xml:space="preserve"> </w:t>
      </w:r>
      <w:r>
        <w:t xml:space="preserve">SFD (for passenger transport) as the allocation parameter. In this new reference</w:t>
      </w:r>
      <w:r>
        <w:t xml:space="preserve"> </w:t>
      </w:r>
      <w:r>
        <w:t xml:space="preserve">methodology only allocation based on GCD kilometres may be allowed;</w:t>
      </w:r>
      <w:r>
        <w:br/>
      </w:r>
      <w:r>
        <w:t xml:space="preserve">-</w:t>
      </w:r>
      <w:r>
        <w:t xml:space="preserve"> </w:t>
      </w:r>
      <w:r>
        <w:t xml:space="preserve">Alternatives for mass-based allocation: the tonne-km (real, SFD or GCD) is</w:t>
      </w:r>
      <w:r>
        <w:t xml:space="preserve"> </w:t>
      </w:r>
      <w:r>
        <w:t xml:space="preserve">usually applied as the standard allocation parameter. However, for some types</w:t>
      </w:r>
      <w:r>
        <w:t xml:space="preserve"> </w:t>
      </w:r>
      <w:r>
        <w:t xml:space="preserve">of freight transport (e.g. parcel delivery) other metrics than tonne-km are more</w:t>
      </w:r>
      <w:r>
        <w:t xml:space="preserve"> </w:t>
      </w:r>
      <w:r>
        <w:t xml:space="preserve">appropriate, e.g. m3-km or container-km. ISO 14083 leaves it up to the user</w:t>
      </w:r>
      <w:r>
        <w:t xml:space="preserve"> </w:t>
      </w:r>
      <w:r>
        <w:t xml:space="preserve">whether they would like to use another metric. In this new methodology, this</w:t>
      </w:r>
      <w:r>
        <w:t xml:space="preserve"> </w:t>
      </w:r>
      <w:r>
        <w:t xml:space="preserve">metric may be clearly defined (and prescribed) for each transport segment;</w:t>
      </w:r>
    </w:p>
    <w:p>
      <w:pPr>
        <w:pStyle w:val="BodyText"/>
      </w:pPr>
      <w:r>
        <w:t xml:space="preserve">184</w:t>
      </w:r>
    </w:p>
    <w:p>
      <w:pPr>
        <w:pStyle w:val="Compact"/>
        <w:numPr>
          <w:ilvl w:val="0"/>
          <w:numId w:val="1016"/>
        </w:numPr>
      </w:pPr>
      <w:r>
        <w:t xml:space="preserve">Inclusion of GHG emissions from the production of batteries for the electric</w:t>
      </w:r>
      <w:r>
        <w:t xml:space="preserve"> </w:t>
      </w:r>
      <w:r>
        <w:t xml:space="preserve">vehicles.</w:t>
      </w:r>
      <w:r>
        <w:t xml:space="preserve"> </w:t>
      </w:r>
      <w:r>
        <w:t xml:space="preserve"> New Product Environmental Footprint category rules for transport, including rules</w:t>
      </w:r>
      <w:r>
        <w:t xml:space="preserve"> </w:t>
      </w:r>
      <w:r>
        <w:t xml:space="preserve">for transport services. The general PEF framework does not provide much guidance</w:t>
      </w:r>
      <w:r>
        <w:t xml:space="preserve"> </w:t>
      </w:r>
      <w:r>
        <w:t xml:space="preserve">on the calculation of GHG emissions at the transport service level, as it was</w:t>
      </w:r>
      <w:r>
        <w:t xml:space="preserve"> </w:t>
      </w:r>
      <w:r>
        <w:t xml:space="preserve">discussed above. For this new methodology, therefore, specific category rules (i.e. </w:t>
      </w:r>
      <w:r>
        <w:t xml:space="preserve"> </w:t>
      </w:r>
      <w:r>
        <w:t xml:space="preserve">set of calculation rules) for transport may be developed. The PEF method already</w:t>
      </w:r>
      <w:r>
        <w:t xml:space="preserve"> </w:t>
      </w:r>
      <w:r>
        <w:t xml:space="preserve">offers a guide to develop emission factors (JRC, 2020a) and compliant emission</w:t>
      </w:r>
      <w:r>
        <w:t xml:space="preserve"> </w:t>
      </w:r>
      <w:r>
        <w:t xml:space="preserve">factors datasets (EC, 2022). With the category specific rules for transport, the</w:t>
      </w:r>
      <w:r>
        <w:t xml:space="preserve"> </w:t>
      </w:r>
      <w:r>
        <w:t xml:space="preserve">industry can further develop the environmental footprint calculation of their own</w:t>
      </w:r>
      <w:r>
        <w:t xml:space="preserve"> </w:t>
      </w:r>
      <w:r>
        <w:t xml:space="preserve">product (i.e. the movement of goods or people). Therefore, it is important that these</w:t>
      </w:r>
      <w:r>
        <w:t xml:space="preserve"> </w:t>
      </w:r>
      <w:r>
        <w:t xml:space="preserve">category rules allow the allocation of GHG emissions to services, like ISO 14083</w:t>
      </w:r>
      <w:r>
        <w:t xml:space="preserve"> </w:t>
      </w:r>
      <w:r>
        <w:t xml:space="preserve">(instead of physical goods). In line with the general approach followed within the</w:t>
      </w:r>
      <w:r>
        <w:t xml:space="preserve"> </w:t>
      </w:r>
      <w:r>
        <w:t xml:space="preserve">PEF, these category rules for transport would need to cover life cycle emissions, a</w:t>
      </w:r>
      <w:r>
        <w:t xml:space="preserve"> </w:t>
      </w:r>
      <w:r>
        <w:t xml:space="preserve">scope which is broader than in the other methodologies reported on the long list.</w:t>
      </w:r>
      <w:r>
        <w:t xml:space="preserve"> </w:t>
      </w:r>
      <w:r>
        <w:t xml:space="preserve">However, given the scope of CountEmissions EU, only GHG emissions (and not</w:t>
      </w:r>
      <w:r>
        <w:t xml:space="preserve"> </w:t>
      </w:r>
      <w:r>
        <w:t xml:space="preserve">other emission types and environmental impacts) would be considered.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Assessment of the relevance of the new methodologies</w:t>
      </w:r>
      <w:r>
        <w:t xml:space="preserve"> </w:t>
      </w:r>
      <w:r>
        <w:t xml:space="preserve">Table 104 presents the results of the screening analysis of the new methodologies on the</w:t>
      </w:r>
      <w:r>
        <w:t xml:space="preserve"> </w:t>
      </w:r>
      <w:r>
        <w:t xml:space="preserve">criteria identified in section III.c</w:t>
      </w:r>
    </w:p>
    <w:p>
      <w:pPr>
        <w:pStyle w:val="FirstParagraph"/>
      </w:pPr>
      <w:r>
        <w:t xml:space="preserve">Table 104: Screening analysis of new methodologies for CountEmissions EU</w:t>
      </w:r>
      <w:r>
        <w:t xml:space="preserve"> </w:t>
      </w:r>
      <w:r>
        <w:t xml:space="preserve">Methodology</w:t>
      </w:r>
      <w:r>
        <w:t xml:space="preserve"> </w:t>
      </w:r>
      <w:r>
        <w:t xml:space="preserve">Completeness</w:t>
      </w:r>
      <w:r>
        <w:t xml:space="preserve"> </w:t>
      </w:r>
      <w:r>
        <w:t xml:space="preserve">Acceptability and</w:t>
      </w:r>
      <w:r>
        <w:t xml:space="preserve"> </w:t>
      </w:r>
      <w:r>
        <w:t xml:space="preserve">applicability of</w:t>
      </w:r>
      <w:r>
        <w:t xml:space="preserve"> </w:t>
      </w:r>
      <w:r>
        <w:t xml:space="preserve">users</w:t>
      </w:r>
      <w:r>
        <w:t xml:space="preserve"> </w:t>
      </w:r>
      <w:r>
        <w:t xml:space="preserve">Accuracy and</w:t>
      </w:r>
      <w:r>
        <w:t xml:space="preserve"> </w:t>
      </w:r>
      <w:r>
        <w:t xml:space="preserve">comparability</w:t>
      </w:r>
      <w:r>
        <w:t xml:space="preserve"> </w:t>
      </w:r>
      <w:r>
        <w:t xml:space="preserve">Coherence with</w:t>
      </w:r>
      <w:r>
        <w:t xml:space="preserve"> </w:t>
      </w:r>
      <w:r>
        <w:t xml:space="preserve">industry initiatives</w:t>
      </w:r>
      <w:r>
        <w:br/>
      </w:r>
      <w:r>
        <w:t xml:space="preserve">and other policy</w:t>
      </w:r>
      <w:r>
        <w:t xml:space="preserve"> </w:t>
      </w:r>
      <w:r>
        <w:t xml:space="preserve">initiatives</w:t>
      </w:r>
      <w:r>
        <w:t xml:space="preserve"> </w:t>
      </w:r>
      <w:r>
        <w:t xml:space="preserve">A new reference</w:t>
      </w:r>
      <w:r>
        <w:t xml:space="preserve"> </w:t>
      </w:r>
      <w:r>
        <w:t xml:space="preserve">methodology</w:t>
      </w:r>
      <w:r>
        <w:br/>
      </w:r>
      <w:r>
        <w:t xml:space="preserve">1</w:t>
      </w:r>
      <w:r>
        <w:t xml:space="preserve"> </w:t>
      </w:r>
      <w:r>
        <w:t xml:space="preserve">5</w:t>
      </w:r>
      <w:r>
        <w:t xml:space="preserve"> </w:t>
      </w:r>
      <w:r>
        <w:t xml:space="preserve">1</w:t>
      </w:r>
      <w:r>
        <w:t xml:space="preserve"> </w:t>
      </w:r>
      <w:r>
        <w:t xml:space="preserve">N.A.</w:t>
      </w:r>
      <w:r>
        <w:t xml:space="preserve"> </w:t>
      </w:r>
      <w:r>
        <w:t xml:space="preserve">A new reference</w:t>
      </w:r>
      <w:r>
        <w:t xml:space="preserve"> </w:t>
      </w:r>
      <w:r>
        <w:t xml:space="preserve">methodology</w:t>
      </w:r>
      <w:r>
        <w:t xml:space="preserve"> </w:t>
      </w:r>
      <w:r>
        <w:t xml:space="preserve">referring to ISO</w:t>
      </w:r>
      <w:r>
        <w:t xml:space="preserve"> </w:t>
      </w:r>
      <w:r>
        <w:t xml:space="preserve">14083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New PEF category</w:t>
      </w:r>
      <w:r>
        <w:t xml:space="preserve"> </w:t>
      </w:r>
      <w:r>
        <w:t xml:space="preserve">rules for transport,</w:t>
      </w:r>
      <w:r>
        <w:t xml:space="preserve"> </w:t>
      </w:r>
      <w:r>
        <w:t xml:space="preserve">including rules for</w:t>
      </w:r>
      <w:r>
        <w:t xml:space="preserve"> </w:t>
      </w:r>
      <w:r>
        <w:t xml:space="preserve">transport services</w:t>
      </w:r>
      <w:r>
        <w:br/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Source: Ecorys and CE Delft (2023), Impact assessment support study</w:t>
      </w:r>
      <w:r>
        <w:t xml:space="preserve"> </w:t>
      </w:r>
      <w:r>
        <w:t xml:space="preserve">A completely new reference methodology would offer the opportunity to increase the</w:t>
      </w:r>
      <w:r>
        <w:t xml:space="preserve"> </w:t>
      </w:r>
      <w:r>
        <w:t xml:space="preserve">accuracy and comparability by providing more direction on specific methodological</w:t>
      </w:r>
      <w:r>
        <w:t xml:space="preserve"> </w:t>
      </w:r>
      <w:r>
        <w:t xml:space="preserve">elements and choices. However, it would score very low on the acceptability and</w:t>
      </w:r>
      <w:r>
        <w:t xml:space="preserve"> </w:t>
      </w:r>
      <w:r>
        <w:t xml:space="preserve">applicability of users, mostly due to the existence of specific and well recognised emissions</w:t>
      </w:r>
      <w:r>
        <w:t xml:space="preserve"> </w:t>
      </w:r>
      <w:r>
        <w:t xml:space="preserve">quantification initiatives that are already (or will be) used in the business practice (such as</w:t>
      </w:r>
      <w:r>
        <w:t xml:space="preserve"> </w:t>
      </w:r>
      <w:r>
        <w:t xml:space="preserve">ISO 14083 or CEN EN 16258), and the uncertainty concerning the technical process</w:t>
      </w:r>
      <w:r>
        <w:t xml:space="preserve"> </w:t>
      </w:r>
      <w:r>
        <w:t xml:space="preserve">related to the development and implementation of the methodology in the EU. In addition,</w:t>
      </w:r>
      <w:r>
        <w:t xml:space="preserve"> </w:t>
      </w:r>
      <w:r>
        <w:t xml:space="preserve">the development of the new methodology would require substantial time and efforts to</w:t>
      </w:r>
      <w:r>
        <w:t xml:space="preserve"> </w:t>
      </w:r>
      <w:r>
        <w:t xml:space="preserve">complete the work, and to ensure it is robust, consistent and applicable on the market. As</w:t>
      </w:r>
      <w:r>
        <w:t xml:space="preserve"> </w:t>
      </w:r>
      <w:r>
        <w:t xml:space="preserve">regards the criterion related to the coherence to industry and policy initiatives, it cannot be</w:t>
      </w:r>
    </w:p>
    <w:p>
      <w:pPr>
        <w:pStyle w:val="BodyText"/>
      </w:pPr>
      <w:r>
        <w:t xml:space="preserve">185</w:t>
      </w:r>
    </w:p>
    <w:p>
      <w:pPr>
        <w:pStyle w:val="BodyText"/>
      </w:pPr>
      <w:r>
        <w:t xml:space="preserve">reasonably assessed at this stage. Given all the arguments above, this alternative was not</w:t>
      </w:r>
      <w:r>
        <w:t xml:space="preserve"> </w:t>
      </w:r>
      <w:r>
        <w:t xml:space="preserve">retained for CountEmissions EU. This assessment is supported by the results of</w:t>
      </w:r>
      <w:r>
        <w:t xml:space="preserve"> </w:t>
      </w:r>
      <w:r>
        <w:t xml:space="preserve">stakeholders’ consultation where a number of stakeholders indicated the future</w:t>
      </w:r>
      <w:r>
        <w:t xml:space="preserve"> </w:t>
      </w:r>
      <w:r>
        <w:t xml:space="preserve">CountEmissions EU reference methodology should build on the existing methods.</w:t>
      </w:r>
    </w:p>
    <w:p>
      <w:pPr>
        <w:pStyle w:val="BodyText"/>
      </w:pPr>
      <w:r>
        <w:t xml:space="preserve">If the new reference methodology builds on ISO 14083, it can be reasonably assumed that</w:t>
      </w:r>
      <w:r>
        <w:t xml:space="preserve"> </w:t>
      </w:r>
      <w:r>
        <w:t xml:space="preserve">it reflects most of the features of the standard, and to large extent takes into account the</w:t>
      </w:r>
      <w:r>
        <w:t xml:space="preserve"> </w:t>
      </w:r>
      <w:r>
        <w:t xml:space="preserve">results of stakeholders’ consultation organised during the process of its establishment. This</w:t>
      </w:r>
      <w:r>
        <w:t xml:space="preserve"> </w:t>
      </w:r>
      <w:r>
        <w:t xml:space="preserve">may be translated in fair acceptance and applicability on the market, as well as reasonable</w:t>
      </w:r>
      <w:r>
        <w:t xml:space="preserve"> </w:t>
      </w:r>
      <w:r>
        <w:t xml:space="preserve">coherence with relevant industry initiatives. On the other hand, the positive assessment</w:t>
      </w:r>
      <w:r>
        <w:t xml:space="preserve"> </w:t>
      </w:r>
      <w:r>
        <w:t xml:space="preserve">will be adversely affected by more stringent requirements related to specific</w:t>
      </w:r>
      <w:r>
        <w:t xml:space="preserve"> </w:t>
      </w:r>
      <w:r>
        <w:t xml:space="preserve">methodological choices, as presented above. One should note however, that these stricter</w:t>
      </w:r>
      <w:r>
        <w:t xml:space="preserve"> </w:t>
      </w:r>
      <w:r>
        <w:t xml:space="preserve">requirements would allow for the increased accuracy and comparability of the output data,</w:t>
      </w:r>
      <w:r>
        <w:t xml:space="preserve"> </w:t>
      </w:r>
      <w:r>
        <w:t xml:space="preserve">thus providing an argument for considering this method under CountEmissions EU, even</w:t>
      </w:r>
      <w:r>
        <w:t xml:space="preserve"> </w:t>
      </w:r>
      <w:r>
        <w:t xml:space="preserve">if it results in lower stakeholders’ support.</w:t>
      </w:r>
    </w:p>
    <w:p>
      <w:pPr>
        <w:pStyle w:val="BodyText"/>
      </w:pPr>
      <w:r>
        <w:t xml:space="preserve">New Product Environmental Footprint Category Rules (PEFCR) for transport (including</w:t>
      </w:r>
      <w:r>
        <w:t xml:space="preserve"> </w:t>
      </w:r>
      <w:r>
        <w:t xml:space="preserve">specific rules for transport services) may represent an interesting but significantly more</w:t>
      </w:r>
      <w:r>
        <w:t xml:space="preserve"> </w:t>
      </w:r>
      <w:r>
        <w:t xml:space="preserve">complex alternative to ISO 14083. First, they are expected to feature fairly well on the</w:t>
      </w:r>
      <w:r>
        <w:t xml:space="preserve"> </w:t>
      </w:r>
      <w:r>
        <w:t xml:space="preserve">accuracy and comparability criterion, considering that robust rules could be developed to</w:t>
      </w:r>
      <w:r>
        <w:t xml:space="preserve"> </w:t>
      </w:r>
      <w:r>
        <w:t xml:space="preserve">address GHG WTW emissions, and these could be further complemented with relevant</w:t>
      </w:r>
      <w:r>
        <w:t xml:space="preserve"> </w:t>
      </w:r>
      <w:r>
        <w:t xml:space="preserve">elements of the LCA approach. As shown in Table 104, PEFCR will nevertheless score</w:t>
      </w:r>
      <w:r>
        <w:t xml:space="preserve"> </w:t>
      </w:r>
      <w:r>
        <w:t xml:space="preserve">lower on this criterion, given uncertainty on the accuracy of default values addressing</w:t>
      </w:r>
      <w:r>
        <w:t xml:space="preserve"> </w:t>
      </w:r>
      <w:r>
        <w:t xml:space="preserve">emissions from the production and dismantling of vehicles. Secondly, this method is</w:t>
      </w:r>
      <w:r>
        <w:t xml:space="preserve"> </w:t>
      </w:r>
      <w:r>
        <w:t xml:space="preserve">considered to be rather complete in terms of the coverage of the preferred methodological</w:t>
      </w:r>
      <w:r>
        <w:t xml:space="preserve"> </w:t>
      </w:r>
      <w:r>
        <w:t xml:space="preserve">design alternatives, however the level of this completeness cannot be evidenced in the</w:t>
      </w:r>
      <w:r>
        <w:t xml:space="preserve"> </w:t>
      </w:r>
      <w:r>
        <w:t xml:space="preserve">absence of specific PEFCR. In addition, PEFCR are expected to be much more demanding</w:t>
      </w:r>
      <w:r>
        <w:t xml:space="preserve"> </w:t>
      </w:r>
      <w:r>
        <w:t xml:space="preserve">on the data to be collected and the calculations to be executed with respect to the life-cycle</w:t>
      </w:r>
      <w:r>
        <w:t xml:space="preserve"> </w:t>
      </w:r>
      <w:r>
        <w:t xml:space="preserve">approach. Together with substantial efforts and time anticipated to produce a number of</w:t>
      </w:r>
      <w:r>
        <w:t xml:space="preserve"> </w:t>
      </w:r>
      <w:r>
        <w:t xml:space="preserve">specific PEFCR (however still lower than in the case of a completely new methodology),</w:t>
      </w:r>
      <w:r>
        <w:t xml:space="preserve"> </w:t>
      </w:r>
      <w:r>
        <w:t xml:space="preserve">these factors lower the score on acceptability and applicability. Finally, the PEFCR are</w:t>
      </w:r>
      <w:r>
        <w:t xml:space="preserve"> </w:t>
      </w:r>
      <w:r>
        <w:t xml:space="preserve">supposed to be well aligned with specific EU environmental policy initiatives (such as the</w:t>
      </w:r>
      <w:r>
        <w:t xml:space="preserve"> </w:t>
      </w:r>
      <w:r>
        <w:t xml:space="preserve">Single Market for Green Products) but they may not reach substantial level of alignment</w:t>
      </w:r>
      <w:r>
        <w:t xml:space="preserve"> </w:t>
      </w:r>
      <w:r>
        <w:t xml:space="preserve">with the leading industry initiatives, which would be rather based on WTW/TTW</w:t>
      </w:r>
      <w:r>
        <w:t xml:space="preserve"> </w:t>
      </w:r>
      <w:r>
        <w:t xml:space="preserve">emissions boundaries. As mentioned above, the idea of including the full LCA in</w:t>
      </w:r>
      <w:r>
        <w:t xml:space="preserve"> </w:t>
      </w:r>
      <w:r>
        <w:t xml:space="preserve">CountEmissions EU reference methodology received some support in the stakeholders’</w:t>
      </w:r>
      <w:r>
        <w:t xml:space="preserve"> </w:t>
      </w:r>
      <w:r>
        <w:t xml:space="preserve">consultation, but still lower than the WTW. However, given all the arguments above, the</w:t>
      </w:r>
      <w:r>
        <w:t xml:space="preserve"> </w:t>
      </w:r>
      <w:r>
        <w:t xml:space="preserve">new PEFCR for transport were retained for further assessment as a respective policy</w:t>
      </w:r>
      <w:r>
        <w:t xml:space="preserve"> </w:t>
      </w:r>
      <w:r>
        <w:t xml:space="preserve">measure.</w:t>
      </w:r>
    </w:p>
    <w:p>
      <w:pPr>
        <w:pStyle w:val="Compact"/>
        <w:numPr>
          <w:ilvl w:val="0"/>
          <w:numId w:val="1018"/>
        </w:numPr>
      </w:pPr>
      <w:r>
        <w:t xml:space="preserve">Selected methods</w:t>
      </w:r>
      <w:r>
        <w:t xml:space="preserve"> </w:t>
      </w:r>
      <w:r>
        <w:t xml:space="preserve">Based on the analysis presented in the previous sections three methods were retained for</w:t>
      </w:r>
      <w:r>
        <w:t xml:space="preserve"> </w:t>
      </w:r>
      <w:r>
        <w:t xml:space="preserve">the assessment under respective policy options:</w:t>
      </w:r>
      <w:r>
        <w:t xml:space="preserve"> </w:t>
      </w:r>
      <w:r>
        <w:t xml:space="preserve"> ISO 14083;</w:t>
      </w:r>
      <w:r>
        <w:t xml:space="preserve"> </w:t>
      </w:r>
      <w:r>
        <w:t xml:space="preserve"> A new reference methodology based on ISO 14083, but with additional elements</w:t>
      </w:r>
      <w:r>
        <w:t xml:space="preserve"> </w:t>
      </w:r>
      <w:r>
        <w:t xml:space="preserve">and increased accuracy;</w:t>
      </w:r>
    </w:p>
    <w:p>
      <w:pPr>
        <w:pStyle w:val="FirstParagraph"/>
      </w:pPr>
      <w:r>
        <w:t xml:space="preserve">186</w:t>
      </w:r>
    </w:p>
    <w:p>
      <w:pPr>
        <w:pStyle w:val="BodyText"/>
      </w:pPr>
      <w:r>
        <w:t xml:space="preserve"> New Product Environmental Footprint Category Rules for transport, including</w:t>
      </w:r>
      <w:r>
        <w:t xml:space="preserve"> </w:t>
      </w:r>
      <w:r>
        <w:t xml:space="preserve">rules for transport services.</w:t>
      </w:r>
    </w:p>
    <w:p>
      <w:pPr>
        <w:pStyle w:val="BodyText"/>
      </w:pPr>
      <w:r>
        <w:t xml:space="preserve">187</w:t>
      </w:r>
    </w:p>
    <w:p>
      <w:pPr>
        <w:pStyle w:val="BodyText"/>
      </w:pPr>
      <w:r>
        <w:t xml:space="preserve">ANNEX 9: EFFECTIVENESS OF THE DIFFERENT POLICY OPTIONS</w:t>
      </w:r>
      <w:r>
        <w:t xml:space="preserve"> </w:t>
      </w:r>
      <w:r>
        <w:t xml:space="preserve">This annex provides more detailed explanations on the assessment of effectiveness of the policy options, complementing the analysis in section 7.1.</w:t>
      </w:r>
      <w:r>
        <w:t xml:space="preserve"> </w:t>
      </w:r>
      <w:r>
        <w:t xml:space="preserve"></w:t>
      </w:r>
      <w:r>
        <w:t xml:space="preserve"> </w:t>
      </w:r>
      <w:r>
        <w:t xml:space="preserve"></w:t>
      </w:r>
      <w:r>
        <w:t xml:space="preserve"> </w:t>
      </w:r>
      <w:r>
        <w:t xml:space="preserve"></w:t>
      </w:r>
      <w:r>
        <w:t xml:space="preserve"> </w:t>
      </w:r>
      <w:r>
        <w:t xml:space="preserve"></w:t>
      </w:r>
      <w:r>
        <w:t xml:space="preserve"> </w:t>
      </w:r>
      <w:r>
        <w:t xml:space="preserve"></w:t>
      </w:r>
      <w:r>
        <w:t xml:space="preserve"> </w:t>
      </w:r>
      <w:r>
        <w:t xml:space="preserve">o</w:t>
      </w:r>
      <w:r>
        <w:t xml:space="preserve"> </w:t>
      </w:r>
      <w:r>
        <w:t xml:space="preserve"></w:t>
      </w:r>
      <w:r>
        <w:t xml:space="preserve"> </w:t>
      </w:r>
      <w:r>
        <w:t xml:space="preserve"></w:t>
      </w:r>
      <w:r>
        <w:t xml:space="preserve"> </w:t>
      </w:r>
      <w:r>
        <w:t xml:space="preserve"></w:t>
      </w:r>
      <w:r>
        <w:t xml:space="preserve"> </w:t>
      </w:r>
      <w:r>
        <w:t xml:space="preserve"></w:t>
      </w:r>
      <w:r>
        <w:t xml:space="preserve"> </w:t>
      </w:r>
      <w:r>
        <w:t xml:space="preserve"></w:t>
      </w:r>
      <w:r>
        <w:t xml:space="preserve"> </w:t>
      </w:r>
      <w:r>
        <w:t xml:space="preserve">Extremely</w:t>
      </w:r>
      <w:r>
        <w:t xml:space="preserve"> </w:t>
      </w:r>
      <w:r>
        <w:t xml:space="preserve">negative</w:t>
      </w:r>
      <w:r>
        <w:t xml:space="preserve"> </w:t>
      </w:r>
      <w:r>
        <w:t xml:space="preserve">Strongly</w:t>
      </w:r>
      <w:r>
        <w:t xml:space="preserve"> </w:t>
      </w:r>
      <w:r>
        <w:t xml:space="preserve">negative</w:t>
      </w:r>
      <w:r>
        <w:t xml:space="preserve"> </w:t>
      </w:r>
      <w:r>
        <w:t xml:space="preserve">Very</w:t>
      </w:r>
      <w:r>
        <w:t xml:space="preserve"> </w:t>
      </w:r>
      <w:r>
        <w:t xml:space="preserve">negative</w:t>
      </w:r>
      <w:r>
        <w:t xml:space="preserve"> </w:t>
      </w:r>
      <w:r>
        <w:t xml:space="preserve">Negative</w:t>
      </w:r>
      <w:r>
        <w:t xml:space="preserve"> </w:t>
      </w:r>
      <w:r>
        <w:t xml:space="preserve">Moderately</w:t>
      </w:r>
      <w:r>
        <w:t xml:space="preserve"> </w:t>
      </w:r>
      <w:r>
        <w:t xml:space="preserve">negative</w:t>
      </w:r>
      <w:r>
        <w:t xml:space="preserve"> </w:t>
      </w:r>
      <w:r>
        <w:t xml:space="preserve">No or</w:t>
      </w:r>
      <w:r>
        <w:t xml:space="preserve"> </w:t>
      </w:r>
      <w:r>
        <w:t xml:space="preserve">negligible</w:t>
      </w:r>
      <w:r>
        <w:t xml:space="preserve"> </w:t>
      </w:r>
      <w:r>
        <w:t xml:space="preserve">impact</w:t>
      </w:r>
      <w:r>
        <w:br/>
      </w:r>
      <w:r>
        <w:t xml:space="preserve">Moderately</w:t>
      </w:r>
      <w:r>
        <w:t xml:space="preserve"> </w:t>
      </w:r>
      <w:r>
        <w:t xml:space="preserve">positive</w:t>
      </w:r>
      <w:r>
        <w:t xml:space="preserve"> </w:t>
      </w:r>
      <w:r>
        <w:t xml:space="preserve">Positive</w:t>
      </w:r>
      <w:r>
        <w:t xml:space="preserve"> </w:t>
      </w:r>
      <w:r>
        <w:t xml:space="preserve">Very</w:t>
      </w:r>
      <w:r>
        <w:t xml:space="preserve"> </w:t>
      </w:r>
      <w:r>
        <w:t xml:space="preserve">positive</w:t>
      </w:r>
      <w:r>
        <w:t xml:space="preserve"> </w:t>
      </w:r>
      <w:r>
        <w:t xml:space="preserve">Strongly</w:t>
      </w:r>
      <w:r>
        <w:t xml:space="preserve"> </w:t>
      </w:r>
      <w:r>
        <w:t xml:space="preserve">positive</w:t>
      </w:r>
      <w:r>
        <w:t xml:space="preserve"> </w:t>
      </w:r>
      <w:r>
        <w:t xml:space="preserve">Extremely</w:t>
      </w:r>
      <w:r>
        <w:t xml:space="preserve"> </w:t>
      </w:r>
      <w:r>
        <w:t xml:space="preserve">positive</w:t>
      </w:r>
    </w:p>
    <w:p>
      <w:pPr>
        <w:pStyle w:val="BodyText"/>
      </w:pP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PO5</w:t>
      </w:r>
      <w:r>
        <w:t xml:space="preserve"> </w:t>
      </w:r>
      <w:r>
        <w:t xml:space="preserve">PO6</w:t>
      </w:r>
      <w:r>
        <w:t xml:space="preserve"> </w:t>
      </w:r>
      <w:r>
        <w:t xml:space="preserve">Specific policy objective 1: Ensure the comparability of results from GHG emissions accounting of transport services</w:t>
      </w:r>
      <w:r>
        <w:t xml:space="preserve"> </w:t>
      </w:r>
      <w:r>
        <w:t xml:space="preserve">Expected</w:t>
      </w:r>
      <w:r>
        <w:t xml:space="preserve"> </w:t>
      </w:r>
      <w:r>
        <w:t xml:space="preserve">improvement of the</w:t>
      </w:r>
      <w:r>
        <w:t xml:space="preserve"> </w:t>
      </w:r>
      <w:r>
        <w:t xml:space="preserve">comparability of</w:t>
      </w:r>
      <w:r>
        <w:t xml:space="preserve"> </w:t>
      </w:r>
      <w:r>
        <w:t xml:space="preserve">GHG emissions data</w:t>
      </w:r>
      <w:r>
        <w:t xml:space="preserve"> </w:t>
      </w:r>
      <w:r>
        <w:t xml:space="preserve">shared in the</w:t>
      </w:r>
      <w:r>
        <w:t xml:space="preserve"> </w:t>
      </w:r>
      <w:r>
        <w:t xml:space="preserve">transport chains</w:t>
      </w:r>
      <w:r>
        <w:t xml:space="preserve"> </w:t>
      </w:r>
      <w:r>
        <w:t xml:space="preserve">(based on the relevant</w:t>
      </w:r>
      <w:r>
        <w:t xml:space="preserve"> </w:t>
      </w:r>
      <w:r>
        <w:t xml:space="preserve">methodology,</w:t>
      </w:r>
      <w:r>
        <w:t xml:space="preserve"> </w:t>
      </w:r>
      <w:r>
        <w:t xml:space="preserve">generated with</w:t>
      </w:r>
      <w:r>
        <w:t xml:space="preserve"> </w:t>
      </w:r>
      <w:r>
        <w:t xml:space="preserve">accurate input data,</w:t>
      </w:r>
      <w:r>
        <w:t xml:space="preserve"> </w:t>
      </w:r>
      <w:r>
        <w:t xml:space="preserve">and communicated</w:t>
      </w:r>
      <w:r>
        <w:t xml:space="preserve"> </w:t>
      </w:r>
      <w:r>
        <w:t xml:space="preserve">Strongly positive</w:t>
      </w:r>
      <w:r>
        <w:t xml:space="preserve"> </w:t>
      </w:r>
      <w:r>
        <w:t xml:space="preserve">impact on the</w:t>
      </w:r>
      <w:r>
        <w:t xml:space="preserve"> </w:t>
      </w:r>
      <w:r>
        <w:t xml:space="preserve">comparability.</w:t>
      </w:r>
      <w:r>
        <w:br/>
      </w:r>
      <w:r>
        <w:t xml:space="preserve">The mandatory use of</w:t>
      </w:r>
      <w:r>
        <w:t xml:space="preserve"> </w:t>
      </w:r>
      <w:r>
        <w:t xml:space="preserve">a precise reference</w:t>
      </w:r>
      <w:r>
        <w:t xml:space="preserve"> </w:t>
      </w:r>
      <w:r>
        <w:t xml:space="preserve">methodology based</w:t>
      </w:r>
      <w:r>
        <w:t xml:space="preserve"> </w:t>
      </w:r>
      <w:r>
        <w:t xml:space="preserve">on the ISO standard</w:t>
      </w:r>
      <w:r>
        <w:t xml:space="preserve"> </w:t>
      </w:r>
      <w:r>
        <w:t xml:space="preserve">14083 (with</w:t>
      </w:r>
      <w:r>
        <w:t xml:space="preserve"> </w:t>
      </w:r>
      <w:r>
        <w:t xml:space="preserve">additional elements</w:t>
      </w:r>
      <w:r>
        <w:t xml:space="preserve"> </w:t>
      </w:r>
      <w:r>
        <w:t xml:space="preserve">Moderately positive</w:t>
      </w:r>
      <w:r>
        <w:t xml:space="preserve"> </w:t>
      </w:r>
      <w:r>
        <w:t xml:space="preserve">impact on the</w:t>
      </w:r>
      <w:r>
        <w:t xml:space="preserve"> </w:t>
      </w:r>
      <w:r>
        <w:t xml:space="preserve">comparability.</w:t>
      </w:r>
      <w:r>
        <w:t xml:space="preserve"> </w:t>
      </w:r>
      <w:r>
        <w:t xml:space="preserve">PO2 includes the ISO</w:t>
      </w:r>
      <w:r>
        <w:t xml:space="preserve"> </w:t>
      </w:r>
      <w:r>
        <w:t xml:space="preserve">standard 14083 as a</w:t>
      </w:r>
      <w:r>
        <w:t xml:space="preserve"> </w:t>
      </w:r>
      <w:r>
        <w:t xml:space="preserve">reference</w:t>
      </w:r>
      <w:r>
        <w:t xml:space="preserve"> </w:t>
      </w:r>
      <w:r>
        <w:t xml:space="preserve">methodology, and a</w:t>
      </w:r>
      <w:r>
        <w:t xml:space="preserve"> </w:t>
      </w:r>
      <w:r>
        <w:t xml:space="preserve">centralised approach</w:t>
      </w:r>
      <w:r>
        <w:t xml:space="preserve"> </w:t>
      </w:r>
      <w:r>
        <w:t xml:space="preserve">for the input data that,</w:t>
      </w:r>
      <w:r>
        <w:t xml:space="preserve"> </w:t>
      </w:r>
      <w:r>
        <w:t xml:space="preserve">once combined, may</w:t>
      </w:r>
      <w:r>
        <w:t xml:space="preserve"> </w:t>
      </w:r>
      <w:r>
        <w:t xml:space="preserve">Very positive impact</w:t>
      </w:r>
      <w:r>
        <w:t xml:space="preserve"> </w:t>
      </w:r>
      <w:r>
        <w:t xml:space="preserve">on the comparability.</w:t>
      </w:r>
      <w:r>
        <w:t xml:space="preserve"> </w:t>
      </w:r>
      <w:r>
        <w:t xml:space="preserve">The binding-in</w:t>
      </w:r>
      <w:r>
        <w:t xml:space="preserve"> </w:t>
      </w:r>
      <w:r>
        <w:t xml:space="preserve">(mandatory for those</w:t>
      </w:r>
      <w:r>
        <w:t xml:space="preserve"> </w:t>
      </w:r>
      <w:r>
        <w:t xml:space="preserve">that account and</w:t>
      </w:r>
      <w:r>
        <w:t xml:space="preserve"> </w:t>
      </w:r>
      <w:r>
        <w:t xml:space="preserve">disclose GHG</w:t>
      </w:r>
      <w:r>
        <w:t xml:space="preserve"> </w:t>
      </w:r>
      <w:r>
        <w:t xml:space="preserve">emissions data of</w:t>
      </w:r>
      <w:r>
        <w:t xml:space="preserve"> </w:t>
      </w:r>
      <w:r>
        <w:t xml:space="preserve">transport services)</w:t>
      </w:r>
      <w:r>
        <w:t xml:space="preserve"> </w:t>
      </w:r>
      <w:r>
        <w:t xml:space="preserve">application of a</w:t>
      </w:r>
      <w:r>
        <w:t xml:space="preserve"> </w:t>
      </w:r>
      <w:r>
        <w:t xml:space="preserve">Strongly positive</w:t>
      </w:r>
      <w:r>
        <w:t xml:space="preserve"> </w:t>
      </w:r>
      <w:r>
        <w:t xml:space="preserve">impact on the</w:t>
      </w:r>
      <w:r>
        <w:t xml:space="preserve"> </w:t>
      </w:r>
      <w:r>
        <w:t xml:space="preserve">comparability.</w:t>
      </w:r>
      <w:r>
        <w:t xml:space="preserve"> </w:t>
      </w:r>
      <w:r>
        <w:t xml:space="preserve">This option envisages</w:t>
      </w:r>
      <w:r>
        <w:t xml:space="preserve"> </w:t>
      </w:r>
      <w:r>
        <w:t xml:space="preserve">the binding-in</w:t>
      </w:r>
      <w:r>
        <w:t xml:space="preserve"> </w:t>
      </w:r>
      <w:r>
        <w:t xml:space="preserve">(mandatory for those</w:t>
      </w:r>
      <w:r>
        <w:t xml:space="preserve"> </w:t>
      </w:r>
      <w:r>
        <w:t xml:space="preserve">that account and</w:t>
      </w:r>
      <w:r>
        <w:t xml:space="preserve"> </w:t>
      </w:r>
      <w:r>
        <w:t xml:space="preserve">disclose GHG</w:t>
      </w:r>
      <w:r>
        <w:t xml:space="preserve"> </w:t>
      </w:r>
      <w:r>
        <w:t xml:space="preserve">emissions data of</w:t>
      </w:r>
      <w:r>
        <w:t xml:space="preserve"> </w:t>
      </w:r>
      <w:r>
        <w:t xml:space="preserve">Positive impact on</w:t>
      </w:r>
      <w:r>
        <w:t xml:space="preserve"> </w:t>
      </w:r>
      <w:r>
        <w:t xml:space="preserve">the comparability,</w:t>
      </w:r>
      <w:r>
        <w:t xml:space="preserve"> </w:t>
      </w:r>
      <w:r>
        <w:t xml:space="preserve">although lower than</w:t>
      </w:r>
      <w:r>
        <w:t xml:space="preserve"> </w:t>
      </w:r>
      <w:r>
        <w:t xml:space="preserve">in PO3.</w:t>
      </w:r>
      <w:r>
        <w:t xml:space="preserve"> </w:t>
      </w:r>
      <w:r>
        <w:t xml:space="preserve">This option includes a</w:t>
      </w:r>
      <w:r>
        <w:t xml:space="preserve"> </w:t>
      </w:r>
      <w:r>
        <w:t xml:space="preserve">very comprehensive</w:t>
      </w:r>
      <w:r>
        <w:t xml:space="preserve"> </w:t>
      </w:r>
      <w:r>
        <w:t xml:space="preserve">future LCA</w:t>
      </w:r>
      <w:r>
        <w:t xml:space="preserve"> </w:t>
      </w:r>
      <w:r>
        <w:t xml:space="preserve">methodology based</w:t>
      </w:r>
      <w:r>
        <w:t xml:space="preserve"> </w:t>
      </w:r>
      <w:r>
        <w:t xml:space="preserve">on specific transport-</w:t>
      </w:r>
      <w:r>
        <w:t xml:space="preserve"> </w:t>
      </w:r>
      <w:r>
        <w:t xml:space="preserve">Strongly positive</w:t>
      </w:r>
      <w:r>
        <w:t xml:space="preserve"> </w:t>
      </w:r>
      <w:r>
        <w:t xml:space="preserve">impact on the</w:t>
      </w:r>
      <w:r>
        <w:t xml:space="preserve"> </w:t>
      </w:r>
      <w:r>
        <w:t xml:space="preserve">comparability.</w:t>
      </w:r>
      <w:r>
        <w:br/>
      </w:r>
      <w:r>
        <w:t xml:space="preserve">The mandatory use of</w:t>
      </w:r>
      <w:r>
        <w:t xml:space="preserve"> </w:t>
      </w:r>
      <w:r>
        <w:t xml:space="preserve">a conducive</w:t>
      </w:r>
      <w:r>
        <w:t xml:space="preserve"> </w:t>
      </w:r>
      <w:r>
        <w:t xml:space="preserve">methodology</w:t>
      </w:r>
      <w:r>
        <w:t xml:space="preserve"> </w:t>
      </w:r>
      <w:r>
        <w:t xml:space="preserve">established through</w:t>
      </w:r>
      <w:r>
        <w:t xml:space="preserve"> </w:t>
      </w:r>
      <w:r>
        <w:t xml:space="preserve">ISO standard 14083</w:t>
      </w:r>
      <w:r>
        <w:t xml:space="preserve"> </w:t>
      </w:r>
      <w:r>
        <w:t xml:space="preserve">will ensure increased</w:t>
      </w:r>
    </w:p>
    <w:p>
      <w:pPr>
        <w:pStyle w:val="BodyText"/>
      </w:pPr>
      <w:r>
        <w:t xml:space="preserve">188</w:t>
      </w:r>
    </w:p>
    <w:p>
      <w:pPr>
        <w:pStyle w:val="BodyText"/>
      </w:pPr>
      <w:r>
        <w:t xml:space="preserve">from trusted sources</w:t>
      </w:r>
      <w:r>
        <w:t xml:space="preserve"> </w:t>
      </w:r>
      <w:r>
        <w:t xml:space="preserve">in unambiguous and</w:t>
      </w:r>
      <w:r>
        <w:t xml:space="preserve"> </w:t>
      </w:r>
      <w:r>
        <w:t xml:space="preserve">clear manner)</w:t>
      </w:r>
      <w:r>
        <w:t xml:space="preserve"> </w:t>
      </w:r>
      <w:r>
        <w:t xml:space="preserve">and improved</w:t>
      </w:r>
      <w:r>
        <w:t xml:space="preserve"> </w:t>
      </w:r>
      <w:r>
        <w:t xml:space="preserve">accuracy) will ensure</w:t>
      </w:r>
      <w:r>
        <w:t xml:space="preserve"> </w:t>
      </w:r>
      <w:r>
        <w:t xml:space="preserve">increased accuracy of</w:t>
      </w:r>
      <w:r>
        <w:t xml:space="preserve"> </w:t>
      </w:r>
      <w:r>
        <w:t xml:space="preserve">the underlying factors</w:t>
      </w:r>
      <w:r>
        <w:t xml:space="preserve"> </w:t>
      </w:r>
      <w:r>
        <w:t xml:space="preserve">and formulas behind</w:t>
      </w:r>
      <w:r>
        <w:t xml:space="preserve"> </w:t>
      </w:r>
      <w:r>
        <w:t xml:space="preserve">the processes related</w:t>
      </w:r>
      <w:r>
        <w:t xml:space="preserve"> </w:t>
      </w:r>
      <w:r>
        <w:t xml:space="preserve">to the accounting of</w:t>
      </w:r>
      <w:r>
        <w:t xml:space="preserve"> </w:t>
      </w:r>
      <w:r>
        <w:t xml:space="preserve">emissions. On the</w:t>
      </w:r>
      <w:r>
        <w:t xml:space="preserve"> </w:t>
      </w:r>
      <w:r>
        <w:t xml:space="preserve">other hand, this</w:t>
      </w:r>
      <w:r>
        <w:t xml:space="preserve"> </w:t>
      </w:r>
      <w:r>
        <w:t xml:space="preserve">methodology will</w:t>
      </w:r>
      <w:r>
        <w:t xml:space="preserve"> </w:t>
      </w:r>
      <w:r>
        <w:t xml:space="preserve">require time and</w:t>
      </w:r>
      <w:r>
        <w:t xml:space="preserve"> </w:t>
      </w:r>
      <w:r>
        <w:t xml:space="preserve">resources to make it</w:t>
      </w:r>
      <w:r>
        <w:t xml:space="preserve"> </w:t>
      </w:r>
      <w:r>
        <w:t xml:space="preserve">completed and</w:t>
      </w:r>
      <w:r>
        <w:t xml:space="preserve"> </w:t>
      </w:r>
      <w:r>
        <w:t xml:space="preserve">eventually offered for</w:t>
      </w:r>
      <w:r>
        <w:t xml:space="preserve"> </w:t>
      </w:r>
      <w:r>
        <w:t xml:space="preserve">the use of</w:t>
      </w:r>
      <w:r>
        <w:t xml:space="preserve"> </w:t>
      </w:r>
      <w:r>
        <w:t xml:space="preserve">stakeholders in the</w:t>
      </w:r>
      <w:r>
        <w:t xml:space="preserve"> </w:t>
      </w:r>
      <w:r>
        <w:t xml:space="preserve">EU. In addition,</w:t>
      </w:r>
      <w:r>
        <w:t xml:space="preserve"> </w:t>
      </w:r>
      <w:r>
        <w:t xml:space="preserve">given the inclusion of</w:t>
      </w:r>
      <w:r>
        <w:t xml:space="preserve"> </w:t>
      </w:r>
      <w:r>
        <w:t xml:space="preserve">additional</w:t>
      </w:r>
      <w:r>
        <w:t xml:space="preserve"> </w:t>
      </w:r>
      <w:r>
        <w:t xml:space="preserve">methodological</w:t>
      </w:r>
      <w:r>
        <w:t xml:space="preserve"> </w:t>
      </w:r>
      <w:r>
        <w:t xml:space="preserve">elements, this choice</w:t>
      </w:r>
      <w:r>
        <w:t xml:space="preserve"> </w:t>
      </w:r>
      <w:r>
        <w:t xml:space="preserve">may lead to some</w:t>
      </w:r>
      <w:r>
        <w:t xml:space="preserve"> </w:t>
      </w:r>
      <w:r>
        <w:t xml:space="preserve">inconsistencies</w:t>
      </w:r>
      <w:r>
        <w:t xml:space="preserve"> </w:t>
      </w:r>
      <w:r>
        <w:t xml:space="preserve">between accounting</w:t>
      </w:r>
      <w:r>
        <w:t xml:space="preserve"> </w:t>
      </w:r>
      <w:r>
        <w:t xml:space="preserve">emissions practices in</w:t>
      </w:r>
      <w:r>
        <w:t xml:space="preserve"> </w:t>
      </w:r>
      <w:r>
        <w:t xml:space="preserve">the international</w:t>
      </w:r>
      <w:r>
        <w:t xml:space="preserve"> </w:t>
      </w:r>
      <w:r>
        <w:t xml:space="preserve">transport networks</w:t>
      </w:r>
      <w:r>
        <w:t xml:space="preserve"> </w:t>
      </w:r>
      <w:r>
        <w:t xml:space="preserve">(mostly affecting</w:t>
      </w:r>
      <w:r>
        <w:t xml:space="preserve"> </w:t>
      </w:r>
      <w:r>
        <w:t xml:space="preserve">maritime transport</w:t>
      </w:r>
      <w:r>
        <w:t xml:space="preserve"> </w:t>
      </w:r>
      <w:r>
        <w:t xml:space="preserve">and aviation).</w:t>
      </w:r>
      <w:r>
        <w:t xml:space="preserve"> </w:t>
      </w:r>
      <w:r>
        <w:t xml:space="preserve">Secondly, PO1</w:t>
      </w:r>
      <w:r>
        <w:t xml:space="preserve"> </w:t>
      </w:r>
      <w:r>
        <w:t xml:space="preserve">offer a high level of</w:t>
      </w:r>
      <w:r>
        <w:t xml:space="preserve"> </w:t>
      </w:r>
      <w:r>
        <w:t xml:space="preserve">comparability of</w:t>
      </w:r>
      <w:r>
        <w:t xml:space="preserve"> </w:t>
      </w:r>
      <w:r>
        <w:t xml:space="preserve">GHG emission</w:t>
      </w:r>
      <w:r>
        <w:t xml:space="preserve"> </w:t>
      </w:r>
      <w:r>
        <w:t xml:space="preserve">figures on the market.</w:t>
      </w:r>
      <w:r>
        <w:t xml:space="preserve"> </w:t>
      </w:r>
      <w:r>
        <w:t xml:space="preserve">However, PO2</w:t>
      </w:r>
      <w:r>
        <w:t xml:space="preserve"> </w:t>
      </w:r>
      <w:r>
        <w:t xml:space="preserve">envisages a voluntary</w:t>
      </w:r>
      <w:r>
        <w:t xml:space="preserve"> </w:t>
      </w:r>
      <w:r>
        <w:t xml:space="preserve">application of the</w:t>
      </w:r>
      <w:r>
        <w:t xml:space="preserve"> </w:t>
      </w:r>
      <w:r>
        <w:t xml:space="preserve">common</w:t>
      </w:r>
      <w:r>
        <w:t xml:space="preserve"> </w:t>
      </w:r>
      <w:r>
        <w:t xml:space="preserve">methodological</w:t>
      </w:r>
      <w:r>
        <w:t xml:space="preserve"> </w:t>
      </w:r>
      <w:r>
        <w:t xml:space="preserve">framework that</w:t>
      </w:r>
      <w:r>
        <w:t xml:space="preserve"> </w:t>
      </w:r>
      <w:r>
        <w:t xml:space="preserve">leaves its use to the</w:t>
      </w:r>
      <w:r>
        <w:t xml:space="preserve"> </w:t>
      </w:r>
      <w:r>
        <w:t xml:space="preserve">discretional decision</w:t>
      </w:r>
      <w:r>
        <w:t xml:space="preserve"> </w:t>
      </w:r>
      <w:r>
        <w:t xml:space="preserve">of the concerned</w:t>
      </w:r>
      <w:r>
        <w:t xml:space="preserve"> </w:t>
      </w:r>
      <w:r>
        <w:t xml:space="preserve">entities. The latter</w:t>
      </w:r>
      <w:r>
        <w:t xml:space="preserve"> </w:t>
      </w:r>
      <w:r>
        <w:t xml:space="preserve">feature may</w:t>
      </w:r>
      <w:r>
        <w:t xml:space="preserve"> </w:t>
      </w:r>
      <w:r>
        <w:t xml:space="preserve">eventually result in</w:t>
      </w:r>
      <w:r>
        <w:t xml:space="preserve"> </w:t>
      </w:r>
      <w:r>
        <w:t xml:space="preserve">lesser methodological</w:t>
      </w:r>
      <w:r>
        <w:t xml:space="preserve"> </w:t>
      </w:r>
      <w:r>
        <w:t xml:space="preserve">alignment on the</w:t>
      </w:r>
      <w:r>
        <w:t xml:space="preserve"> </w:t>
      </w:r>
      <w:r>
        <w:t xml:space="preserve">market in the short</w:t>
      </w:r>
      <w:r>
        <w:t xml:space="preserve"> </w:t>
      </w:r>
      <w:r>
        <w:t xml:space="preserve">and medium term,</w:t>
      </w:r>
      <w:r>
        <w:t xml:space="preserve"> </w:t>
      </w:r>
      <w:r>
        <w:t xml:space="preserve">thus significantly</w:t>
      </w:r>
      <w:r>
        <w:t xml:space="preserve"> </w:t>
      </w:r>
      <w:r>
        <w:t xml:space="preserve">lowering the score on</w:t>
      </w:r>
      <w:r>
        <w:t xml:space="preserve"> </w:t>
      </w:r>
      <w:r>
        <w:t xml:space="preserve">the comparability</w:t>
      </w:r>
      <w:r>
        <w:t xml:space="preserve"> </w:t>
      </w:r>
      <w:r>
        <w:t xml:space="preserve">criterion for this</w:t>
      </w:r>
      <w:r>
        <w:t xml:space="preserve"> </w:t>
      </w:r>
      <w:r>
        <w:t xml:space="preserve">option.</w:t>
      </w:r>
      <w:r>
        <w:t xml:space="preserve"> </w:t>
      </w:r>
      <w:r>
        <w:t xml:space="preserve">precise reference</w:t>
      </w:r>
      <w:r>
        <w:t xml:space="preserve"> </w:t>
      </w:r>
      <w:r>
        <w:t xml:space="preserve">methodology based</w:t>
      </w:r>
      <w:r>
        <w:t xml:space="preserve"> </w:t>
      </w:r>
      <w:r>
        <w:t xml:space="preserve">on the ISO standard</w:t>
      </w:r>
      <w:r>
        <w:t xml:space="preserve"> </w:t>
      </w:r>
      <w:r>
        <w:t xml:space="preserve">14083 (with</w:t>
      </w:r>
      <w:r>
        <w:t xml:space="preserve"> </w:t>
      </w:r>
      <w:r>
        <w:t xml:space="preserve">additional</w:t>
      </w:r>
      <w:r>
        <w:t xml:space="preserve"> </w:t>
      </w:r>
      <w:r>
        <w:t xml:space="preserve">components) will</w:t>
      </w:r>
      <w:r>
        <w:t xml:space="preserve"> </w:t>
      </w:r>
      <w:r>
        <w:t xml:space="preserve">ensure increased</w:t>
      </w:r>
      <w:r>
        <w:t xml:space="preserve"> </w:t>
      </w:r>
      <w:r>
        <w:t xml:space="preserve">accuracy of the</w:t>
      </w:r>
      <w:r>
        <w:t xml:space="preserve"> </w:t>
      </w:r>
      <w:r>
        <w:t xml:space="preserve">underlying factors</w:t>
      </w:r>
      <w:r>
        <w:t xml:space="preserve"> </w:t>
      </w:r>
      <w:r>
        <w:t xml:space="preserve">and formulas behind</w:t>
      </w:r>
      <w:r>
        <w:t xml:space="preserve"> </w:t>
      </w:r>
      <w:r>
        <w:t xml:space="preserve">the processes related</w:t>
      </w:r>
      <w:r>
        <w:t xml:space="preserve"> </w:t>
      </w:r>
      <w:r>
        <w:t xml:space="preserve">to the accounting of</w:t>
      </w:r>
      <w:r>
        <w:t xml:space="preserve"> </w:t>
      </w:r>
      <w:r>
        <w:t xml:space="preserve">emissions. On the</w:t>
      </w:r>
      <w:r>
        <w:t xml:space="preserve"> </w:t>
      </w:r>
      <w:r>
        <w:t xml:space="preserve">other hand, this</w:t>
      </w:r>
      <w:r>
        <w:t xml:space="preserve"> </w:t>
      </w:r>
      <w:r>
        <w:t xml:space="preserve">methodology will</w:t>
      </w:r>
      <w:r>
        <w:t xml:space="preserve"> </w:t>
      </w:r>
      <w:r>
        <w:t xml:space="preserve">require more time and</w:t>
      </w:r>
      <w:r>
        <w:t xml:space="preserve"> </w:t>
      </w:r>
      <w:r>
        <w:t xml:space="preserve">resources to make it</w:t>
      </w:r>
      <w:r>
        <w:t xml:space="preserve"> </w:t>
      </w:r>
      <w:r>
        <w:t xml:space="preserve">completed and</w:t>
      </w:r>
      <w:r>
        <w:t xml:space="preserve"> </w:t>
      </w:r>
      <w:r>
        <w:t xml:space="preserve">eventually offered for</w:t>
      </w:r>
      <w:r>
        <w:t xml:space="preserve"> </w:t>
      </w:r>
      <w:r>
        <w:t xml:space="preserve">the use of</w:t>
      </w:r>
      <w:r>
        <w:t xml:space="preserve"> </w:t>
      </w:r>
      <w:r>
        <w:t xml:space="preserve">stakeholders in the</w:t>
      </w:r>
      <w:r>
        <w:t xml:space="preserve"> </w:t>
      </w:r>
      <w:r>
        <w:t xml:space="preserve">EU. In addition,</w:t>
      </w:r>
      <w:r>
        <w:t xml:space="preserve"> </w:t>
      </w:r>
      <w:r>
        <w:t xml:space="preserve">given the inclusion of</w:t>
      </w:r>
      <w:r>
        <w:t xml:space="preserve"> </w:t>
      </w:r>
      <w:r>
        <w:t xml:space="preserve">additional</w:t>
      </w:r>
      <w:r>
        <w:t xml:space="preserve"> </w:t>
      </w:r>
      <w:r>
        <w:t xml:space="preserve">methodological</w:t>
      </w:r>
      <w:r>
        <w:t xml:space="preserve"> </w:t>
      </w:r>
      <w:r>
        <w:t xml:space="preserve">elements, this choice</w:t>
      </w:r>
      <w:r>
        <w:t xml:space="preserve"> </w:t>
      </w:r>
      <w:r>
        <w:t xml:space="preserve">may lead to some</w:t>
      </w:r>
      <w:r>
        <w:t xml:space="preserve"> </w:t>
      </w:r>
      <w:r>
        <w:t xml:space="preserve">inconsistencies</w:t>
      </w:r>
      <w:r>
        <w:t xml:space="preserve"> </w:t>
      </w:r>
      <w:r>
        <w:t xml:space="preserve">between accounting</w:t>
      </w:r>
      <w:r>
        <w:t xml:space="preserve"> </w:t>
      </w:r>
      <w:r>
        <w:t xml:space="preserve">emissions practices in</w:t>
      </w:r>
      <w:r>
        <w:t xml:space="preserve"> </w:t>
      </w:r>
      <w:r>
        <w:t xml:space="preserve">the international</w:t>
      </w:r>
      <w:r>
        <w:t xml:space="preserve"> </w:t>
      </w:r>
      <w:r>
        <w:t xml:space="preserve">transport networks</w:t>
      </w:r>
      <w:r>
        <w:t xml:space="preserve"> </w:t>
      </w:r>
      <w:r>
        <w:t xml:space="preserve">transport services)</w:t>
      </w:r>
      <w:r>
        <w:t xml:space="preserve"> </w:t>
      </w:r>
      <w:r>
        <w:t xml:space="preserve">application of more</w:t>
      </w:r>
      <w:r>
        <w:t xml:space="preserve"> </w:t>
      </w:r>
      <w:r>
        <w:t xml:space="preserve">conducive</w:t>
      </w:r>
      <w:r>
        <w:t xml:space="preserve"> </w:t>
      </w:r>
      <w:r>
        <w:t xml:space="preserve">methodology, namely</w:t>
      </w:r>
      <w:r>
        <w:t xml:space="preserve"> </w:t>
      </w:r>
      <w:r>
        <w:t xml:space="preserve">the new</w:t>
      </w:r>
      <w:r>
        <w:t xml:space="preserve"> </w:t>
      </w:r>
      <w:r>
        <w:t xml:space="preserve">(international) ISO</w:t>
      </w:r>
      <w:r>
        <w:t xml:space="preserve"> </w:t>
      </w:r>
      <w:r>
        <w:t xml:space="preserve">standard 14083. It</w:t>
      </w:r>
      <w:r>
        <w:t xml:space="preserve"> </w:t>
      </w:r>
      <w:r>
        <w:t xml:space="preserve">does not offer the</w:t>
      </w:r>
      <w:r>
        <w:t xml:space="preserve"> </w:t>
      </w:r>
      <w:r>
        <w:t xml:space="preserve">same level of</w:t>
      </w:r>
      <w:r>
        <w:t xml:space="preserve"> </w:t>
      </w:r>
      <w:r>
        <w:t xml:space="preserve">precision as</w:t>
      </w:r>
      <w:r>
        <w:t xml:space="preserve"> </w:t>
      </w:r>
      <w:r>
        <w:t xml:space="preserve">methodology</w:t>
      </w:r>
      <w:r>
        <w:t xml:space="preserve"> </w:t>
      </w:r>
      <w:r>
        <w:t xml:space="preserve">embedded in PO1 and</w:t>
      </w:r>
      <w:r>
        <w:t xml:space="preserve"> </w:t>
      </w:r>
      <w:r>
        <w:t xml:space="preserve">PO2, however it has</w:t>
      </w:r>
      <w:r>
        <w:t xml:space="preserve"> </w:t>
      </w:r>
      <w:r>
        <w:t xml:space="preserve">already been fully</w:t>
      </w:r>
      <w:r>
        <w:t xml:space="preserve"> </w:t>
      </w:r>
      <w:r>
        <w:t xml:space="preserve">developed and is</w:t>
      </w:r>
      <w:r>
        <w:t xml:space="preserve"> </w:t>
      </w:r>
      <w:r>
        <w:t xml:space="preserve">available for the</w:t>
      </w:r>
      <w:r>
        <w:t xml:space="preserve"> </w:t>
      </w:r>
      <w:r>
        <w:t xml:space="preserve">wider use in the</w:t>
      </w:r>
      <w:r>
        <w:t xml:space="preserve"> </w:t>
      </w:r>
      <w:r>
        <w:t xml:space="preserve">transport sector. What</w:t>
      </w:r>
      <w:r>
        <w:t xml:space="preserve"> </w:t>
      </w:r>
      <w:r>
        <w:t xml:space="preserve">is more, this</w:t>
      </w:r>
      <w:r>
        <w:t xml:space="preserve"> </w:t>
      </w:r>
      <w:r>
        <w:t xml:space="preserve">methodology is based</w:t>
      </w:r>
      <w:r>
        <w:t xml:space="preserve"> </w:t>
      </w:r>
      <w:r>
        <w:t xml:space="preserve">on a robust research</w:t>
      </w:r>
      <w:r>
        <w:t xml:space="preserve"> </w:t>
      </w:r>
      <w:r>
        <w:t xml:space="preserve">process, including an</w:t>
      </w:r>
      <w:r>
        <w:t xml:space="preserve"> </w:t>
      </w:r>
      <w:r>
        <w:t xml:space="preserve">extensive public</w:t>
      </w:r>
      <w:r>
        <w:t xml:space="preserve"> </w:t>
      </w:r>
      <w:r>
        <w:t xml:space="preserve">consultation, and</w:t>
      </w:r>
      <w:r>
        <w:t xml:space="preserve"> </w:t>
      </w:r>
      <w:r>
        <w:t xml:space="preserve">offers the opportunity</w:t>
      </w:r>
      <w:r>
        <w:t xml:space="preserve"> </w:t>
      </w:r>
      <w:r>
        <w:t xml:space="preserve">to align emissions</w:t>
      </w:r>
      <w:r>
        <w:t xml:space="preserve"> </w:t>
      </w:r>
      <w:r>
        <w:t xml:space="preserve">accounting</w:t>
      </w:r>
      <w:r>
        <w:t xml:space="preserve"> </w:t>
      </w:r>
      <w:r>
        <w:t xml:space="preserve">approaches in the</w:t>
      </w:r>
      <w:r>
        <w:t xml:space="preserve"> </w:t>
      </w:r>
      <w:r>
        <w:t xml:space="preserve">international transport</w:t>
      </w:r>
      <w:r>
        <w:t xml:space="preserve"> </w:t>
      </w:r>
      <w:r>
        <w:t xml:space="preserve">networks.</w:t>
      </w:r>
      <w:r>
        <w:t xml:space="preserve"> </w:t>
      </w:r>
      <w:r>
        <w:t xml:space="preserve">related Product</w:t>
      </w:r>
      <w:r>
        <w:t xml:space="preserve"> </w:t>
      </w:r>
      <w:r>
        <w:t xml:space="preserve">Environmental</w:t>
      </w:r>
      <w:r>
        <w:t xml:space="preserve"> </w:t>
      </w:r>
      <w:r>
        <w:t xml:space="preserve">Footprint Category</w:t>
      </w:r>
      <w:r>
        <w:t xml:space="preserve"> </w:t>
      </w:r>
      <w:r>
        <w:t xml:space="preserve">Rules. This</w:t>
      </w:r>
      <w:r>
        <w:t xml:space="preserve"> </w:t>
      </w:r>
      <w:r>
        <w:t xml:space="preserve">methodology will</w:t>
      </w:r>
      <w:r>
        <w:t xml:space="preserve"> </w:t>
      </w:r>
      <w:r>
        <w:t xml:space="preserve">enable to calculate</w:t>
      </w:r>
      <w:r>
        <w:t xml:space="preserve"> </w:t>
      </w:r>
      <w:r>
        <w:t xml:space="preserve">emissions in full</w:t>
      </w:r>
      <w:r>
        <w:t xml:space="preserve"> </w:t>
      </w:r>
      <w:r>
        <w:t xml:space="preserve">lifecycle perspective,</w:t>
      </w:r>
      <w:r>
        <w:t xml:space="preserve"> </w:t>
      </w:r>
      <w:r>
        <w:t xml:space="preserve">i.e. ‘from cradle to</w:t>
      </w:r>
      <w:r>
        <w:t xml:space="preserve"> </w:t>
      </w:r>
      <w:r>
        <w:t xml:space="preserve">grave’ and will be</w:t>
      </w:r>
      <w:r>
        <w:t xml:space="preserve"> </w:t>
      </w:r>
      <w:r>
        <w:t xml:space="preserve">mandated to all those</w:t>
      </w:r>
      <w:r>
        <w:t xml:space="preserve"> </w:t>
      </w:r>
      <w:r>
        <w:t xml:space="preserve">that account and</w:t>
      </w:r>
      <w:r>
        <w:t xml:space="preserve"> </w:t>
      </w:r>
      <w:r>
        <w:t xml:space="preserve">disclose GHG</w:t>
      </w:r>
      <w:r>
        <w:t xml:space="preserve"> </w:t>
      </w:r>
      <w:r>
        <w:t xml:space="preserve">emissions data of</w:t>
      </w:r>
      <w:r>
        <w:t xml:space="preserve"> </w:t>
      </w:r>
      <w:r>
        <w:t xml:space="preserve">transport services</w:t>
      </w:r>
      <w:r>
        <w:t xml:space="preserve"> </w:t>
      </w:r>
      <w:r>
        <w:t xml:space="preserve">(binding-in).</w:t>
      </w:r>
      <w:r>
        <w:br/>
      </w:r>
      <w:r>
        <w:t xml:space="preserve">However, the</w:t>
      </w:r>
      <w:r>
        <w:t xml:space="preserve"> </w:t>
      </w:r>
      <w:r>
        <w:t xml:space="preserve">timescale and</w:t>
      </w:r>
      <w:r>
        <w:t xml:space="preserve"> </w:t>
      </w:r>
      <w:r>
        <w:t xml:space="preserve">resources necessary</w:t>
      </w:r>
      <w:r>
        <w:t xml:space="preserve"> </w:t>
      </w:r>
      <w:r>
        <w:t xml:space="preserve">to establish specific</w:t>
      </w:r>
      <w:r>
        <w:t xml:space="preserve"> </w:t>
      </w:r>
      <w:r>
        <w:t xml:space="preserve">PEFCRs would be</w:t>
      </w:r>
      <w:r>
        <w:t xml:space="preserve"> </w:t>
      </w:r>
      <w:r>
        <w:t xml:space="preserve">more important than</w:t>
      </w:r>
      <w:r>
        <w:t xml:space="preserve"> </w:t>
      </w:r>
      <w:r>
        <w:t xml:space="preserve">for the methodology</w:t>
      </w:r>
      <w:r>
        <w:t xml:space="preserve"> </w:t>
      </w:r>
      <w:r>
        <w:t xml:space="preserve">envisaged under PO1</w:t>
      </w:r>
      <w:r>
        <w:t xml:space="preserve"> </w:t>
      </w:r>
      <w:r>
        <w:t xml:space="preserve">and PO3. PEFCRs</w:t>
      </w:r>
      <w:r>
        <w:t xml:space="preserve"> </w:t>
      </w:r>
      <w:r>
        <w:t xml:space="preserve">do not exist yet and</w:t>
      </w:r>
      <w:r>
        <w:t xml:space="preserve"> </w:t>
      </w:r>
      <w:r>
        <w:t xml:space="preserve">would need to be</w:t>
      </w:r>
      <w:r>
        <w:t xml:space="preserve"> </w:t>
      </w:r>
      <w:r>
        <w:t xml:space="preserve">entirely developed. In</w:t>
      </w:r>
      <w:r>
        <w:t xml:space="preserve"> </w:t>
      </w:r>
      <w:r>
        <w:t xml:space="preserve">addition, the use of</w:t>
      </w:r>
      <w:r>
        <w:t xml:space="preserve"> </w:t>
      </w:r>
      <w:r>
        <w:t xml:space="preserve">this methodology will</w:t>
      </w:r>
      <w:r>
        <w:t xml:space="preserve"> </w:t>
      </w:r>
      <w:r>
        <w:t xml:space="preserve">likely result in even</w:t>
      </w:r>
      <w:r>
        <w:t xml:space="preserve"> </w:t>
      </w:r>
      <w:r>
        <w:t xml:space="preserve">accuracy of the</w:t>
      </w:r>
      <w:r>
        <w:t xml:space="preserve"> </w:t>
      </w:r>
      <w:r>
        <w:t xml:space="preserve">underlying factors and</w:t>
      </w:r>
      <w:r>
        <w:t xml:space="preserve"> </w:t>
      </w:r>
      <w:r>
        <w:t xml:space="preserve">formulas behind the</w:t>
      </w:r>
      <w:r>
        <w:t xml:space="preserve"> </w:t>
      </w:r>
      <w:r>
        <w:t xml:space="preserve">processes related to the</w:t>
      </w:r>
      <w:r>
        <w:t xml:space="preserve"> </w:t>
      </w:r>
      <w:r>
        <w:t xml:space="preserve">accounting of</w:t>
      </w:r>
      <w:r>
        <w:t xml:space="preserve"> </w:t>
      </w:r>
      <w:r>
        <w:t xml:space="preserve">emissions. It does not</w:t>
      </w:r>
      <w:r>
        <w:t xml:space="preserve"> </w:t>
      </w:r>
      <w:r>
        <w:t xml:space="preserve">offer the same level of</w:t>
      </w:r>
      <w:r>
        <w:t xml:space="preserve"> </w:t>
      </w:r>
      <w:r>
        <w:t xml:space="preserve">precision as</w:t>
      </w:r>
      <w:r>
        <w:t xml:space="preserve"> </w:t>
      </w:r>
      <w:r>
        <w:t xml:space="preserve">methodology</w:t>
      </w:r>
      <w:r>
        <w:t xml:space="preserve"> </w:t>
      </w:r>
      <w:r>
        <w:t xml:space="preserve">embedded in PO1 and</w:t>
      </w:r>
      <w:r>
        <w:t xml:space="preserve"> </w:t>
      </w:r>
      <w:r>
        <w:t xml:space="preserve">PO2, however it has</w:t>
      </w:r>
      <w:r>
        <w:t xml:space="preserve"> </w:t>
      </w:r>
      <w:r>
        <w:t xml:space="preserve">already been fully</w:t>
      </w:r>
      <w:r>
        <w:t xml:space="preserve"> </w:t>
      </w:r>
      <w:r>
        <w:t xml:space="preserve">developed and is</w:t>
      </w:r>
      <w:r>
        <w:t xml:space="preserve"> </w:t>
      </w:r>
      <w:r>
        <w:t xml:space="preserve">available for the wider</w:t>
      </w:r>
      <w:r>
        <w:t xml:space="preserve"> </w:t>
      </w:r>
      <w:r>
        <w:t xml:space="preserve">use in the transport</w:t>
      </w:r>
      <w:r>
        <w:t xml:space="preserve"> </w:t>
      </w:r>
      <w:r>
        <w:t xml:space="preserve">sector. What is more,</w:t>
      </w:r>
      <w:r>
        <w:t xml:space="preserve"> </w:t>
      </w:r>
      <w:r>
        <w:t xml:space="preserve">this methodology is</w:t>
      </w:r>
      <w:r>
        <w:t xml:space="preserve"> </w:t>
      </w:r>
      <w:r>
        <w:t xml:space="preserve">based on a robust</w:t>
      </w:r>
      <w:r>
        <w:t xml:space="preserve"> </w:t>
      </w:r>
      <w:r>
        <w:t xml:space="preserve">research process,</w:t>
      </w:r>
      <w:r>
        <w:t xml:space="preserve"> </w:t>
      </w:r>
      <w:r>
        <w:t xml:space="preserve">including an extensive</w:t>
      </w:r>
      <w:r>
        <w:t xml:space="preserve"> </w:t>
      </w:r>
      <w:r>
        <w:t xml:space="preserve">public consultation,</w:t>
      </w:r>
      <w:r>
        <w:t xml:space="preserve"> </w:t>
      </w:r>
      <w:r>
        <w:t xml:space="preserve">and offers the</w:t>
      </w:r>
      <w:r>
        <w:t xml:space="preserve"> </w:t>
      </w:r>
      <w:r>
        <w:t xml:space="preserve">opportunity to align</w:t>
      </w:r>
      <w:r>
        <w:t xml:space="preserve"> </w:t>
      </w:r>
      <w:r>
        <w:t xml:space="preserve">emissions accounting</w:t>
      </w:r>
      <w:r>
        <w:t xml:space="preserve"> </w:t>
      </w:r>
      <w:r>
        <w:t xml:space="preserve">approaches in the</w:t>
      </w:r>
      <w:r>
        <w:t xml:space="preserve"> </w:t>
      </w:r>
      <w:r>
        <w:t xml:space="preserve">international transport</w:t>
      </w:r>
      <w:r>
        <w:t xml:space="preserve"> </w:t>
      </w:r>
      <w:r>
        <w:t xml:space="preserve">networks.</w:t>
      </w:r>
      <w:r>
        <w:t xml:space="preserve"> </w:t>
      </w:r>
      <w:r>
        <w:t xml:space="preserve">On the other hand,</w:t>
      </w:r>
      <w:r>
        <w:t xml:space="preserve"> </w:t>
      </w:r>
      <w:r>
        <w:t xml:space="preserve">similarly as in PO3</w:t>
      </w:r>
      <w:r>
        <w:t xml:space="preserve"> </w:t>
      </w:r>
      <w:r>
        <w:t xml:space="preserve">and PO4, this option</w:t>
      </w:r>
      <w:r>
        <w:t xml:space="preserve"> </w:t>
      </w:r>
      <w:r>
        <w:t xml:space="preserve">enables, under specific</w:t>
      </w:r>
    </w:p>
    <w:p>
      <w:pPr>
        <w:pStyle w:val="BodyText"/>
      </w:pPr>
      <w:r>
        <w:t xml:space="preserve">189</w:t>
      </w:r>
    </w:p>
    <w:p>
      <w:pPr>
        <w:pStyle w:val="BodyText"/>
      </w:pPr>
      <w:r>
        <w:t xml:space="preserve">envisages fully</w:t>
      </w:r>
      <w:r>
        <w:t xml:space="preserve"> </w:t>
      </w:r>
      <w:r>
        <w:t xml:space="preserve">centralised, and EU-</w:t>
      </w:r>
      <w:r>
        <w:t xml:space="preserve"> </w:t>
      </w:r>
      <w:r>
        <w:t xml:space="preserve">controlled databases</w:t>
      </w:r>
      <w:r>
        <w:t xml:space="preserve"> </w:t>
      </w:r>
      <w:r>
        <w:t xml:space="preserve">of default values, thus</w:t>
      </w:r>
      <w:r>
        <w:t xml:space="preserve"> </w:t>
      </w:r>
      <w:r>
        <w:t xml:space="preserve">guaranteeing that all</w:t>
      </w:r>
      <w:r>
        <w:t xml:space="preserve"> </w:t>
      </w:r>
      <w:r>
        <w:t xml:space="preserve">input data used for</w:t>
      </w:r>
      <w:r>
        <w:t xml:space="preserve"> </w:t>
      </w:r>
      <w:r>
        <w:t xml:space="preserve">accounting emissions</w:t>
      </w:r>
      <w:r>
        <w:t xml:space="preserve"> </w:t>
      </w:r>
      <w:r>
        <w:t xml:space="preserve">comes from the same</w:t>
      </w:r>
      <w:r>
        <w:t xml:space="preserve"> </w:t>
      </w:r>
      <w:r>
        <w:t xml:space="preserve">source.</w:t>
      </w:r>
    </w:p>
    <w:p>
      <w:pPr>
        <w:pStyle w:val="BodyText"/>
      </w:pPr>
      <w:r>
        <w:t xml:space="preserve">(mostly affecting</w:t>
      </w:r>
      <w:r>
        <w:t xml:space="preserve"> </w:t>
      </w:r>
      <w:r>
        <w:t xml:space="preserve">maritime transport</w:t>
      </w:r>
      <w:r>
        <w:t xml:space="preserve"> </w:t>
      </w:r>
      <w:r>
        <w:t xml:space="preserve">and aviation).</w:t>
      </w:r>
      <w:r>
        <w:br/>
      </w:r>
      <w:r>
        <w:t xml:space="preserve">Secondly, this option</w:t>
      </w:r>
      <w:r>
        <w:t xml:space="preserve"> </w:t>
      </w:r>
      <w:r>
        <w:t xml:space="preserve">also enables, under</w:t>
      </w:r>
      <w:r>
        <w:t xml:space="preserve"> </w:t>
      </w:r>
      <w:r>
        <w:t xml:space="preserve">specific conditions,</w:t>
      </w:r>
      <w:r>
        <w:t xml:space="preserve"> </w:t>
      </w:r>
      <w:r>
        <w:t xml:space="preserve">the provision of</w:t>
      </w:r>
      <w:r>
        <w:t xml:space="preserve"> </w:t>
      </w:r>
      <w:r>
        <w:t xml:space="preserve">external emissions</w:t>
      </w:r>
      <w:r>
        <w:t xml:space="preserve"> </w:t>
      </w:r>
      <w:r>
        <w:t xml:space="preserve">intensity factors</w:t>
      </w:r>
      <w:r>
        <w:t xml:space="preserve"> </w:t>
      </w:r>
      <w:r>
        <w:t xml:space="preserve">databases. The</w:t>
      </w:r>
      <w:r>
        <w:t xml:space="preserve"> </w:t>
      </w:r>
      <w:r>
        <w:t xml:space="preserve">decentralised</w:t>
      </w:r>
      <w:r>
        <w:t xml:space="preserve"> </w:t>
      </w:r>
      <w:r>
        <w:t xml:space="preserve">approach may offer</w:t>
      </w:r>
      <w:r>
        <w:t xml:space="preserve"> </w:t>
      </w:r>
      <w:r>
        <w:t xml:space="preserve">more adequate default</w:t>
      </w:r>
      <w:r>
        <w:t xml:space="preserve"> </w:t>
      </w:r>
      <w:r>
        <w:t xml:space="preserve">values reflecting the</w:t>
      </w:r>
      <w:r>
        <w:t xml:space="preserve"> </w:t>
      </w:r>
      <w:r>
        <w:t xml:space="preserve">specificity of</w:t>
      </w:r>
      <w:r>
        <w:t xml:space="preserve"> </w:t>
      </w:r>
      <w:r>
        <w:t xml:space="preserve">respective segments</w:t>
      </w:r>
      <w:r>
        <w:t xml:space="preserve"> </w:t>
      </w:r>
      <w:r>
        <w:t xml:space="preserve">of the transport</w:t>
      </w:r>
      <w:r>
        <w:t xml:space="preserve"> </w:t>
      </w:r>
      <w:r>
        <w:t xml:space="preserve">sector, however it</w:t>
      </w:r>
      <w:r>
        <w:t xml:space="preserve"> </w:t>
      </w:r>
      <w:r>
        <w:t xml:space="preserve">eventually may lead</w:t>
      </w:r>
      <w:r>
        <w:t xml:space="preserve"> </w:t>
      </w:r>
      <w:r>
        <w:t xml:space="preserve">to some incoherence</w:t>
      </w:r>
      <w:r>
        <w:t xml:space="preserve"> </w:t>
      </w:r>
      <w:r>
        <w:t xml:space="preserve">between input data</w:t>
      </w:r>
      <w:r>
        <w:t xml:space="preserve"> </w:t>
      </w:r>
      <w:r>
        <w:t xml:space="preserve">used by various</w:t>
      </w:r>
      <w:r>
        <w:t xml:space="preserve"> </w:t>
      </w:r>
      <w:r>
        <w:t xml:space="preserve">entities accounting</w:t>
      </w:r>
      <w:r>
        <w:t xml:space="preserve"> </w:t>
      </w:r>
      <w:r>
        <w:t xml:space="preserve">emissions across the</w:t>
      </w:r>
      <w:r>
        <w:t xml:space="preserve"> </w:t>
      </w:r>
      <w:r>
        <w:t xml:space="preserve">EU.</w:t>
      </w:r>
      <w:r>
        <w:br/>
      </w:r>
      <w:r>
        <w:t xml:space="preserve">On the other hand,</w:t>
      </w:r>
      <w:r>
        <w:t xml:space="preserve"> </w:t>
      </w:r>
      <w:r>
        <w:t xml:space="preserve">similarly as in PO3</w:t>
      </w:r>
      <w:r>
        <w:t xml:space="preserve"> </w:t>
      </w:r>
      <w:r>
        <w:t xml:space="preserve">and PO6, this option</w:t>
      </w:r>
      <w:r>
        <w:t xml:space="preserve"> </w:t>
      </w:r>
      <w:r>
        <w:t xml:space="preserve">enables, under</w:t>
      </w:r>
      <w:r>
        <w:t xml:space="preserve"> </w:t>
      </w:r>
      <w:r>
        <w:t xml:space="preserve">specific conditions,</w:t>
      </w:r>
      <w:r>
        <w:t xml:space="preserve"> </w:t>
      </w:r>
      <w:r>
        <w:t xml:space="preserve">the provision of</w:t>
      </w:r>
      <w:r>
        <w:t xml:space="preserve"> </w:t>
      </w:r>
      <w:r>
        <w:t xml:space="preserve">external emissions</w:t>
      </w:r>
      <w:r>
        <w:t xml:space="preserve"> </w:t>
      </w:r>
      <w:r>
        <w:t xml:space="preserve">intensity factors</w:t>
      </w:r>
      <w:r>
        <w:t xml:space="preserve"> </w:t>
      </w:r>
      <w:r>
        <w:t xml:space="preserve">databases. The</w:t>
      </w:r>
      <w:r>
        <w:t xml:space="preserve"> </w:t>
      </w:r>
      <w:r>
        <w:t xml:space="preserve">decentralised</w:t>
      </w:r>
      <w:r>
        <w:t xml:space="preserve"> </w:t>
      </w:r>
      <w:r>
        <w:t xml:space="preserve">approach may offer</w:t>
      </w:r>
      <w:r>
        <w:t xml:space="preserve"> </w:t>
      </w:r>
      <w:r>
        <w:t xml:space="preserve">more adequate</w:t>
      </w:r>
      <w:r>
        <w:t xml:space="preserve"> </w:t>
      </w:r>
      <w:r>
        <w:t xml:space="preserve">default values</w:t>
      </w:r>
      <w:r>
        <w:t xml:space="preserve"> </w:t>
      </w:r>
      <w:r>
        <w:t xml:space="preserve">reflecting the</w:t>
      </w:r>
      <w:r>
        <w:t xml:space="preserve"> </w:t>
      </w:r>
      <w:r>
        <w:t xml:space="preserve">specificity of</w:t>
      </w:r>
      <w:r>
        <w:t xml:space="preserve"> </w:t>
      </w:r>
      <w:r>
        <w:t xml:space="preserve">respective segments</w:t>
      </w:r>
      <w:r>
        <w:t xml:space="preserve"> </w:t>
      </w:r>
      <w:r>
        <w:t xml:space="preserve">of the transport</w:t>
      </w:r>
      <w:r>
        <w:t xml:space="preserve"> </w:t>
      </w:r>
      <w:r>
        <w:t xml:space="preserve">sector, however it</w:t>
      </w:r>
      <w:r>
        <w:t xml:space="preserve"> </w:t>
      </w:r>
      <w:r>
        <w:t xml:space="preserve">eventually may lead</w:t>
      </w:r>
      <w:r>
        <w:t xml:space="preserve"> </w:t>
      </w:r>
      <w:r>
        <w:t xml:space="preserve">to some incoherence</w:t>
      </w:r>
      <w:r>
        <w:t xml:space="preserve"> </w:t>
      </w:r>
      <w:r>
        <w:t xml:space="preserve">between input data</w:t>
      </w:r>
      <w:r>
        <w:t xml:space="preserve"> </w:t>
      </w:r>
      <w:r>
        <w:t xml:space="preserve">used by various</w:t>
      </w:r>
      <w:r>
        <w:t xml:space="preserve"> </w:t>
      </w:r>
      <w:r>
        <w:t xml:space="preserve">entities accounting</w:t>
      </w:r>
      <w:r>
        <w:t xml:space="preserve"> </w:t>
      </w:r>
      <w:r>
        <w:t xml:space="preserve">emissions across the</w:t>
      </w:r>
      <w:r>
        <w:t xml:space="preserve"> </w:t>
      </w:r>
      <w:r>
        <w:t xml:space="preserve">EU.</w:t>
      </w:r>
      <w:r>
        <w:t xml:space="preserve"> </w:t>
      </w:r>
      <w:r>
        <w:t xml:space="preserve">larger misalignment</w:t>
      </w:r>
      <w:r>
        <w:t xml:space="preserve"> </w:t>
      </w:r>
      <w:r>
        <w:t xml:space="preserve">with respect to the</w:t>
      </w:r>
      <w:r>
        <w:t xml:space="preserve"> </w:t>
      </w:r>
      <w:r>
        <w:t xml:space="preserve">existing emissions</w:t>
      </w:r>
      <w:r>
        <w:t xml:space="preserve"> </w:t>
      </w:r>
      <w:r>
        <w:t xml:space="preserve">accounting practices</w:t>
      </w:r>
      <w:r>
        <w:t xml:space="preserve"> </w:t>
      </w:r>
      <w:r>
        <w:t xml:space="preserve">in the transport</w:t>
      </w:r>
      <w:r>
        <w:t xml:space="preserve"> </w:t>
      </w:r>
      <w:r>
        <w:t xml:space="preserve">sector, and especially</w:t>
      </w:r>
      <w:r>
        <w:t xml:space="preserve"> </w:t>
      </w:r>
      <w:r>
        <w:t xml:space="preserve">at the international</w:t>
      </w:r>
      <w:r>
        <w:t xml:space="preserve"> </w:t>
      </w:r>
      <w:r>
        <w:t xml:space="preserve">level.</w:t>
      </w:r>
      <w:r>
        <w:t xml:space="preserve"> </w:t>
      </w:r>
      <w:r>
        <w:t xml:space="preserve">Secondly, PO1</w:t>
      </w:r>
      <w:r>
        <w:t xml:space="preserve"> </w:t>
      </w:r>
      <w:r>
        <w:t xml:space="preserve">envisages fully</w:t>
      </w:r>
      <w:r>
        <w:t xml:space="preserve"> </w:t>
      </w:r>
      <w:r>
        <w:t xml:space="preserve">centralised, and EU-</w:t>
      </w:r>
      <w:r>
        <w:t xml:space="preserve"> </w:t>
      </w:r>
      <w:r>
        <w:t xml:space="preserve">controlled databases</w:t>
      </w:r>
      <w:r>
        <w:t xml:space="preserve"> </w:t>
      </w:r>
      <w:r>
        <w:t xml:space="preserve">of default values, thus</w:t>
      </w:r>
      <w:r>
        <w:t xml:space="preserve"> </w:t>
      </w:r>
      <w:r>
        <w:t xml:space="preserve">guaranteeing that all</w:t>
      </w:r>
      <w:r>
        <w:t xml:space="preserve"> </w:t>
      </w:r>
      <w:r>
        <w:t xml:space="preserve">input data used for</w:t>
      </w:r>
      <w:r>
        <w:t xml:space="preserve"> </w:t>
      </w:r>
      <w:r>
        <w:t xml:space="preserve">accounting emissions</w:t>
      </w:r>
      <w:r>
        <w:t xml:space="preserve"> </w:t>
      </w:r>
      <w:r>
        <w:t xml:space="preserve">comes from the same</w:t>
      </w:r>
      <w:r>
        <w:t xml:space="preserve"> </w:t>
      </w:r>
      <w:r>
        <w:t xml:space="preserve">source. However, the</w:t>
      </w:r>
      <w:r>
        <w:t xml:space="preserve"> </w:t>
      </w:r>
      <w:r>
        <w:t xml:space="preserve">accuracy of these</w:t>
      </w:r>
      <w:r>
        <w:t xml:space="preserve"> </w:t>
      </w:r>
      <w:r>
        <w:t xml:space="preserve">default values may be</w:t>
      </w:r>
      <w:r>
        <w:t xml:space="preserve"> </w:t>
      </w:r>
      <w:r>
        <w:t xml:space="preserve">compromised by</w:t>
      </w:r>
      <w:r>
        <w:t xml:space="preserve"> </w:t>
      </w:r>
      <w:r>
        <w:t xml:space="preserve">significant degree of</w:t>
      </w:r>
      <w:r>
        <w:t xml:space="preserve"> </w:t>
      </w:r>
      <w:r>
        <w:t xml:space="preserve">uncertainty related to</w:t>
      </w:r>
      <w:r>
        <w:t xml:space="preserve"> </w:t>
      </w:r>
      <w:r>
        <w:t xml:space="preserve">the valuation of</w:t>
      </w:r>
      <w:r>
        <w:t xml:space="preserve"> </w:t>
      </w:r>
      <w:r>
        <w:t xml:space="preserve">emission factors in</w:t>
      </w:r>
      <w:r>
        <w:t xml:space="preserve"> </w:t>
      </w:r>
      <w:r>
        <w:t xml:space="preserve">the LCA perspective.</w:t>
      </w:r>
      <w:r>
        <w:t xml:space="preserve"> </w:t>
      </w:r>
      <w:r>
        <w:t xml:space="preserve">conditions, the</w:t>
      </w:r>
      <w:r>
        <w:t xml:space="preserve"> </w:t>
      </w:r>
      <w:r>
        <w:t xml:space="preserve">provision of external</w:t>
      </w:r>
      <w:r>
        <w:t xml:space="preserve"> </w:t>
      </w:r>
      <w:r>
        <w:t xml:space="preserve">emissions intensity</w:t>
      </w:r>
      <w:r>
        <w:t xml:space="preserve"> </w:t>
      </w:r>
      <w:r>
        <w:t xml:space="preserve">factors databases. The</w:t>
      </w:r>
      <w:r>
        <w:t xml:space="preserve"> </w:t>
      </w:r>
      <w:r>
        <w:t xml:space="preserve">decentralised approach</w:t>
      </w:r>
      <w:r>
        <w:t xml:space="preserve"> </w:t>
      </w:r>
      <w:r>
        <w:t xml:space="preserve">may offer more</w:t>
      </w:r>
      <w:r>
        <w:t xml:space="preserve"> </w:t>
      </w:r>
      <w:r>
        <w:t xml:space="preserve">adequate default</w:t>
      </w:r>
      <w:r>
        <w:t xml:space="preserve"> </w:t>
      </w:r>
      <w:r>
        <w:t xml:space="preserve">values reflecting the</w:t>
      </w:r>
      <w:r>
        <w:t xml:space="preserve"> </w:t>
      </w:r>
      <w:r>
        <w:t xml:space="preserve">specificity of</w:t>
      </w:r>
      <w:r>
        <w:t xml:space="preserve"> </w:t>
      </w:r>
      <w:r>
        <w:t xml:space="preserve">respective segments of</w:t>
      </w:r>
      <w:r>
        <w:t xml:space="preserve"> </w:t>
      </w:r>
      <w:r>
        <w:t xml:space="preserve">the transport sector,</w:t>
      </w:r>
      <w:r>
        <w:t xml:space="preserve"> </w:t>
      </w:r>
      <w:r>
        <w:t xml:space="preserve">however it eventually</w:t>
      </w:r>
      <w:r>
        <w:t xml:space="preserve"> </w:t>
      </w:r>
      <w:r>
        <w:t xml:space="preserve">may lead to some</w:t>
      </w:r>
      <w:r>
        <w:t xml:space="preserve"> </w:t>
      </w:r>
      <w:r>
        <w:t xml:space="preserve">incoherence between</w:t>
      </w:r>
      <w:r>
        <w:t xml:space="preserve"> </w:t>
      </w:r>
      <w:r>
        <w:t xml:space="preserve">input data used by</w:t>
      </w:r>
      <w:r>
        <w:t xml:space="preserve"> </w:t>
      </w:r>
      <w:r>
        <w:t xml:space="preserve">various entities</w:t>
      </w:r>
      <w:r>
        <w:t xml:space="preserve"> </w:t>
      </w:r>
      <w:r>
        <w:t xml:space="preserve">accounting emissions</w:t>
      </w:r>
      <w:r>
        <w:t xml:space="preserve"> </w:t>
      </w:r>
      <w:r>
        <w:t xml:space="preserve">across the EU.</w:t>
      </w:r>
    </w:p>
    <w:p>
      <w:pPr>
        <w:pStyle w:val="BodyText"/>
      </w:pP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PO5</w:t>
      </w:r>
      <w:r>
        <w:t xml:space="preserve"> </w:t>
      </w:r>
      <w:r>
        <w:t xml:space="preserve">PO6</w:t>
      </w:r>
      <w:r>
        <w:t xml:space="preserve"> </w:t>
      </w:r>
      <w:r>
        <w:t xml:space="preserve">Specific policy objective 2: Facilitate the uptake of GHG emissions accounting in business practice</w:t>
      </w:r>
    </w:p>
    <w:p>
      <w:pPr>
        <w:pStyle w:val="BodyText"/>
      </w:pPr>
      <w:r>
        <w:t xml:space="preserve">190</w:t>
      </w:r>
    </w:p>
    <w:p>
      <w:pPr>
        <w:pStyle w:val="Compact"/>
        <w:numPr>
          <w:ilvl w:val="0"/>
          <w:numId w:val="1019"/>
        </w:numPr>
      </w:pPr>
      <w:r>
        <w:t xml:space="preserve">Expected increase</w:t>
      </w:r>
      <w:r>
        <w:t xml:space="preserve"> </w:t>
      </w:r>
      <w:r>
        <w:t xml:space="preserve">of use of the common</w:t>
      </w:r>
      <w:r>
        <w:t xml:space="preserve"> </w:t>
      </w:r>
      <w:r>
        <w:t xml:space="preserve">methodological</w:t>
      </w:r>
      <w:r>
        <w:t xml:space="preserve"> </w:t>
      </w:r>
      <w:r>
        <w:t xml:space="preserve">framework</w:t>
      </w:r>
      <w:r>
        <w:t xml:space="preserve"> </w:t>
      </w:r>
      <w:r>
        <w:t xml:space="preserve">by</w:t>
      </w:r>
      <w:r>
        <w:t xml:space="preserve"> </w:t>
      </w:r>
      <w:r>
        <w:t xml:space="preserve">economic</w:t>
      </w:r>
      <w:r>
        <w:t xml:space="preserve"> </w:t>
      </w:r>
      <w:r>
        <w:t xml:space="preserve">operators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relevant</w:t>
      </w:r>
      <w:r>
        <w:t xml:space="preserve"> </w:t>
      </w:r>
      <w:r>
        <w:t xml:space="preserve">entities</w:t>
      </w:r>
    </w:p>
    <w:p>
      <w:pPr>
        <w:pStyle w:val="FirstParagraph"/>
      </w:pPr>
      <w:r>
        <w:t xml:space="preserve">Extremely</w:t>
      </w:r>
      <w:r>
        <w:t xml:space="preserve"> </w:t>
      </w:r>
      <w:r>
        <w:t xml:space="preserve">positive</w:t>
      </w:r>
      <w:r>
        <w:t xml:space="preserve"> </w:t>
      </w:r>
      <w:r>
        <w:t xml:space="preserve">impact on the use of</w:t>
      </w:r>
      <w:r>
        <w:t xml:space="preserve"> </w:t>
      </w:r>
      <w:r>
        <w:t xml:space="preserve">the</w:t>
      </w:r>
      <w:r>
        <w:t xml:space="preserve"> </w:t>
      </w:r>
      <w:r>
        <w:t xml:space="preserve">common</w:t>
      </w:r>
      <w:r>
        <w:t xml:space="preserve"> </w:t>
      </w:r>
      <w:r>
        <w:t xml:space="preserve">methodological</w:t>
      </w:r>
      <w:r>
        <w:t xml:space="preserve"> </w:t>
      </w:r>
      <w:r>
        <w:t xml:space="preserve">framework</w:t>
      </w:r>
      <w:r>
        <w:br/>
      </w:r>
      <w:r>
        <w:t xml:space="preserve">This</w:t>
      </w:r>
      <w:r>
        <w:t xml:space="preserve"> </w:t>
      </w:r>
      <w:r>
        <w:t xml:space="preserve">option</w:t>
      </w:r>
      <w:r>
        <w:t xml:space="preserve"> </w:t>
      </w:r>
      <w:r>
        <w:t xml:space="preserve">will</w:t>
      </w:r>
      <w:r>
        <w:t xml:space="preserve"> </w:t>
      </w:r>
      <w:r>
        <w:t xml:space="preserve">mandate the uptake of</w:t>
      </w:r>
      <w:r>
        <w:t xml:space="preserve"> </w:t>
      </w:r>
      <w:r>
        <w:t xml:space="preserve">CountEmissions EU</w:t>
      </w:r>
      <w:r>
        <w:t xml:space="preserve"> </w:t>
      </w:r>
      <w:r>
        <w:t xml:space="preserve">to all entities that are</w:t>
      </w:r>
      <w:r>
        <w:t xml:space="preserve"> </w:t>
      </w:r>
      <w:r>
        <w:t xml:space="preserve">involved in transport</w:t>
      </w:r>
      <w:r>
        <w:t xml:space="preserve"> </w:t>
      </w:r>
      <w:r>
        <w:t xml:space="preserve">services activities in</w:t>
      </w:r>
      <w:r>
        <w:t xml:space="preserve"> </w:t>
      </w:r>
      <w:r>
        <w:t xml:space="preserve">EU 27. This uptake</w:t>
      </w:r>
      <w:r>
        <w:t xml:space="preserve"> </w:t>
      </w:r>
      <w:r>
        <w:t xml:space="preserve">will be gradual until</w:t>
      </w:r>
      <w:r>
        <w:t xml:space="preserve"> </w:t>
      </w:r>
      <w:r>
        <w:t xml:space="preserve">2035, where it will</w:t>
      </w:r>
      <w:r>
        <w:t xml:space="preserve"> </w:t>
      </w:r>
      <w:r>
        <w:t xml:space="preserve">apply</w:t>
      </w:r>
      <w:r>
        <w:t xml:space="preserve"> </w:t>
      </w:r>
      <w:r>
        <w:t xml:space="preserve">across</w:t>
      </w:r>
      <w:r>
        <w:t xml:space="preserve"> </w:t>
      </w:r>
      <w:r>
        <w:t xml:space="preserve">the</w:t>
      </w:r>
      <w:r>
        <w:t xml:space="preserve"> </w:t>
      </w:r>
      <w:r>
        <w:t xml:space="preserve">board.</w:t>
      </w:r>
      <w:r>
        <w:t xml:space="preserve"> </w:t>
      </w:r>
      <w:r>
        <w:t xml:space="preserve">The uptake will be</w:t>
      </w:r>
      <w:r>
        <w:t xml:space="preserve"> </w:t>
      </w:r>
      <w:r>
        <w:t xml:space="preserve">further</w:t>
      </w:r>
      <w:r>
        <w:t xml:space="preserve"> </w:t>
      </w:r>
      <w:r>
        <w:t xml:space="preserve">strengthened</w:t>
      </w:r>
      <w:r>
        <w:t xml:space="preserve"> </w:t>
      </w:r>
      <w:r>
        <w:t xml:space="preserve">by</w:t>
      </w:r>
      <w:r>
        <w:t xml:space="preserve"> </w:t>
      </w:r>
      <w:r>
        <w:t xml:space="preserve">measures</w:t>
      </w:r>
      <w:r>
        <w:t xml:space="preserve"> </w:t>
      </w:r>
      <w:r>
        <w:t xml:space="preserve">increasing confidence</w:t>
      </w:r>
      <w:r>
        <w:t xml:space="preserve"> </w:t>
      </w:r>
      <w:r>
        <w:t xml:space="preserve">and trust in the GHG</w:t>
      </w:r>
      <w:r>
        <w:t xml:space="preserve"> </w:t>
      </w:r>
      <w:r>
        <w:t xml:space="preserve">emissions data on the</w:t>
      </w:r>
      <w:r>
        <w:t xml:space="preserve"> </w:t>
      </w:r>
      <w:r>
        <w:t xml:space="preserve">market:</w:t>
      </w:r>
      <w:r>
        <w:t xml:space="preserve"> </w:t>
      </w:r>
      <w:r>
        <w:t xml:space="preserve">the</w:t>
      </w:r>
      <w:r>
        <w:t xml:space="preserve"> </w:t>
      </w:r>
      <w:r>
        <w:t xml:space="preserve">mandatory data and</w:t>
      </w:r>
      <w:r>
        <w:t xml:space="preserve"> </w:t>
      </w:r>
      <w:r>
        <w:t xml:space="preserve">process</w:t>
      </w:r>
      <w:r>
        <w:t xml:space="preserve"> </w:t>
      </w:r>
      <w:r>
        <w:t xml:space="preserve">verification</w:t>
      </w:r>
      <w:r>
        <w:t xml:space="preserve"> </w:t>
      </w:r>
      <w:r>
        <w:t xml:space="preserve">system,</w:t>
      </w:r>
      <w:r>
        <w:t xml:space="preserve"> </w:t>
      </w:r>
      <w:r>
        <w:t xml:space="preserve">and</w:t>
      </w:r>
      <w:r>
        <w:br/>
      </w:r>
      <w:r>
        <w:t xml:space="preserve">centralised emissions</w:t>
      </w:r>
      <w:r>
        <w:t xml:space="preserve"> </w:t>
      </w:r>
      <w:r>
        <w:t xml:space="preserve">calculation</w:t>
      </w:r>
      <w:r>
        <w:t xml:space="preserve"> </w:t>
      </w:r>
      <w:r>
        <w:t xml:space="preserve">tools</w:t>
      </w:r>
      <w:r>
        <w:t xml:space="preserve"> </w:t>
      </w:r>
      <w:r>
        <w:t xml:space="preserve">offered on the market</w:t>
      </w:r>
      <w:r>
        <w:t xml:space="preserve"> </w:t>
      </w:r>
      <w:r>
        <w:t xml:space="preserve">Positive impact on the</w:t>
      </w:r>
      <w:r>
        <w:t xml:space="preserve"> </w:t>
      </w:r>
      <w:r>
        <w:t xml:space="preserve">use of the common</w:t>
      </w:r>
      <w:r>
        <w:t xml:space="preserve"> </w:t>
      </w:r>
      <w:r>
        <w:t xml:space="preserve">methodological</w:t>
      </w:r>
      <w:r>
        <w:t xml:space="preserve"> </w:t>
      </w:r>
      <w:r>
        <w:t xml:space="preserve">framework.</w:t>
      </w:r>
      <w:r>
        <w:br/>
      </w:r>
      <w:r>
        <w:t xml:space="preserve">This positive impact</w:t>
      </w:r>
      <w:r>
        <w:t xml:space="preserve"> </w:t>
      </w:r>
      <w:r>
        <w:t xml:space="preserve">is foreseen despite the</w:t>
      </w:r>
      <w:r>
        <w:t xml:space="preserve"> </w:t>
      </w:r>
      <w:r>
        <w:t xml:space="preserve">lax</w:t>
      </w:r>
      <w:r>
        <w:t xml:space="preserve"> </w:t>
      </w:r>
      <w:r>
        <w:t xml:space="preserve">application</w:t>
      </w:r>
      <w:r>
        <w:t xml:space="preserve"> </w:t>
      </w:r>
      <w:r>
        <w:t xml:space="preserve">of</w:t>
      </w:r>
      <w:r>
        <w:t xml:space="preserve"> </w:t>
      </w:r>
      <w:r>
        <w:t xml:space="preserve">CountEmissions EU</w:t>
      </w:r>
      <w:r>
        <w:t xml:space="preserve"> </w:t>
      </w:r>
      <w:r>
        <w:t xml:space="preserve">on the EU market and</w:t>
      </w:r>
      <w:r>
        <w:t xml:space="preserve"> </w:t>
      </w:r>
      <w:r>
        <w:t xml:space="preserve">the</w:t>
      </w:r>
      <w:r>
        <w:t xml:space="preserve"> </w:t>
      </w:r>
      <w:r>
        <w:t xml:space="preserve">voluntary</w:t>
      </w:r>
      <w:r>
        <w:t xml:space="preserve"> </w:t>
      </w:r>
      <w:r>
        <w:t xml:space="preserve">verification</w:t>
      </w:r>
      <w:r>
        <w:t xml:space="preserve"> </w:t>
      </w:r>
      <w:r>
        <w:t xml:space="preserve">system</w:t>
      </w:r>
      <w:r>
        <w:t xml:space="preserve"> </w:t>
      </w:r>
      <w:r>
        <w:t xml:space="preserve">for</w:t>
      </w:r>
      <w:r>
        <w:t xml:space="preserve"> </w:t>
      </w:r>
      <w:r>
        <w:t xml:space="preserve">processes</w:t>
      </w:r>
      <w:r>
        <w:t xml:space="preserve"> </w:t>
      </w:r>
      <w:r>
        <w:t xml:space="preserve">and</w:t>
      </w:r>
      <w:r>
        <w:t xml:space="preserve"> </w:t>
      </w:r>
      <w:r>
        <w:t xml:space="preserve">data. This assessment</w:t>
      </w:r>
      <w:r>
        <w:t xml:space="preserve"> </w:t>
      </w:r>
      <w:r>
        <w:t xml:space="preserve">is driven mostly by</w:t>
      </w:r>
      <w:r>
        <w:t xml:space="preserve"> </w:t>
      </w:r>
      <w:r>
        <w:t xml:space="preserve">the fact that PO2</w:t>
      </w:r>
      <w:r>
        <w:t xml:space="preserve"> </w:t>
      </w:r>
      <w:r>
        <w:t xml:space="preserve">includes</w:t>
      </w:r>
      <w:r>
        <w:t xml:space="preserve"> </w:t>
      </w:r>
      <w:r>
        <w:t xml:space="preserve">a</w:t>
      </w:r>
      <w:r>
        <w:t xml:space="preserve"> </w:t>
      </w:r>
      <w:r>
        <w:t xml:space="preserve">more</w:t>
      </w:r>
      <w:r>
        <w:t xml:space="preserve"> </w:t>
      </w:r>
      <w:r>
        <w:t xml:space="preserve">conducive</w:t>
      </w:r>
      <w:r>
        <w:t xml:space="preserve"> </w:t>
      </w:r>
      <w:r>
        <w:t xml:space="preserve">methodology</w:t>
      </w:r>
      <w:r>
        <w:t xml:space="preserve"> </w:t>
      </w:r>
      <w:r>
        <w:t xml:space="preserve">(ISO</w:t>
      </w:r>
      <w:r>
        <w:t xml:space="preserve"> </w:t>
      </w:r>
      <w:r>
        <w:t xml:space="preserve">14083),</w:t>
      </w:r>
      <w:r>
        <w:t xml:space="preserve"> </w:t>
      </w:r>
      <w:r>
        <w:t xml:space="preserve">recognises</w:t>
      </w:r>
      <w:r>
        <w:t xml:space="preserve"> </w:t>
      </w:r>
      <w:r>
        <w:t xml:space="preserve">the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CountEmissions EU</w:t>
      </w:r>
      <w:r>
        <w:t xml:space="preserve"> </w:t>
      </w:r>
      <w:r>
        <w:t xml:space="preserve">through a label, and</w:t>
      </w:r>
      <w:r>
        <w:t xml:space="preserve"> </w:t>
      </w:r>
      <w:r>
        <w:t xml:space="preserve">offers</w:t>
      </w:r>
      <w:r>
        <w:t xml:space="preserve"> </w:t>
      </w:r>
      <w:r>
        <w:t xml:space="preserve">dedicated</w:t>
      </w:r>
      <w:r>
        <w:t xml:space="preserve"> </w:t>
      </w:r>
      <w:r>
        <w:t xml:space="preserve">emissions calculation</w:t>
      </w:r>
      <w:r>
        <w:t xml:space="preserve"> </w:t>
      </w:r>
      <w:r>
        <w:t xml:space="preserve">tools to be managed at</w:t>
      </w:r>
      <w:r>
        <w:t xml:space="preserve"> </w:t>
      </w:r>
      <w:r>
        <w:t xml:space="preserve">the central EU level.</w:t>
      </w:r>
      <w:r>
        <w:t xml:space="preserve"> </w:t>
      </w:r>
      <w:r>
        <w:t xml:space="preserve">The latter feature may</w:t>
      </w:r>
      <w:r>
        <w:t xml:space="preserve"> </w:t>
      </w:r>
      <w:r>
        <w:t xml:space="preserve">especially</w:t>
      </w:r>
      <w:r>
        <w:t xml:space="preserve"> </w:t>
      </w:r>
      <w:r>
        <w:t xml:space="preserve">attract</w:t>
      </w:r>
      <w:r>
        <w:t xml:space="preserve"> </w:t>
      </w:r>
      <w:r>
        <w:t xml:space="preserve">interest of SMEs that</w:t>
      </w:r>
      <w:r>
        <w:t xml:space="preserve"> </w:t>
      </w:r>
      <w:r>
        <w:t xml:space="preserve">represent the majority</w:t>
      </w:r>
      <w:r>
        <w:t xml:space="preserve"> </w:t>
      </w:r>
      <w:r>
        <w:t xml:space="preserve">of entities operating</w:t>
      </w:r>
      <w:r>
        <w:t xml:space="preserve"> </w:t>
      </w:r>
      <w:r>
        <w:t xml:space="preserve">Moderately</w:t>
      </w:r>
      <w:r>
        <w:t xml:space="preserve"> </w:t>
      </w:r>
      <w:r>
        <w:t xml:space="preserve">positive</w:t>
      </w:r>
      <w:r>
        <w:t xml:space="preserve"> </w:t>
      </w:r>
      <w:r>
        <w:t xml:space="preserve">impact on the use of</w:t>
      </w:r>
      <w:r>
        <w:t xml:space="preserve"> </w:t>
      </w:r>
      <w:r>
        <w:t xml:space="preserve">the</w:t>
      </w:r>
      <w:r>
        <w:t xml:space="preserve"> </w:t>
      </w:r>
      <w:r>
        <w:t xml:space="preserve">common</w:t>
      </w:r>
      <w:r>
        <w:t xml:space="preserve"> </w:t>
      </w:r>
      <w:r>
        <w:t xml:space="preserve">methodological</w:t>
      </w:r>
      <w:r>
        <w:t xml:space="preserve"> </w:t>
      </w:r>
      <w:r>
        <w:t xml:space="preserve">framework.</w:t>
      </w:r>
      <w:r>
        <w:t xml:space="preserve"> </w:t>
      </w:r>
      <w:r>
        <w:t xml:space="preserve">PO3 will require the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CountEmissions EU</w:t>
      </w:r>
      <w:r>
        <w:t xml:space="preserve"> </w:t>
      </w:r>
      <w:r>
        <w:t xml:space="preserve">framework only from</w:t>
      </w:r>
      <w:r>
        <w:t xml:space="preserve"> </w:t>
      </w:r>
      <w:r>
        <w:t xml:space="preserve">those</w:t>
      </w:r>
      <w:r>
        <w:t xml:space="preserve"> </w:t>
      </w:r>
      <w:r>
        <w:t xml:space="preserve">entities</w:t>
      </w:r>
      <w:r>
        <w:t xml:space="preserve"> </w:t>
      </w:r>
      <w:r>
        <w:t xml:space="preserve">that</w:t>
      </w:r>
      <w:r>
        <w:t xml:space="preserve"> </w:t>
      </w:r>
      <w:r>
        <w:t xml:space="preserve">account and disclose</w:t>
      </w:r>
      <w:r>
        <w:t xml:space="preserve"> </w:t>
      </w:r>
      <w:r>
        <w:t xml:space="preserve">GHG emissions data</w:t>
      </w:r>
      <w:r>
        <w:t xml:space="preserve"> </w:t>
      </w:r>
      <w:r>
        <w:t xml:space="preserve">of transport services,</w:t>
      </w:r>
      <w:r>
        <w:t xml:space="preserve"> </w:t>
      </w:r>
      <w:r>
        <w:t xml:space="preserve">and</w:t>
      </w:r>
      <w:r>
        <w:t xml:space="preserve"> </w:t>
      </w:r>
      <w:r>
        <w:t xml:space="preserve">therefore</w:t>
      </w:r>
      <w:r>
        <w:t xml:space="preserve"> </w:t>
      </w:r>
      <w:r>
        <w:t xml:space="preserve">this</w:t>
      </w:r>
      <w:r>
        <w:t xml:space="preserve"> </w:t>
      </w:r>
      <w:r>
        <w:t xml:space="preserve">option will not reach</w:t>
      </w:r>
      <w:r>
        <w:t xml:space="preserve"> </w:t>
      </w:r>
      <w:r>
        <w:t xml:space="preserve">the same level of</w:t>
      </w:r>
      <w:r>
        <w:t xml:space="preserve"> </w:t>
      </w:r>
      <w:r>
        <w:t xml:space="preserve">uptake in the short and</w:t>
      </w:r>
      <w:r>
        <w:t xml:space="preserve"> </w:t>
      </w:r>
      <w:r>
        <w:t xml:space="preserve">medium term as it</w:t>
      </w:r>
      <w:r>
        <w:t xml:space="preserve"> </w:t>
      </w:r>
      <w:r>
        <w:t xml:space="preserve">would be the case of</w:t>
      </w:r>
      <w:r>
        <w:t xml:space="preserve"> </w:t>
      </w:r>
      <w:r>
        <w:t xml:space="preserve">fully</w:t>
      </w:r>
      <w:r>
        <w:t xml:space="preserve"> </w:t>
      </w:r>
      <w:r>
        <w:t xml:space="preserve">mandatory</w:t>
      </w:r>
      <w:r>
        <w:t xml:space="preserve"> </w:t>
      </w:r>
      <w:r>
        <w:t xml:space="preserve">application.</w:t>
      </w:r>
      <w:r>
        <w:br/>
      </w:r>
      <w:r>
        <w:t xml:space="preserve">What is more, PO3,</w:t>
      </w:r>
      <w:r>
        <w:t xml:space="preserve"> </w:t>
      </w:r>
      <w:r>
        <w:t xml:space="preserve">envisages the use of a</w:t>
      </w:r>
      <w:r>
        <w:t xml:space="preserve"> </w:t>
      </w:r>
      <w:r>
        <w:t xml:space="preserve">more comprehensive</w:t>
      </w:r>
      <w:r>
        <w:t xml:space="preserve"> </w:t>
      </w:r>
      <w:r>
        <w:t xml:space="preserve">methodology based</w:t>
      </w:r>
      <w:r>
        <w:t xml:space="preserve"> </w:t>
      </w:r>
      <w:r>
        <w:t xml:space="preserve">on ISO 14083, but</w:t>
      </w:r>
      <w:r>
        <w:t xml:space="preserve"> </w:t>
      </w:r>
      <w:r>
        <w:t xml:space="preserve">with additional</w:t>
      </w:r>
      <w:r>
        <w:t xml:space="preserve"> </w:t>
      </w:r>
      <w:r>
        <w:t xml:space="preserve">components, leading</w:t>
      </w:r>
      <w:r>
        <w:t xml:space="preserve"> </w:t>
      </w:r>
      <w:r>
        <w:t xml:space="preserve">to increased costs and</w:t>
      </w:r>
      <w:r>
        <w:t xml:space="preserve"> </w:t>
      </w:r>
      <w:r>
        <w:t xml:space="preserve">complexity for</w:t>
      </w:r>
      <w:r>
        <w:t xml:space="preserve"> </w:t>
      </w:r>
      <w:r>
        <w:t xml:space="preserve">businesses. This will</w:t>
      </w:r>
      <w:r>
        <w:t xml:space="preserve"> </w:t>
      </w:r>
      <w:r>
        <w:t xml:space="preserve">limit the uptake of the</w:t>
      </w:r>
      <w:r>
        <w:t xml:space="preserve"> </w:t>
      </w:r>
      <w:r>
        <w:t xml:space="preserve">Very positive impact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increase</w:t>
      </w:r>
      <w:r>
        <w:t xml:space="preserve"> </w:t>
      </w:r>
      <w:r>
        <w:t xml:space="preserve">uptakes of the GHG</w:t>
      </w:r>
      <w:r>
        <w:t xml:space="preserve"> </w:t>
      </w:r>
      <w:r>
        <w:t xml:space="preserve">emissions accounting.</w:t>
      </w:r>
      <w:r>
        <w:t xml:space="preserve"> </w:t>
      </w:r>
      <w:r>
        <w:t xml:space="preserve">PO4 will require the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CountEmissions EU</w:t>
      </w:r>
      <w:r>
        <w:t xml:space="preserve"> </w:t>
      </w:r>
      <w:r>
        <w:t xml:space="preserve">framework only from</w:t>
      </w:r>
      <w:r>
        <w:t xml:space="preserve"> </w:t>
      </w:r>
      <w:r>
        <w:t xml:space="preserve">those</w:t>
      </w:r>
      <w:r>
        <w:t xml:space="preserve"> </w:t>
      </w:r>
      <w:r>
        <w:t xml:space="preserve">entities</w:t>
      </w:r>
      <w:r>
        <w:t xml:space="preserve"> </w:t>
      </w:r>
      <w:r>
        <w:t xml:space="preserve">that</w:t>
      </w:r>
      <w:r>
        <w:t xml:space="preserve"> </w:t>
      </w:r>
      <w:r>
        <w:t xml:space="preserve">account and disclose</w:t>
      </w:r>
      <w:r>
        <w:t xml:space="preserve"> </w:t>
      </w:r>
      <w:r>
        <w:t xml:space="preserve">GHG emissions data</w:t>
      </w:r>
      <w:r>
        <w:t xml:space="preserve"> </w:t>
      </w:r>
      <w:r>
        <w:t xml:space="preserve">of transport services,</w:t>
      </w:r>
      <w:r>
        <w:t xml:space="preserve"> </w:t>
      </w:r>
      <w:r>
        <w:t xml:space="preserve">and</w:t>
      </w:r>
      <w:r>
        <w:t xml:space="preserve"> </w:t>
      </w:r>
      <w:r>
        <w:t xml:space="preserve">therefore</w:t>
      </w:r>
      <w:r>
        <w:t xml:space="preserve"> </w:t>
      </w:r>
      <w:r>
        <w:t xml:space="preserve">this</w:t>
      </w:r>
      <w:r>
        <w:t xml:space="preserve"> </w:t>
      </w:r>
      <w:r>
        <w:t xml:space="preserve">option will not reach</w:t>
      </w:r>
      <w:r>
        <w:t xml:space="preserve"> </w:t>
      </w:r>
      <w:r>
        <w:t xml:space="preserve">the same level of</w:t>
      </w:r>
      <w:r>
        <w:t xml:space="preserve"> </w:t>
      </w:r>
      <w:r>
        <w:t xml:space="preserve">uptake in the short and</w:t>
      </w:r>
      <w:r>
        <w:t xml:space="preserve"> </w:t>
      </w:r>
      <w:r>
        <w:t xml:space="preserve">medium term as it</w:t>
      </w:r>
      <w:r>
        <w:t xml:space="preserve"> </w:t>
      </w:r>
      <w:r>
        <w:t xml:space="preserve">would be the case of</w:t>
      </w:r>
      <w:r>
        <w:t xml:space="preserve"> </w:t>
      </w:r>
      <w:r>
        <w:t xml:space="preserve">fully</w:t>
      </w:r>
      <w:r>
        <w:t xml:space="preserve"> </w:t>
      </w:r>
      <w:r>
        <w:t xml:space="preserve">mandatory</w:t>
      </w:r>
      <w:r>
        <w:t xml:space="preserve"> </w:t>
      </w:r>
      <w:r>
        <w:t xml:space="preserve">application.</w:t>
      </w:r>
      <w:r>
        <w:t xml:space="preserve"> </w:t>
      </w:r>
      <w:r>
        <w:t xml:space="preserve">However, PO4</w:t>
      </w:r>
      <w:r>
        <w:t xml:space="preserve"> </w:t>
      </w:r>
      <w:r>
        <w:t xml:space="preserve">envisages the</w:t>
      </w:r>
      <w:r>
        <w:t xml:space="preserve"> </w:t>
      </w:r>
      <w:r>
        <w:t xml:space="preserve">inclusion of a</w:t>
      </w:r>
      <w:r>
        <w:t xml:space="preserve"> </w:t>
      </w:r>
      <w:r>
        <w:t xml:space="preserve">conducive and well</w:t>
      </w:r>
      <w:r>
        <w:t xml:space="preserve"> </w:t>
      </w:r>
      <w:r>
        <w:t xml:space="preserve">recognised (existing)</w:t>
      </w:r>
      <w:r>
        <w:t xml:space="preserve"> </w:t>
      </w:r>
      <w:r>
        <w:t xml:space="preserve">methodology</w:t>
      </w:r>
      <w:r>
        <w:t xml:space="preserve"> </w:t>
      </w:r>
      <w:r>
        <w:t xml:space="preserve">provided by the ISO</w:t>
      </w:r>
      <w:r>
        <w:t xml:space="preserve"> </w:t>
      </w:r>
      <w:r>
        <w:t xml:space="preserve">standard 14083 that is</w:t>
      </w:r>
      <w:r>
        <w:t xml:space="preserve"> </w:t>
      </w:r>
      <w:r>
        <w:t xml:space="preserve">expected to result in</w:t>
      </w:r>
      <w:r>
        <w:t xml:space="preserve"> </w:t>
      </w:r>
      <w:r>
        <w:t xml:space="preserve">substantially higher</w:t>
      </w:r>
      <w:r>
        <w:t xml:space="preserve"> </w:t>
      </w:r>
      <w:r>
        <w:t xml:space="preserve">voluntary market</w:t>
      </w:r>
      <w:r>
        <w:t xml:space="preserve"> </w:t>
      </w:r>
      <w:r>
        <w:t xml:space="preserve">Moderately</w:t>
      </w:r>
      <w:r>
        <w:t xml:space="preserve"> </w:t>
      </w:r>
      <w:r>
        <w:t xml:space="preserve">positive</w:t>
      </w:r>
      <w:r>
        <w:t xml:space="preserve"> </w:t>
      </w:r>
      <w:r>
        <w:t xml:space="preserve">impact on the use of</w:t>
      </w:r>
      <w:r>
        <w:t xml:space="preserve"> </w:t>
      </w:r>
      <w:r>
        <w:t xml:space="preserve">the</w:t>
      </w:r>
      <w:r>
        <w:t xml:space="preserve"> </w:t>
      </w:r>
      <w:r>
        <w:t xml:space="preserve">common</w:t>
      </w:r>
      <w:r>
        <w:t xml:space="preserve"> </w:t>
      </w:r>
      <w:r>
        <w:t xml:space="preserve">methodological</w:t>
      </w:r>
      <w:r>
        <w:t xml:space="preserve"> </w:t>
      </w:r>
      <w:r>
        <w:t xml:space="preserve">framework, however</w:t>
      </w:r>
      <w:r>
        <w:t xml:space="preserve"> </w:t>
      </w:r>
      <w:r>
        <w:t xml:space="preserve">lower than in PO3.</w:t>
      </w:r>
      <w:r>
        <w:br/>
      </w:r>
      <w:r>
        <w:t xml:space="preserve">Similarly as for PO3</w:t>
      </w:r>
      <w:r>
        <w:t xml:space="preserve"> </w:t>
      </w:r>
      <w:r>
        <w:t xml:space="preserve">and PO4, this option</w:t>
      </w:r>
      <w:r>
        <w:t xml:space="preserve"> </w:t>
      </w:r>
      <w:r>
        <w:t xml:space="preserve">will require the use of</w:t>
      </w:r>
      <w:r>
        <w:t xml:space="preserve"> </w:t>
      </w:r>
      <w:r>
        <w:t xml:space="preserve">the</w:t>
      </w:r>
      <w:r>
        <w:t xml:space="preserve"> </w:t>
      </w:r>
      <w:r>
        <w:t xml:space="preserve">CountEmissions</w:t>
      </w:r>
      <w:r>
        <w:t xml:space="preserve"> </w:t>
      </w:r>
      <w:r>
        <w:t xml:space="preserve">EU framework only</w:t>
      </w:r>
      <w:r>
        <w:t xml:space="preserve"> </w:t>
      </w:r>
      <w:r>
        <w:t xml:space="preserve">from those entities</w:t>
      </w:r>
      <w:r>
        <w:t xml:space="preserve"> </w:t>
      </w:r>
      <w:r>
        <w:t xml:space="preserve">that</w:t>
      </w:r>
      <w:r>
        <w:t xml:space="preserve"> </w:t>
      </w:r>
      <w:r>
        <w:t xml:space="preserve">account</w:t>
      </w:r>
      <w:r>
        <w:t xml:space="preserve"> </w:t>
      </w:r>
      <w:r>
        <w:t xml:space="preserve">and</w:t>
      </w:r>
      <w:r>
        <w:t xml:space="preserve"> </w:t>
      </w:r>
      <w:r>
        <w:t xml:space="preserve">disclose</w:t>
      </w:r>
      <w:r>
        <w:t xml:space="preserve"> </w:t>
      </w:r>
      <w:r>
        <w:t xml:space="preserve">GHG</w:t>
      </w:r>
      <w:r>
        <w:t xml:space="preserve"> </w:t>
      </w:r>
      <w:r>
        <w:t xml:space="preserve">emissions</w:t>
      </w:r>
      <w:r>
        <w:t xml:space="preserve"> </w:t>
      </w:r>
      <w:r>
        <w:t xml:space="preserve">data</w:t>
      </w:r>
      <w:r>
        <w:t xml:space="preserve"> </w:t>
      </w:r>
      <w:r>
        <w:t xml:space="preserve">of</w:t>
      </w:r>
      <w:r>
        <w:t xml:space="preserve"> </w:t>
      </w:r>
      <w:r>
        <w:t xml:space="preserve">transport</w:t>
      </w:r>
      <w:r>
        <w:t xml:space="preserve"> </w:t>
      </w:r>
      <w:r>
        <w:t xml:space="preserve">services.</w:t>
      </w:r>
      <w:r>
        <w:t xml:space="preserve"> </w:t>
      </w:r>
      <w:r>
        <w:t xml:space="preserve">Therefore PO5 will</w:t>
      </w:r>
      <w:r>
        <w:t xml:space="preserve"> </w:t>
      </w:r>
      <w:r>
        <w:t xml:space="preserve">not reach the same</w:t>
      </w:r>
      <w:r>
        <w:t xml:space="preserve"> </w:t>
      </w:r>
      <w:r>
        <w:t xml:space="preserve">level of uptake in the</w:t>
      </w:r>
      <w:r>
        <w:t xml:space="preserve"> </w:t>
      </w:r>
      <w:r>
        <w:t xml:space="preserve">short</w:t>
      </w:r>
      <w:r>
        <w:t xml:space="preserve"> </w:t>
      </w:r>
      <w:r>
        <w:t xml:space="preserve">and</w:t>
      </w:r>
      <w:r>
        <w:t xml:space="preserve"> </w:t>
      </w:r>
      <w:r>
        <w:t xml:space="preserve">medium</w:t>
      </w:r>
      <w:r>
        <w:t xml:space="preserve"> </w:t>
      </w:r>
      <w:r>
        <w:t xml:space="preserve">term as it would be the</w:t>
      </w:r>
      <w:r>
        <w:t xml:space="preserve"> </w:t>
      </w:r>
      <w:r>
        <w:t xml:space="preserve">case</w:t>
      </w:r>
      <w:r>
        <w:t xml:space="preserve"> </w:t>
      </w:r>
      <w:r>
        <w:t xml:space="preserve">of</w:t>
      </w:r>
      <w:r>
        <w:t xml:space="preserve"> </w:t>
      </w:r>
      <w:r>
        <w:t xml:space="preserve">fully</w:t>
      </w:r>
      <w:r>
        <w:t xml:space="preserve"> </w:t>
      </w:r>
      <w:r>
        <w:t xml:space="preserve">mandatory</w:t>
      </w:r>
      <w:r>
        <w:t xml:space="preserve"> </w:t>
      </w:r>
      <w:r>
        <w:t xml:space="preserve">application.</w:t>
      </w:r>
      <w:r>
        <w:t xml:space="preserve"> </w:t>
      </w:r>
      <w:r>
        <w:t xml:space="preserve">What is more, PO5</w:t>
      </w:r>
      <w:r>
        <w:t xml:space="preserve"> </w:t>
      </w:r>
      <w:r>
        <w:t xml:space="preserve">envisages the use of</w:t>
      </w:r>
      <w:r>
        <w:t xml:space="preserve"> </w:t>
      </w:r>
      <w:r>
        <w:t xml:space="preserve">the</w:t>
      </w:r>
      <w:r>
        <w:t xml:space="preserve"> </w:t>
      </w:r>
      <w:r>
        <w:t xml:space="preserve">most</w:t>
      </w:r>
      <w:r>
        <w:t xml:space="preserve"> </w:t>
      </w:r>
      <w:r>
        <w:t xml:space="preserve">comprehensive LCA</w:t>
      </w:r>
      <w:r>
        <w:t xml:space="preserve"> </w:t>
      </w:r>
      <w:r>
        <w:t xml:space="preserve">methodology, still to</w:t>
      </w:r>
      <w:r>
        <w:t xml:space="preserve"> </w:t>
      </w:r>
      <w:r>
        <w:t xml:space="preserve">be developed through</w:t>
      </w:r>
      <w:r>
        <w:t xml:space="preserve"> </w:t>
      </w:r>
      <w:r>
        <w:t xml:space="preserve">Extremely</w:t>
      </w:r>
      <w:r>
        <w:t xml:space="preserve"> </w:t>
      </w:r>
      <w:r>
        <w:t xml:space="preserve">positive</w:t>
      </w:r>
      <w:r>
        <w:t xml:space="preserve"> </w:t>
      </w:r>
      <w:r>
        <w:t xml:space="preserve">impact on the use of the</w:t>
      </w:r>
      <w:r>
        <w:t xml:space="preserve"> </w:t>
      </w:r>
      <w:r>
        <w:t xml:space="preserve">common</w:t>
      </w:r>
      <w:r>
        <w:t xml:space="preserve"> </w:t>
      </w:r>
      <w:r>
        <w:t xml:space="preserve">methodological</w:t>
      </w:r>
      <w:r>
        <w:t xml:space="preserve"> </w:t>
      </w:r>
      <w:r>
        <w:t xml:space="preserve">framework</w:t>
      </w:r>
      <w:r>
        <w:br/>
      </w:r>
      <w:r>
        <w:t xml:space="preserve">As PO1, this option</w:t>
      </w:r>
      <w:r>
        <w:t xml:space="preserve"> </w:t>
      </w:r>
      <w:r>
        <w:t xml:space="preserve">will</w:t>
      </w:r>
      <w:r>
        <w:t xml:space="preserve"> </w:t>
      </w:r>
      <w:r>
        <w:t xml:space="preserve">mandate</w:t>
      </w:r>
      <w:r>
        <w:t xml:space="preserve"> </w:t>
      </w:r>
      <w:r>
        <w:t xml:space="preserve">the</w:t>
      </w:r>
      <w:r>
        <w:t xml:space="preserve"> </w:t>
      </w:r>
      <w:r>
        <w:t xml:space="preserve">uptake</w:t>
      </w:r>
      <w:r>
        <w:t xml:space="preserve"> </w:t>
      </w:r>
      <w:r>
        <w:t xml:space="preserve">of</w:t>
      </w:r>
      <w:r>
        <w:t xml:space="preserve"> </w:t>
      </w:r>
      <w:r>
        <w:t xml:space="preserve">CountEmissions EU to</w:t>
      </w:r>
      <w:r>
        <w:t xml:space="preserve"> </w:t>
      </w:r>
      <w:r>
        <w:t xml:space="preserve">all entities that are</w:t>
      </w:r>
      <w:r>
        <w:t xml:space="preserve"> </w:t>
      </w:r>
      <w:r>
        <w:t xml:space="preserve">involved in transport</w:t>
      </w:r>
      <w:r>
        <w:t xml:space="preserve"> </w:t>
      </w:r>
      <w:r>
        <w:t xml:space="preserve">services activities in</w:t>
      </w:r>
      <w:r>
        <w:t xml:space="preserve"> </w:t>
      </w:r>
      <w:r>
        <w:t xml:space="preserve">EU 27. This uptake</w:t>
      </w:r>
      <w:r>
        <w:t xml:space="preserve"> </w:t>
      </w:r>
      <w:r>
        <w:t xml:space="preserve">will be gradual until</w:t>
      </w:r>
      <w:r>
        <w:t xml:space="preserve"> </w:t>
      </w:r>
      <w:r>
        <w:t xml:space="preserve">2035, where it will</w:t>
      </w:r>
      <w:r>
        <w:t xml:space="preserve"> </w:t>
      </w:r>
      <w:r>
        <w:t xml:space="preserve">apply across the board.</w:t>
      </w:r>
      <w:r>
        <w:t xml:space="preserve"> </w:t>
      </w:r>
      <w:r>
        <w:t xml:space="preserve">PO6 envisages the</w:t>
      </w:r>
      <w:r>
        <w:t xml:space="preserve"> </w:t>
      </w:r>
      <w:r>
        <w:t xml:space="preserve">inclusion of a</w:t>
      </w:r>
      <w:r>
        <w:t xml:space="preserve"> </w:t>
      </w:r>
      <w:r>
        <w:t xml:space="preserve">conducive and well</w:t>
      </w:r>
      <w:r>
        <w:t xml:space="preserve"> </w:t>
      </w:r>
      <w:r>
        <w:t xml:space="preserve">recognised (existing)</w:t>
      </w:r>
      <w:r>
        <w:t xml:space="preserve"> </w:t>
      </w:r>
      <w:r>
        <w:t xml:space="preserve">methodology provided</w:t>
      </w:r>
      <w:r>
        <w:t xml:space="preserve"> </w:t>
      </w:r>
      <w:r>
        <w:t xml:space="preserve">by the ISO standard</w:t>
      </w:r>
      <w:r>
        <w:t xml:space="preserve"> </w:t>
      </w:r>
      <w:r>
        <w:t xml:space="preserve">14083. This process</w:t>
      </w:r>
      <w:r>
        <w:t xml:space="preserve"> </w:t>
      </w:r>
      <w:r>
        <w:t xml:space="preserve">will be supported</w:t>
      </w:r>
      <w:r>
        <w:t xml:space="preserve"> </w:t>
      </w:r>
      <w:r>
        <w:t xml:space="preserve">through the provision</w:t>
      </w:r>
      <w:r>
        <w:t xml:space="preserve"> </w:t>
      </w:r>
      <w:r>
        <w:t xml:space="preserve">of a verification</w:t>
      </w:r>
      <w:r>
        <w:t xml:space="preserve"> </w:t>
      </w:r>
      <w:r>
        <w:t xml:space="preserve">system for processes</w:t>
      </w:r>
      <w:r>
        <w:t xml:space="preserve"> </w:t>
      </w:r>
      <w:r>
        <w:t xml:space="preserve">and data (for large</w:t>
      </w:r>
      <w:r>
        <w:t xml:space="preserve"> </w:t>
      </w:r>
      <w:r>
        <w:t xml:space="preserve">companies), and the</w:t>
      </w:r>
      <w:r>
        <w:t xml:space="preserve"> </w:t>
      </w:r>
      <w:r>
        <w:t xml:space="preserve">certification of</w:t>
      </w:r>
      <w:r>
        <w:t xml:space="preserve"> </w:t>
      </w:r>
      <w:r>
        <w:t xml:space="preserve">emissions calculation</w:t>
      </w:r>
    </w:p>
    <w:p>
      <w:pPr>
        <w:pStyle w:val="BodyText"/>
      </w:pPr>
      <w:r>
        <w:t xml:space="preserve">191</w:t>
      </w:r>
    </w:p>
    <w:p>
      <w:pPr>
        <w:pStyle w:val="BodyText"/>
      </w:pPr>
      <w:r>
        <w:t xml:space="preserve">by the EU.</w:t>
      </w:r>
      <w:r>
        <w:t xml:space="preserve"> </w:t>
      </w:r>
      <w:r>
        <w:t xml:space="preserve">This option (together</w:t>
      </w:r>
      <w:r>
        <w:t xml:space="preserve"> </w:t>
      </w:r>
      <w:r>
        <w:t xml:space="preserve">with PO6) proves to</w:t>
      </w:r>
      <w:r>
        <w:t xml:space="preserve"> </w:t>
      </w:r>
      <w:r>
        <w:t xml:space="preserve">be the most effective</w:t>
      </w:r>
      <w:r>
        <w:t xml:space="preserve"> </w:t>
      </w:r>
      <w:r>
        <w:t xml:space="preserve">option in terms of</w:t>
      </w:r>
      <w:r>
        <w:t xml:space="preserve"> </w:t>
      </w:r>
      <w:r>
        <w:t xml:space="preserve">uptake increase,</w:t>
      </w:r>
      <w:r>
        <w:t xml:space="preserve"> </w:t>
      </w:r>
      <w:r>
        <w:t xml:space="preserve">totalling additional</w:t>
      </w:r>
      <w:r>
        <w:t xml:space="preserve"> </w:t>
      </w:r>
      <w:r>
        <w:t xml:space="preserve">918,003 companies in</w:t>
      </w:r>
      <w:r>
        <w:t xml:space="preserve"> </w:t>
      </w:r>
      <w:r>
        <w:t xml:space="preserve">2030 and 1,703,841</w:t>
      </w:r>
      <w:r>
        <w:t xml:space="preserve"> </w:t>
      </w:r>
      <w:r>
        <w:t xml:space="preserve">companies by 2050</w:t>
      </w:r>
      <w:r>
        <w:t xml:space="preserve"> </w:t>
      </w:r>
      <w:r>
        <w:t xml:space="preserve">relative to the</w:t>
      </w:r>
      <w:r>
        <w:t xml:space="preserve"> </w:t>
      </w:r>
      <w:r>
        <w:t xml:space="preserve">baseline. Out of the</w:t>
      </w:r>
      <w:r>
        <w:t xml:space="preserve"> </w:t>
      </w:r>
      <w:r>
        <w:t xml:space="preserve">total number of</w:t>
      </w:r>
      <w:r>
        <w:t xml:space="preserve"> </w:t>
      </w:r>
      <w:r>
        <w:t xml:space="preserve">companies</w:t>
      </w:r>
      <w:r>
        <w:t xml:space="preserve"> </w:t>
      </w:r>
      <w:r>
        <w:t xml:space="preserve">accounting for GHG</w:t>
      </w:r>
      <w:r>
        <w:t xml:space="preserve"> </w:t>
      </w:r>
      <w:r>
        <w:t xml:space="preserve">emissions of transport</w:t>
      </w:r>
      <w:r>
        <w:t xml:space="preserve"> </w:t>
      </w:r>
      <w:r>
        <w:t xml:space="preserve">services, 915,130</w:t>
      </w:r>
      <w:r>
        <w:t xml:space="preserve"> </w:t>
      </w:r>
      <w:r>
        <w:t xml:space="preserve">SMEs and 2,873</w:t>
      </w:r>
      <w:r>
        <w:t xml:space="preserve"> </w:t>
      </w:r>
      <w:r>
        <w:t xml:space="preserve">large companies by</w:t>
      </w:r>
      <w:r>
        <w:t xml:space="preserve"> </w:t>
      </w:r>
      <w:r>
        <w:t xml:space="preserve">2030, and 1,699,423</w:t>
      </w:r>
      <w:r>
        <w:t xml:space="preserve"> </w:t>
      </w:r>
      <w:r>
        <w:t xml:space="preserve">SMEs and 4,418</w:t>
      </w:r>
      <w:r>
        <w:t xml:space="preserve"> </w:t>
      </w:r>
      <w:r>
        <w:t xml:space="preserve">large companies by</w:t>
      </w:r>
      <w:r>
        <w:t xml:space="preserve"> </w:t>
      </w:r>
      <w:r>
        <w:t xml:space="preserve">2050 relative to the</w:t>
      </w:r>
      <w:r>
        <w:t xml:space="preserve"> </w:t>
      </w:r>
      <w:r>
        <w:t xml:space="preserve">baseline.</w:t>
      </w:r>
      <w:r>
        <w:t xml:space="preserve"> </w:t>
      </w:r>
      <w:r>
        <w:t xml:space="preserve">on this market. PO2</w:t>
      </w:r>
      <w:r>
        <w:t xml:space="preserve"> </w:t>
      </w:r>
      <w:r>
        <w:t xml:space="preserve">will</w:t>
      </w:r>
      <w:r>
        <w:t xml:space="preserve"> </w:t>
      </w:r>
      <w:r>
        <w:t xml:space="preserve">increase</w:t>
      </w:r>
      <w:r>
        <w:t xml:space="preserve"> </w:t>
      </w:r>
      <w:r>
        <w:t xml:space="preserve">the</w:t>
      </w:r>
      <w:r>
        <w:t xml:space="preserve"> </w:t>
      </w:r>
      <w:r>
        <w:t xml:space="preserve">uptake</w:t>
      </w:r>
      <w:r>
        <w:t xml:space="preserve"> </w:t>
      </w:r>
      <w:r>
        <w:t xml:space="preserve">by</w:t>
      </w:r>
      <w:r>
        <w:t xml:space="preserve"> </w:t>
      </w:r>
      <w:r>
        <w:t xml:space="preserve">30,219</w:t>
      </w:r>
      <w:r>
        <w:t xml:space="preserve"> </w:t>
      </w:r>
      <w:r>
        <w:t xml:space="preserve">companies in 2030</w:t>
      </w:r>
      <w:r>
        <w:t xml:space="preserve"> </w:t>
      </w:r>
      <w:r>
        <w:t xml:space="preserve">and 1,388 companies</w:t>
      </w:r>
      <w:r>
        <w:t xml:space="preserve"> </w:t>
      </w:r>
      <w:r>
        <w:t xml:space="preserve">by 2050 relative to the</w:t>
      </w:r>
      <w:r>
        <w:t xml:space="preserve"> </w:t>
      </w:r>
      <w:r>
        <w:t xml:space="preserve">baseline. Out of the</w:t>
      </w:r>
      <w:r>
        <w:t xml:space="preserve"> </w:t>
      </w:r>
      <w:r>
        <w:t xml:space="preserve">total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companies accounting</w:t>
      </w:r>
      <w:r>
        <w:t xml:space="preserve"> </w:t>
      </w:r>
      <w:r>
        <w:t xml:space="preserve">for GHG emissions of</w:t>
      </w:r>
      <w:r>
        <w:t xml:space="preserve"> </w:t>
      </w:r>
      <w:r>
        <w:t xml:space="preserve">transport</w:t>
      </w:r>
      <w:r>
        <w:t xml:space="preserve"> </w:t>
      </w:r>
      <w:r>
        <w:t xml:space="preserve">services,</w:t>
      </w:r>
      <w:r>
        <w:t xml:space="preserve"> </w:t>
      </w:r>
      <w:r>
        <w:t xml:space="preserve">29,586 SMEs and 633</w:t>
      </w:r>
      <w:r>
        <w:t xml:space="preserve"> </w:t>
      </w:r>
      <w:r>
        <w:t xml:space="preserve">large companies by</w:t>
      </w:r>
      <w:r>
        <w:t xml:space="preserve"> </w:t>
      </w:r>
      <w:r>
        <w:t xml:space="preserve">2030, 1,361 SMEs</w:t>
      </w:r>
      <w:r>
        <w:t xml:space="preserve"> </w:t>
      </w:r>
      <w:r>
        <w:t xml:space="preserve">and</w:t>
      </w:r>
      <w:r>
        <w:t xml:space="preserve"> </w:t>
      </w:r>
      <w:r>
        <w:t xml:space="preserve">27</w:t>
      </w:r>
      <w:r>
        <w:t xml:space="preserve"> </w:t>
      </w:r>
      <w:r>
        <w:t xml:space="preserve">large</w:t>
      </w:r>
      <w:r>
        <w:t xml:space="preserve"> </w:t>
      </w:r>
      <w:r>
        <w:t xml:space="preserve">companies by 2050</w:t>
      </w:r>
      <w:r>
        <w:t xml:space="preserve"> </w:t>
      </w:r>
      <w:r>
        <w:t xml:space="preserve">relative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baseline.</w:t>
      </w:r>
    </w:p>
    <w:p>
      <w:pPr>
        <w:pStyle w:val="BodyText"/>
      </w:pPr>
      <w:r>
        <w:t xml:space="preserve">framework, despite</w:t>
      </w:r>
      <w:r>
        <w:t xml:space="preserve"> </w:t>
      </w:r>
      <w:r>
        <w:t xml:space="preserve">the increased level of</w:t>
      </w:r>
      <w:r>
        <w:t xml:space="preserve"> </w:t>
      </w:r>
      <w:r>
        <w:t xml:space="preserve">trust in GHG</w:t>
      </w:r>
      <w:r>
        <w:t xml:space="preserve"> </w:t>
      </w:r>
      <w:r>
        <w:t xml:space="preserve">emissions figures,</w:t>
      </w:r>
      <w:r>
        <w:t xml:space="preserve"> </w:t>
      </w:r>
      <w:r>
        <w:t xml:space="preserve">ensured through the</w:t>
      </w:r>
      <w:r>
        <w:t xml:space="preserve"> </w:t>
      </w:r>
      <w:r>
        <w:t xml:space="preserve">provision of a</w:t>
      </w:r>
      <w:r>
        <w:t xml:space="preserve"> </w:t>
      </w:r>
      <w:r>
        <w:t xml:space="preserve">verification system</w:t>
      </w:r>
      <w:r>
        <w:t xml:space="preserve"> </w:t>
      </w:r>
      <w:r>
        <w:t xml:space="preserve">for processes and data</w:t>
      </w:r>
      <w:r>
        <w:t xml:space="preserve"> </w:t>
      </w:r>
      <w:r>
        <w:t xml:space="preserve">(for large companies),</w:t>
      </w:r>
      <w:r>
        <w:t xml:space="preserve"> </w:t>
      </w:r>
      <w:r>
        <w:t xml:space="preserve">and the certification</w:t>
      </w:r>
      <w:r>
        <w:t xml:space="preserve"> </w:t>
      </w:r>
      <w:r>
        <w:t xml:space="preserve">of emissions</w:t>
      </w:r>
      <w:r>
        <w:t xml:space="preserve"> </w:t>
      </w:r>
      <w:r>
        <w:t xml:space="preserve">calculation tools</w:t>
      </w:r>
      <w:r>
        <w:t xml:space="preserve"> </w:t>
      </w:r>
      <w:r>
        <w:t xml:space="preserve">developed by the</w:t>
      </w:r>
      <w:r>
        <w:t xml:space="preserve"> </w:t>
      </w:r>
      <w:r>
        <w:t xml:space="preserve">market. PO3 will</w:t>
      </w:r>
      <w:r>
        <w:t xml:space="preserve"> </w:t>
      </w:r>
      <w:r>
        <w:t xml:space="preserve">increase the uptake</w:t>
      </w:r>
      <w:r>
        <w:t xml:space="preserve"> </w:t>
      </w:r>
      <w:r>
        <w:t xml:space="preserve">by 26,745 companies</w:t>
      </w:r>
      <w:r>
        <w:t xml:space="preserve"> </w:t>
      </w:r>
      <w:r>
        <w:t xml:space="preserve">in 2030 and 3,640</w:t>
      </w:r>
      <w:r>
        <w:t xml:space="preserve"> </w:t>
      </w:r>
      <w:r>
        <w:t xml:space="preserve">companies by 2050</w:t>
      </w:r>
      <w:r>
        <w:t xml:space="preserve"> </w:t>
      </w:r>
      <w:r>
        <w:t xml:space="preserve">relative to the</w:t>
      </w:r>
      <w:r>
        <w:t xml:space="preserve"> </w:t>
      </w:r>
      <w:r>
        <w:t xml:space="preserve">baseline. Out of the</w:t>
      </w:r>
      <w:r>
        <w:t xml:space="preserve"> </w:t>
      </w:r>
      <w:r>
        <w:t xml:space="preserve">total number of</w:t>
      </w:r>
      <w:r>
        <w:t xml:space="preserve"> </w:t>
      </w:r>
      <w:r>
        <w:t xml:space="preserve">companies</w:t>
      </w:r>
      <w:r>
        <w:t xml:space="preserve"> </w:t>
      </w:r>
      <w:r>
        <w:t xml:space="preserve">accounting for GHG</w:t>
      </w:r>
      <w:r>
        <w:t xml:space="preserve"> </w:t>
      </w:r>
      <w:r>
        <w:t xml:space="preserve">emissions of transport</w:t>
      </w:r>
      <w:r>
        <w:t xml:space="preserve"> </w:t>
      </w:r>
      <w:r>
        <w:t xml:space="preserve">services, 25,611</w:t>
      </w:r>
      <w:r>
        <w:t xml:space="preserve"> </w:t>
      </w:r>
      <w:r>
        <w:t xml:space="preserve">SMEs and 1,134</w:t>
      </w:r>
      <w:r>
        <w:t xml:space="preserve"> </w:t>
      </w:r>
      <w:r>
        <w:t xml:space="preserve">large companies by</w:t>
      </w:r>
      <w:r>
        <w:t xml:space="preserve"> </w:t>
      </w:r>
      <w:r>
        <w:t xml:space="preserve">2030, 3,139 SMEs</w:t>
      </w:r>
      <w:r>
        <w:t xml:space="preserve"> </w:t>
      </w:r>
      <w:r>
        <w:t xml:space="preserve">and 501 large</w:t>
      </w:r>
      <w:r>
        <w:t xml:space="preserve"> </w:t>
      </w:r>
      <w:r>
        <w:t xml:space="preserve">companies by 2050</w:t>
      </w:r>
      <w:r>
        <w:t xml:space="preserve"> </w:t>
      </w:r>
      <w:r>
        <w:t xml:space="preserve">relative to the</w:t>
      </w:r>
      <w:r>
        <w:t xml:space="preserve"> </w:t>
      </w:r>
      <w:r>
        <w:t xml:space="preserve">baseline.</w:t>
      </w:r>
      <w:r>
        <w:t xml:space="preserve"> </w:t>
      </w:r>
      <w:r>
        <w:t xml:space="preserve">uptake. This process</w:t>
      </w:r>
      <w:r>
        <w:t xml:space="preserve"> </w:t>
      </w:r>
      <w:r>
        <w:t xml:space="preserve">will be supported</w:t>
      </w:r>
      <w:r>
        <w:t xml:space="preserve"> </w:t>
      </w:r>
      <w:r>
        <w:t xml:space="preserve">through the provision</w:t>
      </w:r>
      <w:r>
        <w:t xml:space="preserve"> </w:t>
      </w:r>
      <w:r>
        <w:t xml:space="preserve">of a verification</w:t>
      </w:r>
      <w:r>
        <w:t xml:space="preserve"> </w:t>
      </w:r>
      <w:r>
        <w:t xml:space="preserve">system for processes</w:t>
      </w:r>
      <w:r>
        <w:t xml:space="preserve"> </w:t>
      </w:r>
      <w:r>
        <w:t xml:space="preserve">and data (for large</w:t>
      </w:r>
      <w:r>
        <w:t xml:space="preserve"> </w:t>
      </w:r>
      <w:r>
        <w:t xml:space="preserve">companies), and the</w:t>
      </w:r>
      <w:r>
        <w:t xml:space="preserve"> </w:t>
      </w:r>
      <w:r>
        <w:t xml:space="preserve">certification of</w:t>
      </w:r>
      <w:r>
        <w:t xml:space="preserve"> </w:t>
      </w:r>
      <w:r>
        <w:t xml:space="preserve">emissions calculation</w:t>
      </w:r>
      <w:r>
        <w:t xml:space="preserve"> </w:t>
      </w:r>
      <w:r>
        <w:t xml:space="preserve">tools to be developed</w:t>
      </w:r>
      <w:r>
        <w:t xml:space="preserve"> </w:t>
      </w:r>
      <w:r>
        <w:t xml:space="preserve">by the market. PO4</w:t>
      </w:r>
      <w:r>
        <w:t xml:space="preserve"> </w:t>
      </w:r>
      <w:r>
        <w:t xml:space="preserve">will increase the</w:t>
      </w:r>
      <w:r>
        <w:t xml:space="preserve"> </w:t>
      </w:r>
      <w:r>
        <w:t xml:space="preserve">uptake by 39,358</w:t>
      </w:r>
      <w:r>
        <w:t xml:space="preserve"> </w:t>
      </w:r>
      <w:r>
        <w:t xml:space="preserve">companies in 2030</w:t>
      </w:r>
      <w:r>
        <w:t xml:space="preserve"> </w:t>
      </w:r>
      <w:r>
        <w:t xml:space="preserve">and 9,139 companies</w:t>
      </w:r>
      <w:r>
        <w:t xml:space="preserve"> </w:t>
      </w:r>
      <w:r>
        <w:t xml:space="preserve">by 2050 relative to</w:t>
      </w:r>
      <w:r>
        <w:t xml:space="preserve"> </w:t>
      </w:r>
      <w:r>
        <w:t xml:space="preserve">the baseline. Out of</w:t>
      </w:r>
      <w:r>
        <w:t xml:space="preserve"> </w:t>
      </w:r>
      <w:r>
        <w:t xml:space="preserve">the total number of</w:t>
      </w:r>
      <w:r>
        <w:t xml:space="preserve"> </w:t>
      </w:r>
      <w:r>
        <w:t xml:space="preserve">companies</w:t>
      </w:r>
      <w:r>
        <w:t xml:space="preserve"> </w:t>
      </w:r>
      <w:r>
        <w:t xml:space="preserve">accounting for GHG</w:t>
      </w:r>
      <w:r>
        <w:t xml:space="preserve"> </w:t>
      </w:r>
      <w:r>
        <w:t xml:space="preserve">emissions of transport</w:t>
      </w:r>
      <w:r>
        <w:t xml:space="preserve"> </w:t>
      </w:r>
      <w:r>
        <w:t xml:space="preserve">services, 38,224</w:t>
      </w:r>
      <w:r>
        <w:t xml:space="preserve"> </w:t>
      </w:r>
      <w:r>
        <w:t xml:space="preserve">SMEs and 1,134</w:t>
      </w:r>
      <w:r>
        <w:t xml:space="preserve"> </w:t>
      </w:r>
      <w:r>
        <w:t xml:space="preserve">large companies by</w:t>
      </w:r>
      <w:r>
        <w:t xml:space="preserve"> </w:t>
      </w:r>
      <w:r>
        <w:t xml:space="preserve">2030, 8,638 SMEs</w:t>
      </w:r>
      <w:r>
        <w:t xml:space="preserve"> </w:t>
      </w:r>
      <w:r>
        <w:t xml:space="preserve">and 501 large</w:t>
      </w:r>
      <w:r>
        <w:t xml:space="preserve"> </w:t>
      </w:r>
      <w:r>
        <w:t xml:space="preserve">companies by 2050</w:t>
      </w:r>
      <w:r>
        <w:t xml:space="preserve"> </w:t>
      </w:r>
      <w:r>
        <w:t xml:space="preserve">relative to the</w:t>
      </w:r>
      <w:r>
        <w:t xml:space="preserve"> </w:t>
      </w:r>
      <w:r>
        <w:t xml:space="preserve">baseline.</w:t>
      </w:r>
      <w:r>
        <w:t xml:space="preserve"> </w:t>
      </w:r>
      <w:r>
        <w:t xml:space="preserve">specific</w:t>
      </w:r>
      <w:r>
        <w:t xml:space="preserve"> </w:t>
      </w:r>
      <w:r>
        <w:t xml:space="preserve">PEFCRs.</w:t>
      </w:r>
      <w:r>
        <w:t xml:space="preserve"> </w:t>
      </w:r>
      <w:r>
        <w:t xml:space="preserve">This choice will lead</w:t>
      </w:r>
      <w:r>
        <w:t xml:space="preserve"> </w:t>
      </w:r>
      <w:r>
        <w:t xml:space="preserve">to</w:t>
      </w:r>
      <w:r>
        <w:t xml:space="preserve"> </w:t>
      </w:r>
      <w:r>
        <w:t xml:space="preserve">increased</w:t>
      </w:r>
      <w:r>
        <w:t xml:space="preserve"> </w:t>
      </w:r>
      <w:r>
        <w:t xml:space="preserve">implementation costs</w:t>
      </w:r>
      <w:r>
        <w:t xml:space="preserve"> </w:t>
      </w:r>
      <w:r>
        <w:t xml:space="preserve">and</w:t>
      </w:r>
      <w:r>
        <w:t xml:space="preserve"> </w:t>
      </w:r>
      <w:r>
        <w:t xml:space="preserve">additional</w:t>
      </w:r>
      <w:r>
        <w:t xml:space="preserve"> </w:t>
      </w:r>
      <w:r>
        <w:t xml:space="preserve">complexity</w:t>
      </w:r>
      <w:r>
        <w:t xml:space="preserve"> </w:t>
      </w:r>
      <w:r>
        <w:t xml:space="preserve">for</w:t>
      </w:r>
      <w:r>
        <w:t xml:space="preserve"> </w:t>
      </w:r>
      <w:r>
        <w:t xml:space="preserve">businesses,</w:t>
      </w:r>
      <w:r>
        <w:t xml:space="preserve"> </w:t>
      </w:r>
      <w:r>
        <w:t xml:space="preserve">thus</w:t>
      </w:r>
      <w:r>
        <w:t xml:space="preserve"> </w:t>
      </w:r>
      <w:r>
        <w:t xml:space="preserve">limiting the uptake of</w:t>
      </w:r>
      <w:r>
        <w:t xml:space="preserve"> </w:t>
      </w:r>
      <w:r>
        <w:t xml:space="preserve">the framework over</w:t>
      </w:r>
      <w:r>
        <w:t xml:space="preserve"> </w:t>
      </w:r>
      <w:r>
        <w:t xml:space="preserve">time.</w:t>
      </w:r>
      <w:r>
        <w:br/>
      </w:r>
      <w:r>
        <w:t xml:space="preserve">The above factors</w:t>
      </w:r>
      <w:r>
        <w:t xml:space="preserve"> </w:t>
      </w:r>
      <w:r>
        <w:t xml:space="preserve">will result in slightly</w:t>
      </w:r>
      <w:r>
        <w:t xml:space="preserve"> </w:t>
      </w:r>
      <w:r>
        <w:t xml:space="preserve">positive score for this</w:t>
      </w:r>
      <w:r>
        <w:t xml:space="preserve"> </w:t>
      </w:r>
      <w:r>
        <w:t xml:space="preserve">criterion, despite the</w:t>
      </w:r>
      <w:r>
        <w:t xml:space="preserve"> </w:t>
      </w:r>
      <w:r>
        <w:t xml:space="preserve">increased level of</w:t>
      </w:r>
      <w:r>
        <w:t xml:space="preserve"> </w:t>
      </w:r>
      <w:r>
        <w:t xml:space="preserve">trust in GHG</w:t>
      </w:r>
      <w:r>
        <w:t xml:space="preserve"> </w:t>
      </w:r>
      <w:r>
        <w:t xml:space="preserve">emissions figures,</w:t>
      </w:r>
      <w:r>
        <w:t xml:space="preserve"> </w:t>
      </w:r>
      <w:r>
        <w:t xml:space="preserve">ensured through the</w:t>
      </w:r>
      <w:r>
        <w:t xml:space="preserve"> </w:t>
      </w:r>
      <w:r>
        <w:t xml:space="preserve">provision of a</w:t>
      </w:r>
      <w:r>
        <w:t xml:space="preserve"> </w:t>
      </w:r>
      <w:r>
        <w:t xml:space="preserve">verification system</w:t>
      </w:r>
      <w:r>
        <w:t xml:space="preserve"> </w:t>
      </w:r>
      <w:r>
        <w:t xml:space="preserve">for processes and data</w:t>
      </w:r>
      <w:r>
        <w:t xml:space="preserve"> </w:t>
      </w:r>
      <w:r>
        <w:t xml:space="preserve">(for large companies),</w:t>
      </w:r>
      <w:r>
        <w:t xml:space="preserve"> </w:t>
      </w:r>
      <w:r>
        <w:t xml:space="preserve">and the certification</w:t>
      </w:r>
      <w:r>
        <w:t xml:space="preserve"> </w:t>
      </w:r>
      <w:r>
        <w:t xml:space="preserve">of emissions</w:t>
      </w:r>
      <w:r>
        <w:t xml:space="preserve"> </w:t>
      </w:r>
      <w:r>
        <w:t xml:space="preserve">calculation tools</w:t>
      </w:r>
      <w:r>
        <w:t xml:space="preserve"> </w:t>
      </w:r>
      <w:r>
        <w:t xml:space="preserve">developed by the</w:t>
      </w:r>
      <w:r>
        <w:t xml:space="preserve"> </w:t>
      </w:r>
      <w:r>
        <w:t xml:space="preserve">market. PO5 will</w:t>
      </w:r>
      <w:r>
        <w:t xml:space="preserve"> </w:t>
      </w:r>
      <w:r>
        <w:t xml:space="preserve">increase the uptake</w:t>
      </w:r>
      <w:r>
        <w:t xml:space="preserve"> </w:t>
      </w:r>
      <w:r>
        <w:t xml:space="preserve">by 25,102 companies</w:t>
      </w:r>
      <w:r>
        <w:t xml:space="preserve"> </w:t>
      </w:r>
      <w:r>
        <w:t xml:space="preserve">in 2030 and 2,783</w:t>
      </w:r>
      <w:r>
        <w:t xml:space="preserve"> </w:t>
      </w:r>
      <w:r>
        <w:t xml:space="preserve">companies by 2050</w:t>
      </w:r>
      <w:r>
        <w:t xml:space="preserve"> </w:t>
      </w:r>
      <w:r>
        <w:t xml:space="preserve">relative to the</w:t>
      </w:r>
      <w:r>
        <w:t xml:space="preserve"> </w:t>
      </w:r>
      <w:r>
        <w:t xml:space="preserve">tools to be developed</w:t>
      </w:r>
      <w:r>
        <w:t xml:space="preserve"> </w:t>
      </w:r>
      <w:r>
        <w:t xml:space="preserve">by the market. This</w:t>
      </w:r>
      <w:r>
        <w:t xml:space="preserve"> </w:t>
      </w:r>
      <w:r>
        <w:t xml:space="preserve">option (as PO1) proves</w:t>
      </w:r>
      <w:r>
        <w:t xml:space="preserve"> </w:t>
      </w:r>
      <w:r>
        <w:t xml:space="preserve">to be the most</w:t>
      </w:r>
      <w:r>
        <w:t xml:space="preserve"> </w:t>
      </w:r>
      <w:r>
        <w:t xml:space="preserve">effective option in</w:t>
      </w:r>
      <w:r>
        <w:t xml:space="preserve"> </w:t>
      </w:r>
      <w:r>
        <w:t xml:space="preserve">terms of the uptake</w:t>
      </w:r>
      <w:r>
        <w:t xml:space="preserve"> </w:t>
      </w:r>
      <w:r>
        <w:t xml:space="preserve">increase, totalling</w:t>
      </w:r>
      <w:r>
        <w:t xml:space="preserve"> </w:t>
      </w:r>
      <w:r>
        <w:t xml:space="preserve">additional 918,003</w:t>
      </w:r>
      <w:r>
        <w:t xml:space="preserve"> </w:t>
      </w:r>
      <w:r>
        <w:t xml:space="preserve">companies in 2030 and</w:t>
      </w:r>
      <w:r>
        <w:t xml:space="preserve"> </w:t>
      </w:r>
      <w:r>
        <w:t xml:space="preserve">1,703,841 companies</w:t>
      </w:r>
      <w:r>
        <w:t xml:space="preserve"> </w:t>
      </w:r>
      <w:r>
        <w:t xml:space="preserve">by 2050 relative to the</w:t>
      </w:r>
      <w:r>
        <w:t xml:space="preserve"> </w:t>
      </w:r>
      <w:r>
        <w:t xml:space="preserve">baseline. Out of the</w:t>
      </w:r>
      <w:r>
        <w:t xml:space="preserve"> </w:t>
      </w:r>
      <w:r>
        <w:t xml:space="preserve">total number of</w:t>
      </w:r>
      <w:r>
        <w:t xml:space="preserve"> </w:t>
      </w:r>
      <w:r>
        <w:t xml:space="preserve">companies accounting</w:t>
      </w:r>
      <w:r>
        <w:t xml:space="preserve"> </w:t>
      </w:r>
      <w:r>
        <w:t xml:space="preserve">for GHG emissions of</w:t>
      </w:r>
      <w:r>
        <w:t xml:space="preserve"> </w:t>
      </w:r>
      <w:r>
        <w:t xml:space="preserve">transport services,</w:t>
      </w:r>
      <w:r>
        <w:t xml:space="preserve"> </w:t>
      </w:r>
      <w:r>
        <w:t xml:space="preserve">915,130 SMEs and</w:t>
      </w:r>
      <w:r>
        <w:t xml:space="preserve"> </w:t>
      </w:r>
      <w:r>
        <w:t xml:space="preserve">2,873 large companies</w:t>
      </w:r>
      <w:r>
        <w:t xml:space="preserve"> </w:t>
      </w:r>
      <w:r>
        <w:t xml:space="preserve">by 2030, and</w:t>
      </w:r>
      <w:r>
        <w:t xml:space="preserve"> </w:t>
      </w:r>
      <w:r>
        <w:t xml:space="preserve">1,699,423 SMEs and</w:t>
      </w:r>
      <w:r>
        <w:t xml:space="preserve"> </w:t>
      </w:r>
      <w:r>
        <w:t xml:space="preserve">4,418 large companies</w:t>
      </w:r>
      <w:r>
        <w:t xml:space="preserve"> </w:t>
      </w:r>
      <w:r>
        <w:t xml:space="preserve">by 2050 relative to the</w:t>
      </w:r>
      <w:r>
        <w:t xml:space="preserve"> </w:t>
      </w:r>
      <w:r>
        <w:t xml:space="preserve">baseline.</w:t>
      </w:r>
    </w:p>
    <w:p>
      <w:pPr>
        <w:pStyle w:val="BodyText"/>
      </w:pPr>
      <w:r>
        <w:t xml:space="preserve">192</w:t>
      </w:r>
    </w:p>
    <w:p>
      <w:pPr>
        <w:pStyle w:val="BodyText"/>
      </w:pPr>
      <w:r>
        <w:t xml:space="preserve">baseline. Out of the</w:t>
      </w:r>
      <w:r>
        <w:t xml:space="preserve"> </w:t>
      </w:r>
      <w:r>
        <w:t xml:space="preserve">total number of</w:t>
      </w:r>
      <w:r>
        <w:t xml:space="preserve"> </w:t>
      </w:r>
      <w:r>
        <w:t xml:space="preserve">companies</w:t>
      </w:r>
      <w:r>
        <w:t xml:space="preserve"> </w:t>
      </w:r>
      <w:r>
        <w:t xml:space="preserve">accounting for GHG</w:t>
      </w:r>
      <w:r>
        <w:t xml:space="preserve"> </w:t>
      </w:r>
      <w:r>
        <w:t xml:space="preserve">emissions of transport</w:t>
      </w:r>
      <w:r>
        <w:t xml:space="preserve"> </w:t>
      </w:r>
      <w:r>
        <w:t xml:space="preserve">services, 24,006</w:t>
      </w:r>
      <w:r>
        <w:t xml:space="preserve"> </w:t>
      </w:r>
      <w:r>
        <w:t xml:space="preserve">SMEs and 1,096</w:t>
      </w:r>
      <w:r>
        <w:t xml:space="preserve"> </w:t>
      </w:r>
      <w:r>
        <w:t xml:space="preserve">large companies by</w:t>
      </w:r>
      <w:r>
        <w:t xml:space="preserve"> </w:t>
      </w:r>
      <w:r>
        <w:t xml:space="preserve">2030, 2,320 SMEs</w:t>
      </w:r>
      <w:r>
        <w:t xml:space="preserve"> </w:t>
      </w:r>
      <w:r>
        <w:t xml:space="preserve">and 463 large</w:t>
      </w:r>
      <w:r>
        <w:t xml:space="preserve"> </w:t>
      </w:r>
      <w:r>
        <w:t xml:space="preserve">companies by 2050</w:t>
      </w:r>
      <w:r>
        <w:t xml:space="preserve"> </w:t>
      </w:r>
      <w:r>
        <w:t xml:space="preserve">relative to the</w:t>
      </w:r>
      <w:r>
        <w:t xml:space="preserve"> </w:t>
      </w:r>
      <w:r>
        <w:t xml:space="preserve">baseline.</w:t>
      </w:r>
      <w:r>
        <w:t xml:space="preserve"> </w:t>
      </w:r>
      <w:r>
        <w:t xml:space="preserve">Expected decrease in</w:t>
      </w:r>
      <w:r>
        <w:t xml:space="preserve"> </w:t>
      </w:r>
      <w:r>
        <w:t xml:space="preserve">the</w:t>
      </w:r>
      <w:r>
        <w:t xml:space="preserve"> </w:t>
      </w:r>
      <w:r>
        <w:t xml:space="preserve">well-to-wheel</w:t>
      </w:r>
      <w:r>
        <w:t xml:space="preserve"> </w:t>
      </w:r>
      <w:r>
        <w:t xml:space="preserve">GHG emissions</w:t>
      </w:r>
      <w:r>
        <w:t xml:space="preserve"> </w:t>
      </w:r>
      <w:r>
        <w:t xml:space="preserve">Extremely</w:t>
      </w:r>
      <w:r>
        <w:t xml:space="preserve"> </w:t>
      </w:r>
      <w:r>
        <w:t xml:space="preserve">positive</w:t>
      </w:r>
      <w:r>
        <w:t xml:space="preserve"> </w:t>
      </w:r>
      <w:r>
        <w:t xml:space="preserve">impact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expected decrease in</w:t>
      </w:r>
      <w:r>
        <w:t xml:space="preserve"> </w:t>
      </w:r>
      <w:r>
        <w:t xml:space="preserve">the</w:t>
      </w:r>
      <w:r>
        <w:t xml:space="preserve"> </w:t>
      </w:r>
      <w:r>
        <w:t xml:space="preserve">well-to-wheel</w:t>
      </w:r>
      <w:r>
        <w:t xml:space="preserve"> </w:t>
      </w:r>
      <w:r>
        <w:t xml:space="preserve">GHG emissions</w:t>
      </w:r>
      <w:r>
        <w:t xml:space="preserve"> </w:t>
      </w:r>
      <w:r>
        <w:t xml:space="preserve">The</w:t>
      </w:r>
      <w:r>
        <w:t xml:space="preserve"> </w:t>
      </w:r>
      <w:r>
        <w:t xml:space="preserve">reduction</w:t>
      </w:r>
      <w:r>
        <w:t xml:space="preserve"> </w:t>
      </w:r>
      <w:r>
        <w:t xml:space="preserve">in</w:t>
      </w:r>
      <w:r>
        <w:t xml:space="preserve"> </w:t>
      </w:r>
      <w:r>
        <w:t xml:space="preserve">WTW</w:t>
      </w:r>
      <w:r>
        <w:t xml:space="preserve"> </w:t>
      </w:r>
      <w:r>
        <w:t xml:space="preserve">GHG</w:t>
      </w:r>
      <w:r>
        <w:t xml:space="preserve"> </w:t>
      </w:r>
      <w:r>
        <w:t xml:space="preserve">emissions is strongly</w:t>
      </w:r>
      <w:r>
        <w:t xml:space="preserve"> </w:t>
      </w:r>
      <w:r>
        <w:t xml:space="preserve">correlated with the</w:t>
      </w:r>
      <w:r>
        <w:t xml:space="preserve"> </w:t>
      </w:r>
      <w:r>
        <w:t xml:space="preserve">level of uptake of the</w:t>
      </w:r>
      <w:r>
        <w:t xml:space="preserve"> </w:t>
      </w:r>
      <w:r>
        <w:t xml:space="preserve">framework addressed</w:t>
      </w:r>
      <w:r>
        <w:t xml:space="preserve"> </w:t>
      </w:r>
      <w:r>
        <w:t xml:space="preserve">above.</w:t>
      </w:r>
      <w:r>
        <w:br/>
      </w:r>
      <w:r>
        <w:t xml:space="preserve">PO1 will effectively</w:t>
      </w:r>
      <w:r>
        <w:t xml:space="preserve"> </w:t>
      </w:r>
      <w:r>
        <w:t xml:space="preserve">reduce 22.1 million</w:t>
      </w:r>
      <w:r>
        <w:t xml:space="preserve"> </w:t>
      </w:r>
      <w:r>
        <w:t xml:space="preserve">tonnes</w:t>
      </w:r>
      <w:r>
        <w:t xml:space="preserve"> </w:t>
      </w:r>
      <w:r>
        <w:t xml:space="preserve">of</w:t>
      </w:r>
      <w:r>
        <w:t xml:space="preserve"> </w:t>
      </w:r>
      <w:r>
        <w:t xml:space="preserve">GHG</w:t>
      </w:r>
      <w:r>
        <w:t xml:space="preserve"> </w:t>
      </w:r>
      <w:r>
        <w:t xml:space="preserve">cumulative emission</w:t>
      </w:r>
      <w:r>
        <w:t xml:space="preserve"> </w:t>
      </w:r>
      <w:r>
        <w:t xml:space="preserve">over the period 2025-</w:t>
      </w:r>
      <w:r>
        <w:t xml:space="preserve"> </w:t>
      </w:r>
      <w:r>
        <w:t xml:space="preserve">Positive impact on the</w:t>
      </w:r>
      <w:r>
        <w:t xml:space="preserve"> </w:t>
      </w:r>
      <w:r>
        <w:t xml:space="preserve">expected decrease in</w:t>
      </w:r>
      <w:r>
        <w:t xml:space="preserve"> </w:t>
      </w:r>
      <w:r>
        <w:t xml:space="preserve">the</w:t>
      </w:r>
      <w:r>
        <w:t xml:space="preserve"> </w:t>
      </w:r>
      <w:r>
        <w:t xml:space="preserve">well-to-wheel</w:t>
      </w:r>
      <w:r>
        <w:t xml:space="preserve"> </w:t>
      </w:r>
      <w:r>
        <w:t xml:space="preserve">GHG emissions</w:t>
      </w:r>
      <w:r>
        <w:t xml:space="preserve"> </w:t>
      </w:r>
      <w:r>
        <w:t xml:space="preserve">The</w:t>
      </w:r>
      <w:r>
        <w:t xml:space="preserve"> </w:t>
      </w:r>
      <w:r>
        <w:t xml:space="preserve">reduction</w:t>
      </w:r>
      <w:r>
        <w:t xml:space="preserve"> </w:t>
      </w:r>
      <w:r>
        <w:t xml:space="preserve">in</w:t>
      </w:r>
      <w:r>
        <w:t xml:space="preserve"> </w:t>
      </w:r>
      <w:r>
        <w:t xml:space="preserve">WTW</w:t>
      </w:r>
      <w:r>
        <w:t xml:space="preserve"> </w:t>
      </w:r>
      <w:r>
        <w:t xml:space="preserve">GHG</w:t>
      </w:r>
      <w:r>
        <w:t xml:space="preserve"> </w:t>
      </w:r>
      <w:r>
        <w:t xml:space="preserve">emissions is strongly</w:t>
      </w:r>
      <w:r>
        <w:t xml:space="preserve"> </w:t>
      </w:r>
      <w:r>
        <w:t xml:space="preserve">correlated with the</w:t>
      </w:r>
      <w:r>
        <w:t xml:space="preserve"> </w:t>
      </w:r>
      <w:r>
        <w:t xml:space="preserve">level of uptake of the</w:t>
      </w:r>
      <w:r>
        <w:t xml:space="preserve"> </w:t>
      </w:r>
      <w:r>
        <w:t xml:space="preserve">framework addressed</w:t>
      </w:r>
      <w:r>
        <w:t xml:space="preserve"> </w:t>
      </w:r>
      <w:r>
        <w:t xml:space="preserve">above.</w:t>
      </w:r>
      <w:r>
        <w:t xml:space="preserve"> </w:t>
      </w:r>
      <w:r>
        <w:t xml:space="preserve">PO2 will effectively</w:t>
      </w:r>
      <w:r>
        <w:t xml:space="preserve"> </w:t>
      </w:r>
      <w:r>
        <w:t xml:space="preserve">reduce 3.7 million</w:t>
      </w:r>
      <w:r>
        <w:t xml:space="preserve"> </w:t>
      </w:r>
      <w:r>
        <w:t xml:space="preserve">tonnes</w:t>
      </w:r>
      <w:r>
        <w:t xml:space="preserve"> </w:t>
      </w:r>
      <w:r>
        <w:t xml:space="preserve">of</w:t>
      </w:r>
      <w:r>
        <w:t xml:space="preserve"> </w:t>
      </w:r>
      <w:r>
        <w:t xml:space="preserve">GHG</w:t>
      </w:r>
      <w:r>
        <w:t xml:space="preserve"> </w:t>
      </w:r>
      <w:r>
        <w:t xml:space="preserve">cumulative emission</w:t>
      </w:r>
      <w:r>
        <w:t xml:space="preserve"> </w:t>
      </w:r>
      <w:r>
        <w:t xml:space="preserve">over the period 2025-</w:t>
      </w:r>
      <w:r>
        <w:t xml:space="preserve"> </w:t>
      </w:r>
      <w:r>
        <w:t xml:space="preserve">Moderately</w:t>
      </w:r>
      <w:r>
        <w:t xml:space="preserve"> </w:t>
      </w:r>
      <w:r>
        <w:t xml:space="preserve">positive</w:t>
      </w:r>
      <w:r>
        <w:t xml:space="preserve"> </w:t>
      </w:r>
      <w:r>
        <w:t xml:space="preserve">impact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expected decrease in</w:t>
      </w:r>
      <w:r>
        <w:t xml:space="preserve"> </w:t>
      </w:r>
      <w:r>
        <w:t xml:space="preserve">the</w:t>
      </w:r>
      <w:r>
        <w:t xml:space="preserve"> </w:t>
      </w:r>
      <w:r>
        <w:t xml:space="preserve">well-to-wheel</w:t>
      </w:r>
      <w:r>
        <w:t xml:space="preserve"> </w:t>
      </w:r>
      <w:r>
        <w:t xml:space="preserve">GHG emissions</w:t>
      </w:r>
      <w:r>
        <w:t xml:space="preserve"> </w:t>
      </w:r>
      <w:r>
        <w:t xml:space="preserve">The</w:t>
      </w:r>
      <w:r>
        <w:t xml:space="preserve"> </w:t>
      </w:r>
      <w:r>
        <w:t xml:space="preserve">reduction</w:t>
      </w:r>
      <w:r>
        <w:t xml:space="preserve"> </w:t>
      </w:r>
      <w:r>
        <w:t xml:space="preserve">in</w:t>
      </w:r>
      <w:r>
        <w:t xml:space="preserve"> </w:t>
      </w:r>
      <w:r>
        <w:t xml:space="preserve">WTW</w:t>
      </w:r>
      <w:r>
        <w:t xml:space="preserve"> </w:t>
      </w:r>
      <w:r>
        <w:t xml:space="preserve">GHG</w:t>
      </w:r>
      <w:r>
        <w:t xml:space="preserve"> </w:t>
      </w:r>
      <w:r>
        <w:t xml:space="preserve">emissions is strongly</w:t>
      </w:r>
      <w:r>
        <w:t xml:space="preserve"> </w:t>
      </w:r>
      <w:r>
        <w:t xml:space="preserve">correlated with the</w:t>
      </w:r>
      <w:r>
        <w:t xml:space="preserve"> </w:t>
      </w:r>
      <w:r>
        <w:t xml:space="preserve">level of uptake of the</w:t>
      </w:r>
      <w:r>
        <w:t xml:space="preserve"> </w:t>
      </w:r>
      <w:r>
        <w:t xml:space="preserve">framework addressed</w:t>
      </w:r>
      <w:r>
        <w:t xml:space="preserve"> </w:t>
      </w:r>
      <w:r>
        <w:t xml:space="preserve">above.</w:t>
      </w:r>
      <w:r>
        <w:t xml:space="preserve"> </w:t>
      </w:r>
      <w:r>
        <w:t xml:space="preserve">PO3 will effectively</w:t>
      </w:r>
      <w:r>
        <w:t xml:space="preserve"> </w:t>
      </w:r>
      <w:r>
        <w:t xml:space="preserve">reduce 1.7 million</w:t>
      </w:r>
      <w:r>
        <w:t xml:space="preserve"> </w:t>
      </w:r>
      <w:r>
        <w:t xml:space="preserve">tonnes</w:t>
      </w:r>
      <w:r>
        <w:t xml:space="preserve"> </w:t>
      </w:r>
      <w:r>
        <w:t xml:space="preserve">of</w:t>
      </w:r>
      <w:r>
        <w:t xml:space="preserve"> </w:t>
      </w:r>
      <w:r>
        <w:t xml:space="preserve">GHG</w:t>
      </w:r>
      <w:r>
        <w:t xml:space="preserve"> </w:t>
      </w:r>
      <w:r>
        <w:t xml:space="preserve">cumulative emission</w:t>
      </w:r>
      <w:r>
        <w:t xml:space="preserve"> </w:t>
      </w:r>
      <w:r>
        <w:t xml:space="preserve">over the period 2025-</w:t>
      </w:r>
      <w:r>
        <w:t xml:space="preserve"> </w:t>
      </w:r>
      <w:r>
        <w:t xml:space="preserve">Very positive impact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expected</w:t>
      </w:r>
      <w:r>
        <w:t xml:space="preserve"> </w:t>
      </w:r>
      <w:r>
        <w:t xml:space="preserve">decrease in the well-</w:t>
      </w:r>
      <w:r>
        <w:t xml:space="preserve"> </w:t>
      </w:r>
      <w:r>
        <w:t xml:space="preserve">to-wheel</w:t>
      </w:r>
      <w:r>
        <w:t xml:space="preserve"> </w:t>
      </w:r>
      <w:r>
        <w:t xml:space="preserve">GHG</w:t>
      </w:r>
      <w:r>
        <w:t xml:space="preserve"> </w:t>
      </w:r>
      <w:r>
        <w:t xml:space="preserve">emissions</w:t>
      </w:r>
      <w:r>
        <w:t xml:space="preserve"> </w:t>
      </w:r>
      <w:r>
        <w:t xml:space="preserve">The</w:t>
      </w:r>
      <w:r>
        <w:t xml:space="preserve"> </w:t>
      </w:r>
      <w:r>
        <w:t xml:space="preserve">reduction</w:t>
      </w:r>
      <w:r>
        <w:t xml:space="preserve"> </w:t>
      </w:r>
      <w:r>
        <w:t xml:space="preserve">in</w:t>
      </w:r>
      <w:r>
        <w:t xml:space="preserve"> </w:t>
      </w:r>
      <w:r>
        <w:t xml:space="preserve">WTW</w:t>
      </w:r>
      <w:r>
        <w:t xml:space="preserve"> </w:t>
      </w:r>
      <w:r>
        <w:t xml:space="preserve">GHG</w:t>
      </w:r>
      <w:r>
        <w:t xml:space="preserve"> </w:t>
      </w:r>
      <w:r>
        <w:t xml:space="preserve">emissions is strongly</w:t>
      </w:r>
      <w:r>
        <w:t xml:space="preserve"> </w:t>
      </w:r>
      <w:r>
        <w:t xml:space="preserve">correlated with the</w:t>
      </w:r>
      <w:r>
        <w:t xml:space="preserve"> </w:t>
      </w:r>
      <w:r>
        <w:t xml:space="preserve">level of uptake of the</w:t>
      </w:r>
      <w:r>
        <w:t xml:space="preserve"> </w:t>
      </w:r>
      <w:r>
        <w:t xml:space="preserve">framework addressed</w:t>
      </w:r>
      <w:r>
        <w:t xml:space="preserve"> </w:t>
      </w:r>
      <w:r>
        <w:t xml:space="preserve">above.</w:t>
      </w:r>
      <w:r>
        <w:t xml:space="preserve"> </w:t>
      </w:r>
      <w:r>
        <w:t xml:space="preserve">PO4 will effectively</w:t>
      </w:r>
      <w:r>
        <w:t xml:space="preserve"> </w:t>
      </w:r>
      <w:r>
        <w:t xml:space="preserve">reduce 5.6 million</w:t>
      </w:r>
      <w:r>
        <w:t xml:space="preserve"> </w:t>
      </w:r>
      <w:r>
        <w:t xml:space="preserve">tonnes</w:t>
      </w:r>
      <w:r>
        <w:t xml:space="preserve"> </w:t>
      </w:r>
      <w:r>
        <w:t xml:space="preserve">of</w:t>
      </w:r>
      <w:r>
        <w:t xml:space="preserve"> </w:t>
      </w:r>
      <w:r>
        <w:t xml:space="preserve">GHG</w:t>
      </w:r>
      <w:r>
        <w:t xml:space="preserve"> </w:t>
      </w:r>
      <w:r>
        <w:t xml:space="preserve">cumulative emission</w:t>
      </w:r>
      <w:r>
        <w:t xml:space="preserve"> </w:t>
      </w:r>
      <w:r>
        <w:t xml:space="preserve">over the period 2025-</w:t>
      </w:r>
      <w:r>
        <w:t xml:space="preserve"> </w:t>
      </w:r>
      <w:r>
        <w:t xml:space="preserve">Moderately</w:t>
      </w:r>
      <w:r>
        <w:t xml:space="preserve"> </w:t>
      </w:r>
      <w:r>
        <w:t xml:space="preserve">positive</w:t>
      </w:r>
      <w:r>
        <w:t xml:space="preserve"> </w:t>
      </w:r>
      <w:r>
        <w:t xml:space="preserve">impact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expected decrease in</w:t>
      </w:r>
      <w:r>
        <w:t xml:space="preserve"> </w:t>
      </w:r>
      <w:r>
        <w:t xml:space="preserve">the</w:t>
      </w:r>
      <w:r>
        <w:t xml:space="preserve"> </w:t>
      </w:r>
      <w:r>
        <w:t xml:space="preserve">well-to-wheel</w:t>
      </w:r>
      <w:r>
        <w:t xml:space="preserve"> </w:t>
      </w:r>
      <w:r>
        <w:t xml:space="preserve">GHG emissions</w:t>
      </w:r>
      <w:r>
        <w:t xml:space="preserve"> </w:t>
      </w:r>
      <w:r>
        <w:t xml:space="preserve">The</w:t>
      </w:r>
      <w:r>
        <w:t xml:space="preserve"> </w:t>
      </w:r>
      <w:r>
        <w:t xml:space="preserve">reduction</w:t>
      </w:r>
      <w:r>
        <w:t xml:space="preserve"> </w:t>
      </w:r>
      <w:r>
        <w:t xml:space="preserve">in</w:t>
      </w:r>
      <w:r>
        <w:t xml:space="preserve"> </w:t>
      </w:r>
      <w:r>
        <w:t xml:space="preserve">WTW</w:t>
      </w:r>
      <w:r>
        <w:t xml:space="preserve"> </w:t>
      </w:r>
      <w:r>
        <w:t xml:space="preserve">GHG</w:t>
      </w:r>
      <w:r>
        <w:t xml:space="preserve"> </w:t>
      </w:r>
      <w:r>
        <w:t xml:space="preserve">emissions is strongly</w:t>
      </w:r>
      <w:r>
        <w:t xml:space="preserve"> </w:t>
      </w:r>
      <w:r>
        <w:t xml:space="preserve">correlated with the</w:t>
      </w:r>
      <w:r>
        <w:t xml:space="preserve"> </w:t>
      </w:r>
      <w:r>
        <w:t xml:space="preserve">level of uptake of the</w:t>
      </w:r>
      <w:r>
        <w:t xml:space="preserve"> </w:t>
      </w:r>
      <w:r>
        <w:t xml:space="preserve">framework addressed</w:t>
      </w:r>
      <w:r>
        <w:t xml:space="preserve"> </w:t>
      </w:r>
      <w:r>
        <w:t xml:space="preserve">above.</w:t>
      </w:r>
      <w:r>
        <w:t xml:space="preserve"> </w:t>
      </w:r>
      <w:r>
        <w:t xml:space="preserve">PO5 will effectively</w:t>
      </w:r>
      <w:r>
        <w:t xml:space="preserve"> </w:t>
      </w:r>
      <w:r>
        <w:t xml:space="preserve">reduce 1.5 million</w:t>
      </w:r>
      <w:r>
        <w:t xml:space="preserve"> </w:t>
      </w:r>
      <w:r>
        <w:t xml:space="preserve">tonnes</w:t>
      </w:r>
      <w:r>
        <w:t xml:space="preserve"> </w:t>
      </w:r>
      <w:r>
        <w:t xml:space="preserve">of</w:t>
      </w:r>
      <w:r>
        <w:t xml:space="preserve"> </w:t>
      </w:r>
      <w:r>
        <w:t xml:space="preserve">GHG</w:t>
      </w:r>
      <w:r>
        <w:t xml:space="preserve"> </w:t>
      </w:r>
      <w:r>
        <w:t xml:space="preserve">cumulative emission</w:t>
      </w:r>
      <w:r>
        <w:t xml:space="preserve"> </w:t>
      </w:r>
      <w:r>
        <w:t xml:space="preserve">over the period 2025-</w:t>
      </w:r>
      <w:r>
        <w:t xml:space="preserve"> </w:t>
      </w:r>
      <w:r>
        <w:t xml:space="preserve">Extremely</w:t>
      </w:r>
      <w:r>
        <w:t xml:space="preserve"> </w:t>
      </w:r>
      <w:r>
        <w:t xml:space="preserve">positive</w:t>
      </w:r>
      <w:r>
        <w:t xml:space="preserve"> </w:t>
      </w:r>
      <w:r>
        <w:t xml:space="preserve">impact on the expected</w:t>
      </w:r>
      <w:r>
        <w:t xml:space="preserve"> </w:t>
      </w:r>
      <w:r>
        <w:t xml:space="preserve">decrease in the well-to-</w:t>
      </w:r>
      <w:r>
        <w:t xml:space="preserve"> </w:t>
      </w:r>
      <w:r>
        <w:t xml:space="preserve">wheel GHG emissions</w:t>
      </w:r>
      <w:r>
        <w:t xml:space="preserve"> </w:t>
      </w:r>
      <w:r>
        <w:t xml:space="preserve">The reduction in WTW</w:t>
      </w:r>
      <w:r>
        <w:t xml:space="preserve"> </w:t>
      </w:r>
      <w:r>
        <w:t xml:space="preserve">GHG</w:t>
      </w:r>
      <w:r>
        <w:t xml:space="preserve"> </w:t>
      </w:r>
      <w:r>
        <w:t xml:space="preserve">emissions</w:t>
      </w:r>
      <w:r>
        <w:t xml:space="preserve"> </w:t>
      </w:r>
      <w:r>
        <w:t xml:space="preserve">is</w:t>
      </w:r>
      <w:r>
        <w:t xml:space="preserve"> </w:t>
      </w:r>
      <w:r>
        <w:t xml:space="preserve">strongly</w:t>
      </w:r>
      <w:r>
        <w:t xml:space="preserve"> </w:t>
      </w:r>
      <w:r>
        <w:t xml:space="preserve">correlated</w:t>
      </w:r>
      <w:r>
        <w:t xml:space="preserve"> </w:t>
      </w:r>
      <w:r>
        <w:t xml:space="preserve">with the level of uptake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framework</w:t>
      </w:r>
      <w:r>
        <w:t xml:space="preserve"> </w:t>
      </w:r>
      <w:r>
        <w:t xml:space="preserve">addressed above.</w:t>
      </w:r>
      <w:r>
        <w:br/>
      </w:r>
      <w:r>
        <w:t xml:space="preserve">PO1 will effectively</w:t>
      </w:r>
      <w:r>
        <w:t xml:space="preserve"> </w:t>
      </w:r>
      <w:r>
        <w:t xml:space="preserve">reduce 22.1 million</w:t>
      </w:r>
      <w:r>
        <w:t xml:space="preserve"> </w:t>
      </w:r>
      <w:r>
        <w:t xml:space="preserve">tonnes</w:t>
      </w:r>
      <w:r>
        <w:t xml:space="preserve"> </w:t>
      </w:r>
      <w:r>
        <w:t xml:space="preserve">of</w:t>
      </w:r>
      <w:r>
        <w:t xml:space="preserve"> </w:t>
      </w:r>
      <w:r>
        <w:t xml:space="preserve">GHG</w:t>
      </w:r>
      <w:r>
        <w:t xml:space="preserve"> </w:t>
      </w:r>
      <w:r>
        <w:t xml:space="preserve">cumulative</w:t>
      </w:r>
      <w:r>
        <w:t xml:space="preserve"> </w:t>
      </w:r>
      <w:r>
        <w:t xml:space="preserve">emission</w:t>
      </w:r>
      <w:r>
        <w:t xml:space="preserve"> </w:t>
      </w:r>
      <w:r>
        <w:t xml:space="preserve">over the period 2025-</w:t>
      </w:r>
      <w:r>
        <w:t xml:space="preserve"> </w:t>
      </w:r>
      <w:r>
        <w:t xml:space="preserve">2050.</w:t>
      </w:r>
    </w:p>
    <w:p>
      <w:pPr>
        <w:pStyle w:val="BodyText"/>
      </w:pPr>
      <w:r>
        <w:t xml:space="preserve">193</w:t>
      </w:r>
    </w:p>
    <w:p>
      <w:pPr>
        <w:pStyle w:val="FirstParagraph"/>
      </w:pPr>
      <w:r>
        <w:t xml:space="preserve">194</w:t>
      </w:r>
    </w:p>
    <w:p>
      <w:pPr>
        <w:pStyle w:val="BodyText"/>
      </w:pPr>
      <w:r>
        <w:t xml:space="preserve">ANNEX 10: SME TEST</w:t>
      </w:r>
      <w:r>
        <w:t xml:space="preserve"> </w:t>
      </w:r>
      <w:r>
        <w:t xml:space="preserve">Step (1) of the SME test (identification of affected businesses).</w:t>
      </w:r>
      <w:r>
        <w:t xml:space="preserve"> </w:t>
      </w:r>
      <w:r>
        <w:t xml:space="preserve">Directly affected. SMEs in the scope of CountEmissions EU: all SMEs</w:t>
      </w:r>
      <w:r>
        <w:t xml:space="preserve"> </w:t>
      </w:r>
      <w:r>
        <w:t xml:space="preserve">in the NACE sub-sectors involved in transport services activities</w:t>
      </w:r>
      <w:r>
        <w:t xml:space="preserve"> </w:t>
      </w:r>
      <w:r>
        <w:t xml:space="preserve">(1,767,702 companies according to Eurostat285) would fall under the</w:t>
      </w:r>
      <w:r>
        <w:t xml:space="preserve"> </w:t>
      </w:r>
      <w:r>
        <w:t xml:space="preserve">broad scope of CountEmissions EU. It should be noted that SMEs</w:t>
      </w:r>
      <w:r>
        <w:t xml:space="preserve"> </w:t>
      </w:r>
      <w:r>
        <w:t xml:space="preserve">represent 99.7% of the companies in the sub-sectors involved in</w:t>
      </w:r>
      <w:r>
        <w:t xml:space="preserve"> </w:t>
      </w:r>
      <w:r>
        <w:t xml:space="preserve">transport services activities. Based on desk research and information</w:t>
      </w:r>
      <w:r>
        <w:t xml:space="preserve"> </w:t>
      </w:r>
      <w:r>
        <w:t xml:space="preserve">obtained through the stakeholders’ consultation, it is estimated that the</w:t>
      </w:r>
      <w:r>
        <w:t xml:space="preserve"> </w:t>
      </w:r>
      <w:r>
        <w:t xml:space="preserve">number of SMEs quantifying their emissions at the transport service</w:t>
      </w:r>
      <w:r>
        <w:t xml:space="preserve"> </w:t>
      </w:r>
      <w:r>
        <w:t xml:space="preserve">level was around 21,342 in 2020. These SMEs will be directly affected.</w:t>
      </w:r>
      <w:r>
        <w:br/>
      </w:r>
      <w:r>
        <w:t xml:space="preserve">Indirectly affected. The number of SMEs indirectly affected will be</w:t>
      </w:r>
      <w:r>
        <w:t xml:space="preserve"> </w:t>
      </w:r>
      <w:r>
        <w:t xml:space="preserve">larger, since they often are part of complex transport chains (especially</w:t>
      </w:r>
      <w:r>
        <w:t xml:space="preserve"> </w:t>
      </w:r>
      <w:r>
        <w:t xml:space="preserve">in freight transport). Emissions measurement and calculation is</w:t>
      </w:r>
      <w:r>
        <w:t xml:space="preserve"> </w:t>
      </w:r>
      <w:r>
        <w:t xml:space="preserve">increasingly required to meet expectations of investors or address</w:t>
      </w:r>
      <w:r>
        <w:t xml:space="preserve"> </w:t>
      </w:r>
      <w:r>
        <w:t xml:space="preserve">specific regulatory requirements. To some extent, large companies will</w:t>
      </w:r>
      <w:r>
        <w:t xml:space="preserve"> </w:t>
      </w:r>
      <w:r>
        <w:t xml:space="preserve">therefore require the provision of service level emissions information</w:t>
      </w:r>
      <w:r>
        <w:t xml:space="preserve"> </w:t>
      </w:r>
      <w:r>
        <w:t xml:space="preserve">from SMEs, thus incentivising the uptake of the CountEmissions EU</w:t>
      </w:r>
      <w:r>
        <w:t xml:space="preserve"> </w:t>
      </w:r>
      <w:r>
        <w:t xml:space="preserve">framework. This assumption has been reflected in the projections made</w:t>
      </w:r>
      <w:r>
        <w:t xml:space="preserve"> </w:t>
      </w:r>
      <w:r>
        <w:t xml:space="preserve">for the three applicability measures: PM13 (Mandatory application),</w:t>
      </w:r>
      <w:r>
        <w:t xml:space="preserve"> </w:t>
      </w:r>
      <w:r>
        <w:t xml:space="preserve">PM14 (Binding opt-in application) and PM15 (Voluntary opt-in</w:t>
      </w:r>
      <w:r>
        <w:t xml:space="preserve"> </w:t>
      </w:r>
      <w:r>
        <w:t xml:space="preserve">application).</w:t>
      </w:r>
      <w:r>
        <w:t xml:space="preserve"> </w:t>
      </w:r>
      <w:r>
        <w:t xml:space="preserve">See sections 6.1.7</w:t>
      </w:r>
      <w:r>
        <w:t xml:space="preserve"> </w:t>
      </w:r>
      <w:r>
        <w:t xml:space="preserve">(Impacts on small</w:t>
      </w:r>
      <w:r>
        <w:t xml:space="preserve"> </w:t>
      </w:r>
      <w:r>
        <w:t xml:space="preserve">and medium</w:t>
      </w:r>
      <w:r>
        <w:t xml:space="preserve"> </w:t>
      </w:r>
      <w:r>
        <w:t xml:space="preserve">enterprises) and</w:t>
      </w:r>
      <w:r>
        <w:t xml:space="preserve"> </w:t>
      </w:r>
      <w:r>
        <w:t xml:space="preserve">Annex 4</w:t>
      </w:r>
      <w:r>
        <w:t xml:space="preserve"> </w:t>
      </w:r>
      <w:r>
        <w:t xml:space="preserve">Step (2) of the SME test (consultation of SME stakeholders).</w:t>
      </w:r>
      <w:r>
        <w:t xml:space="preserve"> </w:t>
      </w:r>
      <w:r>
        <w:t xml:space="preserve">Targeted questions were included in the consultation activities to sick</w:t>
      </w:r>
      <w:r>
        <w:t xml:space="preserve"> </w:t>
      </w:r>
      <w:r>
        <w:t xml:space="preserve">the SMEs’ views. The methodological approach consisted in gathering</w:t>
      </w:r>
      <w:r>
        <w:t xml:space="preserve"> </w:t>
      </w:r>
      <w:r>
        <w:t xml:space="preserve">specific data on SMEs and micro-enterprises from stakeholders</w:t>
      </w:r>
      <w:r>
        <w:t xml:space="preserve"> </w:t>
      </w:r>
      <w:r>
        <w:t xml:space="preserve">(through the OPC, targeted survey and targeted interviews), notably in</w:t>
      </w:r>
      <w:r>
        <w:t xml:space="preserve"> </w:t>
      </w:r>
      <w:r>
        <w:t xml:space="preserve">relation to the costs for the GHG accounting, but also potential benefits.</w:t>
      </w:r>
      <w:r>
        <w:t xml:space="preserve"> </w:t>
      </w:r>
      <w:r>
        <w:t xml:space="preserve">SMEs were requested to identify themselves, thus allowing a specific</w:t>
      </w:r>
      <w:r>
        <w:t xml:space="preserve"> </w:t>
      </w:r>
      <w:r>
        <w:t xml:space="preserve">analysis of SME responses and a comparison with other respondents.</w:t>
      </w:r>
      <w:r>
        <w:br/>
      </w:r>
      <w:r>
        <w:t xml:space="preserve">Targeted consultations. The survey questionnaires and interviews</w:t>
      </w:r>
      <w:r>
        <w:t xml:space="preserve"> </w:t>
      </w:r>
      <w:r>
        <w:t xml:space="preserve">included tailored questions for SMEs. 10 out of 39 respondents to the</w:t>
      </w:r>
      <w:r>
        <w:t xml:space="preserve"> </w:t>
      </w:r>
      <w:r>
        <w:t xml:space="preserve">survey questionnaire in the targeted stakeholders’ consultation</w:t>
      </w:r>
      <w:r>
        <w:t xml:space="preserve"> </w:t>
      </w:r>
      <w:r>
        <w:t xml:space="preserve">identified themselves as SMEs. In addition, 4 of the 39 stakeholder</w:t>
      </w:r>
      <w:r>
        <w:t xml:space="preserve"> </w:t>
      </w:r>
      <w:r>
        <w:t xml:space="preserve">interviews were conducted with representatives of SMEs. These</w:t>
      </w:r>
      <w:r>
        <w:t xml:space="preserve"> </w:t>
      </w:r>
      <w:r>
        <w:t xml:space="preserve">activities were complemented with specific case studies on the</w:t>
      </w:r>
      <w:r>
        <w:t xml:space="preserve"> </w:t>
      </w:r>
      <w:r>
        <w:t xml:space="preserve">experiences of SMEs with emissions accounting at service level.</w:t>
      </w:r>
      <w:r>
        <w:t xml:space="preserve"> </w:t>
      </w:r>
      <w:r>
        <w:t xml:space="preserve">Open Public Consultation. The OPC was organised from to 25 July to</w:t>
      </w:r>
      <w:r>
        <w:t xml:space="preserve"> </w:t>
      </w:r>
      <w:r>
        <w:t xml:space="preserve">See Annex 2</w:t>
      </w:r>
      <w:r>
        <w:t xml:space="preserve"> </w:t>
      </w:r>
      <w:r>
        <w:t xml:space="preserve">(Stakeholder</w:t>
      </w:r>
      <w:r>
        <w:t xml:space="preserve"> </w:t>
      </w:r>
      <w:r>
        <w:t xml:space="preserve">consultation)</w:t>
      </w:r>
    </w:p>
    <w:p>
      <w:pPr>
        <w:pStyle w:val="BodyText"/>
      </w:pPr>
      <w:r>
        <w:t xml:space="preserve">285 https://nacev2.com/en/activity/transportation-and-storage</w:t>
      </w:r>
    </w:p>
    <w:p>
      <w:pPr>
        <w:pStyle w:val="BodyText"/>
      </w:pPr>
      <w:r>
        <w:t xml:space="preserve">195</w:t>
      </w:r>
    </w:p>
    <w:p>
      <w:pPr>
        <w:pStyle w:val="BodyText"/>
      </w:pPr>
      <w:r>
        <w:t xml:space="preserve">20 October 2022. The public consultation was extended by 3 days in</w:t>
      </w:r>
      <w:r>
        <w:t xml:space="preserve"> </w:t>
      </w:r>
      <w:r>
        <w:t xml:space="preserve">order to give stakeholders more time to reply. 100 out of 161</w:t>
      </w:r>
      <w:r>
        <w:t xml:space="preserve"> </w:t>
      </w:r>
      <w:r>
        <w:t xml:space="preserve">respondents to the OPC identified themselves as SMEs (those that</w:t>
      </w:r>
      <w:r>
        <w:t xml:space="preserve"> </w:t>
      </w:r>
      <w:r>
        <w:t xml:space="preserve">replied to the specific question).</w:t>
      </w:r>
      <w:r>
        <w:t xml:space="preserve"> </w:t>
      </w:r>
      <w:r>
        <w:t xml:space="preserve">Step (3) of the SME test (assessment of the impacts on SMEs).</w:t>
      </w:r>
      <w:r>
        <w:t xml:space="preserve"> </w:t>
      </w:r>
      <w:r>
        <w:t xml:space="preserve">Direct impacts on SMEs. Total costs for SMEs are estimated to be the</w:t>
      </w:r>
      <w:r>
        <w:t xml:space="preserve"> </w:t>
      </w:r>
      <w:r>
        <w:t xml:space="preserve">highest in PO1 (EUR 0.5 billion in 2025, EUR 3.9 billion in 2030 and</w:t>
      </w:r>
      <w:r>
        <w:t xml:space="preserve"> </w:t>
      </w:r>
      <w:r>
        <w:t xml:space="preserve">EUR 6.3 billion in 2050), followed by PO6 (EUR 344.7 million in</w:t>
      </w:r>
      <w:r>
        <w:t xml:space="preserve"> </w:t>
      </w:r>
      <w:r>
        <w:t xml:space="preserve">2025, EUR 2.8 billion in 2030 and EUR 4.5 billion in 2050), then at</w:t>
      </w:r>
      <w:r>
        <w:t xml:space="preserve"> </w:t>
      </w:r>
      <w:r>
        <w:t xml:space="preserve">large distance by PO5 (EUR 101.2 million in 2025, EUR 156.4 million</w:t>
      </w:r>
      <w:r>
        <w:t xml:space="preserve"> </w:t>
      </w:r>
      <w:r>
        <w:t xml:space="preserve">in 2030 and EUR 37.4 million in 2050), PO4 (EUR 68 million in 2025,</w:t>
      </w:r>
      <w:r>
        <w:t xml:space="preserve"> </w:t>
      </w:r>
      <w:r>
        <w:t xml:space="preserve">EUR 115.4 million in 2030 and EUR 19.9 million in 2050), PO3 (EUR</w:t>
      </w:r>
      <w:r>
        <w:t xml:space="preserve"> </w:t>
      </w:r>
      <w:r>
        <w:t xml:space="preserve">57.9 million in 2025, EUR 103.8 million in 2030 and EUR 11.9 million</w:t>
      </w:r>
      <w:r>
        <w:t xml:space="preserve"> </w:t>
      </w:r>
      <w:r>
        <w:t xml:space="preserve">in 2050) and PO2 (EUR 50.9 million in 2025, EUR 93.9 million in</w:t>
      </w:r>
      <w:r>
        <w:t xml:space="preserve"> </w:t>
      </w:r>
      <w:r>
        <w:t xml:space="preserve">2030 and EUR 4.7 million in 2050). The breakdown of the total costs</w:t>
      </w:r>
      <w:r>
        <w:t xml:space="preserve"> </w:t>
      </w:r>
      <w:r>
        <w:t xml:space="preserve">between adjustment and administrative costs and by measure is</w:t>
      </w:r>
      <w:r>
        <w:t xml:space="preserve"> </w:t>
      </w:r>
      <w:r>
        <w:t xml:space="preserve">provided in Table 105 and Table 106. As already explained, while</w:t>
      </w:r>
      <w:r>
        <w:t xml:space="preserve"> </w:t>
      </w:r>
      <w:r>
        <w:t xml:space="preserve">under PO2, PO3, PO4 and PO5 the application of CountEmissions EU</w:t>
      </w:r>
      <w:r>
        <w:t xml:space="preserve"> </w:t>
      </w:r>
      <w:r>
        <w:t xml:space="preserve">in the transport sector is voluntary (i.e. voluntary opt-in with a label in</w:t>
      </w:r>
      <w:r>
        <w:t xml:space="preserve"> </w:t>
      </w:r>
      <w:r>
        <w:t xml:space="preserve">PO2 and binding opt-in in PO3, PO4 and PO5), PO1 and PO6 foresee</w:t>
      </w:r>
      <w:r>
        <w:t xml:space="preserve"> </w:t>
      </w:r>
      <w:r>
        <w:t xml:space="preserve">the mandatory application and thus leads to significantly higher costs.</w:t>
      </w:r>
      <w:r>
        <w:t xml:space="preserve"> </w:t>
      </w:r>
      <w:r>
        <w:t xml:space="preserve">At the same time, PO2 results in the lowest total costs among the</w:t>
      </w:r>
      <w:r>
        <w:t xml:space="preserve"> </w:t>
      </w:r>
      <w:r>
        <w:t xml:space="preserve">options, due to the voluntary opt-in foreseen by this option.</w:t>
      </w:r>
      <w:r>
        <w:br/>
      </w:r>
      <w:r>
        <w:t xml:space="preserve">Expressed as present value over 2025-2050, the total costs for SMEs in</w:t>
      </w:r>
      <w:r>
        <w:t xml:space="preserve"> </w:t>
      </w:r>
      <w:r>
        <w:t xml:space="preserve">PO1 are estimated at EUR 93.8 billion relative to the baseline, for PO6</w:t>
      </w:r>
      <w:r>
        <w:t xml:space="preserve"> </w:t>
      </w:r>
      <w:r>
        <w:t xml:space="preserve">EUR 67.2 billion relative to the baseline, for PO5 at EUR 1.8 billion,</w:t>
      </w:r>
      <w:r>
        <w:t xml:space="preserve"> </w:t>
      </w:r>
      <w:r>
        <w:t xml:space="preserve">for PO4 at 1.4 billion, for PO3 at EUR 1.1 billion and for PO2 at 1</w:t>
      </w:r>
      <w:r>
        <w:t xml:space="preserve"> </w:t>
      </w:r>
      <w:r>
        <w:t xml:space="preserve">billion. The highest share of the total costs for each policy option relates</w:t>
      </w:r>
      <w:r>
        <w:t xml:space="preserve"> </w:t>
      </w:r>
      <w:r>
        <w:t xml:space="preserve">to adjustment costs for setting of a common reference methodology at</w:t>
      </w:r>
      <w:r>
        <w:t xml:space="preserve"> </w:t>
      </w:r>
      <w:r>
        <w:t xml:space="preserve">EU level (94% and 89% of the total costs in PO4 and PO6 respectively</w:t>
      </w:r>
      <w:r>
        <w:t xml:space="preserve"> </w:t>
      </w:r>
      <w:r>
        <w:t xml:space="preserve">for ISO 14083, 91% in PO3 for ISO 14083 with additional elements</w:t>
      </w:r>
      <w:r>
        <w:t xml:space="preserve"> </w:t>
      </w:r>
      <w:r>
        <w:t xml:space="preserve">and increased accuracy, 88% in PO2 for ISO 14083, 85% in PO1 for</w:t>
      </w:r>
      <w:r>
        <w:t xml:space="preserve"> </w:t>
      </w:r>
      <w:r>
        <w:t xml:space="preserve">ISO 14083 with additional elements and increased accuracy and 73%</w:t>
      </w:r>
      <w:r>
        <w:t xml:space="preserve"> </w:t>
      </w:r>
      <w:r>
        <w:t xml:space="preserve">in PO5 for PEFCR). The second category of costs in terms of the share</w:t>
      </w:r>
      <w:r>
        <w:t xml:space="preserve"> </w:t>
      </w:r>
      <w:r>
        <w:t xml:space="preserve">of the total costs relates to the use of the calculation tools. On the other</w:t>
      </w:r>
      <w:r>
        <w:t xml:space="preserve"> </w:t>
      </w:r>
      <w:r>
        <w:t xml:space="preserve">hand, as the verification of data and processes (PM9) is not imposed on</w:t>
      </w:r>
      <w:r>
        <w:t xml:space="preserve"> </w:t>
      </w:r>
      <w:r>
        <w:t xml:space="preserve">SMEs PO3 and PO4 result in adjustment costs savings related to the</w:t>
      </w:r>
      <w:r>
        <w:t xml:space="preserve"> </w:t>
      </w:r>
      <w:r>
        <w:t xml:space="preserve">verification activities. Due to the higher number of companies involved</w:t>
      </w:r>
      <w:r>
        <w:t xml:space="preserve"> </w:t>
      </w:r>
      <w:r>
        <w:t xml:space="preserve">compared to PO3 and PO4, and the assumption that a certain</w:t>
      </w:r>
      <w:r>
        <w:t xml:space="preserve"> </w:t>
      </w:r>
      <w:r>
        <w:t xml:space="preserve">proportion of SMEs would however undergo the verification activities,</w:t>
      </w:r>
      <w:r>
        <w:t xml:space="preserve"> </w:t>
      </w:r>
      <w:r>
        <w:t xml:space="preserve">these costs savings do not result in PO6. Administrative costs for the</w:t>
      </w:r>
      <w:r>
        <w:t xml:space="preserve"> </w:t>
      </w:r>
      <w:r>
        <w:t xml:space="preserve">calculation tools developers, related to the certification of the tools286,</w:t>
      </w:r>
      <w:r>
        <w:t xml:space="preserve"> </w:t>
      </w:r>
      <w:r>
        <w:t xml:space="preserve">See sections 6.1.7</w:t>
      </w:r>
      <w:r>
        <w:t xml:space="preserve"> </w:t>
      </w:r>
      <w:r>
        <w:t xml:space="preserve">(Impacts on small</w:t>
      </w:r>
      <w:r>
        <w:t xml:space="preserve"> </w:t>
      </w:r>
      <w:r>
        <w:t xml:space="preserve">and medium</w:t>
      </w:r>
      <w:r>
        <w:t xml:space="preserve"> </w:t>
      </w:r>
      <w:r>
        <w:t xml:space="preserve">enterprises) and</w:t>
      </w:r>
      <w:r>
        <w:t xml:space="preserve"> </w:t>
      </w:r>
      <w:r>
        <w:t xml:space="preserve">Annex 4</w:t>
      </w:r>
    </w:p>
    <w:p>
      <w:pPr>
        <w:pStyle w:val="BodyText"/>
      </w:pPr>
      <w:r>
        <w:t xml:space="preserve">286 In the assessment it has been assumed that the calculation tool developers are SME.</w:t>
      </w:r>
    </w:p>
    <w:p>
      <w:pPr>
        <w:pStyle w:val="BodyText"/>
      </w:pPr>
      <w:r>
        <w:t xml:space="preserve">196</w:t>
      </w:r>
    </w:p>
    <w:p>
      <w:pPr>
        <w:pStyle w:val="BodyText"/>
      </w:pPr>
      <w:r>
        <w:t xml:space="preserve">represent 0.03% of the total costs in PO3 and 0.02% in PO4 and PO5.</w:t>
      </w:r>
      <w:r>
        <w:br/>
      </w:r>
      <w:r>
        <w:t xml:space="preserve">All policy options are expected to incentivise behavioural change,</w:t>
      </w:r>
      <w:r>
        <w:t xml:space="preserve"> </w:t>
      </w:r>
      <w:r>
        <w:t xml:space="preserve">leading to higher use of more sustainable transport modes and</w:t>
      </w:r>
      <w:r>
        <w:t xml:space="preserve"> </w:t>
      </w:r>
      <w:r>
        <w:t xml:space="preserve">optimised trips. Thus, all policy options are expected to lead to energy</w:t>
      </w:r>
      <w:r>
        <w:t xml:space="preserve"> </w:t>
      </w:r>
      <w:r>
        <w:t xml:space="preserve">costs savings for SMEs relative to the baseline (see Table 105 and</w:t>
      </w:r>
      <w:r>
        <w:t xml:space="preserve"> </w:t>
      </w:r>
      <w:r>
        <w:t xml:space="preserve">Table 106). Expressed as present value over 2025-2050, they are</w:t>
      </w:r>
      <w:r>
        <w:t xml:space="preserve"> </w:t>
      </w:r>
      <w:r>
        <w:t xml:space="preserve">estimated at EUR 9.9 billion in PO1 and PO6, followed by PO4 (EUR</w:t>
      </w:r>
      <w:r>
        <w:t xml:space="preserve"> </w:t>
      </w:r>
      <w:r>
        <w:t xml:space="preserve">2.3 billion), PO2 (EUR 1.5 billion), PO3 (EUR 0.7 billion) and PO5</w:t>
      </w:r>
      <w:r>
        <w:t xml:space="preserve"> </w:t>
      </w:r>
      <w:r>
        <w:t xml:space="preserve">(EUR 0.6 billion).</w:t>
      </w:r>
      <w:r>
        <w:br/>
      </w:r>
      <w:r>
        <w:t xml:space="preserve">PO2 and PO4 are estimated to result in net benefits for SMEs relative</w:t>
      </w:r>
      <w:r>
        <w:t xml:space="preserve"> </w:t>
      </w:r>
      <w:r>
        <w:t xml:space="preserve">to the baseline. PO4 would lead to the highest net benefits estimated at</w:t>
      </w:r>
      <w:r>
        <w:t xml:space="preserve"> </w:t>
      </w:r>
      <w:r>
        <w:t xml:space="preserve">EUR 43.7 million in 2025, EUR 70 million in 2030 and EUR 28.1</w:t>
      </w:r>
      <w:r>
        <w:t xml:space="preserve"> </w:t>
      </w:r>
      <w:r>
        <w:t xml:space="preserve">million in 2050 relative to the baseline, while PO2 at net benefits of</w:t>
      </w:r>
      <w:r>
        <w:t xml:space="preserve"> </w:t>
      </w:r>
      <w:r>
        <w:t xml:space="preserve">EUR 23.1 million in 2025, EUR 46.7 million in 2030 and EUR 2.2</w:t>
      </w:r>
      <w:r>
        <w:t xml:space="preserve"> </w:t>
      </w:r>
      <w:r>
        <w:t xml:space="preserve">million in 2050. On the other hand, PO1, PO3, PO5 and PO6 are</w:t>
      </w:r>
      <w:r>
        <w:t xml:space="preserve"> </w:t>
      </w:r>
      <w:r>
        <w:t xml:space="preserve">estimated to result in net costs (see Table 105 and Table 106).</w:t>
      </w:r>
      <w:r>
        <w:t xml:space="preserve"> </w:t>
      </w:r>
      <w:r>
        <w:t xml:space="preserve">Expressed as present value over 2025-2050, the net benefits for PO2</w:t>
      </w:r>
      <w:r>
        <w:t xml:space="preserve"> </w:t>
      </w:r>
      <w:r>
        <w:t xml:space="preserve">and PO4 are estimated at EUR 0.5 billion and EUR 0.9 billion,</w:t>
      </w:r>
      <w:r>
        <w:t xml:space="preserve"> </w:t>
      </w:r>
      <w:r>
        <w:t xml:space="preserve">respectively, while the net costs in PO1 at EUR 83.9 billion, in PO6 at</w:t>
      </w:r>
      <w:r>
        <w:t xml:space="preserve"> </w:t>
      </w:r>
      <w:r>
        <w:t xml:space="preserve">EUR 66.6 billion, in PO5 at EUR 1.3 billion and in PO3 at EUR 0.4</w:t>
      </w:r>
      <w:r>
        <w:t xml:space="preserve"> </w:t>
      </w:r>
      <w:r>
        <w:t xml:space="preserve">billion.</w:t>
      </w:r>
      <w:r>
        <w:br/>
      </w:r>
      <w:r>
        <w:t xml:space="preserve">Indirect impacts on other SMEs. A higher number of SMEs from</w:t>
      </w:r>
      <w:r>
        <w:t xml:space="preserve"> </w:t>
      </w:r>
      <w:r>
        <w:t xml:space="preserve">sectors not directly related to transport or performing transport services</w:t>
      </w:r>
      <w:r>
        <w:t xml:space="preserve"> </w:t>
      </w:r>
      <w:r>
        <w:t xml:space="preserve">on their own may be involved in accounting their GHG emission</w:t>
      </w:r>
      <w:r>
        <w:t xml:space="preserve"> </w:t>
      </w:r>
      <w:r>
        <w:t xml:space="preserve">performance due to the increased demand in the context of the transport</w:t>
      </w:r>
      <w:r>
        <w:t xml:space="preserve"> </w:t>
      </w:r>
      <w:r>
        <w:t xml:space="preserve">chains. However, the precise number is not possible to quantify.</w:t>
      </w:r>
      <w:r>
        <w:t xml:space="preserve"> </w:t>
      </w:r>
      <w:r>
        <w:t xml:space="preserve">Step (4) of the SME test (minimizing negative impacts on SMEs).</w:t>
      </w:r>
      <w:r>
        <w:t xml:space="preserve"> </w:t>
      </w:r>
      <w:r>
        <w:t xml:space="preserve">Minimizing negative impacts. The following topics appeared as</w:t>
      </w:r>
      <w:r>
        <w:t xml:space="preserve"> </w:t>
      </w:r>
      <w:r>
        <w:t xml:space="preserve">relevant for the SMEs in the stakeholders’ consultation: the potential</w:t>
      </w:r>
      <w:r>
        <w:t xml:space="preserve"> </w:t>
      </w:r>
      <w:r>
        <w:t xml:space="preserve">costs (burden), the effects on competitiveness in procurement</w:t>
      </w:r>
      <w:r>
        <w:t xml:space="preserve"> </w:t>
      </w:r>
      <w:r>
        <w:t xml:space="preserve">processes, and the insufficient number of skilled staff to implement</w:t>
      </w:r>
      <w:r>
        <w:t xml:space="preserve"> </w:t>
      </w:r>
      <w:r>
        <w:t xml:space="preserve">GHG emissions accounting. As regards the cost element, SMEs’</w:t>
      </w:r>
      <w:r>
        <w:t xml:space="preserve"> </w:t>
      </w:r>
      <w:r>
        <w:t xml:space="preserve">concerns included the insufficient availability of data (especially</w:t>
      </w:r>
      <w:r>
        <w:t xml:space="preserve"> </w:t>
      </w:r>
      <w:r>
        <w:t xml:space="preserve">primary data) for the quantification of GHG emissions and additional</w:t>
      </w:r>
      <w:r>
        <w:t xml:space="preserve"> </w:t>
      </w:r>
      <w:r>
        <w:t xml:space="preserve">resources needed to comply with specific requirements under the</w:t>
      </w:r>
      <w:r>
        <w:t xml:space="preserve"> </w:t>
      </w:r>
      <w:r>
        <w:t xml:space="preserve">initiative.</w:t>
      </w:r>
      <w:r>
        <w:br/>
      </w:r>
      <w:r>
        <w:t xml:space="preserve">Firstly, it should be noted that the voluntary opt-in and binding opt-in</w:t>
      </w:r>
      <w:r>
        <w:t xml:space="preserve"> </w:t>
      </w:r>
      <w:r>
        <w:t xml:space="preserve">in policy options PO2, PO3, PO4, PO5 give SMEs the possibility to</w:t>
      </w:r>
      <w:r>
        <w:t xml:space="preserve"> </w:t>
      </w:r>
      <w:r>
        <w:t xml:space="preserve">decide if to undergo GHG emissions accounting of their transport</w:t>
      </w:r>
      <w:r>
        <w:t xml:space="preserve"> </w:t>
      </w:r>
      <w:r>
        <w:t xml:space="preserve">services according to the harmonised method. Secondly, PO3, PO4,</w:t>
      </w:r>
      <w:r>
        <w:t xml:space="preserve"> </w:t>
      </w:r>
      <w:r>
        <w:t xml:space="preserve">PO5 but also PO6 envisage a measure exempting SMEs from the</w:t>
      </w:r>
      <w:r>
        <w:t xml:space="preserve"> </w:t>
      </w:r>
      <w:r>
        <w:t xml:space="preserve">mandatory verification of GHG emissions data (PM9), thus allowing</w:t>
      </w:r>
      <w:r>
        <w:t xml:space="preserve"> </w:t>
      </w:r>
      <w:r>
        <w:t xml:space="preserve">SMEs to choose, and to lower potential costs. Thirdly, measures</w:t>
      </w:r>
      <w:r>
        <w:t xml:space="preserve"> </w:t>
      </w:r>
      <w:r>
        <w:t xml:space="preserve">See sections 6.1.7</w:t>
      </w:r>
      <w:r>
        <w:t xml:space="preserve"> </w:t>
      </w:r>
      <w:r>
        <w:t xml:space="preserve">(Impacts on small</w:t>
      </w:r>
      <w:r>
        <w:t xml:space="preserve"> </w:t>
      </w:r>
      <w:r>
        <w:t xml:space="preserve">and medium</w:t>
      </w:r>
      <w:r>
        <w:t xml:space="preserve"> </w:t>
      </w:r>
      <w:r>
        <w:t xml:space="preserve">enterprises), 7</w:t>
      </w:r>
      <w:r>
        <w:t xml:space="preserve"> </w:t>
      </w:r>
      <w:r>
        <w:t xml:space="preserve">(How do options</w:t>
      </w:r>
      <w:r>
        <w:t xml:space="preserve"> </w:t>
      </w:r>
      <w:r>
        <w:t xml:space="preserve">compare), 8</w:t>
      </w:r>
      <w:r>
        <w:t xml:space="preserve"> </w:t>
      </w:r>
      <w:r>
        <w:t xml:space="preserve">(Preferred policy</w:t>
      </w:r>
      <w:r>
        <w:t xml:space="preserve"> </w:t>
      </w:r>
      <w:r>
        <w:t xml:space="preserve">option), Annex 4</w:t>
      </w:r>
    </w:p>
    <w:p>
      <w:pPr>
        <w:pStyle w:val="BodyText"/>
      </w:pPr>
      <w:r>
        <w:t xml:space="preserve">197</w:t>
      </w:r>
    </w:p>
    <w:p>
      <w:pPr>
        <w:pStyle w:val="BodyText"/>
      </w:pPr>
      <w:r>
        <w:t xml:space="preserve">dealing with the use of input data (PM4 and PM5) provide relatively</w:t>
      </w:r>
      <w:r>
        <w:t xml:space="preserve"> </w:t>
      </w:r>
      <w:r>
        <w:t xml:space="preserve">higher benefits for SMEs than for large companies. The problems of</w:t>
      </w:r>
      <w:r>
        <w:t xml:space="preserve"> </w:t>
      </w:r>
      <w:r>
        <w:t xml:space="preserve">data availability are generally experienced more acutely by SMEs and</w:t>
      </w:r>
      <w:r>
        <w:t xml:space="preserve"> </w:t>
      </w:r>
      <w:r>
        <w:t xml:space="preserve">such companies tend to rely on default values because of their high</w:t>
      </w:r>
      <w:r>
        <w:t xml:space="preserve"> </w:t>
      </w:r>
      <w:r>
        <w:t xml:space="preserve">costs to collect primary data. Given the particular difficulties faced by</w:t>
      </w:r>
      <w:r>
        <w:t xml:space="preserve"> </w:t>
      </w:r>
      <w:r>
        <w:t xml:space="preserve">SMEs with the GHG accounting at service level, the analysis has also</w:t>
      </w:r>
      <w:r>
        <w:t xml:space="preserve"> </w:t>
      </w:r>
      <w:r>
        <w:t xml:space="preserve">shown that they would benefit more than larger operators of</w:t>
      </w:r>
      <w:r>
        <w:t xml:space="preserve"> </w:t>
      </w:r>
      <w:r>
        <w:t xml:space="preserve">harmonised guidelines (PM7), as well as, of dedicated calculation tools</w:t>
      </w:r>
      <w:r>
        <w:t xml:space="preserve"> </w:t>
      </w:r>
      <w:r>
        <w:t xml:space="preserve">either established at the EU level (PM11), or provided by the market</w:t>
      </w:r>
      <w:r>
        <w:t xml:space="preserve"> </w:t>
      </w:r>
      <w:r>
        <w:t xml:space="preserve">and certified at EU level (PM12). Finally, the harmonised formats for</w:t>
      </w:r>
      <w:r>
        <w:t xml:space="preserve"> </w:t>
      </w:r>
      <w:r>
        <w:t xml:space="preserve">the output data (PM6) would also result in relatively higher benefits</w:t>
      </w:r>
      <w:r>
        <w:t xml:space="preserve"> </w:t>
      </w:r>
      <w:r>
        <w:t xml:space="preserve">for SMEs that usually do not have sufficient resources to analyse</w:t>
      </w:r>
      <w:r>
        <w:t xml:space="preserve"> </w:t>
      </w:r>
      <w:r>
        <w:t xml:space="preserve">various data elements provided by third parties in the transport chain.</w:t>
      </w:r>
      <w:r>
        <w:br/>
      </w:r>
      <w:r>
        <w:t xml:space="preserve">Alternative options. The impact assessment considered the alternative</w:t>
      </w:r>
      <w:r>
        <w:t xml:space="preserve"> </w:t>
      </w:r>
      <w:r>
        <w:t xml:space="preserve">measure of mandating the use of primary data for the quantification of</w:t>
      </w:r>
      <w:r>
        <w:t xml:space="preserve"> </w:t>
      </w:r>
      <w:r>
        <w:t xml:space="preserve">GHG emissions from transport services. This option was not retained</w:t>
      </w:r>
      <w:r>
        <w:t xml:space="preserve"> </w:t>
      </w:r>
      <w:r>
        <w:t xml:space="preserve">on the grounds of efficiency and proportionality.</w:t>
      </w:r>
    </w:p>
    <w:p>
      <w:pPr>
        <w:pStyle w:val="BodyText"/>
      </w:pPr>
      <w:r>
        <w:t xml:space="preserve">Table 105: Total costs and benefits for SMEs in PO1, PO2 and PO3 relative to the baseline (EU27), in million EUR</w:t>
      </w:r>
      <w:r>
        <w:t xml:space="preserve"> </w:t>
      </w:r>
      <w:r>
        <w:t xml:space="preserve">(2022 prices)</w:t>
      </w:r>
      <w:r>
        <w:t xml:space="preserve"> </w:t>
      </w:r>
      <w:r>
        <w:t xml:space="preserve">Difference to the Baseline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2050 2025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Recurrent and one-off costs</w:t>
      </w:r>
      <w:r>
        <w:t xml:space="preserve"> </w:t>
      </w:r>
      <w:r>
        <w:t xml:space="preserve">490.8 3,866.2 6,288.2</w:t>
      </w:r>
      <w:r>
        <w:t xml:space="preserve"> </w:t>
      </w:r>
      <w:r>
        <w:t xml:space="preserve">50.9</w:t>
      </w:r>
      <w:r>
        <w:t xml:space="preserve"> </w:t>
      </w:r>
      <w:r>
        <w:t xml:space="preserve">93.9</w:t>
      </w:r>
      <w:r>
        <w:t xml:space="preserve"> </w:t>
      </w:r>
      <w:r>
        <w:t xml:space="preserve">4.7</w:t>
      </w:r>
      <w:r>
        <w:t xml:space="preserve"> </w:t>
      </w:r>
      <w:r>
        <w:t xml:space="preserve">57.9 103.8</w:t>
      </w:r>
      <w:r>
        <w:t xml:space="preserve"> </w:t>
      </w:r>
      <w:r>
        <w:t xml:space="preserve">11.9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490.8 3,866.2 6,288.2</w:t>
      </w:r>
      <w:r>
        <w:t xml:space="preserve"> </w:t>
      </w:r>
      <w:r>
        <w:t xml:space="preserve">50.9</w:t>
      </w:r>
      <w:r>
        <w:t xml:space="preserve"> </w:t>
      </w:r>
      <w:r>
        <w:t xml:space="preserve">93.9</w:t>
      </w:r>
      <w:r>
        <w:t xml:space="preserve"> </w:t>
      </w:r>
      <w:r>
        <w:t xml:space="preserve">4.7</w:t>
      </w:r>
      <w:r>
        <w:t xml:space="preserve"> </w:t>
      </w:r>
      <w:r>
        <w:t xml:space="preserve">57.8 103.8</w:t>
      </w:r>
      <w:r>
        <w:t xml:space="preserve"> </w:t>
      </w:r>
      <w:r>
        <w:t xml:space="preserve">11.9</w:t>
      </w:r>
      <w:r>
        <w:t xml:space="preserve"> </w:t>
      </w:r>
      <w:r>
        <w:t xml:space="preserve">Administrative costs</w:t>
      </w:r>
      <w:r>
        <w:br/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0.00 0.00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Benefits (energy costs</w:t>
      </w:r>
      <w:r>
        <w:t xml:space="preserve"> </w:t>
      </w:r>
      <w:r>
        <w:t xml:space="preserve">savings)</w:t>
      </w:r>
      <w:r>
        <w:t xml:space="preserve"> </w:t>
      </w:r>
      <w:r>
        <w:t xml:space="preserve">51.7</w:t>
      </w:r>
      <w:r>
        <w:t xml:space="preserve"> </w:t>
      </w:r>
      <w:r>
        <w:t xml:space="preserve">390.7</w:t>
      </w:r>
      <w:r>
        <w:t xml:space="preserve"> </w:t>
      </w:r>
      <w:r>
        <w:t xml:space="preserve">775.1</w:t>
      </w:r>
      <w:r>
        <w:t xml:space="preserve"> </w:t>
      </w:r>
      <w:r>
        <w:t xml:space="preserve">74.0</w:t>
      </w:r>
      <w:r>
        <w:t xml:space="preserve"> </w:t>
      </w:r>
      <w:r>
        <w:t xml:space="preserve">140.6</w:t>
      </w:r>
      <w:r>
        <w:t xml:space="preserve"> </w:t>
      </w:r>
      <w:r>
        <w:t xml:space="preserve">6.9</w:t>
      </w:r>
      <w:r>
        <w:t xml:space="preserve"> </w:t>
      </w:r>
      <w:r>
        <w:t xml:space="preserve">37.2</w:t>
      </w:r>
      <w:r>
        <w:t xml:space="preserve"> </w:t>
      </w:r>
      <w:r>
        <w:t xml:space="preserve">83.6</w:t>
      </w:r>
      <w:r>
        <w:t xml:space="preserve"> </w:t>
      </w:r>
      <w:r>
        <w:t xml:space="preserve">2.4</w:t>
      </w:r>
      <w:r>
        <w:t xml:space="preserve"> </w:t>
      </w:r>
      <w:r>
        <w:t xml:space="preserve">Net costs/costs savings</w:t>
      </w:r>
      <w:r>
        <w:t xml:space="preserve"> </w:t>
      </w:r>
      <w:r>
        <w:t xml:space="preserve">439.1 3,475.5 5,513.1 -23.1</w:t>
      </w:r>
      <w:r>
        <w:t xml:space="preserve"> </w:t>
      </w:r>
      <w:r>
        <w:t xml:space="preserve">-46.7</w:t>
      </w:r>
      <w:r>
        <w:t xml:space="preserve"> </w:t>
      </w:r>
      <w:r>
        <w:t xml:space="preserve">-2.2</w:t>
      </w:r>
      <w:r>
        <w:t xml:space="preserve"> </w:t>
      </w:r>
      <w:r>
        <w:t xml:space="preserve">20.7</w:t>
      </w:r>
      <w:r>
        <w:t xml:space="preserve"> </w:t>
      </w:r>
      <w:r>
        <w:t xml:space="preserve">20.2</w:t>
      </w:r>
      <w:r>
        <w:t xml:space="preserve"> </w:t>
      </w:r>
      <w:r>
        <w:t xml:space="preserve">9.5</w:t>
      </w:r>
      <w:r>
        <w:t xml:space="preserve"> </w:t>
      </w:r>
      <w:r>
        <w:t xml:space="preserve">Source : Ecorys and CE Delft (2023), Impact assessment support study; Note: negative values reflect costs</w:t>
      </w:r>
      <w:r>
        <w:t xml:space="preserve"> </w:t>
      </w:r>
      <w:r>
        <w:t xml:space="preserve">savings, where relevant.</w:t>
      </w:r>
      <w:r>
        <w:t xml:space="preserve"> </w:t>
      </w:r>
      <w:r>
        <w:t xml:space="preserve">Table 106: Total costs and benefits for SMEs in PO4, PO5 and PO6 relative to the baseline (EU27), in million EUR</w:t>
      </w:r>
      <w:r>
        <w:t xml:space="preserve"> </w:t>
      </w:r>
      <w:r>
        <w:t xml:space="preserve">(2022 prices)</w:t>
      </w:r>
      <w:r>
        <w:t xml:space="preserve"> </w:t>
      </w:r>
      <w:r>
        <w:t xml:space="preserve">Difference to the Baseline</w:t>
      </w:r>
      <w:r>
        <w:t xml:space="preserve"> </w:t>
      </w:r>
      <w:r>
        <w:t xml:space="preserve">PO4</w:t>
      </w:r>
      <w:r>
        <w:t xml:space="preserve"> </w:t>
      </w:r>
      <w:r>
        <w:t xml:space="preserve">PO5</w:t>
      </w:r>
      <w:r>
        <w:t xml:space="preserve"> </w:t>
      </w:r>
      <w:r>
        <w:t xml:space="preserve">PO6</w:t>
      </w:r>
      <w:r>
        <w:t xml:space="preserve"> </w:t>
      </w:r>
      <w:r>
        <w:t xml:space="preserve">2025</w:t>
      </w:r>
      <w:r>
        <w:t xml:space="preserve"> </w:t>
      </w:r>
      <w:r>
        <w:t xml:space="preserve">2030 2050 2025</w:t>
      </w:r>
      <w:r>
        <w:t xml:space="preserve"> </w:t>
      </w:r>
      <w:r>
        <w:t xml:space="preserve">2030 2050 2025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Recurrent and one-off costs</w:t>
      </w:r>
      <w:r>
        <w:t xml:space="preserve"> </w:t>
      </w:r>
      <w:r>
        <w:t xml:space="preserve">68.0 115.4</w:t>
      </w:r>
      <w:r>
        <w:t xml:space="preserve"> </w:t>
      </w:r>
      <w:r>
        <w:t xml:space="preserve">19.9 101.2 156.4</w:t>
      </w:r>
      <w:r>
        <w:t xml:space="preserve"> </w:t>
      </w:r>
      <w:r>
        <w:t xml:space="preserve">37.4 344.7 2,767.6 4,501.4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68.0 115.4</w:t>
      </w:r>
      <w:r>
        <w:t xml:space="preserve"> </w:t>
      </w:r>
      <w:r>
        <w:t xml:space="preserve">19.9 101.2 156.4</w:t>
      </w:r>
      <w:r>
        <w:t xml:space="preserve"> </w:t>
      </w:r>
      <w:r>
        <w:t xml:space="preserve">37.3 344.7 2,767.5 4,501.4</w:t>
      </w:r>
      <w:r>
        <w:t xml:space="preserve"> </w:t>
      </w:r>
      <w:r>
        <w:t xml:space="preserve">Administrative costs</w:t>
      </w:r>
      <w:r>
        <w:br/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Benefits (energy costs savings)</w:t>
      </w:r>
      <w:r>
        <w:t xml:space="preserve"> </w:t>
      </w:r>
      <w:r>
        <w:t xml:space="preserve">111.7 185.4</w:t>
      </w:r>
      <w:r>
        <w:t xml:space="preserve"> </w:t>
      </w:r>
      <w:r>
        <w:t xml:space="preserve">48.0</w:t>
      </w:r>
      <w:r>
        <w:t xml:space="preserve"> </w:t>
      </w:r>
      <w:r>
        <w:t xml:space="preserve">33.6</w:t>
      </w:r>
      <w:r>
        <w:t xml:space="preserve"> </w:t>
      </w:r>
      <w:r>
        <w:t xml:space="preserve">77.0</w:t>
      </w:r>
      <w:r>
        <w:t xml:space="preserve"> </w:t>
      </w:r>
      <w:r>
        <w:t xml:space="preserve">2.2 111.7</w:t>
      </w:r>
      <w:r>
        <w:t xml:space="preserve"> </w:t>
      </w:r>
      <w:r>
        <w:t xml:space="preserve">185.4</w:t>
      </w:r>
      <w:r>
        <w:t xml:space="preserve"> </w:t>
      </w:r>
      <w:r>
        <w:t xml:space="preserve">48.0</w:t>
      </w:r>
      <w:r>
        <w:t xml:space="preserve"> </w:t>
      </w:r>
      <w:r>
        <w:t xml:space="preserve">Net costs/costs savings</w:t>
      </w:r>
      <w:r>
        <w:t xml:space="preserve"> </w:t>
      </w:r>
      <w:r>
        <w:t xml:space="preserve">-43.7 -70.0 -28.1</w:t>
      </w:r>
      <w:r>
        <w:t xml:space="preserve"> </w:t>
      </w:r>
      <w:r>
        <w:t xml:space="preserve">67.6</w:t>
      </w:r>
      <w:r>
        <w:t xml:space="preserve"> </w:t>
      </w:r>
      <w:r>
        <w:t xml:space="preserve">79.5</w:t>
      </w:r>
      <w:r>
        <w:t xml:space="preserve"> </w:t>
      </w:r>
      <w:r>
        <w:t xml:space="preserve">35.1 233.0 2,582.1 4,453.4</w:t>
      </w:r>
      <w:r>
        <w:t xml:space="preserve"> </w:t>
      </w:r>
      <w:r>
        <w:t xml:space="preserve">Source : Ecorys and CE Delft (2023), Impact assessment support study; Note: negative values reflect costs</w:t>
      </w:r>
      <w:r>
        <w:t xml:space="preserve"> </w:t>
      </w:r>
      <w:r>
        <w:t xml:space="preserve">savings, where relevant.</w:t>
      </w:r>
    </w:p>
    <w:p>
      <w:pPr>
        <w:pStyle w:val="BodyText"/>
      </w:pPr>
      <w:r>
        <w:t xml:space="preserve">198</w:t>
      </w:r>
    </w:p>
    <w:p>
      <w:pPr>
        <w:pStyle w:val="BodyText"/>
      </w:pPr>
      <w:r>
        <w:t xml:space="preserve">Table 107: Recurrent and one-off costs for SMEs by policy measure in PO1, PO2 and PO3 relative to the baseline</w:t>
      </w:r>
      <w:r>
        <w:t xml:space="preserve"> </w:t>
      </w:r>
      <w:r>
        <w:t xml:space="preserve">(EU27), in million EUR (2022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Adjustment costs</w:t>
      </w:r>
      <w:r>
        <w:br/>
      </w:r>
      <w:r>
        <w:t xml:space="preserve">490.8 3,866.2 6,288.2</w:t>
      </w:r>
      <w:r>
        <w:t xml:space="preserve"> </w:t>
      </w:r>
      <w:r>
        <w:t xml:space="preserve">50.9</w:t>
      </w:r>
      <w:r>
        <w:t xml:space="preserve"> </w:t>
      </w:r>
      <w:r>
        <w:t xml:space="preserve">93.9</w:t>
      </w:r>
      <w:r>
        <w:t xml:space="preserve"> </w:t>
      </w:r>
      <w:r>
        <w:t xml:space="preserve">4.7</w:t>
      </w:r>
      <w:r>
        <w:t xml:space="preserve"> </w:t>
      </w:r>
      <w:r>
        <w:t xml:space="preserve">57.8 103.8</w:t>
      </w:r>
      <w:r>
        <w:t xml:space="preserve"> </w:t>
      </w:r>
      <w:r>
        <w:t xml:space="preserve">11.9</w:t>
      </w:r>
      <w:r>
        <w:t xml:space="preserve"> </w:t>
      </w:r>
      <w:r>
        <w:t xml:space="preserve">PM1 - ISO 14083 set as</w:t>
      </w:r>
      <w:r>
        <w:t xml:space="preserve"> </w:t>
      </w:r>
      <w:r>
        <w:t xml:space="preserve">common reference</w:t>
      </w:r>
      <w:r>
        <w:t xml:space="preserve"> </w:t>
      </w:r>
      <w:r>
        <w:t xml:space="preserve">methodology</w:t>
      </w:r>
    </w:p>
    <w:p>
      <w:pPr>
        <w:pStyle w:val="BodyText"/>
      </w:pPr>
      <w:r>
        <w:t xml:space="preserve">44.8</w:t>
      </w:r>
      <w:r>
        <w:t xml:space="preserve"> </w:t>
      </w:r>
      <w:r>
        <w:t xml:space="preserve">82.2</w:t>
      </w:r>
      <w:r>
        <w:t xml:space="preserve"> </w:t>
      </w:r>
      <w:r>
        <w:t xml:space="preserve">4.0</w:t>
      </w:r>
    </w:p>
    <w:p>
      <w:pPr>
        <w:pStyle w:val="BodyText"/>
      </w:pPr>
      <w:r>
        <w:t xml:space="preserve">PM2 - PEFCR set as common</w:t>
      </w:r>
      <w:r>
        <w:t xml:space="preserve"> </w:t>
      </w:r>
      <w:r>
        <w:t xml:space="preserve">reference methodology</w:t>
      </w:r>
    </w:p>
    <w:p>
      <w:pPr>
        <w:pStyle w:val="BodyText"/>
      </w:pPr>
      <w:r>
        <w:t xml:space="preserve">PM3 - ISO 14083 with</w:t>
      </w:r>
      <w:r>
        <w:t xml:space="preserve"> </w:t>
      </w:r>
      <w:r>
        <w:t xml:space="preserve">additional elements and</w:t>
      </w:r>
      <w:r>
        <w:t xml:space="preserve"> </w:t>
      </w:r>
      <w:r>
        <w:t xml:space="preserve">increased accuracy set as</w:t>
      </w:r>
      <w:r>
        <w:t xml:space="preserve"> </w:t>
      </w:r>
      <w:r>
        <w:t xml:space="preserve">common reference</w:t>
      </w:r>
      <w:r>
        <w:t xml:space="preserve"> </w:t>
      </w:r>
      <w:r>
        <w:t xml:space="preserve">methodology</w:t>
      </w:r>
      <w:r>
        <w:t xml:space="preserve"> </w:t>
      </w:r>
      <w:r>
        <w:t xml:space="preserve">412.2 3,270.1 5,317.4</w:t>
      </w:r>
    </w:p>
    <w:p>
      <w:pPr>
        <w:pStyle w:val="BodyText"/>
      </w:pPr>
      <w:r>
        <w:t xml:space="preserve">52.9</w:t>
      </w:r>
      <w:r>
        <w:t xml:space="preserve"> </w:t>
      </w:r>
      <w:r>
        <w:t xml:space="preserve">94.2</w:t>
      </w:r>
      <w:r>
        <w:t xml:space="preserve"> </w:t>
      </w:r>
      <w:r>
        <w:t xml:space="preserve">11.2</w:t>
      </w:r>
      <w:r>
        <w:t xml:space="preserve"> </w:t>
      </w:r>
      <w:r>
        <w:t xml:space="preserve">PM8 - Mandatory process</w:t>
      </w:r>
      <w:r>
        <w:t xml:space="preserve"> </w:t>
      </w:r>
      <w:r>
        <w:t xml:space="preserve">and data verification for all</w:t>
      </w:r>
      <w:r>
        <w:t xml:space="preserve"> </w:t>
      </w:r>
      <w:r>
        <w:t xml:space="preserve">entities</w:t>
      </w:r>
      <w:r>
        <w:t xml:space="preserve"> </w:t>
      </w:r>
      <w:r>
        <w:t xml:space="preserve">41.1</w:t>
      </w:r>
      <w:r>
        <w:t xml:space="preserve"> </w:t>
      </w:r>
      <w:r>
        <w:t xml:space="preserve">294.7</w:t>
      </w:r>
      <w:r>
        <w:t xml:space="preserve"> </w:t>
      </w:r>
      <w:r>
        <w:t xml:space="preserve">479.9</w:t>
      </w:r>
    </w:p>
    <w:p>
      <w:pPr>
        <w:pStyle w:val="BodyText"/>
      </w:pPr>
      <w:r>
        <w:t xml:space="preserve">PM9 - Mandatory process</w:t>
      </w:r>
      <w:r>
        <w:t xml:space="preserve"> </w:t>
      </w:r>
      <w:r>
        <w:t xml:space="preserve">and data verification for</w:t>
      </w:r>
      <w:r>
        <w:t xml:space="preserve"> </w:t>
      </w:r>
      <w:r>
        <w:t xml:space="preserve">entities above certain size</w:t>
      </w:r>
    </w:p>
    <w:p>
      <w:pPr>
        <w:pStyle w:val="BodyText"/>
      </w:pPr>
      <w:r>
        <w:t xml:space="preserve">0.0</w:t>
      </w:r>
      <w:r>
        <w:t xml:space="preserve"> </w:t>
      </w:r>
      <w:r>
        <w:t xml:space="preserve">0.6</w:t>
      </w:r>
      <w:r>
        <w:t xml:space="preserve"> </w:t>
      </w:r>
      <w:r>
        <w:t xml:space="preserve">-1.3</w:t>
      </w:r>
      <w:r>
        <w:t xml:space="preserve"> </w:t>
      </w:r>
      <w:r>
        <w:t xml:space="preserve">PM10 - Voluntary process</w:t>
      </w:r>
      <w:r>
        <w:t xml:space="preserve"> </w:t>
      </w:r>
      <w:r>
        <w:t xml:space="preserve">and data verification for all</w:t>
      </w:r>
      <w:r>
        <w:t xml:space="preserve"> </w:t>
      </w:r>
      <w:r>
        <w:t xml:space="preserve">entities</w:t>
      </w:r>
    </w:p>
    <w:p>
      <w:pPr>
        <w:pStyle w:val="BodyText"/>
      </w:pPr>
      <w:r>
        <w:t xml:space="preserve">2.9</w:t>
      </w:r>
      <w:r>
        <w:t xml:space="preserve"> </w:t>
      </w:r>
      <w:r>
        <w:t xml:space="preserve">5.0</w:t>
      </w:r>
      <w:r>
        <w:t xml:space="preserve"> </w:t>
      </w:r>
      <w:r>
        <w:t xml:space="preserve">2.3</w:t>
      </w:r>
    </w:p>
    <w:p>
      <w:pPr>
        <w:pStyle w:val="BodyText"/>
      </w:pPr>
      <w:r>
        <w:t xml:space="preserve">PM11 - Emissions calculation</w:t>
      </w:r>
      <w:r>
        <w:t xml:space="preserve"> </w:t>
      </w:r>
      <w:r>
        <w:t xml:space="preserve">tools are provided at EU level</w:t>
      </w:r>
      <w:r>
        <w:t xml:space="preserve"> </w:t>
      </w:r>
      <w:r>
        <w:t xml:space="preserve">37.6</w:t>
      </w:r>
      <w:r>
        <w:t xml:space="preserve"> </w:t>
      </w:r>
      <w:r>
        <w:t xml:space="preserve">301.4</w:t>
      </w:r>
      <w:r>
        <w:t xml:space="preserve"> </w:t>
      </w:r>
      <w:r>
        <w:t xml:space="preserve">490.8</w:t>
      </w:r>
      <w:r>
        <w:t xml:space="preserve"> </w:t>
      </w:r>
      <w:r>
        <w:t xml:space="preserve">3.1</w:t>
      </w:r>
      <w:r>
        <w:t xml:space="preserve"> </w:t>
      </w:r>
      <w:r>
        <w:t xml:space="preserve">6.6</w:t>
      </w:r>
      <w:r>
        <w:t xml:space="preserve"> </w:t>
      </w:r>
      <w:r>
        <w:t xml:space="preserve">-1.6</w:t>
      </w:r>
    </w:p>
    <w:p>
      <w:pPr>
        <w:pStyle w:val="BodyText"/>
      </w:pPr>
      <w:r>
        <w:t xml:space="preserve">PM12 - Emissions calculation</w:t>
      </w:r>
      <w:r>
        <w:t xml:space="preserve"> </w:t>
      </w:r>
      <w:r>
        <w:t xml:space="preserve">tools are provided by the</w:t>
      </w:r>
      <w:r>
        <w:t xml:space="preserve"> </w:t>
      </w:r>
      <w:r>
        <w:t xml:space="preserve">market but they are certified</w:t>
      </w:r>
      <w:r>
        <w:t xml:space="preserve"> </w:t>
      </w:r>
      <w:r>
        <w:t xml:space="preserve">at EU level</w:t>
      </w:r>
    </w:p>
    <w:p>
      <w:pPr>
        <w:pStyle w:val="BodyText"/>
      </w:pPr>
      <w:r>
        <w:t xml:space="preserve">4.9</w:t>
      </w:r>
      <w:r>
        <w:t xml:space="preserve"> </w:t>
      </w:r>
      <w:r>
        <w:t xml:space="preserve">9.1</w:t>
      </w:r>
      <w:r>
        <w:t xml:space="preserve"> </w:t>
      </w:r>
      <w:r>
        <w:t xml:space="preserve">2.1</w:t>
      </w:r>
      <w:r>
        <w:t xml:space="preserve"> </w:t>
      </w:r>
      <w:r>
        <w:t xml:space="preserve">Administrative costs</w:t>
      </w:r>
      <w:r>
        <w:br/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0.00 0.00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PM12 - Emissions calculation</w:t>
      </w:r>
      <w:r>
        <w:t xml:space="preserve"> </w:t>
      </w:r>
      <w:r>
        <w:t xml:space="preserve">tools are provided by the</w:t>
      </w:r>
      <w:r>
        <w:t xml:space="preserve"> </w:t>
      </w:r>
      <w:r>
        <w:t xml:space="preserve">market but they are certified</w:t>
      </w:r>
      <w:r>
        <w:t xml:space="preserve"> </w:t>
      </w:r>
      <w:r>
        <w:t xml:space="preserve">at EU level</w:t>
      </w:r>
    </w:p>
    <w:p>
      <w:pPr>
        <w:pStyle w:val="BodyText"/>
      </w:pP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Total net costs</w:t>
      </w:r>
      <w:r>
        <w:t xml:space="preserve"> </w:t>
      </w:r>
      <w:r>
        <w:t xml:space="preserve">490.8 3,866.2 6,288.2</w:t>
      </w:r>
      <w:r>
        <w:t xml:space="preserve"> </w:t>
      </w:r>
      <w:r>
        <w:t xml:space="preserve">50.9</w:t>
      </w:r>
      <w:r>
        <w:t xml:space="preserve"> </w:t>
      </w:r>
      <w:r>
        <w:t xml:space="preserve">93.9</w:t>
      </w:r>
      <w:r>
        <w:t xml:space="preserve"> </w:t>
      </w:r>
      <w:r>
        <w:t xml:space="preserve">4.7</w:t>
      </w:r>
      <w:r>
        <w:t xml:space="preserve"> </w:t>
      </w:r>
      <w:r>
        <w:t xml:space="preserve">57.9 103.8</w:t>
      </w:r>
      <w:r>
        <w:t xml:space="preserve"> </w:t>
      </w:r>
      <w:r>
        <w:t xml:space="preserve">11.9</w:t>
      </w:r>
      <w:r>
        <w:t xml:space="preserve"> </w:t>
      </w:r>
      <w:r>
        <w:t xml:space="preserve">Source : Ecorys and CE Delft (2023), Impact assessment support study; Note: negative values reflect costs</w:t>
      </w:r>
      <w:r>
        <w:t xml:space="preserve"> </w:t>
      </w:r>
      <w:r>
        <w:t xml:space="preserve">savings, where relevant.</w:t>
      </w:r>
      <w:r>
        <w:br/>
      </w:r>
      <w:r>
        <w:t xml:space="preserve">Table 108: Recurrent and one-off costs for SMEs by policy measure in PO3, PO4 and PO6 relative to the baseline</w:t>
      </w:r>
      <w:r>
        <w:t xml:space="preserve"> </w:t>
      </w:r>
      <w:r>
        <w:t xml:space="preserve">(EU27), in million EUR (2022 prices)</w:t>
      </w:r>
      <w:r>
        <w:t xml:space="preserve"> </w:t>
      </w:r>
      <w:r>
        <w:t xml:space="preserve">Difference to the Baseline</w:t>
      </w:r>
      <w:r>
        <w:t xml:space="preserve"> </w:t>
      </w:r>
      <w:r>
        <w:t xml:space="preserve">PO4</w:t>
      </w:r>
      <w:r>
        <w:t xml:space="preserve"> </w:t>
      </w:r>
      <w:r>
        <w:t xml:space="preserve">PO5</w:t>
      </w:r>
      <w:r>
        <w:t xml:space="preserve"> </w:t>
      </w:r>
      <w:r>
        <w:t xml:space="preserve">PO6</w:t>
      </w:r>
      <w:r>
        <w:t xml:space="preserve"> </w:t>
      </w:r>
      <w:r>
        <w:t xml:space="preserve">2025 2030 2050 2025 2030 2050 2025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Adjustment costs</w:t>
      </w:r>
      <w:r>
        <w:br/>
      </w:r>
      <w:r>
        <w:t xml:space="preserve">68.0 115.4 19.9 101.2 156.4 37.3 344.7 2,767.5 4,501.4</w:t>
      </w:r>
      <w:r>
        <w:t xml:space="preserve"> </w:t>
      </w:r>
      <w:r>
        <w:t xml:space="preserve">PM1 - ISO 14083 set as common</w:t>
      </w:r>
      <w:r>
        <w:t xml:space="preserve"> </w:t>
      </w:r>
      <w:r>
        <w:t xml:space="preserve">reference methodology</w:t>
      </w:r>
      <w:r>
        <w:t xml:space="preserve"> </w:t>
      </w:r>
      <w:r>
        <w:t xml:space="preserve">63.2 106.1 21.5</w:t>
      </w:r>
    </w:p>
    <w:p>
      <w:pPr>
        <w:pStyle w:val="BodyText"/>
      </w:pPr>
      <w:r>
        <w:t xml:space="preserve">310.1 2,471.7 4,019.4</w:t>
      </w:r>
      <w:r>
        <w:t xml:space="preserve"> </w:t>
      </w:r>
      <w:r>
        <w:t xml:space="preserve">PM2 - PEFCR set as common</w:t>
      </w:r>
      <w:r>
        <w:t xml:space="preserve"> </w:t>
      </w:r>
      <w:r>
        <w:t xml:space="preserve">reference methodology</w:t>
      </w:r>
    </w:p>
    <w:p>
      <w:pPr>
        <w:pStyle w:val="BodyText"/>
      </w:pPr>
      <w:r>
        <w:t xml:space="preserve">80.7 123.8 14.1</w:t>
      </w:r>
    </w:p>
    <w:p>
      <w:pPr>
        <w:pStyle w:val="BodyText"/>
      </w:pPr>
      <w:r>
        <w:t xml:space="preserve">PM3 - ISO 14083 with additional</w:t>
      </w:r>
      <w:r>
        <w:t xml:space="preserve"> </w:t>
      </w:r>
      <w:r>
        <w:t xml:space="preserve">elements and increased accuracy set</w:t>
      </w:r>
      <w:r>
        <w:t xml:space="preserve"> </w:t>
      </w:r>
      <w:r>
        <w:t xml:space="preserve">as common reference methodology</w:t>
      </w:r>
    </w:p>
    <w:p>
      <w:pPr>
        <w:pStyle w:val="BodyText"/>
      </w:pPr>
      <w:r>
        <w:t xml:space="preserve">PM8 - Mandatory process and data</w:t>
      </w:r>
      <w:r>
        <w:t xml:space="preserve"> </w:t>
      </w:r>
      <w:r>
        <w:t xml:space="preserve">verification for all entities</w:t>
      </w:r>
    </w:p>
    <w:p>
      <w:pPr>
        <w:pStyle w:val="BodyText"/>
      </w:pPr>
      <w:r>
        <w:t xml:space="preserve">199</w:t>
      </w:r>
    </w:p>
    <w:p>
      <w:pPr>
        <w:pStyle w:val="BodyText"/>
      </w:pPr>
      <w:r>
        <w:t xml:space="preserve">PM9 - Mandatory process and data</w:t>
      </w:r>
      <w:r>
        <w:t xml:space="preserve"> </w:t>
      </w:r>
      <w:r>
        <w:t xml:space="preserve">verification for entities above certain</w:t>
      </w:r>
      <w:r>
        <w:t xml:space="preserve"> </w:t>
      </w:r>
      <w:r>
        <w:t xml:space="preserve">size</w:t>
      </w:r>
      <w:r>
        <w:br/>
      </w:r>
      <w:r>
        <w:t xml:space="preserve">0.0</w:t>
      </w:r>
      <w:r>
        <w:t xml:space="preserve"> </w:t>
      </w:r>
      <w:r>
        <w:t xml:space="preserve">0.5</w:t>
      </w:r>
      <w:r>
        <w:t xml:space="preserve"> </w:t>
      </w:r>
      <w:r>
        <w:t xml:space="preserve">-1.7</w:t>
      </w:r>
      <w:r>
        <w:t xml:space="preserve"> </w:t>
      </w:r>
      <w:r>
        <w:t xml:space="preserve">5.9</w:t>
      </w:r>
      <w:r>
        <w:t xml:space="preserve"> </w:t>
      </w:r>
      <w:r>
        <w:t xml:space="preserve">9.1</w:t>
      </w:r>
      <w:r>
        <w:t xml:space="preserve"> </w:t>
      </w:r>
      <w:r>
        <w:t xml:space="preserve">7.1</w:t>
      </w:r>
      <w:r>
        <w:t xml:space="preserve"> </w:t>
      </w:r>
      <w:r>
        <w:t xml:space="preserve">4.7</w:t>
      </w:r>
      <w:r>
        <w:t xml:space="preserve"> </w:t>
      </w:r>
      <w:r>
        <w:t xml:space="preserve">46.5</w:t>
      </w:r>
      <w:r>
        <w:t xml:space="preserve"> </w:t>
      </w:r>
      <w:r>
        <w:t xml:space="preserve">75.9</w:t>
      </w:r>
      <w:r>
        <w:t xml:space="preserve"> </w:t>
      </w:r>
      <w:r>
        <w:t xml:space="preserve">PM10 - Voluntary process and data</w:t>
      </w:r>
      <w:r>
        <w:t xml:space="preserve"> </w:t>
      </w:r>
      <w:r>
        <w:t xml:space="preserve">verification for all entities</w:t>
      </w:r>
    </w:p>
    <w:p>
      <w:pPr>
        <w:pStyle w:val="BodyText"/>
      </w:pPr>
      <w:r>
        <w:t xml:space="preserve">PM11 - Emissions calculation tools</w:t>
      </w:r>
      <w:r>
        <w:t xml:space="preserve"> </w:t>
      </w:r>
      <w:r>
        <w:t xml:space="preserve">are provided at EU level</w:t>
      </w:r>
    </w:p>
    <w:p>
      <w:pPr>
        <w:pStyle w:val="BodyText"/>
      </w:pPr>
      <w:r>
        <w:t xml:space="preserve">PM12 - Emissions calculation tools</w:t>
      </w:r>
      <w:r>
        <w:t xml:space="preserve"> </w:t>
      </w:r>
      <w:r>
        <w:t xml:space="preserve">are provided by the market but they</w:t>
      </w:r>
      <w:r>
        <w:t xml:space="preserve"> </w:t>
      </w:r>
      <w:r>
        <w:t xml:space="preserve">are certified at EU level</w:t>
      </w:r>
      <w:r>
        <w:t xml:space="preserve"> </w:t>
      </w:r>
      <w:r>
        <w:t xml:space="preserve">4.8</w:t>
      </w:r>
      <w:r>
        <w:t xml:space="preserve"> </w:t>
      </w:r>
      <w:r>
        <w:t xml:space="preserve">8.9</w:t>
      </w:r>
      <w:r>
        <w:t xml:space="preserve"> </w:t>
      </w:r>
      <w:r>
        <w:t xml:space="preserve">0.1</w:t>
      </w:r>
      <w:r>
        <w:t xml:space="preserve"> </w:t>
      </w:r>
      <w:r>
        <w:t xml:space="preserve">14.7</w:t>
      </w:r>
      <w:r>
        <w:t xml:space="preserve"> </w:t>
      </w:r>
      <w:r>
        <w:t xml:space="preserve">23.6 16.1</w:t>
      </w:r>
      <w:r>
        <w:t xml:space="preserve"> </w:t>
      </w:r>
      <w:r>
        <w:t xml:space="preserve">29.8</w:t>
      </w:r>
      <w:r>
        <w:t xml:space="preserve"> </w:t>
      </w:r>
      <w:r>
        <w:t xml:space="preserve">249.4</w:t>
      </w:r>
      <w:r>
        <w:t xml:space="preserve"> </w:t>
      </w:r>
      <w:r>
        <w:t xml:space="preserve">406.1</w:t>
      </w:r>
      <w:r>
        <w:t xml:space="preserve"> </w:t>
      </w:r>
      <w:r>
        <w:t xml:space="preserve">Administrative costs</w:t>
      </w:r>
      <w:r>
        <w:br/>
      </w:r>
      <w:r>
        <w:t xml:space="preserve">0.02</w:t>
      </w:r>
      <w:r>
        <w:t xml:space="preserve"> </w:t>
      </w:r>
      <w:r>
        <w:t xml:space="preserve">0.02 0.02</w:t>
      </w:r>
      <w:r>
        <w:t xml:space="preserve"> </w:t>
      </w:r>
      <w:r>
        <w:t xml:space="preserve">0.02</w:t>
      </w:r>
      <w:r>
        <w:t xml:space="preserve"> </w:t>
      </w:r>
      <w:r>
        <w:t xml:space="preserve">0.02 0.02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PM12 - Emissions calculation tools</w:t>
      </w:r>
      <w:r>
        <w:t xml:space="preserve"> </w:t>
      </w:r>
      <w:r>
        <w:t xml:space="preserve">are provided by the market but they</w:t>
      </w:r>
      <w:r>
        <w:t xml:space="preserve"> </w:t>
      </w:r>
      <w:r>
        <w:t xml:space="preserve">are certified at EU level</w:t>
      </w:r>
      <w:r>
        <w:t xml:space="preserve"> </w:t>
      </w:r>
      <w:r>
        <w:t xml:space="preserve">0.02</w:t>
      </w:r>
      <w:r>
        <w:t xml:space="preserve"> </w:t>
      </w:r>
      <w:r>
        <w:t xml:space="preserve">0.02 0.02</w:t>
      </w:r>
      <w:r>
        <w:t xml:space="preserve"> </w:t>
      </w:r>
      <w:r>
        <w:t xml:space="preserve">0.02</w:t>
      </w:r>
      <w:r>
        <w:t xml:space="preserve"> </w:t>
      </w:r>
      <w:r>
        <w:t xml:space="preserve">0.02 0.02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Total net costs</w:t>
      </w:r>
      <w:r>
        <w:t xml:space="preserve"> </w:t>
      </w:r>
      <w:r>
        <w:t xml:space="preserve">68.0 115.4 19.9 101.2 156.4 37.4 344.7 2,767.6 4,501.4</w:t>
      </w:r>
      <w:r>
        <w:t xml:space="preserve"> </w:t>
      </w:r>
      <w:r>
        <w:t xml:space="preserve">Source : Ecorys and CE Delft (2023), Impact assessment support study; Note: negative values reflect costs</w:t>
      </w:r>
      <w:r>
        <w:t xml:space="preserve"> </w:t>
      </w:r>
      <w:r>
        <w:t xml:space="preserve">savings, where relevant.</w:t>
      </w:r>
    </w:p>
    <w:p>
      <w:pPr>
        <w:pStyle w:val="BodyText"/>
      </w:pPr>
      <w:r>
        <w:t xml:space="preserve">200</w:t>
      </w:r>
    </w:p>
    <w:p>
      <w:pPr>
        <w:pStyle w:val="BodyText"/>
      </w:pPr>
      <w:r>
        <w:t xml:space="preserve">ANNEX 11: CASE STUDIES AND USE CASES</w:t>
      </w:r>
      <w:r>
        <w:t xml:space="preserve"> </w:t>
      </w:r>
      <w:r>
        <w:t xml:space="preserve">This annex includes two case studies (the US SmartWay program and the SNCF287</w:t>
      </w:r>
      <w:r>
        <w:t xml:space="preserve"> </w:t>
      </w:r>
      <w:r>
        <w:t xml:space="preserve">initiative based on Article L. 1431-3 of the French Transport Code) and four use cases</w:t>
      </w:r>
      <w:r>
        <w:t xml:space="preserve"> </w:t>
      </w:r>
      <w:r>
        <w:t xml:space="preserve">(eco-labelling of transport services, sustainable delivery services, permit to enter low or</w:t>
      </w:r>
      <w:r>
        <w:t xml:space="preserve"> </w:t>
      </w:r>
      <w:r>
        <w:t xml:space="preserve">zero emissions zones, green public procurement) supporting the evidence underlying the</w:t>
      </w:r>
      <w:r>
        <w:t xml:space="preserve"> </w:t>
      </w:r>
      <w:r>
        <w:t xml:space="preserve">impacts and potential applications of CountEmissions EU.</w:t>
      </w:r>
      <w:r>
        <w:t xml:space="preserve"> </w:t>
      </w:r>
      <w:r>
        <w:t xml:space="preserve">1- Case study of United States Environmental Protection Agency SmartWay</w:t>
      </w:r>
      <w:r>
        <w:t xml:space="preserve"> </w:t>
      </w:r>
      <w:r>
        <w:t xml:space="preserve">Program</w:t>
      </w:r>
      <w:r>
        <w:t xml:space="preserve"> </w:t>
      </w:r>
      <w:r>
        <w:t xml:space="preserve">Brief Description</w:t>
      </w:r>
      <w:r>
        <w:t xml:space="preserve"> </w:t>
      </w:r>
      <w:r>
        <w:t xml:space="preserve">SmartWay is a voluntary partnership program established in 2004 by the US</w:t>
      </w:r>
      <w:r>
        <w:t xml:space="preserve"> </w:t>
      </w:r>
      <w:r>
        <w:t xml:space="preserve">Environmental Protection Agency (EPA) to reduce greenhouse gas emissions and air</w:t>
      </w:r>
      <w:r>
        <w:t xml:space="preserve"> </w:t>
      </w:r>
      <w:r>
        <w:t xml:space="preserve">pollution from the freight transportation industry. It aims to improve environmental</w:t>
      </w:r>
      <w:r>
        <w:t xml:space="preserve"> </w:t>
      </w:r>
      <w:r>
        <w:t xml:space="preserve">performance, energy efficiency, and sustainability in the sector, which includes trucking,</w:t>
      </w:r>
      <w:r>
        <w:t xml:space="preserve"> </w:t>
      </w:r>
      <w:r>
        <w:t xml:space="preserve">rail, maritime, and logistics operations. The EPA has also collaborated with counterparts</w:t>
      </w:r>
      <w:r>
        <w:t xml:space="preserve"> </w:t>
      </w:r>
      <w:r>
        <w:t xml:space="preserve">in Canada to establish (in 2012) a Canadian branch of the SmartWay program. More than</w:t>
      </w:r>
      <w:r>
        <w:t xml:space="preserve"> </w:t>
      </w:r>
      <w:r>
        <w:t xml:space="preserve">4000 North American companies are now part of the partnership with at least 3500 of those</w:t>
      </w:r>
      <w:r>
        <w:t xml:space="preserve"> </w:t>
      </w:r>
      <w:r>
        <w:t xml:space="preserve">coming from the United States. This case study focuses on the US EPA program.</w:t>
      </w:r>
      <w:r>
        <w:t xml:space="preserve"> </w:t>
      </w:r>
      <w:r>
        <w:t xml:space="preserve">Emissions accounting is a key component of the SmartWay system that helps participants</w:t>
      </w:r>
      <w:r>
        <w:t xml:space="preserve"> </w:t>
      </w:r>
      <w:r>
        <w:t xml:space="preserve">monitor their environmental performance and identify areas for improvement. The</w:t>
      </w:r>
      <w:r>
        <w:t xml:space="preserve"> </w:t>
      </w:r>
      <w:r>
        <w:t xml:space="preserve">program provides specific tools and resources (split by mode and activity) for participants</w:t>
      </w:r>
      <w:r>
        <w:t xml:space="preserve"> </w:t>
      </w:r>
      <w:r>
        <w:t xml:space="preserve">to accurately measure, benchmark, and report their emissions, including: greenhouse gases</w:t>
      </w:r>
      <w:r>
        <w:t xml:space="preserve"> </w:t>
      </w:r>
      <w:r>
        <w:t xml:space="preserve">(GHG), nitrogen oxides (NOx), and particulate matter (PM).</w:t>
      </w:r>
      <w:r>
        <w:t xml:space="preserve"> </w:t>
      </w:r>
      <w:r>
        <w:t xml:space="preserve">GHG accounting: drivers, scope, choices in accounting methodology</w:t>
      </w:r>
      <w:r>
        <w:t xml:space="preserve"> </w:t>
      </w:r>
      <w:r>
        <w:t xml:space="preserve">Key aspects of the SmartWay program’s emissions accounting approach include:</w:t>
      </w:r>
      <w:r>
        <w:t xml:space="preserve"> </w:t>
      </w:r>
      <w:r>
        <w:t xml:space="preserve"> Data collection: participants provide information on their fleet’s operations, fuel</w:t>
      </w:r>
      <w:r>
        <w:t xml:space="preserve"> </w:t>
      </w:r>
      <w:r>
        <w:t xml:space="preserve">consumption, and emissions, which is then used to calculate their environmental</w:t>
      </w:r>
      <w:r>
        <w:t xml:space="preserve"> </w:t>
      </w:r>
      <w:r>
        <w:t xml:space="preserve">performance.</w:t>
      </w:r>
      <w:r>
        <w:t xml:space="preserve"> </w:t>
      </w:r>
      <w:r>
        <w:t xml:space="preserve"> Emissions quantification: the EPA has developed tools which use standardised</w:t>
      </w:r>
      <w:r>
        <w:t xml:space="preserve"> </w:t>
      </w:r>
      <w:r>
        <w:t xml:space="preserve">methodologies and emissions factors to help participants quantify their emissions</w:t>
      </w:r>
      <w:r>
        <w:t xml:space="preserve"> </w:t>
      </w:r>
      <w:r>
        <w:t xml:space="preserve">and energy consumption. These tools are provided for: logistics companies; truck</w:t>
      </w:r>
      <w:r>
        <w:t xml:space="preserve"> </w:t>
      </w:r>
      <w:r>
        <w:t xml:space="preserve">carriers; rail carriers; air carriers; barge carriers; and shippers. A user guide is</w:t>
      </w:r>
      <w:r>
        <w:t xml:space="preserve"> </w:t>
      </w:r>
      <w:r>
        <w:t xml:space="preserve">developed for each tool and partners submit data annually.</w:t>
      </w:r>
      <w:r>
        <w:br/>
      </w:r>
      <w:r>
        <w:t xml:space="preserve"> Performance benchmarking: since 2011 the initiative enables participants to</w:t>
      </w:r>
      <w:r>
        <w:t xml:space="preserve"> </w:t>
      </w:r>
      <w:r>
        <w:t xml:space="preserve">compare their environmental performance with industry averages and peer groups,</w:t>
      </w:r>
      <w:r>
        <w:t xml:space="preserve"> </w:t>
      </w:r>
      <w:r>
        <w:t xml:space="preserve">which promotes best practices and helps identify opportunities for improvement.</w:t>
      </w:r>
    </w:p>
    <w:p>
      <w:pPr>
        <w:pStyle w:val="BodyText"/>
      </w:pPr>
      <w:r>
        <w:t xml:space="preserve">287 Société nationale des chemins de fer français: national rail operator in France</w:t>
      </w:r>
    </w:p>
    <w:p>
      <w:pPr>
        <w:pStyle w:val="BodyText"/>
      </w:pPr>
      <w:r>
        <w:t xml:space="preserve">201</w:t>
      </w:r>
    </w:p>
    <w:p>
      <w:pPr>
        <w:pStyle w:val="BodyText"/>
      </w:pPr>
      <w:r>
        <w:t xml:space="preserve"> Reporting and recognition: participants are encouraged to report their emissions</w:t>
      </w:r>
      <w:r>
        <w:t xml:space="preserve"> </w:t>
      </w:r>
      <w:r>
        <w:t xml:space="preserve">data and progress towards meeting their environmental goals. The EPA recognises</w:t>
      </w:r>
      <w:r>
        <w:t xml:space="preserve"> </w:t>
      </w:r>
      <w:r>
        <w:t xml:space="preserve">high-performing partners with awards and public acknowledgment, promoting a</w:t>
      </w:r>
      <w:r>
        <w:t xml:space="preserve"> </w:t>
      </w:r>
      <w:r>
        <w:t xml:space="preserve">culture of continuous improvement.</w:t>
      </w:r>
      <w:r>
        <w:t xml:space="preserve"> </w:t>
      </w:r>
      <w:r>
        <w:t xml:space="preserve"> Collaboration and sharing: the initiative fosters collaboration among stakeholders</w:t>
      </w:r>
      <w:r>
        <w:t xml:space="preserve"> </w:t>
      </w:r>
      <w:r>
        <w:t xml:space="preserve">to share knowledge, experience, and best practices in emissions reduction and</w:t>
      </w:r>
      <w:r>
        <w:t xml:space="preserve"> </w:t>
      </w:r>
      <w:r>
        <w:t xml:space="preserve">efficiency.</w:t>
      </w:r>
      <w:r>
        <w:t xml:space="preserve"> </w:t>
      </w:r>
      <w:r>
        <w:t xml:space="preserve">It is important to acknowledge the benchmarking and reporting dimension of the program,</w:t>
      </w:r>
      <w:r>
        <w:t xml:space="preserve"> </w:t>
      </w:r>
      <w:r>
        <w:t xml:space="preserve">which provides additional functionality with respect to the current scope of</w:t>
      </w:r>
      <w:r>
        <w:t xml:space="preserve"> </w:t>
      </w:r>
      <w:r>
        <w:t xml:space="preserve">CountEmissions EU. SmartWay is designed to take advantage of competitive pressures in</w:t>
      </w:r>
      <w:r>
        <w:t xml:space="preserve"> </w:t>
      </w:r>
      <w:r>
        <w:t xml:space="preserve">the transportation market by providing purchasing managers with environmental</w:t>
      </w:r>
      <w:r>
        <w:t xml:space="preserve"> </w:t>
      </w:r>
      <w:r>
        <w:t xml:space="preserve">performance information that shippers can use to assess and select firms based on their</w:t>
      </w:r>
      <w:r>
        <w:t xml:space="preserve"> </w:t>
      </w:r>
      <w:r>
        <w:t xml:space="preserve">environmental performance.</w:t>
      </w:r>
      <w:r>
        <w:t xml:space="preserve"> </w:t>
      </w:r>
      <w:r>
        <w:t xml:space="preserve">SmartWay has three types of partners: shipper partners (organisations that ship freight);</w:t>
      </w:r>
      <w:r>
        <w:t xml:space="preserve"> </w:t>
      </w:r>
      <w:r>
        <w:t xml:space="preserve">carrier partners (businesses that carry or move goods for shippers); and logistics company</w:t>
      </w:r>
      <w:r>
        <w:t xml:space="preserve"> </w:t>
      </w:r>
      <w:r>
        <w:t xml:space="preserve">partners (firms that hire freight carriers and manage freight shipments for shippers). There</w:t>
      </w:r>
      <w:r>
        <w:t xml:space="preserve"> </w:t>
      </w:r>
      <w:r>
        <w:t xml:space="preserve">is also an ‘affiliates’ category for organisations that do not fall into these categories but</w:t>
      </w:r>
      <w:r>
        <w:t xml:space="preserve"> </w:t>
      </w:r>
      <w:r>
        <w:t xml:space="preserve">want to participate in SmartWay. Note that deep sea shipping is not included into the scope</w:t>
      </w:r>
      <w:r>
        <w:t xml:space="preserve"> </w:t>
      </w:r>
      <w:r>
        <w:t xml:space="preserve">at this moment, however SmartWay has a memorandum of understanding (MoU) with the</w:t>
      </w:r>
      <w:r>
        <w:t xml:space="preserve"> </w:t>
      </w:r>
      <w:r>
        <w:t xml:space="preserve">Clean Cargo Working Group to include their ocean going freight trade lane emission</w:t>
      </w:r>
      <w:r>
        <w:t xml:space="preserve"> </w:t>
      </w:r>
      <w:r>
        <w:t xml:space="preserve">factors into SmartWay, and SmartWay is initiating coding changes in the tools and</w:t>
      </w:r>
      <w:r>
        <w:t xml:space="preserve"> </w:t>
      </w:r>
      <w:r>
        <w:t xml:space="preserve">database to execute on this aspect. Emissions from transhipment points (e.g. ports, hubs,</w:t>
      </w:r>
      <w:r>
        <w:t xml:space="preserve"> </w:t>
      </w:r>
      <w:r>
        <w:t xml:space="preserve">DCs) are not included into the scope at the moment. However, SmartWay is exploring the</w:t>
      </w:r>
      <w:r>
        <w:t xml:space="preserve"> </w:t>
      </w:r>
      <w:r>
        <w:t xml:space="preserve">potential to include emissions from distribution hubs.</w:t>
      </w:r>
      <w:r>
        <w:t xml:space="preserve"> </w:t>
      </w:r>
      <w:r>
        <w:t xml:space="preserve">The headline incentive from SmartWay (to encourage voluntary participation) is an</w:t>
      </w:r>
      <w:r>
        <w:t xml:space="preserve"> </w:t>
      </w:r>
      <w:r>
        <w:t xml:space="preserve">integrated set of no-cost, peer-reviewed sustainability accounting and tracking tools to help</w:t>
      </w:r>
      <w:r>
        <w:t xml:space="preserve"> </w:t>
      </w:r>
      <w:r>
        <w:t xml:space="preserve">companies make informed freight transport choices. These tools are then supposed to help</w:t>
      </w:r>
      <w:r>
        <w:t xml:space="preserve"> </w:t>
      </w:r>
      <w:r>
        <w:t xml:space="preserve">registered partners to measure, benchmark, and report emissions and to improve freight</w:t>
      </w:r>
      <w:r>
        <w:t xml:space="preserve"> </w:t>
      </w:r>
      <w:r>
        <w:t xml:space="preserve">efficiency and environmental performance across their supply chain.</w:t>
      </w:r>
      <w:r>
        <w:t xml:space="preserve"> </w:t>
      </w:r>
      <w:r>
        <w:t xml:space="preserve">SmartWay computes different KPIs for the different user types as shown directly below288:</w:t>
      </w:r>
    </w:p>
    <w:p>
      <w:pPr>
        <w:pStyle w:val="BodyText"/>
      </w:pPr>
      <w:r>
        <w:t xml:space="preserve">288 Davydenko, I., et al. </w:t>
      </w:r>
      <w:r>
        <w:t xml:space="preserve">“Towards harmonization of Carbon Footprinting methodologies: a recipe for</w:t>
      </w:r>
      <w:r>
        <w:t xml:space="preserve"> </w:t>
      </w:r>
      <w:r>
        <w:t xml:space="preserve">reporting in compliance with the GLEC Framework, Objectif CO2 and SmartWay for the accounting tool</w:t>
      </w:r>
      <w:r>
        <w:t xml:space="preserve"> </w:t>
      </w:r>
      <w:r>
        <w:t xml:space="preserve">BigMile™.”</w:t>
      </w:r>
      <w:r>
        <w:t xml:space="preserve"> </w:t>
      </w:r>
      <w:r>
        <w:t xml:space="preserve">TNO Report 11486 (2019).</w:t>
      </w:r>
    </w:p>
    <w:p>
      <w:pPr>
        <w:pStyle w:val="BodyText"/>
      </w:pPr>
      <w:r>
        <w:t xml:space="preserve">202</w:t>
      </w:r>
    </w:p>
    <w:p>
      <w:pPr>
        <w:pStyle w:val="BodyText"/>
      </w:pPr>
      <w:r>
        <w:t xml:space="preserve">Table 109: SmartWay KPIs</w:t>
      </w:r>
    </w:p>
    <w:p>
      <w:pPr>
        <w:pStyle w:val="BodyText"/>
      </w:pPr>
      <w:r>
        <w:t xml:space="preserve">Source: Ecorys and CE Delft (2023), Impact assessment support study</w:t>
      </w:r>
      <w:r>
        <w:t xml:space="preserve"> </w:t>
      </w:r>
      <w:r>
        <w:t xml:space="preserve">Methods and tools</w:t>
      </w:r>
      <w:r>
        <w:t xml:space="preserve"> </w:t>
      </w:r>
      <w:r>
        <w:t xml:space="preserve">SmartWay is centred on the use of tools, which are mentioned in the previous section. The</w:t>
      </w:r>
      <w:r>
        <w:t xml:space="preserve"> </w:t>
      </w:r>
      <w:r>
        <w:t xml:space="preserve">computations are hidden from the user. The underlying detailed methodology is provided</w:t>
      </w:r>
      <w:r>
        <w:t xml:space="preserve"> </w:t>
      </w:r>
      <w:r>
        <w:t xml:space="preserve">in the documents related to each tool, which can be found (updated each year) on the</w:t>
      </w:r>
      <w:r>
        <w:t xml:space="preserve"> </w:t>
      </w:r>
      <w:r>
        <w:t xml:space="preserve">SmartWay website.</w:t>
      </w:r>
      <w:r>
        <w:t xml:space="preserve"> </w:t>
      </w:r>
      <w:r>
        <w:t xml:space="preserve">The general SmartWay methodological approach is similar to other common carbon</w:t>
      </w:r>
      <w:r>
        <w:t xml:space="preserve"> </w:t>
      </w:r>
      <w:r>
        <w:t xml:space="preserve">accounting methods for freight transport (e.g. GLEC). Fuel and energy use are converted</w:t>
      </w:r>
      <w:r>
        <w:t xml:space="preserve"> </w:t>
      </w:r>
      <w:r>
        <w:t xml:space="preserve">to emissions, which are divided by the transport activity to calculate the performance</w:t>
      </w:r>
      <w:r>
        <w:t xml:space="preserve"> </w:t>
      </w:r>
      <w:r>
        <w:t xml:space="preserve">metrics. Both fuel/energy use and transport activity are input per year and then</w:t>
      </w:r>
      <w:r>
        <w:t xml:space="preserve"> </w:t>
      </w:r>
      <w:r>
        <w:t xml:space="preserve">disaggregated:</w:t>
      </w:r>
    </w:p>
    <w:p>
      <w:pPr>
        <w:pStyle w:val="BodyText"/>
      </w:pPr>
      <w:r>
        <w:t xml:space="preserve">203</w:t>
      </w:r>
    </w:p>
    <w:p>
      <w:pPr>
        <w:pStyle w:val="BodyText"/>
      </w:pPr>
      <w:r>
        <w:t xml:space="preserve">Figure 13: SmartWay approach</w:t>
      </w:r>
    </w:p>
    <w:p>
      <w:pPr>
        <w:pStyle w:val="BodyText"/>
      </w:pPr>
      <w:r>
        <w:t xml:space="preserve">Source : Ecorys and CE Delft (2023), Impact assessment support study</w:t>
      </w:r>
      <w:r>
        <w:t xml:space="preserve"> </w:t>
      </w:r>
      <w:r>
        <w:t xml:space="preserve">It should be noted that the SmartWay methodology enables to produce not only CO2</w:t>
      </w:r>
      <w:r>
        <w:t xml:space="preserve"> </w:t>
      </w:r>
      <w:r>
        <w:t xml:space="preserve">emission output, but also computes emissions of other pollutants (NOx, PM2.5, PM10 and</w:t>
      </w:r>
      <w:r>
        <w:t xml:space="preserve"> </w:t>
      </w:r>
      <w:r>
        <w:t xml:space="preserve">black carbon). SmartWay provides a conversion table for the quantity of fuel expressed in</w:t>
      </w:r>
      <w:r>
        <w:t xml:space="preserve"> </w:t>
      </w:r>
      <w:r>
        <w:t xml:space="preserve">gallons to be converted into grams of CO2. The table provides Tank-To-Wheel (TTW)289</w:t>
      </w:r>
      <w:r>
        <w:t xml:space="preserve"> </w:t>
      </w:r>
      <w:r>
        <w:t xml:space="preserve">conversion factor for CO2 emissions290. Emissions related to cooling (e.g. reefer) are also</w:t>
      </w:r>
      <w:r>
        <w:t xml:space="preserve"> </w:t>
      </w:r>
      <w:r>
        <w:t xml:space="preserve">included in the calculation. It should be noted that SmartWay does not include any</w:t>
      </w:r>
      <w:r>
        <w:t xml:space="preserve"> </w:t>
      </w:r>
      <w:r>
        <w:t xml:space="preserve">guidance on emissions related to infrastructure and vehicles production chain.</w:t>
      </w:r>
      <w:r>
        <w:t xml:space="preserve"> </w:t>
      </w:r>
      <w:r>
        <w:t xml:space="preserve">Impacts and costs</w:t>
      </w:r>
      <w:r>
        <w:t xml:space="preserve"> </w:t>
      </w:r>
      <w:r>
        <w:t xml:space="preserve">The impacts associated with the implementation of SmartWay have been reported by EPA</w:t>
      </w:r>
      <w:r>
        <w:t xml:space="preserve"> </w:t>
      </w:r>
      <w:r>
        <w:t xml:space="preserve">since 2004. SmartWay currently (as of 2022) claims to generate a saving of 357 million</w:t>
      </w:r>
      <w:r>
        <w:t xml:space="preserve"> </w:t>
      </w:r>
      <w:r>
        <w:t xml:space="preserve">barrels of oil- equivalent along with the avoidance of 152 million metric tons of CO2, 2.7</w:t>
      </w:r>
      <w:r>
        <w:t xml:space="preserve"> </w:t>
      </w:r>
      <w:r>
        <w:t xml:space="preserve">million short tons of NOx, and 112,000 short tons of PM since 2004 by its partners.291</w:t>
      </w:r>
      <w:r>
        <w:t xml:space="preserve"> </w:t>
      </w:r>
      <w:r>
        <w:t xml:space="preserve">SmartWay further claims a total fuel cost saving for the industry of USD 47.6 billion,</w:t>
      </w:r>
      <w:r>
        <w:t xml:space="preserve"> </w:t>
      </w:r>
      <w:r>
        <w:t xml:space="preserve">which contributes directly to lower consumer costs. The program highlights that the</w:t>
      </w:r>
      <w:r>
        <w:t xml:space="preserve"> </w:t>
      </w:r>
      <w:r>
        <w:t xml:space="preserve">distribution of positive impacts is overwhelmingly in communities near ports, borders and</w:t>
      </w:r>
    </w:p>
    <w:p>
      <w:pPr>
        <w:pStyle w:val="BodyText"/>
      </w:pPr>
      <w:r>
        <w:t xml:space="preserve">289 Davydenko, I., et al. </w:t>
      </w:r>
      <w:r>
        <w:t xml:space="preserve">“Towards harmonization of Carbon Footprinting methodologies: a recipe for</w:t>
      </w:r>
      <w:r>
        <w:t xml:space="preserve"> </w:t>
      </w:r>
      <w:r>
        <w:t xml:space="preserve">reporting in compliance with the GLEC Framework, Objectif CO2 and SmartWay for the accounting tool</w:t>
      </w:r>
      <w:r>
        <w:t xml:space="preserve"> </w:t>
      </w:r>
      <w:r>
        <w:t xml:space="preserve">BigMile™.”</w:t>
      </w:r>
      <w:r>
        <w:t xml:space="preserve"> </w:t>
      </w:r>
      <w:r>
        <w:t xml:space="preserve">TNO Report 11486 (2019).</w:t>
      </w:r>
      <w:r>
        <w:t xml:space="preserve"> </w:t>
      </w:r>
      <w:r>
        <w:t xml:space="preserve">290</w:t>
      </w:r>
      <w:r>
        <w:t xml:space="preserve"> </w:t>
      </w:r>
      <w:r>
        <w:t xml:space="preserve">https://app4.erg.com/smartwayweb/portal/download/SmartWay_2021_LTL_Carbon_Calculator_Technical</w:t>
      </w:r>
      <w:r>
        <w:t xml:space="preserve"> </w:t>
      </w:r>
      <w:r>
        <w:t xml:space="preserve">_Documentation.pdf</w:t>
      </w:r>
      <w:r>
        <w:t xml:space="preserve"> </w:t>
      </w:r>
      <w:r>
        <w:t xml:space="preserve">291 See: https://www.epa.gov/smartway/smartway-program-successes; or alternatively the SmartWay</w:t>
      </w:r>
      <w:r>
        <w:t xml:space="preserve"> </w:t>
      </w:r>
      <w:r>
        <w:t xml:space="preserve">Program Highlights for 2022 at https://www.epa.gov/system/files/documents/2023-02/420f23007.pdf</w:t>
      </w:r>
    </w:p>
    <w:p>
      <w:pPr>
        <w:pStyle w:val="BodyText"/>
      </w:pPr>
      <w:r>
        <w:t xml:space="preserve">204</w:t>
      </w:r>
    </w:p>
    <w:p>
      <w:pPr>
        <w:pStyle w:val="BodyText"/>
      </w:pPr>
      <w:r>
        <w:t xml:space="preserve">truck stops. However, the methodology used to arrive at these figures is not officially</w:t>
      </w:r>
      <w:r>
        <w:t xml:space="preserve"> </w:t>
      </w:r>
      <w:r>
        <w:t xml:space="preserve">provided.</w:t>
      </w:r>
      <w:r>
        <w:t xml:space="preserve"> </w:t>
      </w:r>
      <w:r>
        <w:t xml:space="preserve">There has not been a large amount of detail collected on costs associated with SmartWay.</w:t>
      </w:r>
      <w:r>
        <w:t xml:space="preserve"> </w:t>
      </w:r>
      <w:r>
        <w:t xml:space="preserve">The EPA budget allocated directly to SmartWay is not revealed as a line item in EPA</w:t>
      </w:r>
      <w:r>
        <w:t xml:space="preserve"> </w:t>
      </w:r>
      <w:r>
        <w:t xml:space="preserve">budget plans. However, it is assumed that between 2004 and 2011 the program reportedly</w:t>
      </w:r>
      <w:r>
        <w:t xml:space="preserve"> </w:t>
      </w:r>
      <w:r>
        <w:t xml:space="preserve">provided more than USD 30 million in financing to help truck owners, especially small-</w:t>
      </w:r>
      <w:r>
        <w:t xml:space="preserve"> </w:t>
      </w:r>
      <w:r>
        <w:t xml:space="preserve">and medium-sized firms, buy cleaner, more fuel-efficient trucks. It had a direct</w:t>
      </w:r>
      <w:r>
        <w:t xml:space="preserve"> </w:t>
      </w:r>
      <w:r>
        <w:t xml:space="preserve">administrative budget over that period of USD 1.5 million.</w:t>
      </w:r>
      <w:r>
        <w:t xml:space="preserve"> </w:t>
      </w:r>
      <w:r>
        <w:t xml:space="preserve">The participating stakeholders classify economic costs in three distinct categories:</w:t>
      </w:r>
      <w:r>
        <w:t xml:space="preserve"> </w:t>
      </w:r>
      <w:r>
        <w:t xml:space="preserve">administrative, investment and ongoing operational.</w:t>
      </w:r>
      <w:r>
        <w:t xml:space="preserve"> </w:t>
      </w:r>
      <w:r>
        <w:t xml:space="preserve">Administrative costs: participation in the SmartWay program requires time and resources</w:t>
      </w:r>
      <w:r>
        <w:t xml:space="preserve"> </w:t>
      </w:r>
      <w:r>
        <w:t xml:space="preserve">for data collection, emissions accounting, and reporting. These efforts may include staff</w:t>
      </w:r>
      <w:r>
        <w:t xml:space="preserve"> </w:t>
      </w:r>
      <w:r>
        <w:t xml:space="preserve">time, software, and training expenses. Although these are limited with the use of</w:t>
      </w:r>
      <w:r>
        <w:t xml:space="preserve"> </w:t>
      </w:r>
      <w:r>
        <w:t xml:space="preserve">centralised tools. In addition to the resource demand imposed on carriers, the SmartWay</w:t>
      </w:r>
      <w:r>
        <w:t xml:space="preserve"> </w:t>
      </w:r>
      <w:r>
        <w:t xml:space="preserve">team at EPA expend a sizable percentage of their staffing budgets on administrative</w:t>
      </w:r>
      <w:r>
        <w:t xml:space="preserve"> </w:t>
      </w:r>
      <w:r>
        <w:t xml:space="preserve">activities to ensure collection and management of good quality data from the partners</w:t>
      </w:r>
      <w:r>
        <w:t xml:space="preserve"> </w:t>
      </w:r>
      <w:r>
        <w:t xml:space="preserve">(access to this data is a large part of the value of the program).</w:t>
      </w:r>
      <w:r>
        <w:t xml:space="preserve"> </w:t>
      </w:r>
      <w:r>
        <w:t xml:space="preserve">Investment costs: to improve environmental performance, participants invest in more fuel-</w:t>
      </w:r>
      <w:r>
        <w:t xml:space="preserve"> </w:t>
      </w:r>
      <w:r>
        <w:t xml:space="preserve">efficient vehicles, technologies, or infrastructure. Primarily to reduce fuel use or freight</w:t>
      </w:r>
      <w:r>
        <w:t xml:space="preserve"> </w:t>
      </w:r>
      <w:r>
        <w:t xml:space="preserve">activity. Examples include the adoption of aerodynamic equipment, low-rolling-resistance</w:t>
      </w:r>
      <w:r>
        <w:t xml:space="preserve"> </w:t>
      </w:r>
      <w:r>
        <w:t xml:space="preserve">tires, or anti-idling technologies. These activities result in additional capital costs, but these</w:t>
      </w:r>
      <w:r>
        <w:t xml:space="preserve"> </w:t>
      </w:r>
      <w:r>
        <w:t xml:space="preserve">costs are arguably taken based on more transparent and precise information related to the</w:t>
      </w:r>
      <w:r>
        <w:t xml:space="preserve"> </w:t>
      </w:r>
      <w:r>
        <w:t xml:space="preserve">future emissions reduction and the associated costs savings.</w:t>
      </w:r>
      <w:r>
        <w:t xml:space="preserve"> </w:t>
      </w:r>
      <w:r>
        <w:t xml:space="preserve">Ongoing operational costs: Companies may face higher ongoing operational costs, such as</w:t>
      </w:r>
      <w:r>
        <w:t xml:space="preserve"> </w:t>
      </w:r>
      <w:r>
        <w:t xml:space="preserve">increased maintenance expenses or additional training for drivers to adopt more fuel-</w:t>
      </w:r>
      <w:r>
        <w:t xml:space="preserve"> </w:t>
      </w:r>
      <w:r>
        <w:t xml:space="preserve">efficient driving practices. Again, these costs are evidently incurred based on more</w:t>
      </w:r>
      <w:r>
        <w:t xml:space="preserve"> </w:t>
      </w:r>
      <w:r>
        <w:t xml:space="preserve">transparent and precise information stemming from the calculated levels of emissions.</w:t>
      </w:r>
      <w:r>
        <w:br/>
      </w:r>
      <w:r>
        <w:t xml:space="preserve">The evolution of costs associated with data collection</w:t>
      </w:r>
      <w:r>
        <w:t xml:space="preserve"> </w:t>
      </w:r>
      <w:r>
        <w:t xml:space="preserve">One of the most critical elements of SmartWay is the data collection and benchmarking.</w:t>
      </w:r>
      <w:r>
        <w:t xml:space="preserve"> </w:t>
      </w:r>
      <w:r>
        <w:t xml:space="preserve">Trucking companies that participate in SmartWay are responsible for completing annual</w:t>
      </w:r>
      <w:r>
        <w:t xml:space="preserve"> </w:t>
      </w:r>
      <w:r>
        <w:t xml:space="preserve">reports that require data related to operations, including fleet composition, activity</w:t>
      </w:r>
      <w:r>
        <w:t xml:space="preserve"> </w:t>
      </w:r>
      <w:r>
        <w:t xml:space="preserve">summaries, fuel consumption, etc. These reports are prepared manually and the time</w:t>
      </w:r>
      <w:r>
        <w:t xml:space="preserve"> </w:t>
      </w:r>
      <w:r>
        <w:t xml:space="preserve">needed to complete SmartWay submissions varies from a few hours up to several days</w:t>
      </w:r>
      <w:r>
        <w:t xml:space="preserve"> </w:t>
      </w:r>
      <w:r>
        <w:t xml:space="preserve">according to stakeholder interviews292. The variation results from: the fleet’s size and</w:t>
      </w:r>
      <w:r>
        <w:t xml:space="preserve"> </w:t>
      </w:r>
      <w:r>
        <w:t xml:space="preserve">sophistication (in its data recording practices); and familiarity with the SmartWay</w:t>
      </w:r>
      <w:r>
        <w:t xml:space="preserve"> </w:t>
      </w:r>
      <w:r>
        <w:t xml:space="preserve">reporting process.</w:t>
      </w:r>
      <w:r>
        <w:br/>
      </w:r>
      <w:r>
        <w:t xml:space="preserve">The emergence of IT technologies, driven to a large extent by regulatory requirements that</w:t>
      </w:r>
      <w:r>
        <w:t xml:space="preserve"> </w:t>
      </w:r>
      <w:r>
        <w:t xml:space="preserve">commercial drivers maintain electronic logs, provides a strong future opportunity to</w:t>
      </w:r>
    </w:p>
    <w:p>
      <w:pPr>
        <w:pStyle w:val="BodyText"/>
      </w:pPr>
      <w:r>
        <w:t xml:space="preserve">292 Sharpe, Ben.</w:t>
      </w:r>
      <w:r>
        <w:t xml:space="preserve"> </w:t>
      </w:r>
      <w:r>
        <w:t xml:space="preserve">“Modernizing data collection and reporting methods for the SmartWay Program.”</w:t>
      </w:r>
      <w:r>
        <w:t xml:space="preserve"> </w:t>
      </w:r>
      <w:r>
        <w:t xml:space="preserve">(2019).</w:t>
      </w:r>
    </w:p>
    <w:p>
      <w:pPr>
        <w:pStyle w:val="BodyText"/>
      </w:pPr>
      <w:r>
        <w:t xml:space="preserve">205</w:t>
      </w:r>
    </w:p>
    <w:p>
      <w:pPr>
        <w:pStyle w:val="BodyText"/>
      </w:pPr>
      <w:r>
        <w:t xml:space="preserve">standardise and automate data collection, management and reporting processes. In addition</w:t>
      </w:r>
      <w:r>
        <w:t xml:space="preserve"> </w:t>
      </w:r>
      <w:r>
        <w:t xml:space="preserve">to providing location tracking, telematics systems and electronic logging devices (ELDs)</w:t>
      </w:r>
      <w:r>
        <w:t xml:space="preserve"> </w:t>
      </w:r>
      <w:r>
        <w:t xml:space="preserve">connect to on-board diagnostic (OBD) ports in vehicles and thus have access to the</w:t>
      </w:r>
      <w:r>
        <w:t xml:space="preserve"> </w:t>
      </w:r>
      <w:r>
        <w:t xml:space="preserve">extensive operations data collected by various systems such as the engine, emissions</w:t>
      </w:r>
      <w:r>
        <w:t xml:space="preserve"> </w:t>
      </w:r>
      <w:r>
        <w:t xml:space="preserve">aftertreatment systems, transmission and driveline, and chassis.</w:t>
      </w:r>
      <w:r>
        <w:br/>
      </w:r>
      <w:r>
        <w:t xml:space="preserve">Data collection and quality assurance represents a significant percentage of fleets’ overall</w:t>
      </w:r>
      <w:r>
        <w:t xml:space="preserve"> </w:t>
      </w:r>
      <w:r>
        <w:t xml:space="preserve">time spent engaging with the SmartWay program. Automating SmartWay data collection</w:t>
      </w:r>
      <w:r>
        <w:t xml:space="preserve"> </w:t>
      </w:r>
      <w:r>
        <w:t xml:space="preserve">and submission is a value proposition for fleets, SmartWay staff, and telematics providers.</w:t>
      </w:r>
      <w:r>
        <w:t xml:space="preserve"> </w:t>
      </w:r>
      <w:r>
        <w:t xml:space="preserve">All of the interviewees in 2019 research conducted by Ben Sharpe expressed a desire for</w:t>
      </w:r>
      <w:r>
        <w:t xml:space="preserve"> </w:t>
      </w:r>
      <w:r>
        <w:t xml:space="preserve">SmartWay to modernize the data collection and reporting methods293. The fleet and</w:t>
      </w:r>
      <w:r>
        <w:t xml:space="preserve"> </w:t>
      </w:r>
      <w:r>
        <w:t xml:space="preserve">trucking association representatives stated that automating much of the SmartWay data</w:t>
      </w:r>
      <w:r>
        <w:t xml:space="preserve"> </w:t>
      </w:r>
      <w:r>
        <w:t xml:space="preserve">process could save them time and money and allow them to participate more fully in the</w:t>
      </w:r>
      <w:r>
        <w:t xml:space="preserve"> </w:t>
      </w:r>
      <w:r>
        <w:t xml:space="preserve">program.294 A common theme in the interviews was also that data privacy must be a major</w:t>
      </w:r>
      <w:r>
        <w:t xml:space="preserve"> </w:t>
      </w:r>
      <w:r>
        <w:t xml:space="preserve">focus if automatic data collection is to be successfully implemented.295 A telematics</w:t>
      </w:r>
      <w:r>
        <w:t xml:space="preserve"> </w:t>
      </w:r>
      <w:r>
        <w:t xml:space="preserve">company interviewed, reported that they would soon market automatic SmartWay report</w:t>
      </w:r>
      <w:r>
        <w:t xml:space="preserve"> </w:t>
      </w:r>
      <w:r>
        <w:t xml:space="preserve">creation to prospective customers. Costs are expected to reduce.</w:t>
      </w:r>
      <w:r>
        <w:t xml:space="preserve"> </w:t>
      </w:r>
      <w:r>
        <w:t xml:space="preserve">Benefits</w:t>
      </w:r>
      <w:r>
        <w:t xml:space="preserve"> </w:t>
      </w:r>
      <w:r>
        <w:t xml:space="preserve">As summarised earlier, among the benefits claimed to result directly from the program are:</w:t>
      </w:r>
      <w:r>
        <w:t xml:space="preserve"> </w:t>
      </w:r>
      <w:r>
        <w:t xml:space="preserve"> Fuel savings: By adopting more fuel-efficient technologies and practices, companies</w:t>
      </w:r>
      <w:r>
        <w:t xml:space="preserve"> </w:t>
      </w:r>
      <w:r>
        <w:t xml:space="preserve">can save on fuel costs. According to the EPA, from 2004 to 2022, SmartWay partners</w:t>
      </w:r>
      <w:r>
        <w:t xml:space="preserve"> </w:t>
      </w:r>
      <w:r>
        <w:t xml:space="preserve">saved over 357 million barrels of oil, which translates to a cost savings of more than</w:t>
      </w:r>
      <w:r>
        <w:t xml:space="preserve"> </w:t>
      </w:r>
      <w:r>
        <w:t xml:space="preserve">USD 47.6 billion.</w:t>
      </w:r>
      <w:r>
        <w:t xml:space="preserve"> </w:t>
      </w:r>
      <w:r>
        <w:t xml:space="preserve"> Emission reductions: SmartWay partners have significantly reduced their emissions,</w:t>
      </w:r>
      <w:r>
        <w:t xml:space="preserve"> </w:t>
      </w:r>
      <w:r>
        <w:t xml:space="preserve">improving air quality and mitigating climate change. As of 2022, the EPA reported that</w:t>
      </w:r>
      <w:r>
        <w:t xml:space="preserve"> </w:t>
      </w:r>
      <w:r>
        <w:t xml:space="preserve">partners had prevented the 152 million metric tons of CO2, 2.7 million short tons of</w:t>
      </w:r>
      <w:r>
        <w:t xml:space="preserve"> </w:t>
      </w:r>
      <w:r>
        <w:t xml:space="preserve">NOx, and 112,000 short tons of PM.</w:t>
      </w:r>
      <w:r>
        <w:t xml:space="preserve"> </w:t>
      </w:r>
      <w:r>
        <w:t xml:space="preserve"> Enhanced reputation: By participating in the initiative, companies can demonstrate</w:t>
      </w:r>
      <w:r>
        <w:t xml:space="preserve"> </w:t>
      </w:r>
      <w:r>
        <w:t xml:space="preserve">their commitment to sustainability and environmental responsibility. This can lead to</w:t>
      </w:r>
      <w:r>
        <w:t xml:space="preserve"> </w:t>
      </w:r>
      <w:r>
        <w:t xml:space="preserve">improved brand image, customer loyalty, and potential business opportunities.</w:t>
      </w:r>
      <w:r>
        <w:t xml:space="preserve"> </w:t>
      </w:r>
      <w:r>
        <w:t xml:space="preserve"> Cost-sharing and collaboration: Participation in the SmartWay Initiative provides</w:t>
      </w:r>
      <w:r>
        <w:t xml:space="preserve"> </w:t>
      </w:r>
      <w:r>
        <w:t xml:space="preserve">opportunities to collaborate with other stakeholders, share best practices, and access</w:t>
      </w:r>
      <w:r>
        <w:t xml:space="preserve"> </w:t>
      </w:r>
      <w:r>
        <w:t xml:space="preserve">resources to reduce the costs associated with implementing sustainable solutions.</w:t>
      </w:r>
      <w:r>
        <w:t xml:space="preserve"> </w:t>
      </w:r>
      <w:r>
        <w:t xml:space="preserve">SmartWay enables companies across the supply chain to exchange performance data.</w:t>
      </w:r>
      <w:r>
        <w:t xml:space="preserve"> </w:t>
      </w:r>
      <w:r>
        <w:t xml:space="preserve">With consistent, quality-checked information and tools, SmartWay helps companies</w:t>
      </w:r>
      <w:r>
        <w:t xml:space="preserve"> </w:t>
      </w:r>
      <w:r>
        <w:t xml:space="preserve">spend less time figuring out their freight supply chain footprints.</w:t>
      </w:r>
    </w:p>
    <w:p>
      <w:pPr>
        <w:pStyle w:val="BodyText"/>
      </w:pPr>
      <w:r>
        <w:t xml:space="preserve">293 Sharpe, Ben.</w:t>
      </w:r>
      <w:r>
        <w:t xml:space="preserve"> </w:t>
      </w:r>
      <w:r>
        <w:t xml:space="preserve">“Modernizing data collection and reporting methods for the SmartWay Program.”</w:t>
      </w:r>
      <w:r>
        <w:t xml:space="preserve"> </w:t>
      </w:r>
      <w:r>
        <w:t xml:space="preserve">(2019).</w:t>
      </w:r>
      <w:r>
        <w:t xml:space="preserve"> </w:t>
      </w:r>
      <w:r>
        <w:t xml:space="preserve">294 Sharpe, Ben.</w:t>
      </w:r>
      <w:r>
        <w:t xml:space="preserve"> </w:t>
      </w:r>
      <w:r>
        <w:t xml:space="preserve">“Modernizing data collection and reporting methods for the SmartWay Program.”</w:t>
      </w:r>
      <w:r>
        <w:t xml:space="preserve"> </w:t>
      </w:r>
      <w:r>
        <w:t xml:space="preserve">(2019).</w:t>
      </w:r>
      <w:r>
        <w:t xml:space="preserve"> </w:t>
      </w:r>
      <w:r>
        <w:t xml:space="preserve">295 Sharpe, Ben.</w:t>
      </w:r>
      <w:r>
        <w:t xml:space="preserve"> </w:t>
      </w:r>
      <w:r>
        <w:t xml:space="preserve">“Modernizing data collection and reporting methods for the SmartWay Program.”</w:t>
      </w:r>
      <w:r>
        <w:t xml:space="preserve"> </w:t>
      </w:r>
      <w:r>
        <w:t xml:space="preserve">(2019).</w:t>
      </w:r>
    </w:p>
    <w:p>
      <w:pPr>
        <w:pStyle w:val="BodyText"/>
      </w:pPr>
      <w:r>
        <w:t xml:space="preserve">206</w:t>
      </w:r>
    </w:p>
    <w:p>
      <w:pPr>
        <w:pStyle w:val="BodyText"/>
      </w:pPr>
      <w:r>
        <w:t xml:space="preserve"> Regulatory compliance: By proactively reducing emissions and adopting cleaner</w:t>
      </w:r>
      <w:r>
        <w:t xml:space="preserve"> </w:t>
      </w:r>
      <w:r>
        <w:t xml:space="preserve">technologies, companies can stay ahead of potential future regulations and avoid</w:t>
      </w:r>
      <w:r>
        <w:t xml:space="preserve"> </w:t>
      </w:r>
      <w:r>
        <w:t xml:space="preserve">potential fines and penalties.</w:t>
      </w:r>
      <w:r>
        <w:t xml:space="preserve"> </w:t>
      </w:r>
      <w:r>
        <w:t xml:space="preserve">While all other benefits are claimed by the program itself, recent (2023) research by Scott</w:t>
      </w:r>
      <w:r>
        <w:t xml:space="preserve"> </w:t>
      </w:r>
      <w:r>
        <w:t xml:space="preserve">and co-authors evaluates the SmartWay Program by using a method to assess the</w:t>
      </w:r>
      <w:r>
        <w:t xml:space="preserve"> </w:t>
      </w:r>
      <w:r>
        <w:t xml:space="preserve">investment decisions and performance of the SmartWay partner (trucking) companies</w:t>
      </w:r>
      <w:r>
        <w:t xml:space="preserve"> </w:t>
      </w:r>
      <w:r>
        <w:t xml:space="preserve">against non-partner companies296. The results demonstrate that participation in the EPA</w:t>
      </w:r>
      <w:r>
        <w:t xml:space="preserve"> </w:t>
      </w:r>
      <w:r>
        <w:t xml:space="preserve">SmartWay program can facilitate a significant reduction in greenhouse gas emissions,</w:t>
      </w:r>
      <w:r>
        <w:t xml:space="preserve"> </w:t>
      </w:r>
      <w:r>
        <w:t xml:space="preserve">especially due to investments in newer trucks and cleaner technologies. The analysis</w:t>
      </w:r>
      <w:r>
        <w:t xml:space="preserve"> </w:t>
      </w:r>
      <w:r>
        <w:t xml:space="preserve">estimated that between 2012 and 2019 the SmartWay Program reduced commercial</w:t>
      </w:r>
      <w:r>
        <w:t xml:space="preserve"> </w:t>
      </w:r>
      <w:r>
        <w:t xml:space="preserve">transport-related emissions from operations by 25.2 million metric tons of CO2 (equivalent</w:t>
      </w:r>
      <w:r>
        <w:t xml:space="preserve"> </w:t>
      </w:r>
      <w:r>
        <w:t xml:space="preserve">of almost 15.2 billion truck-miles) by increasing the incentive to invest in newer, cleaner</w:t>
      </w:r>
      <w:r>
        <w:t xml:space="preserve"> </w:t>
      </w:r>
      <w:r>
        <w:t xml:space="preserve">trucks alone. These research results suggest the EPA program level claims are credible.</w:t>
      </w:r>
      <w:r>
        <w:t xml:space="preserve"> </w:t>
      </w:r>
      <w:r>
        <w:t xml:space="preserve">2- Case study of the SNCF GHG calculation methodology for transport services:</w:t>
      </w:r>
      <w:r>
        <w:t xml:space="preserve"> </w:t>
      </w:r>
      <w:r>
        <w:t xml:space="preserve">application of Article L. 1431-3 of the French Transport Code297</w:t>
      </w:r>
      <w:r>
        <w:t xml:space="preserve"> </w:t>
      </w:r>
      <w:r>
        <w:t xml:space="preserve">Brief description</w:t>
      </w:r>
      <w:r>
        <w:t xml:space="preserve"> </w:t>
      </w:r>
      <w:r>
        <w:t xml:space="preserve">The calculation methodology used by the SNCF complies with the methodological guide</w:t>
      </w:r>
      <w:r>
        <w:t xml:space="preserve"> </w:t>
      </w:r>
      <w:r>
        <w:t xml:space="preserve">published by the French government as regards the calculation and declaration of GHG</w:t>
      </w:r>
      <w:r>
        <w:t xml:space="preserve"> </w:t>
      </w:r>
      <w:r>
        <w:t xml:space="preserve">emissions of transport298.</w:t>
      </w:r>
      <w:r>
        <w:t xml:space="preserve"> </w:t>
      </w:r>
      <w:r>
        <w:t xml:space="preserve">In order to promote lowest emissions in transport, Article L.1431-3 of the French Transport</w:t>
      </w:r>
      <w:r>
        <w:t xml:space="preserve"> </w:t>
      </w:r>
      <w:r>
        <w:t xml:space="preserve">Code establishes that any persons who market or organize a transport service for people,</w:t>
      </w:r>
      <w:r>
        <w:t xml:space="preserve"> </w:t>
      </w:r>
      <w:r>
        <w:t xml:space="preserve">goods or removals must provide the beneficiary of the service with information on the</w:t>
      </w:r>
      <w:r>
        <w:t xml:space="preserve"> </w:t>
      </w:r>
      <w:r>
        <w:t xml:space="preserve">quantity of GHG emitted by the mode or modes of transport used to provide this service.</w:t>
      </w:r>
      <w:r>
        <w:t xml:space="preserve"> </w:t>
      </w:r>
      <w:r>
        <w:t xml:space="preserve">Articles from D. 1431-1 to D. 1431-23 of the Code set the calculation principles common</w:t>
      </w:r>
      <w:r>
        <w:t xml:space="preserve"> </w:t>
      </w:r>
      <w:r>
        <w:t xml:space="preserve">to all modes of transport. They specify the procedures for informing the beneficiary as well</w:t>
      </w:r>
      <w:r>
        <w:t xml:space="preserve"> </w:t>
      </w:r>
      <w:r>
        <w:t xml:space="preserve">as the timetable for implementing the provisions. The methodology is based on the</w:t>
      </w:r>
      <w:r>
        <w:t xml:space="preserve"> </w:t>
      </w:r>
      <w:r>
        <w:t xml:space="preserve">European standard relating to the calculation and declaration of energy and GHG emissions</w:t>
      </w:r>
      <w:r>
        <w:t xml:space="preserve"> </w:t>
      </w:r>
      <w:r>
        <w:t xml:space="preserve">from transport services (CEN EN 16258).</w:t>
      </w:r>
      <w:r>
        <w:t xml:space="preserve"> </w:t>
      </w:r>
      <w:r>
        <w:t xml:space="preserve">The quantities of GHGs taken into account are those emitted during the operation of modes</w:t>
      </w:r>
      <w:r>
        <w:t xml:space="preserve"> </w:t>
      </w:r>
      <w:r>
        <w:t xml:space="preserve">of transport and those originating from the upstream phase of production of energy sources</w:t>
      </w:r>
      <w:r>
        <w:t xml:space="preserve"> </w:t>
      </w:r>
      <w:r>
        <w:t xml:space="preserve">(e.g., refining, transport, distribution, etc.). The information on the quantity of GHG</w:t>
      </w:r>
      <w:r>
        <w:t xml:space="preserve"> </w:t>
      </w:r>
      <w:r>
        <w:t xml:space="preserve">emitted is determined for each segment of the itinerary travelled during the transport</w:t>
      </w:r>
      <w:r>
        <w:t xml:space="preserve"> </w:t>
      </w:r>
      <w:r>
        <w:t xml:space="preserve">activity.</w:t>
      </w:r>
      <w:r>
        <w:t xml:space="preserve"> </w:t>
      </w:r>
      <w:r>
        <w:t xml:space="preserve">GHG accounting: drivers, scope, choices in accounting methodology</w:t>
      </w:r>
    </w:p>
    <w:p>
      <w:pPr>
        <w:pStyle w:val="BodyText"/>
      </w:pPr>
      <w:r>
        <w:t xml:space="preserve">296 Scott, Alex, et al. </w:t>
      </w:r>
      <w:r>
        <w:t xml:space="preserve">“Do voluntary environmental programs matter? Evidence from the EPA SmartWay</w:t>
      </w:r>
      <w:r>
        <w:t xml:space="preserve"> </w:t>
      </w:r>
      <w:r>
        <w:t xml:space="preserve">program.”</w:t>
      </w:r>
      <w:r>
        <w:t xml:space="preserve"> </w:t>
      </w:r>
      <w:r>
        <w:t xml:space="preserve">Journal of Operations Management 69.2 (2023): 284-304.</w:t>
      </w:r>
      <w:r>
        <w:t xml:space="preserve"> </w:t>
      </w:r>
      <w:r>
        <w:t xml:space="preserve">297 SNCF (2022). Greenhouse gases information for transport services, Social, Territorial and Environmental</w:t>
      </w:r>
      <w:r>
        <w:t xml:space="preserve"> </w:t>
      </w:r>
      <w:r>
        <w:t xml:space="preserve">Commitment Department. Link available here</w:t>
      </w:r>
      <w:r>
        <w:br/>
      </w:r>
      <w:r>
        <w:t xml:space="preserve">298 See Méthodologie pour le calcul et la déclaration de la consommation d’énergie et des émissions de gaz</w:t>
      </w:r>
      <w:r>
        <w:t xml:space="preserve"> </w:t>
      </w:r>
      <w:r>
        <w:t xml:space="preserve">à effet de serre (GES) des prestations de transport (fret et passagers) (2012). Document available here</w:t>
      </w:r>
    </w:p>
    <w:p>
      <w:pPr>
        <w:pStyle w:val="BodyText"/>
      </w:pPr>
      <w:r>
        <w:t xml:space="preserve">207</w:t>
      </w:r>
    </w:p>
    <w:p>
      <w:pPr>
        <w:pStyle w:val="BodyText"/>
      </w:pPr>
      <w:r>
        <w:t xml:space="preserve">The French Transport Code describes the general methodology allowing a transport</w:t>
      </w:r>
      <w:r>
        <w:t xml:space="preserve"> </w:t>
      </w:r>
      <w:r>
        <w:t xml:space="preserve">company to calculate the quantity of energy consumed for each segment of the itinerary,</w:t>
      </w:r>
      <w:r>
        <w:t xml:space="preserve"> </w:t>
      </w:r>
      <w:r>
        <w:t xml:space="preserve">by performing the product of the distance-based energy consumption rate of the mode of</w:t>
      </w:r>
      <w:r>
        <w:t xml:space="preserve"> </w:t>
      </w:r>
      <w:r>
        <w:t xml:space="preserve">transport used by the distance travelled. The quantity of energy is multiplied by an</w:t>
      </w:r>
      <w:r>
        <w:t xml:space="preserve"> </w:t>
      </w:r>
      <w:r>
        <w:t xml:space="preserve">emission factor specific to each type of energy. This factor establishes the correspondence</w:t>
      </w:r>
      <w:r>
        <w:t xml:space="preserve"> </w:t>
      </w:r>
      <w:r>
        <w:t xml:space="preserve">between the quantity of energy consumed and the quantity of GHG emitted. The values of</w:t>
      </w:r>
      <w:r>
        <w:t xml:space="preserve"> </w:t>
      </w:r>
      <w:r>
        <w:t xml:space="preserve">the GHG emission factors of the various energy sources are available on the website of the</w:t>
      </w:r>
      <w:r>
        <w:t xml:space="preserve"> </w:t>
      </w:r>
      <w:r>
        <w:t xml:space="preserve">relevant authority: Agence de l’environnement et de la maîtrise de l’énergie (ADEME).</w:t>
      </w:r>
      <w:r>
        <w:t xml:space="preserve"> </w:t>
      </w:r>
      <w:r>
        <w:t xml:space="preserve">When it comes to the GHG calculator of the SNCF, emissions of rail passenger activities</w:t>
      </w:r>
      <w:r>
        <w:t xml:space="preserve"> </w:t>
      </w:r>
      <w:r>
        <w:t xml:space="preserve">are estimated by multiplying the distance travelled299 by the average amount of CO2e</w:t>
      </w:r>
      <w:r>
        <w:t xml:space="preserve"> </w:t>
      </w:r>
      <w:r>
        <w:t xml:space="preserve">emitted per passenger-km, according to the type of train operated. Notably, the SNCF GHG</w:t>
      </w:r>
      <w:r>
        <w:t xml:space="preserve"> </w:t>
      </w:r>
      <w:r>
        <w:t xml:space="preserve">calculator distinguishes 4 main types of trains: TGV, Intercités, TER and Transilien.</w:t>
      </w:r>
      <w:r>
        <w:br/>
      </w:r>
      <w:r>
        <w:t xml:space="preserve">For each type of train, the average amount of CO2e emitted per km travelled is calculated</w:t>
      </w:r>
      <w:r>
        <w:t xml:space="preserve"> </w:t>
      </w:r>
      <w:r>
        <w:t xml:space="preserve">for each year by dividing the energy consumption of the previous year (applying a CO2e</w:t>
      </w:r>
      <w:r>
        <w:t xml:space="preserve"> </w:t>
      </w:r>
      <w:r>
        <w:t xml:space="preserve">emission factor according to the type of energy)300 by the average volume of passengers</w:t>
      </w:r>
      <w:r>
        <w:t xml:space="preserve"> </w:t>
      </w:r>
      <w:r>
        <w:t xml:space="preserve">transported during the previous year and the distance they travelled (i.e., passenger-km</w:t>
      </w:r>
      <w:r>
        <w:t xml:space="preserve"> </w:t>
      </w:r>
      <w:r>
        <w:t xml:space="preserve">based on scope 3 input data). Accordingly, the calculation methodology provides the</w:t>
      </w:r>
      <w:r>
        <w:t xml:space="preserve"> </w:t>
      </w:r>
      <w:r>
        <w:t xml:space="preserve">amount of GHG emitted as follows.</w:t>
      </w:r>
      <w:r>
        <w:t xml:space="preserve"> </w:t>
      </w:r>
      <w:r>
        <w:t xml:space="preserve">𝐺𝐻𝐺 𝑒𝑚𝑖𝑠𝑠𝑖𝑜𝑛𝑠 (𝑔𝐶𝑂2𝑒</w:t>
      </w:r>
      <w:r>
        <w:t xml:space="preserve"> </w:t>
      </w:r>
      <w:r>
        <w:t xml:space="preserve">𝑘𝑚) =</w:t>
      </w:r>
      <w:r>
        <w:t xml:space="preserve"> </w:t>
      </w:r>
      <w:r>
        <w:t xml:space="preserve">∑</w:t>
      </w:r>
      <w:r>
        <w:t xml:space="preserve"> </w:t>
      </w:r>
      <w:r>
        <w:t xml:space="preserve">𝑒𝑙𝑒𝑐𝑡𝑟𝑖𝑐𝑖𝑡𝑦 𝑐𝑜𝑛𝑠𝑢𝑚𝑝𝑡𝑖𝑜𝑛 ∙𝑒𝑙𝑒𝑐𝑡𝑟𝑖𝑐𝑖𝑡𝑦 𝑒𝑚𝑖𝑠𝑠𝑖𝑜𝑛 𝑓𝑎𝑐𝑡𝑜𝑟+</w:t>
      </w:r>
      <w:r>
        <w:t xml:space="preserve"> </w:t>
      </w:r>
      <w:r>
        <w:t xml:space="preserve">𝑑𝑖𝑒𝑠𝑒𝑙 𝑐𝑜𝑛𝑠𝑢𝑚𝑝𝑡𝑖𝑜𝑛 ∙𝑑𝑖𝑒𝑠𝑒𝑙 𝑒𝑚𝑖𝑠𝑠𝑖𝑜𝑛 𝑓𝑎𝑐𝑡𝑜𝑟+</w:t>
      </w:r>
      <w:r>
        <w:t xml:space="preserve"> </w:t>
      </w:r>
      <w:r>
        <w:t xml:space="preserve">𝑏𝑖𝑜𝑑𝑖𝑒𝑠𝑒𝑙 𝑐𝑜𝑛𝑠𝑢𝑚𝑝𝑡𝑖𝑜𝑛 ∙𝑏𝑖𝑜𝑑𝑖𝑒𝑠𝑒𝑙 𝑒𝑚𝑖𝑠𝑠𝑖𝑜𝑛 𝑓𝑎𝑐𝑡𝑜𝑟</w:t>
      </w:r>
      <w:r>
        <w:t xml:space="preserve"> </w:t>
      </w:r>
      <w:r>
        <w:t xml:space="preserve">𝑝𝑎𝑠𝑠𝑒𝑛𝑔𝑒𝑟∙𝑘𝑚</w:t>
      </w:r>
    </w:p>
    <w:p>
      <w:pPr>
        <w:pStyle w:val="BodyText"/>
      </w:pPr>
      <w:r>
        <w:t xml:space="preserve">Following a methodological change introduced by the ADEME for the electricity emission</w:t>
      </w:r>
      <w:r>
        <w:t xml:space="preserve"> </w:t>
      </w:r>
      <w:r>
        <w:t xml:space="preserve">factor, the SNCF has chosen to introduce the average national energy mix value and no</w:t>
      </w:r>
      <w:r>
        <w:t xml:space="preserve"> </w:t>
      </w:r>
      <w:r>
        <w:t xml:space="preserve">longer use a specific value for rail traction electricity. On the one hand, this methodological</w:t>
      </w:r>
      <w:r>
        <w:t xml:space="preserve"> </w:t>
      </w:r>
      <w:r>
        <w:t xml:space="preserve">choice allowed the SNCF to harmonise the calculator with the existing international</w:t>
      </w:r>
      <w:r>
        <w:t xml:space="preserve"> </w:t>
      </w:r>
      <w:r>
        <w:t xml:space="preserve">practices. On the other hand, it determined an increase of the French emission factors, as</w:t>
      </w:r>
      <w:r>
        <w:t xml:space="preserve"> </w:t>
      </w:r>
      <w:r>
        <w:t xml:space="preserve">shown in Table 110</w:t>
      </w:r>
      <w:r>
        <w:t xml:space="preserve"> </w:t>
      </w:r>
      <w:r>
        <w:t xml:space="preserve">Table 110: Emission factors by type of passenger train service (gCO2e/kWh)</w:t>
      </w:r>
      <w:r>
        <w:t xml:space="preserve"> </w:t>
      </w:r>
      <w:r>
        <w:t xml:space="preserve">Time</w:t>
      </w:r>
      <w:r>
        <w:t xml:space="preserve"> </w:t>
      </w:r>
      <w:r>
        <w:t xml:space="preserve">Intercites</w:t>
      </w:r>
      <w:r>
        <w:t xml:space="preserve"> </w:t>
      </w:r>
      <w:r>
        <w:t xml:space="preserve">TGV</w:t>
      </w:r>
      <w:r>
        <w:t xml:space="preserve"> </w:t>
      </w:r>
      <w:r>
        <w:t xml:space="preserve">Transilien</w:t>
      </w:r>
      <w:r>
        <w:t xml:space="preserve"> </w:t>
      </w:r>
      <w:r>
        <w:t xml:space="preserve">TER</w:t>
      </w:r>
      <w:r>
        <w:t xml:space="preserve"> </w:t>
      </w:r>
      <w:r>
        <w:t xml:space="preserve">Before 2019</w:t>
      </w:r>
      <w:r>
        <w:t xml:space="preserve"> </w:t>
      </w:r>
      <w:r>
        <w:t xml:space="preserve">5.29</w:t>
      </w:r>
      <w:r>
        <w:t xml:space="preserve"> </w:t>
      </w:r>
      <w:r>
        <w:t xml:space="preserve">1.73</w:t>
      </w:r>
      <w:r>
        <w:t xml:space="preserve"> </w:t>
      </w:r>
      <w:r>
        <w:t xml:space="preserve">4.75</w:t>
      </w:r>
      <w:r>
        <w:t xml:space="preserve"> </w:t>
      </w:r>
      <w:r>
        <w:t xml:space="preserve">24.81</w:t>
      </w:r>
      <w:r>
        <w:t xml:space="preserve"> </w:t>
      </w:r>
      <w:r>
        <w:t xml:space="preserve">After 2019</w:t>
      </w:r>
      <w:r>
        <w:t xml:space="preserve"> </w:t>
      </w:r>
      <w:r>
        <w:t xml:space="preserve">6.73</w:t>
      </w:r>
      <w:r>
        <w:t xml:space="preserve"> </w:t>
      </w:r>
      <w:r>
        <w:t xml:space="preserve">2.71</w:t>
      </w:r>
      <w:r>
        <w:t xml:space="preserve"> </w:t>
      </w:r>
      <w:r>
        <w:t xml:space="preserve">7.04</w:t>
      </w:r>
      <w:r>
        <w:t xml:space="preserve"> </w:t>
      </w:r>
      <w:r>
        <w:t xml:space="preserve">26.93</w:t>
      </w:r>
      <w:r>
        <w:t xml:space="preserve"> </w:t>
      </w:r>
      <w:r>
        <w:t xml:space="preserve">Variation</w:t>
      </w:r>
      <w:r>
        <w:t xml:space="preserve"> </w:t>
      </w:r>
      <w:r>
        <w:t xml:space="preserve">27.2%</w:t>
      </w:r>
      <w:r>
        <w:t xml:space="preserve"> </w:t>
      </w:r>
      <w:r>
        <w:t xml:space="preserve">56.6%</w:t>
      </w:r>
      <w:r>
        <w:t xml:space="preserve"> </w:t>
      </w:r>
      <w:r>
        <w:t xml:space="preserve">48.2%</w:t>
      </w:r>
      <w:r>
        <w:t xml:space="preserve"> </w:t>
      </w:r>
      <w:r>
        <w:t xml:space="preserve">8.5%</w:t>
      </w:r>
      <w:r>
        <w:t xml:space="preserve"> </w:t>
      </w:r>
      <w:r>
        <w:t xml:space="preserve">Source: SNCF (2022)</w:t>
      </w:r>
      <w:r>
        <w:br/>
      </w:r>
      <w:r>
        <w:t xml:space="preserve">Eventually, according to the implementing Decree No 2017-639 of 26 April 2017, the</w:t>
      </w:r>
      <w:r>
        <w:t xml:space="preserve"> </w:t>
      </w:r>
      <w:r>
        <w:t xml:space="preserve">emission factors are as follows:</w:t>
      </w:r>
      <w:r>
        <w:t xml:space="preserve"> </w:t>
      </w:r>
      <w:r>
        <w:t xml:space="preserve"> Electricity for transport: 60.7 gCO2/kWh in 2019 and 59.9 gCO2/kWh in 2020;</w:t>
      </w:r>
      <w:r>
        <w:t xml:space="preserve"> </w:t>
      </w:r>
      <w:r>
        <w:t xml:space="preserve"> Off road diesel with emission factor: 3.16 kgC02/litre; and</w:t>
      </w:r>
    </w:p>
    <w:p>
      <w:pPr>
        <w:pStyle w:val="BodyText"/>
      </w:pPr>
      <w:r>
        <w:t xml:space="preserve">299 The distance travelled is taken from the kilometric databases for the rail lines.</w:t>
      </w:r>
      <w:r>
        <w:t xml:space="preserve"> </w:t>
      </w:r>
      <w:r>
        <w:t xml:space="preserve">300 Line losses and all empty journeys are included in the calculations.</w:t>
      </w:r>
    </w:p>
    <w:p>
      <w:pPr>
        <w:pStyle w:val="BodyText"/>
      </w:pPr>
      <w:r>
        <w:t xml:space="preserve">208</w:t>
      </w:r>
    </w:p>
    <w:p>
      <w:pPr>
        <w:pStyle w:val="BodyText"/>
      </w:pPr>
      <w:r>
        <w:t xml:space="preserve"> Biodiesel B100: 1.21 kgCO2e/litre.</w:t>
      </w:r>
      <w:r>
        <w:t xml:space="preserve"> </w:t>
      </w:r>
      <w:r>
        <w:t xml:space="preserve">Multimodal aspects of passenger transport services are also considered by the methodology</w:t>
      </w:r>
      <w:r>
        <w:t xml:space="preserve"> </w:t>
      </w:r>
      <w:r>
        <w:t xml:space="preserve">developed by the SNCF. In this respect, for the SNCF’s passengers travelling with the use</w:t>
      </w:r>
      <w:r>
        <w:t xml:space="preserve"> </w:t>
      </w:r>
      <w:r>
        <w:t xml:space="preserve">of other transport modes, the methodological approach is as follows:</w:t>
      </w:r>
      <w:r>
        <w:t xml:space="preserve"> </w:t>
      </w:r>
      <w:r>
        <w:t xml:space="preserve"> For coaches the figures are calculated by the company providing the service, but if</w:t>
      </w:r>
      <w:r>
        <w:t xml:space="preserve"> </w:t>
      </w:r>
      <w:r>
        <w:t xml:space="preserve">the actual data is not available, the SNCF methodology is applied using emission</w:t>
      </w:r>
      <w:r>
        <w:t xml:space="preserve"> </w:t>
      </w:r>
      <w:r>
        <w:t xml:space="preserve">factors provided by the SNCF.</w:t>
      </w:r>
      <w:r>
        <w:t xml:space="preserve"> </w:t>
      </w:r>
      <w:r>
        <w:t xml:space="preserve"> For taxis, cars rented with driver and other transport on demand, the figures are</w:t>
      </w:r>
      <w:r>
        <w:t xml:space="preserve"> </w:t>
      </w:r>
      <w:r>
        <w:t xml:space="preserve">calculated by the owner of the company, based on the ADEME fuel consumption</w:t>
      </w:r>
      <w:r>
        <w:t xml:space="preserve"> </w:t>
      </w:r>
      <w:r>
        <w:t xml:space="preserve">and CO2e emissions factors.</w:t>
      </w:r>
      <w:r>
        <w:t xml:space="preserve"> </w:t>
      </w:r>
      <w:r>
        <w:t xml:space="preserve"> For urban collective transport, the figures used in the SNCF calculator are provided</w:t>
      </w:r>
      <w:r>
        <w:t xml:space="preserve"> </w:t>
      </w:r>
      <w:r>
        <w:t xml:space="preserve">by the RATP, the regional transport operator of Île-De-France, and the SNCF</w:t>
      </w:r>
      <w:r>
        <w:t xml:space="preserve"> </w:t>
      </w:r>
      <w:r>
        <w:t xml:space="preserve">provides information to RATP regarding figures for regional service Transilien.301</w:t>
      </w:r>
      <w:r>
        <w:t xml:space="preserve"> </w:t>
      </w:r>
      <w:r>
        <w:t xml:space="preserve">Table 111 and Table 112, respectively, outline the emissions factors developed for</w:t>
      </w:r>
      <w:r>
        <w:t xml:space="preserve"> </w:t>
      </w:r>
      <w:r>
        <w:t xml:space="preserve">passengers travelling by SNCF trains (domestic and international) and by collective</w:t>
      </w:r>
      <w:r>
        <w:t xml:space="preserve"> </w:t>
      </w:r>
      <w:r>
        <w:t xml:space="preserve">transport, road and air services. The tables show also how the emission factors have</w:t>
      </w:r>
      <w:r>
        <w:t xml:space="preserve"> </w:t>
      </w:r>
      <w:r>
        <w:t xml:space="preserve">evolved over time.</w:t>
      </w:r>
      <w:r>
        <w:t xml:space="preserve"> </w:t>
      </w:r>
      <w:r>
        <w:t xml:space="preserve">Table 111: Emissions for SNCF passengers (gCO2e/km)</w:t>
      </w:r>
      <w:r>
        <w:t xml:space="preserve"> </w:t>
      </w:r>
      <w:r>
        <w:t xml:space="preserve">Type of service</w:t>
      </w:r>
      <w:r>
        <w:t xml:space="preserve"> </w:t>
      </w:r>
      <w:r>
        <w:t xml:space="preserve">Type of train</w:t>
      </w:r>
      <w:r>
        <w:t xml:space="preserve"> </w:t>
      </w:r>
      <w:r>
        <w:t xml:space="preserve">2016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Domestic</w:t>
      </w:r>
      <w:r>
        <w:t xml:space="preserve"> </w:t>
      </w:r>
      <w:r>
        <w:t xml:space="preserve">Intercites</w:t>
      </w:r>
      <w:r>
        <w:t xml:space="preserve"> </w:t>
      </w:r>
      <w:r>
        <w:t xml:space="preserve">10.80</w:t>
      </w:r>
      <w:r>
        <w:t xml:space="preserve"> </w:t>
      </w:r>
      <w:r>
        <w:t xml:space="preserve">5.29</w:t>
      </w:r>
      <w:r>
        <w:t xml:space="preserve"> </w:t>
      </w:r>
      <w:r>
        <w:t xml:space="preserve">6.73</w:t>
      </w:r>
      <w:r>
        <w:t xml:space="preserve"> </w:t>
      </w:r>
      <w:r>
        <w:t xml:space="preserve">TGV INOUI</w:t>
      </w:r>
      <w:r>
        <w:t xml:space="preserve"> </w:t>
      </w:r>
      <w:r>
        <w:t xml:space="preserve">n. a.</w:t>
      </w:r>
      <w:r>
        <w:t xml:space="preserve"> </w:t>
      </w:r>
      <w:r>
        <w:t xml:space="preserve">1.90</w:t>
      </w:r>
      <w:r>
        <w:t xml:space="preserve"> </w:t>
      </w:r>
      <w:r>
        <w:t xml:space="preserve">2.99</w:t>
      </w:r>
      <w:r>
        <w:t xml:space="preserve"> </w:t>
      </w:r>
      <w:r>
        <w:t xml:space="preserve">TGV OUIGO</w:t>
      </w:r>
      <w:r>
        <w:t xml:space="preserve"> </w:t>
      </w:r>
      <w:r>
        <w:t xml:space="preserve">3.20</w:t>
      </w:r>
      <w:r>
        <w:t xml:space="preserve"> </w:t>
      </w:r>
      <w:r>
        <w:t xml:space="preserve">0.73</w:t>
      </w:r>
      <w:r>
        <w:t xml:space="preserve"> </w:t>
      </w:r>
      <w:r>
        <w:t xml:space="preserve">1.15</w:t>
      </w:r>
      <w:r>
        <w:t xml:space="preserve"> </w:t>
      </w:r>
      <w:r>
        <w:t xml:space="preserve">Transilien</w:t>
      </w:r>
      <w:r>
        <w:t xml:space="preserve"> </w:t>
      </w:r>
      <w:r>
        <w:t xml:space="preserve">5.80</w:t>
      </w:r>
      <w:r>
        <w:t xml:space="preserve"> </w:t>
      </w:r>
      <w:r>
        <w:t xml:space="preserve">4.75</w:t>
      </w:r>
      <w:r>
        <w:t xml:space="preserve"> </w:t>
      </w:r>
      <w:r>
        <w:t xml:space="preserve">7.04</w:t>
      </w:r>
      <w:r>
        <w:t xml:space="preserve"> </w:t>
      </w:r>
      <w:r>
        <w:t xml:space="preserve">RER</w:t>
      </w:r>
      <w:r>
        <w:t xml:space="preserve"> </w:t>
      </w:r>
      <w:r>
        <w:t xml:space="preserve">5.80</w:t>
      </w:r>
      <w:r>
        <w:t xml:space="preserve"> </w:t>
      </w:r>
      <w:r>
        <w:t xml:space="preserve">4.10</w:t>
      </w:r>
      <w:r>
        <w:t xml:space="preserve"> </w:t>
      </w:r>
      <w:r>
        <w:t xml:space="preserve">6.20</w:t>
      </w:r>
      <w:r>
        <w:t xml:space="preserve"> </w:t>
      </w:r>
      <w:r>
        <w:t xml:space="preserve">TER</w:t>
      </w:r>
      <w:r>
        <w:t xml:space="preserve"> </w:t>
      </w:r>
      <w:r>
        <w:t xml:space="preserve">29.70</w:t>
      </w:r>
      <w:r>
        <w:t xml:space="preserve"> </w:t>
      </w:r>
      <w:r>
        <w:t xml:space="preserve">24.81</w:t>
      </w:r>
      <w:r>
        <w:t xml:space="preserve"> </w:t>
      </w:r>
      <w:r>
        <w:t xml:space="preserve">26.93</w:t>
      </w:r>
      <w:r>
        <w:t xml:space="preserve"> </w:t>
      </w:r>
      <w:r>
        <w:t xml:space="preserve">International</w:t>
      </w:r>
      <w:r>
        <w:t xml:space="preserve"> </w:t>
      </w:r>
      <w:r>
        <w:t xml:space="preserve">Thalys</w:t>
      </w:r>
      <w:r>
        <w:t xml:space="preserve"> </w:t>
      </w:r>
      <w:r>
        <w:t xml:space="preserve">11.60</w:t>
      </w:r>
      <w:r>
        <w:t xml:space="preserve"> </w:t>
      </w:r>
      <w:r>
        <w:t xml:space="preserve">6.68</w:t>
      </w:r>
      <w:r>
        <w:t xml:space="preserve"> </w:t>
      </w:r>
      <w:r>
        <w:t xml:space="preserve">7.32</w:t>
      </w:r>
      <w:r>
        <w:t xml:space="preserve"> </w:t>
      </w:r>
      <w:r>
        <w:t xml:space="preserve">Eurostar</w:t>
      </w:r>
      <w:r>
        <w:t xml:space="preserve"> </w:t>
      </w:r>
      <w:r>
        <w:t xml:space="preserve">8.20</w:t>
      </w:r>
      <w:r>
        <w:t xml:space="preserve"> </w:t>
      </w:r>
      <w:r>
        <w:t xml:space="preserve">6.64</w:t>
      </w:r>
      <w:r>
        <w:t xml:space="preserve"> </w:t>
      </w:r>
      <w:r>
        <w:t xml:space="preserve">7.48</w:t>
      </w:r>
      <w:r>
        <w:t xml:space="preserve"> </w:t>
      </w:r>
      <w:r>
        <w:t xml:space="preserve">Lyria</w:t>
      </w:r>
      <w:r>
        <w:t xml:space="preserve"> </w:t>
      </w:r>
      <w:r>
        <w:t xml:space="preserve">3.20</w:t>
      </w:r>
      <w:r>
        <w:t xml:space="preserve"> </w:t>
      </w:r>
      <w:r>
        <w:t xml:space="preserve">2.05</w:t>
      </w:r>
      <w:r>
        <w:t xml:space="preserve"> </w:t>
      </w:r>
      <w:r>
        <w:t xml:space="preserve">3.23</w:t>
      </w:r>
      <w:r>
        <w:t xml:space="preserve"> </w:t>
      </w:r>
      <w:r>
        <w:t xml:space="preserve">RENFE and SNCF in cooperation</w:t>
      </w:r>
      <w:r>
        <w:t xml:space="preserve"> </w:t>
      </w:r>
      <w:r>
        <w:t xml:space="preserve">27.00</w:t>
      </w:r>
      <w:r>
        <w:t xml:space="preserve"> </w:t>
      </w:r>
      <w:r>
        <w:t xml:space="preserve">5.40</w:t>
      </w:r>
      <w:r>
        <w:t xml:space="preserve"> </w:t>
      </w:r>
      <w:r>
        <w:t xml:space="preserve">6.00</w:t>
      </w:r>
      <w:r>
        <w:t xml:space="preserve"> </w:t>
      </w:r>
      <w:r>
        <w:t xml:space="preserve">DB and SNCF in cooperation</w:t>
      </w:r>
      <w:r>
        <w:t xml:space="preserve"> </w:t>
      </w:r>
      <w:r>
        <w:t xml:space="preserve">11.30</w:t>
      </w:r>
      <w:r>
        <w:t xml:space="preserve"> </w:t>
      </w:r>
      <w:r>
        <w:t xml:space="preserve">4.50</w:t>
      </w:r>
      <w:r>
        <w:t xml:space="preserve"> </w:t>
      </w:r>
      <w:r>
        <w:t xml:space="preserve">5.00</w:t>
      </w:r>
      <w:r>
        <w:t xml:space="preserve"> </w:t>
      </w:r>
      <w:r>
        <w:t xml:space="preserve">TGV INOUI Italia</w:t>
      </w:r>
      <w:r>
        <w:t xml:space="preserve"> </w:t>
      </w:r>
      <w:r>
        <w:t xml:space="preserve">n. a.</w:t>
      </w:r>
      <w:r>
        <w:t xml:space="preserve"> </w:t>
      </w:r>
      <w:r>
        <w:t xml:space="preserve">8.50</w:t>
      </w:r>
      <w:r>
        <w:t xml:space="preserve"> </w:t>
      </w:r>
      <w:r>
        <w:t xml:space="preserve">10.30</w:t>
      </w:r>
    </w:p>
    <w:p>
      <w:pPr>
        <w:pStyle w:val="BodyText"/>
      </w:pPr>
      <w:r>
        <w:t xml:space="preserve">301 See also dedicated page on SNCF website</w:t>
      </w:r>
    </w:p>
    <w:p>
      <w:pPr>
        <w:pStyle w:val="BodyText"/>
      </w:pPr>
      <w:r>
        <w:t xml:space="preserve">209</w:t>
      </w:r>
    </w:p>
    <w:p>
      <w:pPr>
        <w:pStyle w:val="BodyText"/>
      </w:pPr>
      <w:r>
        <w:t xml:space="preserve">Source: SNCF (2016, 2021, 2022)</w:t>
      </w:r>
      <w:r>
        <w:t xml:space="preserve"> </w:t>
      </w:r>
      <w:r>
        <w:t xml:space="preserve">Table 112: Emissions for passengers travelling by other transport modes (gCO2e/km)</w:t>
      </w:r>
      <w:r>
        <w:t xml:space="preserve"> </w:t>
      </w:r>
      <w:r>
        <w:t xml:space="preserve">Transport mode</w:t>
      </w:r>
      <w:r>
        <w:t xml:space="preserve"> </w:t>
      </w:r>
      <w:r>
        <w:t xml:space="preserve">2016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Metro</w:t>
      </w:r>
      <w:r>
        <w:t xml:space="preserve"> </w:t>
      </w:r>
      <w:r>
        <w:t xml:space="preserve">3.8</w:t>
      </w:r>
      <w:r>
        <w:t xml:space="preserve"> </w:t>
      </w:r>
      <w:r>
        <w:t xml:space="preserve">2.5</w:t>
      </w:r>
      <w:r>
        <w:t xml:space="preserve"> </w:t>
      </w:r>
      <w:r>
        <w:t xml:space="preserve">3.8</w:t>
      </w:r>
      <w:r>
        <w:t xml:space="preserve"> </w:t>
      </w:r>
      <w:r>
        <w:t xml:space="preserve">Tramway</w:t>
      </w:r>
      <w:r>
        <w:t xml:space="preserve"> </w:t>
      </w:r>
      <w:r>
        <w:t xml:space="preserve">3.3</w:t>
      </w:r>
      <w:r>
        <w:t xml:space="preserve"> </w:t>
      </w:r>
      <w:r>
        <w:t xml:space="preserve">2.2</w:t>
      </w:r>
      <w:r>
        <w:t xml:space="preserve"> </w:t>
      </w:r>
      <w:r>
        <w:t xml:space="preserve">3.4</w:t>
      </w:r>
      <w:r>
        <w:t xml:space="preserve"> </w:t>
      </w:r>
      <w:r>
        <w:t xml:space="preserve">Bus RATP</w:t>
      </w:r>
      <w:r>
        <w:t xml:space="preserve"> </w:t>
      </w:r>
      <w:r>
        <w:t xml:space="preserve">96.5</w:t>
      </w:r>
      <w:r>
        <w:t xml:space="preserve"> </w:t>
      </w:r>
      <w:r>
        <w:t xml:space="preserve">98.0</w:t>
      </w:r>
      <w:r>
        <w:t xml:space="preserve"> </w:t>
      </w:r>
      <w:r>
        <w:t xml:space="preserve">104.0</w:t>
      </w:r>
      <w:r>
        <w:t xml:space="preserve"> </w:t>
      </w:r>
      <w:r>
        <w:t xml:space="preserve">Bus other operators</w:t>
      </w:r>
      <w:r>
        <w:t xml:space="preserve"> </w:t>
      </w:r>
      <w:r>
        <w:t xml:space="preserve">n. a.</w:t>
      </w:r>
      <w:r>
        <w:t xml:space="preserve"> </w:t>
      </w:r>
      <w:r>
        <w:t xml:space="preserve">110.0</w:t>
      </w:r>
      <w:r>
        <w:t xml:space="preserve"> </w:t>
      </w:r>
      <w:r>
        <w:t xml:space="preserve">110.0</w:t>
      </w:r>
      <w:r>
        <w:t xml:space="preserve"> </w:t>
      </w:r>
      <w:r>
        <w:t xml:space="preserve">Coach interurban</w:t>
      </w:r>
      <w:r>
        <w:t xml:space="preserve"> </w:t>
      </w:r>
      <w:r>
        <w:t xml:space="preserve">171.0</w:t>
      </w:r>
      <w:r>
        <w:t xml:space="preserve"> </w:t>
      </w:r>
      <w:r>
        <w:t xml:space="preserve">146.0</w:t>
      </w:r>
      <w:r>
        <w:t xml:space="preserve"> </w:t>
      </w:r>
      <w:r>
        <w:t xml:space="preserve">146.0</w:t>
      </w:r>
      <w:r>
        <w:t xml:space="preserve"> </w:t>
      </w:r>
      <w:r>
        <w:t xml:space="preserve">Car average</w:t>
      </w:r>
      <w:r>
        <w:t xml:space="preserve"> </w:t>
      </w:r>
      <w:r>
        <w:t xml:space="preserve">162.0</w:t>
      </w:r>
      <w:r>
        <w:t xml:space="preserve"> </w:t>
      </w:r>
      <w:r>
        <w:t xml:space="preserve">111.0</w:t>
      </w:r>
      <w:r>
        <w:t xml:space="preserve"> </w:t>
      </w:r>
      <w:r>
        <w:t xml:space="preserve">111.0</w:t>
      </w:r>
      <w:r>
        <w:t xml:space="preserve"> </w:t>
      </w:r>
      <w:r>
        <w:t xml:space="preserve">Car short distance</w:t>
      </w:r>
      <w:r>
        <w:t xml:space="preserve"> </w:t>
      </w:r>
      <w:r>
        <w:t xml:space="preserve">148.0</w:t>
      </w:r>
      <w:r>
        <w:t xml:space="preserve"> </w:t>
      </w:r>
      <w:r>
        <w:t xml:space="preserve">134.0</w:t>
      </w:r>
      <w:r>
        <w:t xml:space="preserve"> </w:t>
      </w:r>
      <w:r>
        <w:t xml:space="preserve">134.0</w:t>
      </w:r>
      <w:r>
        <w:t xml:space="preserve"> </w:t>
      </w:r>
      <w:r>
        <w:t xml:space="preserve">Car long distance</w:t>
      </w:r>
      <w:r>
        <w:t xml:space="preserve"> </w:t>
      </w:r>
      <w:r>
        <w:t xml:space="preserve">90.0</w:t>
      </w:r>
      <w:r>
        <w:t xml:space="preserve"> </w:t>
      </w:r>
      <w:r>
        <w:t xml:space="preserve">75.0</w:t>
      </w:r>
      <w:r>
        <w:t xml:space="preserve"> </w:t>
      </w:r>
      <w:r>
        <w:t xml:space="preserve">75.0</w:t>
      </w:r>
      <w:r>
        <w:t xml:space="preserve"> </w:t>
      </w:r>
      <w:r>
        <w:t xml:space="preserve">Domestic flight &lt; 500 km</w:t>
      </w:r>
      <w:r>
        <w:t xml:space="preserve"> </w:t>
      </w:r>
      <w:r>
        <w:t xml:space="preserve">168.0</w:t>
      </w:r>
      <w:r>
        <w:t xml:space="preserve"> </w:t>
      </w:r>
      <w:r>
        <w:t xml:space="preserve">167.0</w:t>
      </w:r>
      <w:r>
        <w:t xml:space="preserve"> </w:t>
      </w:r>
      <w:r>
        <w:t xml:space="preserve">167.0</w:t>
      </w:r>
      <w:r>
        <w:t xml:space="preserve"> </w:t>
      </w:r>
      <w:r>
        <w:t xml:space="preserve">Domestic flight 500-1000 km</w:t>
      </w:r>
      <w:r>
        <w:t xml:space="preserve"> </w:t>
      </w:r>
      <w:r>
        <w:t xml:space="preserve">n. a.</w:t>
      </w:r>
      <w:r>
        <w:t xml:space="preserve"> </w:t>
      </w:r>
      <w:r>
        <w:t xml:space="preserve">126.0</w:t>
      </w:r>
      <w:r>
        <w:t xml:space="preserve"> </w:t>
      </w:r>
      <w:r>
        <w:t xml:space="preserve">126.0</w:t>
      </w:r>
      <w:r>
        <w:t xml:space="preserve"> </w:t>
      </w:r>
      <w:r>
        <w:t xml:space="preserve">Source: SNCF (2016302, 2021303, 2022)</w:t>
      </w:r>
      <w:r>
        <w:t xml:space="preserve"> </w:t>
      </w:r>
      <w:r>
        <w:t xml:space="preserve">Other considerations</w:t>
      </w:r>
      <w:r>
        <w:t xml:space="preserve"> </w:t>
      </w:r>
      <w:r>
        <w:t xml:space="preserve">Between 2019 and 2021, the ADEME has set up a working group to calculate the carbon</w:t>
      </w:r>
      <w:r>
        <w:t xml:space="preserve"> </w:t>
      </w:r>
      <w:r>
        <w:t xml:space="preserve">impact of vehicle manufacturing for inclusion in the transport emissions factors. The SNCF</w:t>
      </w:r>
      <w:r>
        <w:t xml:space="preserve"> </w:t>
      </w:r>
      <w:r>
        <w:t xml:space="preserve">has contributed to this workgroup. These factors are now available in ADEME’s Base</w:t>
      </w:r>
      <w:r>
        <w:t xml:space="preserve"> </w:t>
      </w:r>
      <w:r>
        <w:t xml:space="preserve">Carbone in the ‘All data’ category. However, these emission factors are not taken into</w:t>
      </w:r>
      <w:r>
        <w:t xml:space="preserve"> </w:t>
      </w:r>
      <w:r>
        <w:t xml:space="preserve">account in the regulations of Article L1431.3 of the Transport Code and are therefore not</w:t>
      </w:r>
      <w:r>
        <w:t xml:space="preserve"> </w:t>
      </w:r>
      <w:r>
        <w:t xml:space="preserve">applicable in this context.</w:t>
      </w:r>
      <w:r>
        <w:t xml:space="preserve"> </w:t>
      </w:r>
      <w:r>
        <w:t xml:space="preserve">Impacts</w:t>
      </w:r>
      <w:r>
        <w:t xml:space="preserve"> </w:t>
      </w:r>
      <w:r>
        <w:t xml:space="preserve">The main impacts of the application of the SNCF calculator are associated with the</w:t>
      </w:r>
      <w:r>
        <w:t xml:space="preserve"> </w:t>
      </w:r>
      <w:r>
        <w:t xml:space="preserve">environmental aspects. The use of the calculator results in principle in the improved</w:t>
      </w:r>
      <w:r>
        <w:t xml:space="preserve"> </w:t>
      </w:r>
      <w:r>
        <w:t xml:space="preserve">awareness at company level, and also among the SNCF users. For the SNCF this is an</w:t>
      </w:r>
      <w:r>
        <w:t xml:space="preserve"> </w:t>
      </w:r>
      <w:r>
        <w:t xml:space="preserve">important source of information, especially when it comes to plan and implement measures</w:t>
      </w:r>
      <w:r>
        <w:t xml:space="preserve"> </w:t>
      </w:r>
      <w:r>
        <w:t xml:space="preserve">for low carbon transport services.</w:t>
      </w:r>
    </w:p>
    <w:p>
      <w:pPr>
        <w:pStyle w:val="BodyText"/>
      </w:pPr>
      <w:r>
        <w:t xml:space="preserve">302 SNCF (2016). Greenhouse gases information for transport services, Social, Territorial and Environmental</w:t>
      </w:r>
      <w:r>
        <w:t xml:space="preserve"> </w:t>
      </w:r>
      <w:r>
        <w:t xml:space="preserve">Commitment Department (version dated 2016, July 8th).</w:t>
      </w:r>
      <w:r>
        <w:t xml:space="preserve"> </w:t>
      </w:r>
      <w:r>
        <w:t xml:space="preserve">303 SNCF (2021). Greenhouse gases information for transport services, Social, Territorial and Environmental</w:t>
      </w:r>
      <w:r>
        <w:t xml:space="preserve"> </w:t>
      </w:r>
      <w:r>
        <w:t xml:space="preserve">Commitment Department (version 2021).</w:t>
      </w:r>
    </w:p>
    <w:p>
      <w:pPr>
        <w:pStyle w:val="BodyText"/>
      </w:pPr>
      <w:r>
        <w:t xml:space="preserve">210</w:t>
      </w:r>
    </w:p>
    <w:p>
      <w:pPr>
        <w:pStyle w:val="BodyText"/>
      </w:pPr>
      <w:r>
        <w:t xml:space="preserve">Based on the emissions factors provided in previous tables, Error! Reference source not</w:t>
      </w:r>
      <w:r>
        <w:t xml:space="preserve"> </w:t>
      </w:r>
      <w:r>
        <w:t xml:space="preserve">found.Table 113 shows examples of CO2e emissions for passengers travelling on certain</w:t>
      </w:r>
      <w:r>
        <w:t xml:space="preserve"> </w:t>
      </w:r>
      <w:r>
        <w:t xml:space="preserve">routes by SNCF trains compared to alternative journeys by car.</w:t>
      </w:r>
    </w:p>
    <w:p>
      <w:pPr>
        <w:pStyle w:val="BodyText"/>
      </w:pPr>
      <w:r>
        <w:t xml:space="preserve">Table 113: Examples of CO2-eq. emissions for passengers travelling on certain routes by SNCF trains</w:t>
      </w:r>
      <w:r>
        <w:t xml:space="preserve"> </w:t>
      </w:r>
      <w:r>
        <w:t xml:space="preserve">compared to alternative journeys by car</w:t>
      </w:r>
      <w:r>
        <w:t xml:space="preserve"> </w:t>
      </w:r>
      <w:r>
        <w:t xml:space="preserve">Type of</w:t>
      </w:r>
      <w:r>
        <w:t xml:space="preserve"> </w:t>
      </w:r>
      <w:r>
        <w:t xml:space="preserve">train</w:t>
      </w:r>
      <w:r>
        <w:t xml:space="preserve"> </w:t>
      </w:r>
      <w:r>
        <w:t xml:space="preserve">Origin-Destination</w:t>
      </w:r>
      <w:r>
        <w:t xml:space="preserve"> </w:t>
      </w:r>
      <w:r>
        <w:t xml:space="preserve">Train</w:t>
      </w:r>
      <w:r>
        <w:t xml:space="preserve"> </w:t>
      </w:r>
      <w:r>
        <w:t xml:space="preserve">Alternative mode</w:t>
      </w:r>
      <w:r>
        <w:t xml:space="preserve"> </w:t>
      </w:r>
      <w:r>
        <w:t xml:space="preserve">Distanc</w:t>
      </w:r>
      <w:r>
        <w:t xml:space="preserve"> </w:t>
      </w:r>
      <w:r>
        <w:t xml:space="preserve">e (km)</w:t>
      </w:r>
      <w:r>
        <w:t xml:space="preserve"> </w:t>
      </w:r>
      <w:r>
        <w:t xml:space="preserve">Emission</w:t>
      </w:r>
      <w:r>
        <w:t xml:space="preserve"> </w:t>
      </w:r>
      <w:r>
        <w:t xml:space="preserve">(gCO2e/k</w:t>
      </w:r>
      <w:r>
        <w:t xml:space="preserve"> </w:t>
      </w:r>
      <w:r>
        <w:t xml:space="preserve">m)</w:t>
      </w:r>
      <w:r>
        <w:t xml:space="preserve"> </w:t>
      </w:r>
      <w:r>
        <w:t xml:space="preserve">Mod</w:t>
      </w:r>
      <w:r>
        <w:t xml:space="preserve"> </w:t>
      </w:r>
      <w:r>
        <w:t xml:space="preserve">e</w:t>
      </w:r>
      <w:r>
        <w:t xml:space="preserve"> </w:t>
      </w:r>
      <w:r>
        <w:t xml:space="preserve">Distanc</w:t>
      </w:r>
      <w:r>
        <w:t xml:space="preserve"> </w:t>
      </w:r>
      <w:r>
        <w:t xml:space="preserve">e (km)</w:t>
      </w:r>
      <w:r>
        <w:t xml:space="preserve"> </w:t>
      </w:r>
      <w:r>
        <w:t xml:space="preserve">Emission</w:t>
      </w:r>
      <w:r>
        <w:t xml:space="preserve"> </w:t>
      </w:r>
      <w:r>
        <w:t xml:space="preserve">(gCO2e/k</w:t>
      </w:r>
      <w:r>
        <w:t xml:space="preserve"> </w:t>
      </w:r>
      <w:r>
        <w:t xml:space="preserve">m)</w:t>
      </w:r>
      <w:r>
        <w:t xml:space="preserve"> </w:t>
      </w:r>
      <w:r>
        <w:t xml:space="preserve">TGV</w:t>
      </w:r>
      <w:r>
        <w:t xml:space="preserve"> </w:t>
      </w:r>
      <w:r>
        <w:t xml:space="preserve">Paris-Lyon</w:t>
      </w:r>
      <w:r>
        <w:t xml:space="preserve"> </w:t>
      </w:r>
      <w:r>
        <w:t xml:space="preserve">563</w:t>
      </w:r>
      <w:r>
        <w:t xml:space="preserve"> </w:t>
      </w:r>
      <w:r>
        <w:t xml:space="preserve">1.7</w:t>
      </w:r>
      <w:r>
        <w:t xml:space="preserve"> </w:t>
      </w:r>
      <w:r>
        <w:t xml:space="preserve">Car</w:t>
      </w:r>
      <w:r>
        <w:t xml:space="preserve"> </w:t>
      </w:r>
      <w:r>
        <w:t xml:space="preserve">466</w:t>
      </w:r>
      <w:r>
        <w:t xml:space="preserve"> </w:t>
      </w:r>
      <w:r>
        <w:t xml:space="preserve">35.0</w:t>
      </w:r>
      <w:r>
        <w:t xml:space="preserve"> </w:t>
      </w:r>
      <w:r>
        <w:t xml:space="preserve">Paris-Lille</w:t>
      </w:r>
      <w:r>
        <w:t xml:space="preserve"> </w:t>
      </w:r>
      <w:r>
        <w:t xml:space="preserve">258</w:t>
      </w:r>
      <w:r>
        <w:t xml:space="preserve"> </w:t>
      </w:r>
      <w:r>
        <w:t xml:space="preserve">0.8</w:t>
      </w:r>
      <w:r>
        <w:t xml:space="preserve"> </w:t>
      </w:r>
      <w:r>
        <w:t xml:space="preserve">Car</w:t>
      </w:r>
      <w:r>
        <w:t xml:space="preserve"> </w:t>
      </w:r>
      <w:r>
        <w:t xml:space="preserve">226</w:t>
      </w:r>
      <w:r>
        <w:t xml:space="preserve"> </w:t>
      </w:r>
      <w:r>
        <w:t xml:space="preserve">17.0</w:t>
      </w:r>
      <w:r>
        <w:t xml:space="preserve"> </w:t>
      </w:r>
      <w:r>
        <w:t xml:space="preserve">Bordeaux-Paris</w:t>
      </w:r>
      <w:r>
        <w:t xml:space="preserve"> </w:t>
      </w:r>
      <w:r>
        <w:t xml:space="preserve">617</w:t>
      </w:r>
      <w:r>
        <w:t xml:space="preserve"> </w:t>
      </w:r>
      <w:r>
        <w:t xml:space="preserve">1.8</w:t>
      </w:r>
      <w:r>
        <w:t xml:space="preserve"> </w:t>
      </w:r>
      <w:r>
        <w:t xml:space="preserve">Car</w:t>
      </w:r>
      <w:r>
        <w:t xml:space="preserve"> </w:t>
      </w:r>
      <w:r>
        <w:t xml:space="preserve">587</w:t>
      </w:r>
      <w:r>
        <w:t xml:space="preserve"> </w:t>
      </w:r>
      <w:r>
        <w:t xml:space="preserve">44.0</w:t>
      </w:r>
      <w:r>
        <w:t xml:space="preserve"> </w:t>
      </w:r>
      <w:r>
        <w:t xml:space="preserve">Paris-Rennes</w:t>
      </w:r>
      <w:r>
        <w:t xml:space="preserve"> </w:t>
      </w:r>
      <w:r>
        <w:t xml:space="preserve">374</w:t>
      </w:r>
      <w:r>
        <w:t xml:space="preserve"> </w:t>
      </w:r>
      <w:r>
        <w:t xml:space="preserve">1.1</w:t>
      </w:r>
      <w:r>
        <w:t xml:space="preserve"> </w:t>
      </w:r>
      <w:r>
        <w:t xml:space="preserve">Car</w:t>
      </w:r>
      <w:r>
        <w:t xml:space="preserve"> </w:t>
      </w:r>
      <w:r>
        <w:t xml:space="preserve">350</w:t>
      </w:r>
      <w:r>
        <w:t xml:space="preserve"> </w:t>
      </w:r>
      <w:r>
        <w:t xml:space="preserve">26.3</w:t>
      </w:r>
      <w:r>
        <w:t xml:space="preserve"> </w:t>
      </w:r>
      <w:r>
        <w:t xml:space="preserve">Marseille-Paris</w:t>
      </w:r>
      <w:r>
        <w:t xml:space="preserve"> </w:t>
      </w:r>
      <w:r>
        <w:t xml:space="preserve">883</w:t>
      </w:r>
      <w:r>
        <w:t xml:space="preserve"> </w:t>
      </w:r>
      <w:r>
        <w:t xml:space="preserve">2.6</w:t>
      </w:r>
      <w:r>
        <w:t xml:space="preserve"> </w:t>
      </w:r>
      <w:r>
        <w:t xml:space="preserve">Air</w:t>
      </w:r>
      <w:r>
        <w:t xml:space="preserve"> </w:t>
      </w:r>
      <w:r>
        <w:t xml:space="preserve">627</w:t>
      </w:r>
      <w:r>
        <w:t xml:space="preserve"> </w:t>
      </w:r>
      <w:r>
        <w:t xml:space="preserve">88.4</w:t>
      </w:r>
      <w:r>
        <w:t xml:space="preserve"> </w:t>
      </w:r>
      <w:r>
        <w:t xml:space="preserve">Paris-Strasbourg</w:t>
      </w:r>
      <w:r>
        <w:t xml:space="preserve"> </w:t>
      </w:r>
      <w:r>
        <w:t xml:space="preserve">503</w:t>
      </w:r>
      <w:r>
        <w:t xml:space="preserve"> </w:t>
      </w:r>
      <w:r>
        <w:t xml:space="preserve">1.5</w:t>
      </w:r>
      <w:r>
        <w:t xml:space="preserve"> </w:t>
      </w:r>
      <w:r>
        <w:t xml:space="preserve">Car</w:t>
      </w:r>
      <w:r>
        <w:t xml:space="preserve"> </w:t>
      </w:r>
      <w:r>
        <w:t xml:space="preserve">488</w:t>
      </w:r>
      <w:r>
        <w:t xml:space="preserve"> </w:t>
      </w:r>
      <w:r>
        <w:t xml:space="preserve">36.6</w:t>
      </w:r>
      <w:r>
        <w:t xml:space="preserve"> </w:t>
      </w:r>
      <w:r>
        <w:t xml:space="preserve">Paris-Nice</w:t>
      </w:r>
      <w:r>
        <w:t xml:space="preserve"> </w:t>
      </w:r>
      <w:r>
        <w:t xml:space="preserve">978</w:t>
      </w:r>
      <w:r>
        <w:t xml:space="preserve"> </w:t>
      </w:r>
      <w:r>
        <w:t xml:space="preserve">2.9</w:t>
      </w:r>
      <w:r>
        <w:t xml:space="preserve"> </w:t>
      </w:r>
      <w:r>
        <w:t xml:space="preserve">Air</w:t>
      </w:r>
      <w:r>
        <w:t xml:space="preserve"> </w:t>
      </w:r>
      <w:r>
        <w:t xml:space="preserve">674</w:t>
      </w:r>
      <w:r>
        <w:t xml:space="preserve"> </w:t>
      </w:r>
      <w:r>
        <w:t xml:space="preserve">95.0</w:t>
      </w:r>
      <w:r>
        <w:t xml:space="preserve"> </w:t>
      </w:r>
      <w:r>
        <w:t xml:space="preserve">Paris-Toulouse</w:t>
      </w:r>
      <w:r>
        <w:t xml:space="preserve"> </w:t>
      </w:r>
      <w:r>
        <w:t xml:space="preserve">713</w:t>
      </w:r>
      <w:r>
        <w:t xml:space="preserve"> </w:t>
      </w:r>
      <w:r>
        <w:t xml:space="preserve">2.1</w:t>
      </w:r>
      <w:r>
        <w:t xml:space="preserve"> </w:t>
      </w:r>
      <w:r>
        <w:t xml:space="preserve">Air</w:t>
      </w:r>
      <w:r>
        <w:t xml:space="preserve"> </w:t>
      </w:r>
      <w:r>
        <w:t xml:space="preserve">571</w:t>
      </w:r>
      <w:r>
        <w:t xml:space="preserve"> </w:t>
      </w:r>
      <w:r>
        <w:t xml:space="preserve">80.5</w:t>
      </w:r>
      <w:r>
        <w:t xml:space="preserve"> </w:t>
      </w:r>
      <w:r>
        <w:t xml:space="preserve">Lyon-Marseille</w:t>
      </w:r>
      <w:r>
        <w:t xml:space="preserve"> </w:t>
      </w:r>
      <w:r>
        <w:t xml:space="preserve">381</w:t>
      </w:r>
      <w:r>
        <w:t xml:space="preserve"> </w:t>
      </w:r>
      <w:r>
        <w:t xml:space="preserve">1.1</w:t>
      </w:r>
      <w:r>
        <w:t xml:space="preserve"> </w:t>
      </w:r>
      <w:r>
        <w:t xml:space="preserve">Car</w:t>
      </w:r>
      <w:r>
        <w:t xml:space="preserve"> </w:t>
      </w:r>
      <w:r>
        <w:t xml:space="preserve">314</w:t>
      </w:r>
      <w:r>
        <w:t xml:space="preserve"> </w:t>
      </w:r>
      <w:r>
        <w:t xml:space="preserve">23.6</w:t>
      </w:r>
      <w:r>
        <w:t xml:space="preserve"> </w:t>
      </w:r>
      <w:r>
        <w:t xml:space="preserve">Lille-Lyon</w:t>
      </w:r>
      <w:r>
        <w:t xml:space="preserve"> </w:t>
      </w:r>
      <w:r>
        <w:t xml:space="preserve">794</w:t>
      </w:r>
      <w:r>
        <w:t xml:space="preserve"> </w:t>
      </w:r>
      <w:r>
        <w:t xml:space="preserve">2.4</w:t>
      </w:r>
      <w:r>
        <w:t xml:space="preserve"> </w:t>
      </w:r>
      <w:r>
        <w:t xml:space="preserve">Air</w:t>
      </w:r>
      <w:r>
        <w:t xml:space="preserve"> </w:t>
      </w:r>
      <w:r>
        <w:t xml:space="preserve">558</w:t>
      </w:r>
      <w:r>
        <w:t xml:space="preserve"> </w:t>
      </w:r>
      <w:r>
        <w:t xml:space="preserve">78.7</w:t>
      </w:r>
      <w:r>
        <w:t xml:space="preserve"> </w:t>
      </w:r>
      <w:r>
        <w:t xml:space="preserve">OUIGO</w:t>
      </w:r>
      <w:r>
        <w:t xml:space="preserve"> </w:t>
      </w:r>
      <w:r>
        <w:t xml:space="preserve">Nantes-Paris</w:t>
      </w:r>
      <w:r>
        <w:t xml:space="preserve"> </w:t>
      </w:r>
      <w:r>
        <w:t xml:space="preserve">385</w:t>
      </w:r>
      <w:r>
        <w:t xml:space="preserve"> </w:t>
      </w:r>
      <w:r>
        <w:t xml:space="preserve">0.4</w:t>
      </w:r>
      <w:r>
        <w:t xml:space="preserve"> </w:t>
      </w:r>
      <w:r>
        <w:t xml:space="preserve">Car</w:t>
      </w:r>
      <w:r>
        <w:t xml:space="preserve"> </w:t>
      </w:r>
      <w:r>
        <w:t xml:space="preserve">386</w:t>
      </w:r>
      <w:r>
        <w:t xml:space="preserve"> </w:t>
      </w:r>
      <w:r>
        <w:t xml:space="preserve">29.0</w:t>
      </w:r>
      <w:r>
        <w:t xml:space="preserve"> </w:t>
      </w:r>
      <w:r>
        <w:t xml:space="preserve">Lyon-Marseille</w:t>
      </w:r>
      <w:r>
        <w:t xml:space="preserve"> </w:t>
      </w:r>
      <w:r>
        <w:t xml:space="preserve">320</w:t>
      </w:r>
      <w:r>
        <w:t xml:space="preserve"> </w:t>
      </w:r>
      <w:r>
        <w:t xml:space="preserve">0.4</w:t>
      </w:r>
      <w:r>
        <w:t xml:space="preserve"> </w:t>
      </w:r>
      <w:r>
        <w:t xml:space="preserve">Car</w:t>
      </w:r>
      <w:r>
        <w:t xml:space="preserve"> </w:t>
      </w:r>
      <w:r>
        <w:t xml:space="preserve">314</w:t>
      </w:r>
      <w:r>
        <w:t xml:space="preserve"> </w:t>
      </w:r>
      <w:r>
        <w:t xml:space="preserve">23.6</w:t>
      </w:r>
      <w:r>
        <w:t xml:space="preserve"> </w:t>
      </w:r>
      <w:r>
        <w:t xml:space="preserve">Avignon-Marne La Vallee</w:t>
      </w:r>
      <w:r>
        <w:t xml:space="preserve"> </w:t>
      </w:r>
      <w:r>
        <w:t xml:space="preserve">697</w:t>
      </w:r>
      <w:r>
        <w:t xml:space="preserve"> </w:t>
      </w:r>
      <w:r>
        <w:t xml:space="preserve">0.8</w:t>
      </w:r>
      <w:r>
        <w:t xml:space="preserve"> </w:t>
      </w:r>
      <w:r>
        <w:t xml:space="preserve">Car</w:t>
      </w:r>
      <w:r>
        <w:t xml:space="preserve"> </w:t>
      </w:r>
      <w:r>
        <w:t xml:space="preserve">702</w:t>
      </w:r>
      <w:r>
        <w:t xml:space="preserve"> </w:t>
      </w:r>
      <w:r>
        <w:t xml:space="preserve">52.7</w:t>
      </w:r>
      <w:r>
        <w:t xml:space="preserve"> </w:t>
      </w:r>
      <w:r>
        <w:t xml:space="preserve">Lyria</w:t>
      </w:r>
      <w:r>
        <w:t xml:space="preserve"> </w:t>
      </w:r>
      <w:r>
        <w:t xml:space="preserve">Paris-Geneve</w:t>
      </w:r>
      <w:r>
        <w:t xml:space="preserve"> </w:t>
      </w:r>
      <w:r>
        <w:t xml:space="preserve">692</w:t>
      </w:r>
      <w:r>
        <w:t xml:space="preserve"> </w:t>
      </w:r>
      <w:r>
        <w:t xml:space="preserve">2.2</w:t>
      </w:r>
      <w:r>
        <w:t xml:space="preserve"> </w:t>
      </w:r>
      <w:r>
        <w:t xml:space="preserve">Air</w:t>
      </w:r>
      <w:r>
        <w:t xml:space="preserve"> </w:t>
      </w:r>
      <w:r>
        <w:t xml:space="preserve">408</w:t>
      </w:r>
      <w:r>
        <w:t xml:space="preserve"> </w:t>
      </w:r>
      <w:r>
        <w:t xml:space="preserve">57.5</w:t>
      </w:r>
      <w:r>
        <w:t xml:space="preserve"> </w:t>
      </w:r>
      <w:r>
        <w:t xml:space="preserve">Thalys</w:t>
      </w:r>
      <w:r>
        <w:t xml:space="preserve"> </w:t>
      </w:r>
      <w:r>
        <w:t xml:space="preserve">Paris-Bruxelles</w:t>
      </w:r>
      <w:r>
        <w:t xml:space="preserve"> </w:t>
      </w:r>
      <w:r>
        <w:t xml:space="preserve">314</w:t>
      </w:r>
      <w:r>
        <w:t xml:space="preserve"> </w:t>
      </w:r>
      <w:r>
        <w:t xml:space="preserve">2.3</w:t>
      </w:r>
      <w:r>
        <w:t xml:space="preserve"> </w:t>
      </w:r>
      <w:r>
        <w:t xml:space="preserve">Car</w:t>
      </w:r>
      <w:r>
        <w:t xml:space="preserve"> </w:t>
      </w:r>
      <w:r>
        <w:t xml:space="preserve">312</w:t>
      </w:r>
      <w:r>
        <w:t xml:space="preserve"> </w:t>
      </w:r>
      <w:r>
        <w:t xml:space="preserve">44.0</w:t>
      </w:r>
      <w:r>
        <w:t xml:space="preserve"> </w:t>
      </w:r>
      <w:r>
        <w:t xml:space="preserve">Intercites</w:t>
      </w:r>
      <w:r>
        <w:t xml:space="preserve"> </w:t>
      </w:r>
      <w:r>
        <w:t xml:space="preserve">Clermont</w:t>
      </w:r>
      <w:r>
        <w:t xml:space="preserve"> </w:t>
      </w:r>
      <w:r>
        <w:t xml:space="preserve">Ferrand-Paris</w:t>
      </w:r>
      <w:r>
        <w:t xml:space="preserve"> </w:t>
      </w:r>
      <w:r>
        <w:t xml:space="preserve">Bercy</w:t>
      </w:r>
      <w:r>
        <w:t xml:space="preserve"> </w:t>
      </w:r>
      <w:r>
        <w:t xml:space="preserve">420</w:t>
      </w:r>
      <w:r>
        <w:t xml:space="preserve"> </w:t>
      </w:r>
      <w:r>
        <w:t xml:space="preserve">2.8</w:t>
      </w:r>
      <w:r>
        <w:t xml:space="preserve"> </w:t>
      </w:r>
      <w:r>
        <w:t xml:space="preserve">Car</w:t>
      </w:r>
      <w:r>
        <w:t xml:space="preserve"> </w:t>
      </w:r>
      <w:r>
        <w:t xml:space="preserve">425</w:t>
      </w:r>
      <w:r>
        <w:t xml:space="preserve"> </w:t>
      </w:r>
      <w:r>
        <w:t xml:space="preserve">31.9</w:t>
      </w:r>
      <w:r>
        <w:t xml:space="preserve"> </w:t>
      </w:r>
      <w:r>
        <w:t xml:space="preserve">Limoges-Paris</w:t>
      </w:r>
      <w:r>
        <w:t xml:space="preserve"> </w:t>
      </w:r>
      <w:r>
        <w:t xml:space="preserve">400</w:t>
      </w:r>
      <w:r>
        <w:t xml:space="preserve"> </w:t>
      </w:r>
      <w:r>
        <w:t xml:space="preserve">2.7</w:t>
      </w:r>
      <w:r>
        <w:t xml:space="preserve"> </w:t>
      </w:r>
      <w:r>
        <w:t xml:space="preserve">Car</w:t>
      </w:r>
      <w:r>
        <w:t xml:space="preserve"> </w:t>
      </w:r>
      <w:r>
        <w:t xml:space="preserve">394</w:t>
      </w:r>
      <w:r>
        <w:t xml:space="preserve"> </w:t>
      </w:r>
      <w:r>
        <w:t xml:space="preserve">29.6</w:t>
      </w:r>
      <w:r>
        <w:t xml:space="preserve"> </w:t>
      </w:r>
      <w:r>
        <w:t xml:space="preserve">Bayonne-Toulose</w:t>
      </w:r>
      <w:r>
        <w:t xml:space="preserve"> </w:t>
      </w:r>
      <w:r>
        <w:t xml:space="preserve">199</w:t>
      </w:r>
      <w:r>
        <w:t xml:space="preserve"> </w:t>
      </w:r>
      <w:r>
        <w:t xml:space="preserve">1.3</w:t>
      </w:r>
      <w:r>
        <w:t xml:space="preserve"> </w:t>
      </w:r>
      <w:r>
        <w:t xml:space="preserve">Car</w:t>
      </w:r>
      <w:r>
        <w:t xml:space="preserve"> </w:t>
      </w:r>
      <w:r>
        <w:t xml:space="preserve">300</w:t>
      </w:r>
      <w:r>
        <w:t xml:space="preserve"> </w:t>
      </w:r>
      <w:r>
        <w:t xml:space="preserve">22.5</w:t>
      </w:r>
      <w:r>
        <w:t xml:space="preserve"> </w:t>
      </w:r>
      <w:r>
        <w:t xml:space="preserve">TER</w:t>
      </w:r>
      <w:r>
        <w:t xml:space="preserve"> </w:t>
      </w:r>
      <w:r>
        <w:t xml:space="preserve">Paris-Trouville Deauville</w:t>
      </w:r>
      <w:r>
        <w:t xml:space="preserve"> </w:t>
      </w:r>
      <w:r>
        <w:t xml:space="preserve">281</w:t>
      </w:r>
      <w:r>
        <w:t xml:space="preserve"> </w:t>
      </w:r>
      <w:r>
        <w:t xml:space="preserve">7.6</w:t>
      </w:r>
      <w:r>
        <w:t xml:space="preserve"> </w:t>
      </w:r>
      <w:r>
        <w:t xml:space="preserve">Car</w:t>
      </w:r>
      <w:r>
        <w:t xml:space="preserve"> </w:t>
      </w:r>
      <w:r>
        <w:t xml:space="preserve">199</w:t>
      </w:r>
      <w:r>
        <w:t xml:space="preserve"> </w:t>
      </w:r>
      <w:r>
        <w:t xml:space="preserve">22.1</w:t>
      </w:r>
      <w:r>
        <w:t xml:space="preserve"> </w:t>
      </w:r>
      <w:r>
        <w:t xml:space="preserve">Grenoble-Lyon</w:t>
      </w:r>
      <w:r>
        <w:t xml:space="preserve"> </w:t>
      </w:r>
      <w:r>
        <w:t xml:space="preserve">131</w:t>
      </w:r>
      <w:r>
        <w:t xml:space="preserve"> </w:t>
      </w:r>
      <w:r>
        <w:t xml:space="preserve">3.5</w:t>
      </w:r>
      <w:r>
        <w:t xml:space="preserve"> </w:t>
      </w:r>
      <w:r>
        <w:t xml:space="preserve">Car</w:t>
      </w:r>
      <w:r>
        <w:t xml:space="preserve"> </w:t>
      </w:r>
      <w:r>
        <w:t xml:space="preserve">113</w:t>
      </w:r>
      <w:r>
        <w:t xml:space="preserve"> </w:t>
      </w:r>
      <w:r>
        <w:t xml:space="preserve">12.5</w:t>
      </w:r>
    </w:p>
    <w:p>
      <w:pPr>
        <w:pStyle w:val="BodyText"/>
      </w:pPr>
      <w:r>
        <w:t xml:space="preserve">211</w:t>
      </w:r>
    </w:p>
    <w:p>
      <w:pPr>
        <w:pStyle w:val="BodyText"/>
      </w:pPr>
      <w:r>
        <w:t xml:space="preserve">Marseille-Nice</w:t>
      </w:r>
      <w:r>
        <w:t xml:space="preserve"> </w:t>
      </w:r>
      <w:r>
        <w:t xml:space="preserve">218</w:t>
      </w:r>
      <w:r>
        <w:t xml:space="preserve"> </w:t>
      </w:r>
      <w:r>
        <w:t xml:space="preserve">5.9</w:t>
      </w:r>
      <w:r>
        <w:t xml:space="preserve"> </w:t>
      </w:r>
      <w:r>
        <w:t xml:space="preserve">Car</w:t>
      </w:r>
      <w:r>
        <w:t xml:space="preserve"> </w:t>
      </w:r>
      <w:r>
        <w:t xml:space="preserve">205</w:t>
      </w:r>
      <w:r>
        <w:t xml:space="preserve"> </w:t>
      </w:r>
      <w:r>
        <w:t xml:space="preserve">22.8</w:t>
      </w:r>
      <w:r>
        <w:t xml:space="preserve"> </w:t>
      </w:r>
      <w:r>
        <w:t xml:space="preserve">Geneve-Lyon</w:t>
      </w:r>
      <w:r>
        <w:t xml:space="preserve"> </w:t>
      </w:r>
      <w:r>
        <w:t xml:space="preserve">129</w:t>
      </w:r>
      <w:r>
        <w:t xml:space="preserve"> </w:t>
      </w:r>
      <w:r>
        <w:t xml:space="preserve">3.5</w:t>
      </w:r>
      <w:r>
        <w:t xml:space="preserve"> </w:t>
      </w:r>
      <w:r>
        <w:t xml:space="preserve">Car</w:t>
      </w:r>
      <w:r>
        <w:t xml:space="preserve"> </w:t>
      </w:r>
      <w:r>
        <w:t xml:space="preserve">150</w:t>
      </w:r>
      <w:r>
        <w:t xml:space="preserve"> </w:t>
      </w:r>
      <w:r>
        <w:t xml:space="preserve">16.7</w:t>
      </w:r>
      <w:r>
        <w:t xml:space="preserve"> </w:t>
      </w:r>
      <w:r>
        <w:t xml:space="preserve">Arcachon-Bordeaux</w:t>
      </w:r>
      <w:r>
        <w:t xml:space="preserve"> </w:t>
      </w:r>
      <w:r>
        <w:t xml:space="preserve">59</w:t>
      </w:r>
      <w:r>
        <w:t xml:space="preserve"> </w:t>
      </w:r>
      <w:r>
        <w:t xml:space="preserve">1.6</w:t>
      </w:r>
      <w:r>
        <w:t xml:space="preserve"> </w:t>
      </w:r>
      <w:r>
        <w:t xml:space="preserve">Car</w:t>
      </w:r>
      <w:r>
        <w:t xml:space="preserve"> </w:t>
      </w:r>
      <w:r>
        <w:t xml:space="preserve">72</w:t>
      </w:r>
      <w:r>
        <w:t xml:space="preserve"> </w:t>
      </w:r>
      <w:r>
        <w:t xml:space="preserve">8.0</w:t>
      </w:r>
      <w:r>
        <w:t xml:space="preserve"> </w:t>
      </w:r>
      <w:r>
        <w:t xml:space="preserve">Transilien</w:t>
      </w:r>
      <w:r>
        <w:t xml:space="preserve"> </w:t>
      </w:r>
      <w:r>
        <w:t xml:space="preserve">Paris-Gare de Lyon-Juvisy</w:t>
      </w:r>
      <w:r>
        <w:t xml:space="preserve"> </w:t>
      </w:r>
      <w:r>
        <w:t xml:space="preserve">20</w:t>
      </w:r>
      <w:r>
        <w:t xml:space="preserve"> </w:t>
      </w:r>
      <w:r>
        <w:t xml:space="preserve">0.1</w:t>
      </w:r>
      <w:r>
        <w:t xml:space="preserve"> </w:t>
      </w:r>
      <w:r>
        <w:t xml:space="preserve">Car</w:t>
      </w:r>
      <w:r>
        <w:t xml:space="preserve"> </w:t>
      </w:r>
      <w:r>
        <w:t xml:space="preserve">21</w:t>
      </w:r>
      <w:r>
        <w:t xml:space="preserve"> </w:t>
      </w:r>
      <w:r>
        <w:t xml:space="preserve">2.8</w:t>
      </w:r>
      <w:r>
        <w:t xml:space="preserve"> </w:t>
      </w:r>
      <w:r>
        <w:t xml:space="preserve">Paris-Montp-Versaille-</w:t>
      </w:r>
      <w:r>
        <w:t xml:space="preserve"> </w:t>
      </w:r>
      <w:r>
        <w:t xml:space="preserve">Chantiers</w:t>
      </w:r>
      <w:r>
        <w:t xml:space="preserve"> </w:t>
      </w:r>
      <w:r>
        <w:t xml:space="preserve">15</w:t>
      </w:r>
      <w:r>
        <w:t xml:space="preserve"> </w:t>
      </w:r>
      <w:r>
        <w:t xml:space="preserve">0.1</w:t>
      </w:r>
      <w:r>
        <w:t xml:space="preserve"> </w:t>
      </w:r>
      <w:r>
        <w:t xml:space="preserve">Car</w:t>
      </w:r>
      <w:r>
        <w:t xml:space="preserve"> </w:t>
      </w:r>
      <w:r>
        <w:t xml:space="preserve">26</w:t>
      </w:r>
      <w:r>
        <w:t xml:space="preserve"> </w:t>
      </w:r>
      <w:r>
        <w:t xml:space="preserve">3.5</w:t>
      </w:r>
      <w:r>
        <w:t xml:space="preserve"> </w:t>
      </w:r>
      <w:r>
        <w:t xml:space="preserve">Paris</w:t>
      </w:r>
      <w:r>
        <w:t xml:space="preserve"> </w:t>
      </w:r>
      <w:r>
        <w:t xml:space="preserve">Nord-Ermont-</w:t>
      </w:r>
      <w:r>
        <w:t xml:space="preserve"> </w:t>
      </w:r>
      <w:r>
        <w:t xml:space="preserve">Eaubonne</w:t>
      </w:r>
      <w:r>
        <w:t xml:space="preserve"> </w:t>
      </w:r>
      <w:r>
        <w:t xml:space="preserve">14</w:t>
      </w:r>
      <w:r>
        <w:t xml:space="preserve"> </w:t>
      </w:r>
      <w:r>
        <w:t xml:space="preserve">0.1</w:t>
      </w:r>
      <w:r>
        <w:t xml:space="preserve"> </w:t>
      </w:r>
      <w:r>
        <w:t xml:space="preserve">Car</w:t>
      </w:r>
      <w:r>
        <w:t xml:space="preserve"> </w:t>
      </w:r>
      <w:r>
        <w:t xml:space="preserve">14</w:t>
      </w:r>
      <w:r>
        <w:t xml:space="preserve"> </w:t>
      </w:r>
      <w:r>
        <w:t xml:space="preserve">1.9</w:t>
      </w:r>
      <w:r>
        <w:t xml:space="preserve"> </w:t>
      </w:r>
      <w:r>
        <w:t xml:space="preserve">Paris St. Lazare-La Defense</w:t>
      </w:r>
      <w:r>
        <w:t xml:space="preserve"> </w:t>
      </w:r>
      <w:r>
        <w:t xml:space="preserve">6</w:t>
      </w:r>
      <w:r>
        <w:t xml:space="preserve"> </w:t>
      </w:r>
      <w:r>
        <w:t xml:space="preserve">0.0</w:t>
      </w:r>
      <w:r>
        <w:t xml:space="preserve"> </w:t>
      </w:r>
      <w:r>
        <w:t xml:space="preserve">Car</w:t>
      </w:r>
      <w:r>
        <w:t xml:space="preserve"> </w:t>
      </w:r>
      <w:r>
        <w:t xml:space="preserve">8</w:t>
      </w:r>
      <w:r>
        <w:t xml:space="preserve"> </w:t>
      </w:r>
      <w:r>
        <w:t xml:space="preserve">1.1</w:t>
      </w:r>
      <w:r>
        <w:t xml:space="preserve"> </w:t>
      </w:r>
      <w:r>
        <w:t xml:space="preserve">Magenta-Chelles-Gournay</w:t>
      </w:r>
      <w:r>
        <w:t xml:space="preserve"> </w:t>
      </w:r>
      <w:r>
        <w:t xml:space="preserve">18</w:t>
      </w:r>
      <w:r>
        <w:t xml:space="preserve"> </w:t>
      </w:r>
      <w:r>
        <w:t xml:space="preserve">0.1</w:t>
      </w:r>
      <w:r>
        <w:t xml:space="preserve"> </w:t>
      </w:r>
      <w:r>
        <w:t xml:space="preserve">Car</w:t>
      </w:r>
      <w:r>
        <w:t xml:space="preserve"> </w:t>
      </w:r>
      <w:r>
        <w:t xml:space="preserve">21</w:t>
      </w:r>
      <w:r>
        <w:t xml:space="preserve"> </w:t>
      </w:r>
      <w:r>
        <w:t xml:space="preserve">2.8</w:t>
      </w:r>
      <w:r>
        <w:t xml:space="preserve"> </w:t>
      </w:r>
      <w:r>
        <w:t xml:space="preserve">Source: SNCF (2022)</w:t>
      </w:r>
      <w:r>
        <w:t xml:space="preserve"> </w:t>
      </w:r>
      <w:r>
        <w:t xml:space="preserve">Taking into account estimates based on the calculator, the SNCF has identified a number</w:t>
      </w:r>
      <w:r>
        <w:t xml:space="preserve"> </w:t>
      </w:r>
      <w:r>
        <w:t xml:space="preserve">of measures to achieve energy savings, improve energy performance and consume new</w:t>
      </w:r>
      <w:r>
        <w:t xml:space="preserve"> </w:t>
      </w:r>
      <w:r>
        <w:t xml:space="preserve">non-fossil energies. According to SNCF’s financial annual report304, these measures</w:t>
      </w:r>
      <w:r>
        <w:t xml:space="preserve"> </w:t>
      </w:r>
      <w:r>
        <w:t xml:space="preserve">constitute an opportunity to improve the share of rail and sustainable mobility in general,</w:t>
      </w:r>
      <w:r>
        <w:t xml:space="preserve"> </w:t>
      </w:r>
      <w:r>
        <w:t xml:space="preserve">while providing services of passengers and goods. These measures can be summarised as</w:t>
      </w:r>
      <w:r>
        <w:t xml:space="preserve"> </w:t>
      </w:r>
      <w:r>
        <w:t xml:space="preserve">follows:</w:t>
      </w:r>
      <w:r>
        <w:t xml:space="preserve"> </w:t>
      </w:r>
      <w:r>
        <w:t xml:space="preserve"> train the train drivers to implement eco-driving saving. According to company’s</w:t>
      </w:r>
      <w:r>
        <w:t xml:space="preserve"> </w:t>
      </w:r>
      <w:r>
        <w:t xml:space="preserve">estimations eco-driving would allow to save up to 10% energy on a journey;</w:t>
      </w:r>
      <w:r>
        <w:t xml:space="preserve"> </w:t>
      </w:r>
      <w:r>
        <w:t xml:space="preserve"> during parking, an idle rolling stock consumes 10-30% of the total consumption,</w:t>
      </w:r>
      <w:r>
        <w:t xml:space="preserve"> </w:t>
      </w:r>
      <w:r>
        <w:t xml:space="preserve">depending on the transport activities. SNCF envisages to save 5-25% of current</w:t>
      </w:r>
      <w:r>
        <w:t xml:space="preserve"> </w:t>
      </w:r>
      <w:r>
        <w:t xml:space="preserve">parking consumption implementing ‘eco-parking’ device on the passenger</w:t>
      </w:r>
      <w:r>
        <w:t xml:space="preserve"> </w:t>
      </w:r>
      <w:r>
        <w:t xml:space="preserve">transport activity on all rolling stock, both electric and diesel. For example, the</w:t>
      </w:r>
      <w:r>
        <w:t xml:space="preserve"> </w:t>
      </w:r>
      <w:r>
        <w:t xml:space="preserve">expected gain for a TER train, the regional passenger transport, is around 48</w:t>
      </w:r>
      <w:r>
        <w:t xml:space="preserve"> </w:t>
      </w:r>
      <w:r>
        <w:t xml:space="preserve">ktCO2e/year by 2025 (i.e., around 10% of CO2e emissions from TER trains);</w:t>
      </w:r>
      <w:r>
        <w:t xml:space="preserve"> </w:t>
      </w:r>
      <w:r>
        <w:t xml:space="preserve"> replace fossil fuels with bio-fuels. This measure includes tests carried out for the</w:t>
      </w:r>
      <w:r>
        <w:t xml:space="preserve"> </w:t>
      </w:r>
      <w:r>
        <w:t xml:space="preserve">services operated between Paris and Granville in the second half of 2021. The</w:t>
      </w:r>
      <w:r>
        <w:t xml:space="preserve"> </w:t>
      </w:r>
      <w:r>
        <w:t xml:space="preserve">analysis of the impacts of these operations is in progress, however the current</w:t>
      </w:r>
      <w:r>
        <w:t xml:space="preserve"> </w:t>
      </w:r>
      <w:r>
        <w:t xml:space="preserve">deployment of biofuels (i.e., B100) is estimated to reduce GHG emissions from</w:t>
      </w:r>
      <w:r>
        <w:t xml:space="preserve"> </w:t>
      </w:r>
      <w:r>
        <w:t xml:space="preserve">diesel trains by 60%;</w:t>
      </w:r>
      <w:r>
        <w:t xml:space="preserve"> </w:t>
      </w:r>
      <w:r>
        <w:t xml:space="preserve"> design and introduce lighter equipment and superstructures (e.g. catenary systems)</w:t>
      </w:r>
      <w:r>
        <w:t xml:space="preserve"> </w:t>
      </w:r>
      <w:r>
        <w:t xml:space="preserve">and rolling stock with a lower environmental footprint.</w:t>
      </w:r>
    </w:p>
    <w:p>
      <w:pPr>
        <w:pStyle w:val="BodyText"/>
      </w:pPr>
      <w:r>
        <w:t xml:space="preserve">304 See SNCF (2022). Rapport Financier Annuel Groupe SNCF.</w:t>
      </w:r>
    </w:p>
    <w:p>
      <w:pPr>
        <w:pStyle w:val="BodyText"/>
      </w:pPr>
      <w:r>
        <w:t xml:space="preserve">212</w:t>
      </w:r>
    </w:p>
    <w:p>
      <w:pPr>
        <w:pStyle w:val="BodyText"/>
      </w:pPr>
      <w:r>
        <w:t xml:space="preserve">3- Use cases for CountEmissions EU</w:t>
      </w:r>
      <w:r>
        <w:t xml:space="preserve"> </w:t>
      </w:r>
      <w:r>
        <w:t xml:space="preserve">Eco-labelling of transport services</w:t>
      </w:r>
      <w:r>
        <w:br/>
      </w:r>
      <w:r>
        <w:t xml:space="preserve">Aim</w:t>
      </w:r>
      <w:r>
        <w:t xml:space="preserve"> </w:t>
      </w:r>
      <w:r>
        <w:t xml:space="preserve">Inform stakeholders about the (relative) performance of transport</w:t>
      </w:r>
      <w:r>
        <w:t xml:space="preserve"> </w:t>
      </w:r>
      <w:r>
        <w:t xml:space="preserve">operators.</w:t>
      </w:r>
      <w:r>
        <w:br/>
      </w:r>
      <w:r>
        <w:t xml:space="preserve">How it works</w:t>
      </w:r>
      <w:r>
        <w:t xml:space="preserve"> </w:t>
      </w:r>
      <w:r>
        <w:t xml:space="preserve">Participating transport operators will report their emissions to the</w:t>
      </w:r>
      <w:r>
        <w:t xml:space="preserve"> </w:t>
      </w:r>
      <w:r>
        <w:t xml:space="preserve">manager of the initiative. This manager processes the results of</w:t>
      </w:r>
      <w:r>
        <w:t xml:space="preserve"> </w:t>
      </w:r>
      <w:r>
        <w:t xml:space="preserve">individual companies and rewards an ECO-label depending on</w:t>
      </w:r>
      <w:r>
        <w:t xml:space="preserve"> </w:t>
      </w:r>
      <w:r>
        <w:t xml:space="preserve">their performance. A better GHG performance could result in a</w:t>
      </w:r>
      <w:r>
        <w:t xml:space="preserve"> </w:t>
      </w:r>
      <w:r>
        <w:t xml:space="preserve">higher eco-label.</w:t>
      </w:r>
      <w:r>
        <w:br/>
      </w:r>
      <w:r>
        <w:t xml:space="preserve">Example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practice application</w:t>
      </w:r>
      <w:r>
        <w:br/>
      </w:r>
      <w:r>
        <w:t xml:space="preserve">Lean and Green is a greening program which has started in the</w:t>
      </w:r>
      <w:r>
        <w:t xml:space="preserve"> </w:t>
      </w:r>
      <w:r>
        <w:t xml:space="preserve">Netherlands around 2010 by the public initiative Connekt305. Since</w:t>
      </w:r>
      <w:r>
        <w:t xml:space="preserve"> </w:t>
      </w:r>
      <w:r>
        <w:t xml:space="preserve">then more than 500 companies from 14 European countries have</w:t>
      </w:r>
      <w:r>
        <w:t xml:space="preserve"> </w:t>
      </w:r>
      <w:r>
        <w:t xml:space="preserve">participated in the program. In the program, participants promise to</w:t>
      </w:r>
      <w:r>
        <w:t xml:space="preserve"> </w:t>
      </w:r>
      <w:r>
        <w:t xml:space="preserve">reduce CO2 emissions. For different emission reduction levels and</w:t>
      </w:r>
      <w:r>
        <w:t xml:space="preserve"> </w:t>
      </w:r>
      <w:r>
        <w:t xml:space="preserve">associated efforts, performance ratings (stars) are awarded. This</w:t>
      </w:r>
      <w:r>
        <w:t xml:space="preserve"> </w:t>
      </w:r>
      <w:r>
        <w:t xml:space="preserve">stimulates companies which want to continue with GHG emissions</w:t>
      </w:r>
      <w:r>
        <w:t xml:space="preserve"> </w:t>
      </w:r>
      <w:r>
        <w:t xml:space="preserve">as they are able to demonstrate their progress. Also, companies are</w:t>
      </w:r>
      <w:r>
        <w:t xml:space="preserve"> </w:t>
      </w:r>
      <w:r>
        <w:t xml:space="preserve">anonymously compared against competitors active in the same</w:t>
      </w:r>
      <w:r>
        <w:t xml:space="preserve"> </w:t>
      </w:r>
      <w:r>
        <w:t xml:space="preserve">market. More information on Lean &amp; Green can be found in Annex</w:t>
      </w:r>
      <w:r>
        <w:t xml:space="preserve"> </w:t>
      </w:r>
      <w:r>
        <w:t xml:space="preserve">C of the Impact Assessment support study accompanying this</w:t>
      </w:r>
      <w:r>
        <w:t xml:space="preserve"> </w:t>
      </w:r>
      <w:r>
        <w:t xml:space="preserve">report.</w:t>
      </w:r>
      <w:r>
        <w:br/>
      </w:r>
      <w:r>
        <w:t xml:space="preserve">(Expected)</w:t>
      </w:r>
      <w:r>
        <w:t xml:space="preserve"> </w:t>
      </w:r>
      <w:r>
        <w:t xml:space="preserve">GHG</w:t>
      </w:r>
      <w:r>
        <w:t xml:space="preserve"> </w:t>
      </w:r>
      <w:r>
        <w:t xml:space="preserve">emissions</w:t>
      </w:r>
      <w:r>
        <w:t xml:space="preserve"> </w:t>
      </w:r>
      <w:r>
        <w:t xml:space="preserve">reduction potential</w:t>
      </w:r>
      <w:r>
        <w:t xml:space="preserve"> </w:t>
      </w:r>
      <w:r>
        <w:t xml:space="preserve">ECO-labelling offers participants a reason to accelerate GHG</w:t>
      </w:r>
      <w:r>
        <w:t xml:space="preserve"> </w:t>
      </w:r>
      <w:r>
        <w:t xml:space="preserve">emission reduction. For instance, companies participating in the</w:t>
      </w:r>
      <w:r>
        <w:t xml:space="preserve"> </w:t>
      </w:r>
      <w:r>
        <w:t xml:space="preserve">Lean &amp; Green program have reduced over 700 kton CO2 emissions</w:t>
      </w:r>
      <w:r>
        <w:t xml:space="preserve"> </w:t>
      </w:r>
      <w:r>
        <w:t xml:space="preserve">since the start of Lean and Green, or about 0.7% of road transport</w:t>
      </w:r>
      <w:r>
        <w:t xml:space="preserve"> </w:t>
      </w:r>
      <w:r>
        <w:t xml:space="preserve">emissions in the Netherlands.</w:t>
      </w:r>
      <w:r>
        <w:br/>
      </w:r>
      <w:r>
        <w:t xml:space="preserve">Other benefits</w:t>
      </w:r>
      <w:r>
        <w:br/>
      </w:r>
      <w:r>
        <w:t xml:space="preserve">Eco-labelling may incentivise transport operators and users to</w:t>
      </w:r>
      <w:r>
        <w:t xml:space="preserve"> </w:t>
      </w:r>
      <w:r>
        <w:t xml:space="preserve">choose for more sustainable options (e.g. modal shift to more</w:t>
      </w:r>
      <w:r>
        <w:t xml:space="preserve"> </w:t>
      </w:r>
      <w:r>
        <w:t xml:space="preserve">sustainable modes, increased transport efficiency, etc.). Depending</w:t>
      </w:r>
      <w:r>
        <w:t xml:space="preserve"> </w:t>
      </w:r>
      <w:r>
        <w:t xml:space="preserve">on the actual choices made, this may have a positive effect on the</w:t>
      </w:r>
      <w:r>
        <w:t xml:space="preserve"> </w:t>
      </w:r>
      <w:r>
        <w:t xml:space="preserve">other externalities (e.g. reducing air pollutant emissions, noise,</w:t>
      </w:r>
      <w:r>
        <w:t xml:space="preserve"> </w:t>
      </w:r>
      <w:r>
        <w:t xml:space="preserve">congestion) as well, although it is difficult to predict the size and</w:t>
      </w:r>
      <w:r>
        <w:t xml:space="preserve"> </w:t>
      </w:r>
      <w:r>
        <w:t xml:space="preserve">sign of this effect.</w:t>
      </w:r>
      <w:r>
        <w:br/>
      </w:r>
      <w:r>
        <w:t xml:space="preserve">Sources used for the analysis</w:t>
      </w:r>
      <w:r>
        <w:t xml:space="preserve"> </w:t>
      </w:r>
      <w:r>
        <w:t xml:space="preserve">Smart Freight Centre (SFC, 2019a), Global Logistics Emissions Council Framework for</w:t>
      </w:r>
      <w:r>
        <w:t xml:space="preserve"> </w:t>
      </w:r>
      <w:r>
        <w:t xml:space="preserve">Logistics Emissions Accounting and Reporting</w:t>
      </w:r>
      <w:r>
        <w:br/>
      </w:r>
      <w:r>
        <w:t xml:space="preserve">TK’Blue Agency (ongoing)</w:t>
      </w:r>
    </w:p>
    <w:p>
      <w:pPr>
        <w:pStyle w:val="BodyText"/>
      </w:pPr>
      <w:r>
        <w:t xml:space="preserve">305 https://connekt.nl/</w:t>
      </w:r>
    </w:p>
    <w:p>
      <w:pPr>
        <w:pStyle w:val="BodyText"/>
      </w:pPr>
      <w:r>
        <w:t xml:space="preserve">213</w:t>
      </w:r>
    </w:p>
    <w:p>
      <w:pPr>
        <w:pStyle w:val="BodyText"/>
      </w:pPr>
      <w:r>
        <w:t xml:space="preserve">Topsector Logistiek (2021), Richtlijn 18 – Benchmarken</w:t>
      </w:r>
      <w:r>
        <w:t xml:space="preserve"> </w:t>
      </w:r>
      <w:r>
        <w:t xml:space="preserve">Topsector Logistiek (2022), Lean &amp; Green</w:t>
      </w:r>
      <w:r>
        <w:t xml:space="preserve"> </w:t>
      </w:r>
      <w:r>
        <w:t xml:space="preserve">Stakeholder interviews</w:t>
      </w:r>
    </w:p>
    <w:p>
      <w:pPr>
        <w:pStyle w:val="BodyText"/>
      </w:pPr>
      <w:r>
        <w:t xml:space="preserve">Sustainable delivery B2C services</w:t>
      </w:r>
      <w:r>
        <w:br/>
      </w:r>
      <w:r>
        <w:t xml:space="preserve">Aim</w:t>
      </w:r>
      <w:r>
        <w:t xml:space="preserve"> </w:t>
      </w:r>
      <w:r>
        <w:t xml:space="preserve">The aim of using GHG emission data by sustainable delivery</w:t>
      </w:r>
      <w:r>
        <w:t xml:space="preserve"> </w:t>
      </w:r>
      <w:r>
        <w:t xml:space="preserve">services is fourfold:</w:t>
      </w:r>
      <w:r>
        <w:t xml:space="preserve"> </w:t>
      </w:r>
      <w:r>
        <w:t xml:space="preserve"> Show customers that the delivery company offers</w:t>
      </w:r>
      <w:r>
        <w:t xml:space="preserve"> </w:t>
      </w:r>
      <w:r>
        <w:t xml:space="preserve">sustainable transport solutions;</w:t>
      </w:r>
      <w:r>
        <w:t xml:space="preserve"> </w:t>
      </w:r>
      <w:r>
        <w:t xml:space="preserve"> Let customers be in control with regard to the</w:t>
      </w:r>
      <w:r>
        <w:t xml:space="preserve"> </w:t>
      </w:r>
      <w:r>
        <w:t xml:space="preserve">environmental impact of the delivery of their goods (e.g. </w:t>
      </w:r>
      <w:r>
        <w:t xml:space="preserve"> </w:t>
      </w:r>
      <w:r>
        <w:t xml:space="preserve">fast delivery: high CO2 footprint, later delivery date: lower</w:t>
      </w:r>
      <w:r>
        <w:t xml:space="preserve"> </w:t>
      </w:r>
      <w:r>
        <w:t xml:space="preserve">CO2 footprint);</w:t>
      </w:r>
      <w:r>
        <w:t xml:space="preserve"> </w:t>
      </w:r>
      <w:r>
        <w:t xml:space="preserve"> Create awareness about the GHG impact of customers’</w:t>
      </w:r>
      <w:r>
        <w:t xml:space="preserve"> </w:t>
      </w:r>
      <w:r>
        <w:t xml:space="preserve">choices;</w:t>
      </w:r>
      <w:r>
        <w:t xml:space="preserve"> </w:t>
      </w:r>
      <w:r>
        <w:t xml:space="preserve"> Optimise</w:t>
      </w:r>
      <w:r>
        <w:t xml:space="preserve"> </w:t>
      </w:r>
      <w:r>
        <w:t xml:space="preserve">transport</w:t>
      </w:r>
      <w:r>
        <w:t xml:space="preserve"> </w:t>
      </w:r>
      <w:r>
        <w:t xml:space="preserve">operations</w:t>
      </w:r>
      <w:r>
        <w:t xml:space="preserve"> </w:t>
      </w:r>
      <w:r>
        <w:t xml:space="preserve">in</w:t>
      </w:r>
      <w:r>
        <w:t xml:space="preserve"> </w:t>
      </w:r>
      <w:r>
        <w:t xml:space="preserve">terms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environmental impact.</w:t>
      </w:r>
      <w:r>
        <w:br/>
      </w:r>
      <w:r>
        <w:t xml:space="preserve">How it works</w:t>
      </w:r>
      <w:r>
        <w:t xml:space="preserve"> </w:t>
      </w:r>
      <w:r>
        <w:t xml:space="preserve">Based on the GHG emission figures, transport companies are able</w:t>
      </w:r>
      <w:r>
        <w:t xml:space="preserve"> </w:t>
      </w:r>
      <w:r>
        <w:t xml:space="preserve">to calculate the impact of the different delivery services. GHG</w:t>
      </w:r>
      <w:r>
        <w:t xml:space="preserve"> </w:t>
      </w:r>
      <w:r>
        <w:t xml:space="preserve">emissions of each individual delivery can be calculated and</w:t>
      </w:r>
      <w:r>
        <w:t xml:space="preserve"> </w:t>
      </w:r>
      <w:r>
        <w:t xml:space="preserve">communicated. Companies can reduce the GHG emissions of their</w:t>
      </w:r>
      <w:r>
        <w:t xml:space="preserve"> </w:t>
      </w:r>
      <w:r>
        <w:t xml:space="preserve">delivery services by optimising delivery routes and/or offer</w:t>
      </w:r>
      <w:r>
        <w:t xml:space="preserve"> </w:t>
      </w:r>
      <w:r>
        <w:t xml:space="preserve">differentiated services based on their GHG impact. This can be</w:t>
      </w:r>
      <w:r>
        <w:t xml:space="preserve"> </w:t>
      </w:r>
      <w:r>
        <w:t xml:space="preserve">realised by giving customers the opportunity to choose between</w:t>
      </w:r>
      <w:r>
        <w:t xml:space="preserve"> </w:t>
      </w:r>
      <w:r>
        <w:t xml:space="preserve">different timeslots for delivery which makes it possible to, for</w:t>
      </w:r>
      <w:r>
        <w:t xml:space="preserve"> </w:t>
      </w:r>
      <w:r>
        <w:t xml:space="preserve">example, optimise routing or choose between different modes of</w:t>
      </w:r>
      <w:r>
        <w:t xml:space="preserve"> </w:t>
      </w:r>
      <w:r>
        <w:t xml:space="preserve">transport.</w:t>
      </w:r>
      <w:r>
        <w:br/>
      </w:r>
      <w:r>
        <w:t xml:space="preserve">Example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practice application</w:t>
      </w:r>
      <w:r>
        <w:br/>
      </w:r>
      <w:r>
        <w:t xml:space="preserve">Multiple companies already apply this in practise. Example are</w:t>
      </w:r>
      <w:r>
        <w:t xml:space="preserve"> </w:t>
      </w:r>
      <w:r>
        <w:t xml:space="preserve">DHL Go Green, UPS My Choice and Bewust Bezorgd (a Dutch</w:t>
      </w:r>
      <w:r>
        <w:t xml:space="preserve"> </w:t>
      </w:r>
      <w:r>
        <w:t xml:space="preserve">initiative to calculate CO2-emissions of delivery options of online</w:t>
      </w:r>
      <w:r>
        <w:t xml:space="preserve"> </w:t>
      </w:r>
      <w:r>
        <w:t xml:space="preserve">retailers).</w:t>
      </w:r>
      <w:r>
        <w:t xml:space="preserve"> </w:t>
      </w:r>
      <w:r>
        <w:t xml:space="preserve">(Expected)</w:t>
      </w:r>
      <w:r>
        <w:t xml:space="preserve"> </w:t>
      </w:r>
      <w:r>
        <w:t xml:space="preserve">GHG</w:t>
      </w:r>
      <w:r>
        <w:t xml:space="preserve"> </w:t>
      </w:r>
      <w:r>
        <w:t xml:space="preserve">emissions</w:t>
      </w:r>
      <w:r>
        <w:t xml:space="preserve"> </w:t>
      </w:r>
      <w:r>
        <w:t xml:space="preserve">reduction potential</w:t>
      </w:r>
      <w:r>
        <w:t xml:space="preserve"> </w:t>
      </w:r>
      <w:r>
        <w:t xml:space="preserve">The Netherlands is among the European countries with the highest</w:t>
      </w:r>
      <w:r>
        <w:t xml:space="preserve"> </w:t>
      </w:r>
      <w:r>
        <w:t xml:space="preserve">e-commerce activity (83% of the population buy online). Which</w:t>
      </w:r>
      <w:r>
        <w:t xml:space="preserve"> </w:t>
      </w:r>
      <w:r>
        <w:t xml:space="preserve">makes them a frontrunner with regard to B2C activities. While in</w:t>
      </w:r>
      <w:r>
        <w:t xml:space="preserve"> </w:t>
      </w:r>
      <w:r>
        <w:t xml:space="preserve">the Netherlands delivery services of packages accounted for</w:t>
      </w:r>
      <w:r>
        <w:t xml:space="preserve"> </w:t>
      </w:r>
      <w:r>
        <w:t xml:space="preserve">approximately 4% of the 3.6 Mtons of CO2 resulting from city</w:t>
      </w:r>
      <w:r>
        <w:t xml:space="preserve"> </w:t>
      </w:r>
      <w:r>
        <w:t xml:space="preserve">logistics in 2015 (Topsector Logistiek, 2017), this share is growing</w:t>
      </w:r>
      <w:r>
        <w:t xml:space="preserve"> </w:t>
      </w:r>
      <w:r>
        <w:t xml:space="preserve">and therefore the sustainable delivery services may become an</w:t>
      </w:r>
      <w:r>
        <w:t xml:space="preserve"> </w:t>
      </w:r>
      <w:r>
        <w:t xml:space="preserve">important contributor toward emissions reduction in urban areas.</w:t>
      </w:r>
    </w:p>
    <w:p>
      <w:pPr>
        <w:pStyle w:val="BodyText"/>
      </w:pPr>
      <w:r>
        <w:t xml:space="preserve">214</w:t>
      </w:r>
    </w:p>
    <w:p>
      <w:pPr>
        <w:pStyle w:val="BodyText"/>
      </w:pPr>
      <w:r>
        <w:t xml:space="preserve">Other benefits</w:t>
      </w:r>
      <w:r>
        <w:br/>
      </w:r>
      <w:r>
        <w:t xml:space="preserve">Better utilisation of transport infrastructure capacity, positive</w:t>
      </w:r>
      <w:r>
        <w:t xml:space="preserve"> </w:t>
      </w:r>
      <w:r>
        <w:t xml:space="preserve">impact on noise and other externalities, improved environmental</w:t>
      </w:r>
      <w:r>
        <w:t xml:space="preserve"> </w:t>
      </w:r>
      <w:r>
        <w:t xml:space="preserve">awareness of customers.</w:t>
      </w:r>
      <w:r>
        <w:t xml:space="preserve"> </w:t>
      </w:r>
      <w:r>
        <w:t xml:space="preserve">Sources used for analysis</w:t>
      </w:r>
      <w:r>
        <w:t xml:space="preserve"> </w:t>
      </w:r>
      <w:r>
        <w:t xml:space="preserve">Ignat &amp; Chankov (2020)</w:t>
      </w:r>
      <w:r>
        <w:t xml:space="preserve"> </w:t>
      </w:r>
      <w:r>
        <w:t xml:space="preserve">Pereira Marcilio Nogueira et al. (2022)</w:t>
      </w:r>
      <w:r>
        <w:t xml:space="preserve"> </w:t>
      </w:r>
      <w:r>
        <w:t xml:space="preserve">Topsector Logistiek (2017) Outlook City Logistics 2017</w:t>
      </w:r>
      <w:r>
        <w:t xml:space="preserve"> </w:t>
      </w:r>
      <w:r>
        <w:t xml:space="preserve">Stakeholder interviews</w:t>
      </w:r>
    </w:p>
    <w:p>
      <w:pPr>
        <w:pStyle w:val="BodyText"/>
      </w:pPr>
      <w:r>
        <w:t xml:space="preserve">Permit to enter Low or Zero emission zones</w:t>
      </w:r>
      <w:r>
        <w:br/>
      </w:r>
      <w:r>
        <w:t xml:space="preserve">Aim</w:t>
      </w:r>
      <w:r>
        <w:t xml:space="preserve"> </w:t>
      </w:r>
      <w:r>
        <w:t xml:space="preserve">To create a healthier environment for the inhabitants and to</w:t>
      </w:r>
      <w:r>
        <w:t xml:space="preserve"> </w:t>
      </w:r>
      <w:r>
        <w:t xml:space="preserve">contribute to reaching climate reduction targets, city authorities</w:t>
      </w:r>
      <w:r>
        <w:t xml:space="preserve"> </w:t>
      </w:r>
      <w:r>
        <w:t xml:space="preserve">may decide to introduce a low or zero emission zone for all or a</w:t>
      </w:r>
      <w:r>
        <w:t xml:space="preserve"> </w:t>
      </w:r>
      <w:r>
        <w:t xml:space="preserve">selection of vehicles.</w:t>
      </w:r>
      <w:r>
        <w:br/>
      </w:r>
      <w:r>
        <w:t xml:space="preserve">How it works</w:t>
      </w:r>
      <w:r>
        <w:t xml:space="preserve"> </w:t>
      </w:r>
      <w:r>
        <w:t xml:space="preserve">The Low or Zero emission zone is a predefined area in which</w:t>
      </w:r>
      <w:r>
        <w:t xml:space="preserve"> </w:t>
      </w:r>
      <w:r>
        <w:t xml:space="preserve">vehicles that emit more than allowed are prohibited to enter.</w:t>
      </w:r>
      <w:r>
        <w:t xml:space="preserve"> </w:t>
      </w:r>
      <w:r>
        <w:t xml:space="preserve">Checks by the local enforcement agencies can be automated via</w:t>
      </w:r>
      <w:r>
        <w:t xml:space="preserve"> </w:t>
      </w:r>
      <w:r>
        <w:t xml:space="preserve">cameras and related software (licence plates), or manual based on</w:t>
      </w:r>
      <w:r>
        <w:t xml:space="preserve"> </w:t>
      </w:r>
      <w:r>
        <w:t xml:space="preserve">supplied permits.</w:t>
      </w:r>
      <w:r>
        <w:t xml:space="preserve"> </w:t>
      </w:r>
      <w:r>
        <w:t xml:space="preserve">Example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practice application</w:t>
      </w:r>
      <w:r>
        <w:br/>
      </w:r>
      <w:r>
        <w:t xml:space="preserve">Low emission zones are already common practise in multiple</w:t>
      </w:r>
      <w:r>
        <w:t xml:space="preserve"> </w:t>
      </w:r>
      <w:r>
        <w:t xml:space="preserve">countries, like the United Kingdom (London and Glasgow),</w:t>
      </w:r>
      <w:r>
        <w:t xml:space="preserve"> </w:t>
      </w:r>
      <w:r>
        <w:t xml:space="preserve">Belgium (Antwerp and Brussels), France (Paris), Germany (Berlin</w:t>
      </w:r>
      <w:r>
        <w:t xml:space="preserve"> </w:t>
      </w:r>
      <w:r>
        <w:t xml:space="preserve">and Munich), Spain (Barcelona and Madrid), Italy (Rome and</w:t>
      </w:r>
      <w:r>
        <w:t xml:space="preserve"> </w:t>
      </w:r>
      <w:r>
        <w:t xml:space="preserve">Milan) and the Netherlands (Amsterdam, Rotterdam and Utrecht).</w:t>
      </w:r>
      <w:r>
        <w:t xml:space="preserve"> </w:t>
      </w:r>
      <w:r>
        <w:t xml:space="preserve">Zero emission zones are announced for over thirty cities in the</w:t>
      </w:r>
      <w:r>
        <w:t xml:space="preserve"> </w:t>
      </w:r>
      <w:r>
        <w:t xml:space="preserve">Netherlands for freight transport entering the zone, which is in most</w:t>
      </w:r>
      <w:r>
        <w:t xml:space="preserve"> </w:t>
      </w:r>
      <w:r>
        <w:t xml:space="preserve">cases the city centre. Also in China such zones for freight transport</w:t>
      </w:r>
      <w:r>
        <w:t xml:space="preserve"> </w:t>
      </w:r>
      <w:r>
        <w:t xml:space="preserve">are planned (e.g. Shenzen, Foshan and Luoyang).</w:t>
      </w:r>
      <w:r>
        <w:br/>
      </w:r>
      <w:r>
        <w:t xml:space="preserve">(Expected)</w:t>
      </w:r>
      <w:r>
        <w:t xml:space="preserve"> </w:t>
      </w:r>
      <w:r>
        <w:t xml:space="preserve">GHG</w:t>
      </w:r>
      <w:r>
        <w:t xml:space="preserve"> </w:t>
      </w:r>
      <w:r>
        <w:t xml:space="preserve">emissions</w:t>
      </w:r>
      <w:r>
        <w:t xml:space="preserve"> </w:t>
      </w:r>
      <w:r>
        <w:t xml:space="preserve">reduction potential</w:t>
      </w:r>
      <w:r>
        <w:t xml:space="preserve"> </w:t>
      </w:r>
      <w:r>
        <w:t xml:space="preserve">Currently, the zones are in general focused more on air pollutants,</w:t>
      </w:r>
      <w:r>
        <w:t xml:space="preserve"> </w:t>
      </w:r>
      <w:r>
        <w:t xml:space="preserve">than GHG emissions. The entry requirements are often based on</w:t>
      </w:r>
      <w:r>
        <w:t xml:space="preserve"> </w:t>
      </w:r>
      <w:r>
        <w:t xml:space="preserve">Euro classes from type approvals of vehicles. One of the reasons</w:t>
      </w:r>
      <w:r>
        <w:t xml:space="preserve"> </w:t>
      </w:r>
      <w:r>
        <w:t xml:space="preserve">for this situation is that standard combustion engines can run also</w:t>
      </w:r>
      <w:r>
        <w:t xml:space="preserve"> </w:t>
      </w:r>
      <w:r>
        <w:t xml:space="preserve">on biofuels (besides diesel) and that it is difficult to account for</w:t>
      </w:r>
      <w:r>
        <w:t xml:space="preserve"> </w:t>
      </w:r>
      <w:r>
        <w:t xml:space="preserve">differences in fuel types. However, using information on GHG</w:t>
      </w:r>
      <w:r>
        <w:t xml:space="preserve"> </w:t>
      </w:r>
      <w:r>
        <w:t xml:space="preserve">emission to establish specific entry requirements may also be</w:t>
      </w:r>
      <w:r>
        <w:t xml:space="preserve"> </w:t>
      </w:r>
      <w:r>
        <w:t xml:space="preserve">considered to further increase the potential of a zone. Given that</w:t>
      </w:r>
      <w:r>
        <w:t xml:space="preserve"> </w:t>
      </w:r>
      <w:r>
        <w:t xml:space="preserve">total CO2 emissions from city logistics in the Netherlands was</w:t>
      </w:r>
      <w:r>
        <w:t xml:space="preserve"> </w:t>
      </w:r>
      <w:r>
        <w:t xml:space="preserve">around 3.6 Mtons per year (with a bandwith of 2.7-4.5 Mtons, the</w:t>
      </w:r>
    </w:p>
    <w:p>
      <w:pPr>
        <w:pStyle w:val="BodyText"/>
      </w:pPr>
      <w:r>
        <w:t xml:space="preserve">215</w:t>
      </w:r>
    </w:p>
    <w:p>
      <w:pPr>
        <w:pStyle w:val="BodyText"/>
      </w:pPr>
      <w:r>
        <w:t xml:space="preserve">impact of the introduction of 30-40 zero emission zones in the</w:t>
      </w:r>
      <w:r>
        <w:t xml:space="preserve"> </w:t>
      </w:r>
      <w:r>
        <w:t xml:space="preserve">largest cities in the Netherlands is estimated to be around 1 Mton</w:t>
      </w:r>
      <w:r>
        <w:t xml:space="preserve"> </w:t>
      </w:r>
      <w:r>
        <w:t xml:space="preserve">of CO2 to be saved (PBL, 2021). On a city level De Bok et al. </w:t>
      </w:r>
      <w:r>
        <w:t xml:space="preserve"> </w:t>
      </w:r>
      <w:r>
        <w:t xml:space="preserve">(2020) concluded, based on a simulation study for Rotterdam, that</w:t>
      </w:r>
      <w:r>
        <w:t xml:space="preserve"> </w:t>
      </w:r>
      <w:r>
        <w:t xml:space="preserve">GHG emissions from transport operations can be potentially</w:t>
      </w:r>
      <w:r>
        <w:t xml:space="preserve"> </w:t>
      </w:r>
      <w:r>
        <w:t xml:space="preserve">reduced by 90% within the zero emission zone, compared to the</w:t>
      </w:r>
      <w:r>
        <w:t xml:space="preserve"> </w:t>
      </w:r>
      <w:r>
        <w:t xml:space="preserve">current 10% reduction in the total Rotterdam area.</w:t>
      </w:r>
      <w:r>
        <w:br/>
      </w:r>
      <w:r>
        <w:t xml:space="preserve">Other benefits</w:t>
      </w:r>
      <w:r>
        <w:br/>
      </w:r>
      <w:r>
        <w:t xml:space="preserve">Further reduction of other externalities, new sustainable business</w:t>
      </w:r>
      <w:r>
        <w:t xml:space="preserve"> </w:t>
      </w:r>
      <w:r>
        <w:t xml:space="preserve">models and concepts that may result in less traffic (e.g. through</w:t>
      </w:r>
      <w:r>
        <w:t xml:space="preserve"> </w:t>
      </w:r>
      <w:r>
        <w:t xml:space="preserve">cargo bundling) but also in more traffic in the city (e.g. through the</w:t>
      </w:r>
      <w:r>
        <w:t xml:space="preserve"> </w:t>
      </w:r>
      <w:r>
        <w:t xml:space="preserve">use of light electric vehicles which have less loading capacity).</w:t>
      </w:r>
      <w:r>
        <w:t xml:space="preserve"> </w:t>
      </w:r>
      <w:r>
        <w:t xml:space="preserve">Sources used for analysis</w:t>
      </w:r>
      <w:r>
        <w:t xml:space="preserve"> </w:t>
      </w:r>
      <w:r>
        <w:t xml:space="preserve">(CE Delft, 2016) , De omvang van stadslogistiek</w:t>
      </w:r>
      <w:r>
        <w:t xml:space="preserve"> </w:t>
      </w:r>
      <w:r>
        <w:t xml:space="preserve">(De Bok et al., 2020), Simulation of the impacts of a zero emission zone on freight</w:t>
      </w:r>
      <w:r>
        <w:t xml:space="preserve"> </w:t>
      </w:r>
      <w:r>
        <w:t xml:space="preserve">delivery patterns in Rotterdam</w:t>
      </w:r>
      <w:r>
        <w:t xml:space="preserve"> </w:t>
      </w:r>
      <w:r>
        <w:t xml:space="preserve">(ICCT, 2021b) , A global overview of zero-emission zones in cities and their</w:t>
      </w:r>
      <w:r>
        <w:t xml:space="preserve"> </w:t>
      </w:r>
      <w:r>
        <w:t xml:space="preserve">development progress</w:t>
      </w:r>
      <w:r>
        <w:t xml:space="preserve"> </w:t>
      </w:r>
      <w:r>
        <w:t xml:space="preserve">(PBL, 2021), Klimaat en Energieverkenning 2021</w:t>
      </w:r>
    </w:p>
    <w:p>
      <w:pPr>
        <w:pStyle w:val="BodyText"/>
      </w:pPr>
      <w:r>
        <w:t xml:space="preserve">Green public procurement</w:t>
      </w:r>
    </w:p>
    <w:p>
      <w:pPr>
        <w:pStyle w:val="BodyText"/>
      </w:pPr>
      <w:r>
        <w:t xml:space="preserve">216</w:t>
      </w:r>
    </w:p>
    <w:p>
      <w:pPr>
        <w:pStyle w:val="BodyText"/>
      </w:pPr>
      <w:r>
        <w:t xml:space="preserve">Aim</w:t>
      </w:r>
      <w:r>
        <w:t xml:space="preserve"> </w:t>
      </w:r>
      <w:r>
        <w:t xml:space="preserve">Governmental organisations can be a driving force behind the</w:t>
      </w:r>
      <w:r>
        <w:t xml:space="preserve"> </w:t>
      </w:r>
      <w:r>
        <w:t xml:space="preserve">transition towards zero or low emission transport. Not only through</w:t>
      </w:r>
      <w:r>
        <w:t xml:space="preserve"> </w:t>
      </w:r>
      <w:r>
        <w:t xml:space="preserve">imposing environmental regulations, but also by establishing</w:t>
      </w:r>
      <w:r>
        <w:t xml:space="preserve"> </w:t>
      </w:r>
      <w:r>
        <w:t xml:space="preserve">specific requirements in the public procurement procedures, e.g. </w:t>
      </w:r>
      <w:r>
        <w:t xml:space="preserve"> </w:t>
      </w:r>
      <w:r>
        <w:t xml:space="preserve">related to the maximum amount of GHG emissions which are</w:t>
      </w:r>
      <w:r>
        <w:t xml:space="preserve"> </w:t>
      </w:r>
      <w:r>
        <w:t xml:space="preserve">allowed for the requested transport services. If a transport company</w:t>
      </w:r>
      <w:r>
        <w:t xml:space="preserve"> </w:t>
      </w:r>
      <w:r>
        <w:t xml:space="preserve">cannot comply with these requirements, it does not qualify as a</w:t>
      </w:r>
      <w:r>
        <w:t xml:space="preserve"> </w:t>
      </w:r>
      <w:r>
        <w:t xml:space="preserve">supplier.</w:t>
      </w:r>
      <w:r>
        <w:br/>
      </w:r>
      <w:r>
        <w:t xml:space="preserve">How it works</w:t>
      </w:r>
      <w:r>
        <w:t xml:space="preserve"> </w:t>
      </w:r>
      <w:r>
        <w:t xml:space="preserve">Governmental organisations tend to procure a large amount of</w:t>
      </w:r>
      <w:r>
        <w:t xml:space="preserve"> </w:t>
      </w:r>
      <w:r>
        <w:t xml:space="preserve">services. Due to the size of a procured service or amount of assets</w:t>
      </w:r>
      <w:r>
        <w:t xml:space="preserve"> </w:t>
      </w:r>
      <w:r>
        <w:t xml:space="preserve">involved (in case public services require their own vehicles to</w:t>
      </w:r>
      <w:r>
        <w:t xml:space="preserve"> </w:t>
      </w:r>
      <w:r>
        <w:t xml:space="preserve">execute the service), governmental organisations are able to</w:t>
      </w:r>
      <w:r>
        <w:t xml:space="preserve"> </w:t>
      </w:r>
      <w:r>
        <w:t xml:space="preserve">influence the operations of the service provider. Where the</w:t>
      </w:r>
      <w:r>
        <w:t xml:space="preserve"> </w:t>
      </w:r>
      <w:r>
        <w:t xml:space="preserve">assignment is large enough, transport companies are be able to</w:t>
      </w:r>
      <w:r>
        <w:t xml:space="preserve"> </w:t>
      </w:r>
      <w:r>
        <w:t xml:space="preserve">adjust their fleet and/or operations to fulfil the demand and get the</w:t>
      </w:r>
      <w:r>
        <w:t xml:space="preserve"> </w:t>
      </w:r>
      <w:r>
        <w:t xml:space="preserve">contract.</w:t>
      </w:r>
      <w:r>
        <w:t xml:space="preserve"> </w:t>
      </w:r>
      <w:r>
        <w:t xml:space="preserve">Example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practice application</w:t>
      </w:r>
      <w:r>
        <w:br/>
      </w:r>
      <w:r>
        <w:t xml:space="preserve">Currently, the main factor behind green procurement of transport</w:t>
      </w:r>
      <w:r>
        <w:t xml:space="preserve"> </w:t>
      </w:r>
      <w:r>
        <w:t xml:space="preserve">services in the EU is the Clean Vehicle Directive, which sets</w:t>
      </w:r>
      <w:r>
        <w:t xml:space="preserve"> </w:t>
      </w:r>
      <w:r>
        <w:t xml:space="preserve">national targets for the share of clean vehicles in the total number</w:t>
      </w:r>
      <w:r>
        <w:t xml:space="preserve"> </w:t>
      </w:r>
      <w:r>
        <w:t xml:space="preserve">of vehicles procured by all types of governments. However,</w:t>
      </w:r>
      <w:r>
        <w:t xml:space="preserve"> </w:t>
      </w:r>
      <w:r>
        <w:t xml:space="preserve">specific GHG emission targets for procured transport services may</w:t>
      </w:r>
      <w:r>
        <w:t xml:space="preserve"> </w:t>
      </w:r>
      <w:r>
        <w:t xml:space="preserve">be an important enabler to increase the potential of green</w:t>
      </w:r>
      <w:r>
        <w:t xml:space="preserve"> </w:t>
      </w:r>
      <w:r>
        <w:t xml:space="preserve">procurement in reducing transport related emissions.</w:t>
      </w:r>
      <w:r>
        <w:t xml:space="preserve"> </w:t>
      </w:r>
      <w:r>
        <w:t xml:space="preserve">(Expected)</w:t>
      </w:r>
      <w:r>
        <w:t xml:space="preserve"> </w:t>
      </w:r>
      <w:r>
        <w:t xml:space="preserve">GHG</w:t>
      </w:r>
      <w:r>
        <w:t xml:space="preserve"> </w:t>
      </w:r>
      <w:r>
        <w:t xml:space="preserve">emissions</w:t>
      </w:r>
      <w:r>
        <w:t xml:space="preserve"> </w:t>
      </w:r>
      <w:r>
        <w:t xml:space="preserve">reduction potential</w:t>
      </w:r>
      <w:r>
        <w:t xml:space="preserve"> </w:t>
      </w:r>
      <w:r>
        <w:t xml:space="preserve">The impact assessment of the Clean Vehicle Directive indicates</w:t>
      </w:r>
      <w:r>
        <w:t xml:space="preserve"> </w:t>
      </w:r>
      <w:r>
        <w:t xml:space="preserve">that a decrease of 17% of CO2-emissions is possible on all vehicles</w:t>
      </w:r>
      <w:r>
        <w:t xml:space="preserve"> </w:t>
      </w:r>
      <w:r>
        <w:t xml:space="preserve">procured and subsequently utilised by governments. By using</w:t>
      </w:r>
      <w:r>
        <w:t xml:space="preserve"> </w:t>
      </w:r>
      <w:r>
        <w:t xml:space="preserve">targets defined in amounts of GHG emissions per transport</w:t>
      </w:r>
      <w:r>
        <w:t xml:space="preserve"> </w:t>
      </w:r>
      <w:r>
        <w:t xml:space="preserve">services, this reduction potential could be further increased.</w:t>
      </w:r>
      <w:r>
        <w:br/>
      </w:r>
      <w:r>
        <w:t xml:space="preserve">Other benefits</w:t>
      </w:r>
      <w:r>
        <w:br/>
      </w:r>
      <w:r>
        <w:t xml:space="preserve">Higher share of clean vehicles may result in lower levels of air</w:t>
      </w:r>
      <w:r>
        <w:t xml:space="preserve"> </w:t>
      </w:r>
      <w:r>
        <w:t xml:space="preserve">pollutant emissions.</w:t>
      </w:r>
      <w:r>
        <w:br/>
      </w:r>
      <w:r>
        <w:t xml:space="preserve">Sources used for analysis</w:t>
      </w:r>
      <w:r>
        <w:t xml:space="preserve"> </w:t>
      </w:r>
      <w:r>
        <w:t xml:space="preserve">(EC, 2009b), Staff Working Document Impact Assessment of a Directive amending</w:t>
      </w:r>
      <w:r>
        <w:t xml:space="preserve"> </w:t>
      </w:r>
      <w:r>
        <w:t xml:space="preserve">Directive 2009/33/EC on the promotion of clean and energy-efficient road transport</w:t>
      </w:r>
      <w:r>
        <w:t xml:space="preserve"> </w:t>
      </w:r>
      <w:r>
        <w:t xml:space="preserve">vehicles</w:t>
      </w:r>
      <w:r>
        <w:t xml:space="preserve"> </w:t>
      </w:r>
      <w:r>
        <w:t xml:space="preserve">(Lindfors &amp; Ammenberg, 2021) Using national environmental objectives in green public</w:t>
      </w:r>
      <w:r>
        <w:t xml:space="preserve"> </w:t>
      </w:r>
      <w:r>
        <w:t xml:space="preserve">procurement: Method development and application on transport procurement in Sweden</w:t>
      </w:r>
      <w:r>
        <w:t xml:space="preserve"> </w:t>
      </w:r>
      <w:r>
        <w:t xml:space="preserve">Stakeholder interviews</w:t>
      </w:r>
    </w:p>
    <w:p>
      <w:pPr>
        <w:pStyle w:val="BodyText"/>
      </w:pPr>
      <w:r>
        <w:t xml:space="preserve">217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724">
    <w:nsid w:val="00A99724"/>
    <w:multiLevelType w:val="multilevel"/>
    <w:lvl w:ilvl="0">
      <w:start w:val="4"/>
      <w:numFmt w:val="lowerLetter"/>
      <w:lvlText w:val="%1)"/>
      <w:lvlJc w:val="left"/>
      <w:pPr>
        <w:ind w:left="720" w:hanging="360"/>
      </w:pPr>
    </w:lvl>
    <w:lvl w:ilvl="1">
      <w:start w:val="4"/>
      <w:numFmt w:val="lowerLetter"/>
      <w:lvlText w:val="%2)"/>
      <w:lvlJc w:val="left"/>
      <w:pPr>
        <w:ind w:left="1440" w:hanging="360"/>
      </w:pPr>
    </w:lvl>
    <w:lvl w:ilvl="2">
      <w:start w:val="4"/>
      <w:numFmt w:val="lowerLetter"/>
      <w:lvlText w:val="%3)"/>
      <w:lvlJc w:val="left"/>
      <w:pPr>
        <w:ind w:left="2160" w:hanging="360"/>
      </w:pPr>
    </w:lvl>
    <w:lvl w:ilvl="3">
      <w:start w:val="4"/>
      <w:numFmt w:val="lowerLetter"/>
      <w:lvlText w:val="%4)"/>
      <w:lvlJc w:val="left"/>
      <w:pPr>
        <w:ind w:left="2880" w:hanging="360"/>
      </w:pPr>
    </w:lvl>
    <w:lvl w:ilvl="4">
      <w:start w:val="4"/>
      <w:numFmt w:val="lowerLetter"/>
      <w:lvlText w:val="%5)"/>
      <w:lvlJc w:val="left"/>
      <w:pPr>
        <w:ind w:left="3600" w:hanging="360"/>
      </w:pPr>
    </w:lvl>
    <w:lvl w:ilvl="5">
      <w:start w:val="4"/>
      <w:numFmt w:val="lowerLetter"/>
      <w:lvlText w:val="%6)"/>
      <w:lvlJc w:val="left"/>
      <w:pPr>
        <w:ind w:left="4320" w:hanging="360"/>
      </w:pPr>
    </w:lvl>
    <w:lvl w:ilvl="6">
      <w:start w:val="4"/>
      <w:numFmt w:val="lowerLetter"/>
      <w:lvlText w:val="%7)"/>
      <w:lvlJc w:val="left"/>
      <w:pPr>
        <w:ind w:left="5040" w:hanging="360"/>
      </w:pPr>
    </w:lvl>
    <w:lvl w:ilvl="7">
      <w:start w:val="4"/>
      <w:numFmt w:val="lowerLetter"/>
      <w:lvlText w:val="%8)"/>
      <w:lvlJc w:val="left"/>
      <w:pPr>
        <w:ind w:left="5760" w:hanging="360"/>
      </w:pPr>
    </w:lvl>
    <w:lvl w:ilvl="8">
      <w:start w:val="4"/>
      <w:numFmt w:val="lowerLetter"/>
      <w:lvlText w:val="%9)"/>
      <w:lvlJc w:val="left"/>
      <w:pPr>
        <w:ind w:left="6480" w:hanging="360"/>
      </w:pPr>
    </w:lvl>
  </w:abstractNum>
  <w:abstractNum w:abstractNumId="99725">
    <w:nsid w:val="00A99725"/>
    <w:multiLevelType w:val="multilevel"/>
    <w:lvl w:ilvl="0">
      <w:start w:val="5"/>
      <w:numFmt w:val="lowerLetter"/>
      <w:lvlText w:val="%1)"/>
      <w:lvlJc w:val="left"/>
      <w:pPr>
        <w:ind w:left="720" w:hanging="360"/>
      </w:pPr>
    </w:lvl>
    <w:lvl w:ilvl="1">
      <w:start w:val="5"/>
      <w:numFmt w:val="lowerLetter"/>
      <w:lvlText w:val="%2)"/>
      <w:lvlJc w:val="left"/>
      <w:pPr>
        <w:ind w:left="1440" w:hanging="360"/>
      </w:pPr>
    </w:lvl>
    <w:lvl w:ilvl="2">
      <w:start w:val="5"/>
      <w:numFmt w:val="lowerLetter"/>
      <w:lvlText w:val="%3)"/>
      <w:lvlJc w:val="left"/>
      <w:pPr>
        <w:ind w:left="2160" w:hanging="360"/>
      </w:pPr>
    </w:lvl>
    <w:lvl w:ilvl="3">
      <w:start w:val="5"/>
      <w:numFmt w:val="lowerLetter"/>
      <w:lvlText w:val="%4)"/>
      <w:lvlJc w:val="left"/>
      <w:pPr>
        <w:ind w:left="2880" w:hanging="360"/>
      </w:pPr>
    </w:lvl>
    <w:lvl w:ilvl="4">
      <w:start w:val="5"/>
      <w:numFmt w:val="lowerLetter"/>
      <w:lvlText w:val="%5)"/>
      <w:lvlJc w:val="left"/>
      <w:pPr>
        <w:ind w:left="3600" w:hanging="360"/>
      </w:pPr>
    </w:lvl>
    <w:lvl w:ilvl="5">
      <w:start w:val="5"/>
      <w:numFmt w:val="lowerLetter"/>
      <w:lvlText w:val="%6)"/>
      <w:lvlJc w:val="left"/>
      <w:pPr>
        <w:ind w:left="4320" w:hanging="360"/>
      </w:pPr>
    </w:lvl>
    <w:lvl w:ilvl="6">
      <w:start w:val="5"/>
      <w:numFmt w:val="lowerLetter"/>
      <w:lvlText w:val="%7)"/>
      <w:lvlJc w:val="left"/>
      <w:pPr>
        <w:ind w:left="5040" w:hanging="360"/>
      </w:pPr>
    </w:lvl>
    <w:lvl w:ilvl="7">
      <w:start w:val="5"/>
      <w:numFmt w:val="lowerLetter"/>
      <w:lvlText w:val="%8)"/>
      <w:lvlJc w:val="left"/>
      <w:pPr>
        <w:ind w:left="5760" w:hanging="360"/>
      </w:pPr>
    </w:lvl>
    <w:lvl w:ilvl="8">
      <w:start w:val="5"/>
      <w:numFmt w:val="lowerLetter"/>
      <w:lvlText w:val="%9)"/>
      <w:lvlJc w:val="left"/>
      <w:pPr>
        <w:ind w:left="6480" w:hanging="360"/>
      </w:pPr>
    </w:lvl>
  </w:abstractNum>
  <w:abstractNum w:abstractNumId="99726">
    <w:nsid w:val="00A99726"/>
    <w:multiLevelType w:val="multilevel"/>
    <w:lvl w:ilvl="0">
      <w:start w:val="6"/>
      <w:numFmt w:val="lowerLetter"/>
      <w:lvlText w:val="%1)"/>
      <w:lvlJc w:val="left"/>
      <w:pPr>
        <w:ind w:left="720" w:hanging="360"/>
      </w:pPr>
    </w:lvl>
    <w:lvl w:ilvl="1">
      <w:start w:val="6"/>
      <w:numFmt w:val="lowerLetter"/>
      <w:lvlText w:val="%2)"/>
      <w:lvlJc w:val="left"/>
      <w:pPr>
        <w:ind w:left="1440" w:hanging="360"/>
      </w:pPr>
    </w:lvl>
    <w:lvl w:ilvl="2">
      <w:start w:val="6"/>
      <w:numFmt w:val="lowerLetter"/>
      <w:lvlText w:val="%3)"/>
      <w:lvlJc w:val="left"/>
      <w:pPr>
        <w:ind w:left="2160" w:hanging="360"/>
      </w:pPr>
    </w:lvl>
    <w:lvl w:ilvl="3">
      <w:start w:val="6"/>
      <w:numFmt w:val="lowerLetter"/>
      <w:lvlText w:val="%4)"/>
      <w:lvlJc w:val="left"/>
      <w:pPr>
        <w:ind w:left="2880" w:hanging="360"/>
      </w:pPr>
    </w:lvl>
    <w:lvl w:ilvl="4">
      <w:start w:val="6"/>
      <w:numFmt w:val="lowerLetter"/>
      <w:lvlText w:val="%5)"/>
      <w:lvlJc w:val="left"/>
      <w:pPr>
        <w:ind w:left="3600" w:hanging="360"/>
      </w:pPr>
    </w:lvl>
    <w:lvl w:ilvl="5">
      <w:start w:val="6"/>
      <w:numFmt w:val="lowerLetter"/>
      <w:lvlText w:val="%6)"/>
      <w:lvlJc w:val="left"/>
      <w:pPr>
        <w:ind w:left="4320" w:hanging="360"/>
      </w:pPr>
    </w:lvl>
    <w:lvl w:ilvl="6">
      <w:start w:val="6"/>
      <w:numFmt w:val="lowerLetter"/>
      <w:lvlText w:val="%7)"/>
      <w:lvlJc w:val="left"/>
      <w:pPr>
        <w:ind w:left="5040" w:hanging="360"/>
      </w:pPr>
    </w:lvl>
    <w:lvl w:ilvl="7">
      <w:start w:val="6"/>
      <w:numFmt w:val="lowerLetter"/>
      <w:lvlText w:val="%8)"/>
      <w:lvlJc w:val="left"/>
      <w:pPr>
        <w:ind w:left="5760" w:hanging="360"/>
      </w:pPr>
    </w:lvl>
    <w:lvl w:ilvl="8">
      <w:start w:val="6"/>
      <w:numFmt w:val="lowerLetter"/>
      <w:lvlText w:val="%9)"/>
      <w:lvlJc w:val="left"/>
      <w:pPr>
        <w:ind w:left="6480" w:hanging="360"/>
      </w:pPr>
    </w:lvl>
  </w:abstractNum>
  <w:abstractNum w:abstractNumId="99412050">
    <w:nsid w:val="A99412050"/>
    <w:multiLevelType w:val="multilevel"/>
    <w:lvl w:ilvl="0">
      <w:start w:val="2050"/>
      <w:numFmt w:val="decimal"/>
      <w:lvlText w:val="%1."/>
      <w:lvlJc w:val="left"/>
      <w:pPr>
        <w:ind w:left="720" w:hanging="360"/>
      </w:pPr>
    </w:lvl>
    <w:lvl w:ilvl="1">
      <w:start w:val="2050"/>
      <w:numFmt w:val="decimal"/>
      <w:lvlText w:val="%2."/>
      <w:lvlJc w:val="left"/>
      <w:pPr>
        <w:ind w:left="1440" w:hanging="360"/>
      </w:pPr>
    </w:lvl>
    <w:lvl w:ilvl="2">
      <w:start w:val="2050"/>
      <w:numFmt w:val="decimal"/>
      <w:lvlText w:val="%3."/>
      <w:lvlJc w:val="left"/>
      <w:pPr>
        <w:ind w:left="2160" w:hanging="360"/>
      </w:pPr>
    </w:lvl>
    <w:lvl w:ilvl="3">
      <w:start w:val="2050"/>
      <w:numFmt w:val="decimal"/>
      <w:lvlText w:val="%4."/>
      <w:lvlJc w:val="left"/>
      <w:pPr>
        <w:ind w:left="2880" w:hanging="360"/>
      </w:pPr>
    </w:lvl>
    <w:lvl w:ilvl="4">
      <w:start w:val="2050"/>
      <w:numFmt w:val="decimal"/>
      <w:lvlText w:val="%5."/>
      <w:lvlJc w:val="left"/>
      <w:pPr>
        <w:ind w:left="3600" w:hanging="360"/>
      </w:pPr>
    </w:lvl>
    <w:lvl w:ilvl="5">
      <w:start w:val="2050"/>
      <w:numFmt w:val="decimal"/>
      <w:lvlText w:val="%6."/>
      <w:lvlJc w:val="left"/>
      <w:pPr>
        <w:ind w:left="4320" w:hanging="360"/>
      </w:pPr>
    </w:lvl>
    <w:lvl w:ilvl="6">
      <w:start w:val="2050"/>
      <w:numFmt w:val="decimal"/>
      <w:lvlText w:val="%7."/>
      <w:lvlJc w:val="left"/>
      <w:pPr>
        <w:ind w:left="5040" w:hanging="360"/>
      </w:pPr>
    </w:lvl>
    <w:lvl w:ilvl="7">
      <w:start w:val="2050"/>
      <w:numFmt w:val="decimal"/>
      <w:lvlText w:val="%8."/>
      <w:lvlJc w:val="left"/>
      <w:pPr>
        <w:ind w:left="5760" w:hanging="360"/>
      </w:pPr>
    </w:lvl>
    <w:lvl w:ilvl="8">
      <w:start w:val="205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6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1"/>
  </w:num>
  <w:num w:numId="1013">
    <w:abstractNumId w:val="991"/>
  </w:num>
  <w:num w:numId="101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7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6">
    <w:abstractNumId w:val="991"/>
  </w:num>
  <w:num w:numId="1017">
    <w:abstractNumId w:val="997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8">
    <w:abstractNumId w:val="9972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2050"/>
    <w:lvlOverride w:ilvl="0">
      <w:startOverride w:val="2050"/>
    </w:lvlOverride>
    <w:lvlOverride w:ilvl="1">
      <w:startOverride w:val="2050"/>
    </w:lvlOverride>
    <w:lvlOverride w:ilvl="2">
      <w:startOverride w:val="2050"/>
    </w:lvlOverride>
    <w:lvlOverride w:ilvl="3">
      <w:startOverride w:val="2050"/>
    </w:lvlOverride>
    <w:lvlOverride w:ilvl="4">
      <w:startOverride w:val="2050"/>
    </w:lvlOverride>
    <w:lvlOverride w:ilvl="5">
      <w:startOverride w:val="2050"/>
    </w:lvlOverride>
    <w:lvlOverride w:ilvl="6">
      <w:startOverride w:val="2050"/>
    </w:lvlOverride>
    <w:lvlOverride w:ilvl="7">
      <w:startOverride w:val="2050"/>
    </w:lvlOverride>
    <w:lvlOverride w:ilvl="8">
      <w:startOverride w:val="205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2026-07-31T16:48:16Z</dcterms:created>
  <dcterms:modified xsi:type="dcterms:W3CDTF">2026-07-31T16:48:16Z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