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20.4.2023</w:t>
      </w:r>
      <w:r>
        <w:br/>
      </w:r>
      <w:r>
        <w:t xml:space="preserve">SWD(2023) 80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documents</w:t>
      </w:r>
      <w:r>
        <w:t xml:space="preserve"> </w:t>
      </w:r>
      <w:r>
        <w:t xml:space="preserve">COMMISSION IMPLEMENTING REGULATION (EU) …/… implementing Council</w:t>
      </w:r>
      <w:r>
        <w:t xml:space="preserve"> </w:t>
      </w:r>
      <w:r>
        <w:t xml:space="preserve">Regulation (EC) No 139/2004 on the control of concentrations between undertakings</w:t>
      </w:r>
      <w:r>
        <w:t xml:space="preserve"> </w:t>
      </w:r>
      <w:r>
        <w:t xml:space="preserve">and repealing Commission Regulation (EC) No 802/2004</w:t>
      </w:r>
    </w:p>
    <w:p>
      <w:pPr>
        <w:pStyle w:val="BodyText"/>
      </w:pPr>
      <w:r>
        <w:t xml:space="preserve">COMMISSION NOTICE on a simplified treatment for certain concentrations under</w:t>
      </w:r>
      <w:r>
        <w:t xml:space="preserve"> </w:t>
      </w:r>
      <w:r>
        <w:t xml:space="preserve">Council Regulation (EC) No 139/2004 on the control of concentrations between</w:t>
      </w:r>
      <w:r>
        <w:t xml:space="preserve"> </w:t>
      </w:r>
      <w:r>
        <w:t xml:space="preserve">undertakings</w:t>
      </w:r>
    </w:p>
    <w:p>
      <w:pPr>
        <w:pStyle w:val="BodyText"/>
      </w:pPr>
      <w:r>
        <w:t xml:space="preserve">{C(2023) 2400 final} - {C(2023) 2401 final} - {SEC(2023) 251 final} -</w:t>
      </w:r>
      <w:r>
        <w:t xml:space="preserve"> </w:t>
      </w:r>
      <w:r>
        <w:t xml:space="preserve">{SWD(2023) 81 final}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 5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…………………………………………………………………………………………………….. 9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………………………………………………………………………………………….. 11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 11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………………………………………………………….. 12</w:t>
      </w:r>
      <w:r>
        <w:t xml:space="preserve"> </w:t>
      </w:r>
      <w:r>
        <w:t xml:space="preserve">6.</w:t>
      </w:r>
      <w:r>
        <w:t xml:space="preserve"> </w:t>
      </w:r>
      <w:r>
        <w:t xml:space="preserve">WHAT IS THE IMPACT OF THE DIFFERENT POLICY OPTIONS? ……………………………………. 21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……………………………………………………………………………….. 46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OPTIONS …………………………………………………………………………………………………….. 55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……………………………. 61</w:t>
      </w:r>
      <w:r>
        <w:t xml:space="preserve"> </w:t>
      </w:r>
      <w:r>
        <w:t xml:space="preserve">ANNEX 1 - PROCEDURAL INFORMATION ………………………………………………………………………………. 63</w:t>
      </w:r>
      <w:r>
        <w:t xml:space="preserve"> </w:t>
      </w:r>
      <w:r>
        <w:t xml:space="preserve">ANNEX 2 - STAKEHOLDER CONSULTATION …………………………………………………………………………. 68</w:t>
      </w:r>
      <w:r>
        <w:t xml:space="preserve"> </w:t>
      </w:r>
      <w:r>
        <w:t xml:space="preserve">ANNEX 3 - WHO IS AFFECTED AND HOW? …………………………………………………………………………….. 79</w:t>
      </w:r>
      <w:r>
        <w:t xml:space="preserve"> </w:t>
      </w:r>
      <w:r>
        <w:t xml:space="preserve">ANNEX 4 - ISSUES OF A TECHNICAL NATURE RELATING TO THE CLARITY,</w:t>
      </w:r>
      <w:r>
        <w:t xml:space="preserve"> </w:t>
      </w:r>
      <w:r>
        <w:t xml:space="preserve">COMPLETENESS AND COMPLEXITY OF THE RULES ……………………………………………………. 87</w:t>
      </w:r>
      <w:r>
        <w:t xml:space="preserve"> </w:t>
      </w:r>
      <w:r>
        <w:t xml:space="preserve">ANNEX 5: REVIEW OF INTERVENTION CASES IN THE PERIOD 2015-2020…………………………….. 89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Glossary (IN ORDER OF APPEARANCE)</w:t>
      </w:r>
    </w:p>
    <w:p>
      <w:pPr>
        <w:pStyle w:val="BodyText"/>
      </w:pPr>
      <w:r>
        <w:t xml:space="preserve">TERM/CONCEPT</w:t>
      </w:r>
      <w:r>
        <w:t xml:space="preserve"> </w:t>
      </w:r>
      <w:r>
        <w:t xml:space="preserve">DEFINITION/EXPLANATION</w:t>
      </w:r>
      <w:r>
        <w:t xml:space="preserve"> </w:t>
      </w:r>
      <w:r>
        <w:t xml:space="preserve">NCA</w:t>
      </w:r>
      <w:r>
        <w:t xml:space="preserve"> </w:t>
      </w:r>
      <w:r>
        <w:t xml:space="preserve">National Competition Authority. Each Member State of the EU has</w:t>
      </w:r>
      <w:r>
        <w:t xml:space="preserve"> </w:t>
      </w:r>
      <w:r>
        <w:t xml:space="preserve">an NCA, which is a member of the European Competition Network</w:t>
      </w:r>
      <w:r>
        <w:t xml:space="preserve"> </w:t>
      </w:r>
      <w:r>
        <w:t xml:space="preserve">ECN.</w:t>
      </w:r>
      <w:r>
        <w:t xml:space="preserve"> </w:t>
      </w:r>
      <w:r>
        <w:t xml:space="preserve">Jurisdictional assessment1</w:t>
      </w:r>
      <w:r>
        <w:t xml:space="preserve"> </w:t>
      </w:r>
      <w:r>
        <w:t xml:space="preserve">Notification under the EU Merger Control Regulation depends</w:t>
      </w:r>
      <w:r>
        <w:t xml:space="preserve"> </w:t>
      </w:r>
      <w:r>
        <w:t xml:space="preserve">essentially on meeting certain turnover thresholds and a change in</w:t>
      </w:r>
      <w:r>
        <w:t xml:space="preserve"> </w:t>
      </w:r>
      <w:r>
        <w:t xml:space="preserve">control, including the acquisition of joint control over a joint</w:t>
      </w:r>
      <w:r>
        <w:t xml:space="preserve"> </w:t>
      </w:r>
      <w:r>
        <w:t xml:space="preserve">venture.</w:t>
      </w:r>
      <w:r>
        <w:br/>
      </w:r>
      <w:r>
        <w:t xml:space="preserve">Assessment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incentives2</w:t>
      </w:r>
      <w:r>
        <w:t xml:space="preserve"> </w:t>
      </w:r>
      <w:r>
        <w:t xml:space="preserve">The concept of incentive (here to foreclose) is about the financial</w:t>
      </w:r>
      <w:r>
        <w:t xml:space="preserve"> </w:t>
      </w:r>
      <w:r>
        <w:t xml:space="preserve">gain of employing a potentially anticompetitive strategy.</w:t>
      </w:r>
      <w:r>
        <w:t xml:space="preserve"> </w:t>
      </w:r>
      <w:r>
        <w:t xml:space="preserve">Market share thresholds for</w:t>
      </w:r>
      <w:r>
        <w:t xml:space="preserve"> </w:t>
      </w:r>
      <w:r>
        <w:t xml:space="preserve">horizontal overlaps between</w:t>
      </w:r>
      <w:r>
        <w:t xml:space="preserve"> </w:t>
      </w:r>
      <w:r>
        <w:t xml:space="preserve">the activities of the parties3</w:t>
      </w:r>
      <w:r>
        <w:t xml:space="preserve"> </w:t>
      </w:r>
      <w:r>
        <w:t xml:space="preserve">Based on its decisional practice, Court rulings as well as economic</w:t>
      </w:r>
      <w:r>
        <w:t xml:space="preserve"> </w:t>
      </w:r>
      <w:r>
        <w:t xml:space="preserve">literature, certain market share thresholds have been used as</w:t>
      </w:r>
      <w:r>
        <w:t xml:space="preserve"> </w:t>
      </w:r>
      <w:r>
        <w:t xml:space="preserve">rebuttable presumptions, below which harm to competition is</w:t>
      </w:r>
      <w:r>
        <w:t xml:space="preserve"> </w:t>
      </w:r>
      <w:r>
        <w:t xml:space="preserve">unlikely. Under EU merger control rules, this threshold has</w:t>
      </w:r>
      <w:r>
        <w:t xml:space="preserve"> </w:t>
      </w:r>
      <w:r>
        <w:t xml:space="preserve">traditionally been set at combined market shares of 20%-25% for</w:t>
      </w:r>
      <w:r>
        <w:t xml:space="preserve"> </w:t>
      </w:r>
      <w:r>
        <w:t xml:space="preserve">horizontally overlapping (and therefore directly competing)</w:t>
      </w:r>
      <w:r>
        <w:t xml:space="preserve"> </w:t>
      </w:r>
      <w:r>
        <w:t xml:space="preserve">activities of the parties to a concentration.4</w:t>
      </w:r>
      <w:r>
        <w:t xml:space="preserve"> </w:t>
      </w:r>
      <w:r>
        <w:t xml:space="preserve">Market share thresholds for</w:t>
      </w:r>
      <w:r>
        <w:t xml:space="preserve"> </w:t>
      </w:r>
      <w:r>
        <w:t xml:space="preserve">vertical</w:t>
      </w:r>
      <w:r>
        <w:t xml:space="preserve"> </w:t>
      </w:r>
      <w:r>
        <w:t xml:space="preserve">relationships</w:t>
      </w:r>
      <w:r>
        <w:t xml:space="preserve"> </w:t>
      </w:r>
      <w:r>
        <w:t xml:space="preserve">between the activities of the</w:t>
      </w:r>
      <w:r>
        <w:t xml:space="preserve"> </w:t>
      </w:r>
      <w:r>
        <w:t xml:space="preserve">parties5</w:t>
      </w:r>
      <w:r>
        <w:t xml:space="preserve"> </w:t>
      </w:r>
      <w:r>
        <w:t xml:space="preserve">Under EU merger control rules the market share threshold for</w:t>
      </w:r>
      <w:r>
        <w:t xml:space="preserve"> </w:t>
      </w:r>
      <w:r>
        <w:t xml:space="preserve">vertical relationships between the activities of the parties to a</w:t>
      </w:r>
      <w:r>
        <w:t xml:space="preserve"> </w:t>
      </w:r>
      <w:r>
        <w:t xml:space="preserve">concentration (i.e. where one of the parties is active upstream or</w:t>
      </w:r>
      <w:r>
        <w:t xml:space="preserve"> </w:t>
      </w:r>
      <w:r>
        <w:t xml:space="preserve">downstream of one of the other parties to the concentration)</w:t>
      </w:r>
      <w:r>
        <w:t xml:space="preserve"> </w:t>
      </w:r>
      <w:r>
        <w:t xml:space="preserve">whereby harm to competition is considered typically unlikely has</w:t>
      </w:r>
      <w:r>
        <w:t xml:space="preserve"> </w:t>
      </w:r>
      <w:r>
        <w:t xml:space="preserve">traditionally been set at combined market shares of 30% upstream</w:t>
      </w:r>
      <w:r>
        <w:t xml:space="preserve"> </w:t>
      </w:r>
      <w:r>
        <w:t xml:space="preserve">and downstream.6</w:t>
      </w:r>
      <w:r>
        <w:t xml:space="preserve"> </w:t>
      </w:r>
      <w:r>
        <w:t xml:space="preserve">Small joint ventures (JV)7</w:t>
      </w:r>
      <w:r>
        <w:t xml:space="preserve"> </w:t>
      </w:r>
      <w:r>
        <w:t xml:space="preserve">JV with no or negligible, actual or foreseen activities within the</w:t>
      </w:r>
      <w:r>
        <w:t xml:space="preserve"> </w:t>
      </w:r>
      <w:r>
        <w:t xml:space="preserve">territory of the European Economic Area (EEA). Under current</w:t>
      </w:r>
      <w:r>
        <w:t xml:space="preserve"> </w:t>
      </w:r>
      <w:r>
        <w:t xml:space="preserve">rules the maximum turnover to fall into this category in the EEA is</w:t>
      </w:r>
      <w:r>
        <w:t xml:space="preserve"> </w:t>
      </w:r>
      <w:r>
        <w:t xml:space="preserve">EUR 100 million.8</w:t>
      </w:r>
      <w:r>
        <w:t xml:space="preserve"> </w:t>
      </w:r>
      <w:r>
        <w:t xml:space="preserve">Market share calculation9</w:t>
      </w:r>
      <w:r>
        <w:t xml:space="preserve"> </w:t>
      </w:r>
      <w:r>
        <w:t xml:space="preserve">First steps in assessing concentrations consist of defining the</w:t>
      </w:r>
      <w:r>
        <w:t xml:space="preserve"> </w:t>
      </w:r>
      <w:r>
        <w:t xml:space="preserve">relevant market in which the parties to the concentration compete,</w:t>
      </w:r>
      <w:r>
        <w:t xml:space="preserve"> </w:t>
      </w:r>
      <w:r>
        <w:t xml:space="preserve">as well as the share, each of the parties to the concentration and</w:t>
      </w:r>
    </w:p>
    <w:p>
      <w:pPr>
        <w:pStyle w:val="BodyText"/>
      </w:pPr>
      <w:r>
        <w:t xml:space="preserve">1 See Section 5.2; subsection 5.2.3; Option 2 of the Impact Assessment Report (the Report).</w:t>
      </w:r>
      <w:r>
        <w:br/>
      </w:r>
      <w:r>
        <w:t xml:space="preserve">2 See Section 6.1; subsection 6.1.1; Option 2a, paragraph three of the Report.</w:t>
      </w:r>
      <w:r>
        <w:br/>
      </w:r>
      <w:r>
        <w:t xml:space="preserve">3 See Section 5.2; subsection 5.2.2; Option 1a of the Report.</w:t>
      </w:r>
      <w:r>
        <w:br/>
      </w:r>
      <w:r>
        <w:t xml:space="preserve">4 See Section 6.1; subsection 6.1.1; paragraph two.</w:t>
      </w:r>
      <w:r>
        <w:br/>
      </w:r>
      <w:r>
        <w:t xml:space="preserve">5 See Section 5.2; subsection 5.2.2; Option 1b of the Report.</w:t>
      </w:r>
      <w:r>
        <w:br/>
      </w:r>
      <w:r>
        <w:t xml:space="preserve">6 See Section 6.1; subsection 6.1.1; paragraph two.</w:t>
      </w:r>
      <w:r>
        <w:t xml:space="preserve"> </w:t>
      </w:r>
      <w:r>
        <w:t xml:space="preserve">7 See Section 5.2; subsection 5.2.2; Option 1c of the Report.</w:t>
      </w:r>
      <w:r>
        <w:br/>
      </w:r>
      <w:r>
        <w:t xml:space="preserve">8 See Section 6.1; subsection 6.1.1; paragraph eight.</w:t>
      </w:r>
      <w:r>
        <w:br/>
      </w:r>
      <w:r>
        <w:t xml:space="preserve">9 See Section 6.1; subsection 6.1.1; paragraph thirty.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their competitors account for, in order to get a first idea about the</w:t>
      </w:r>
      <w:r>
        <w:t xml:space="preserve"> </w:t>
      </w:r>
      <w:r>
        <w:t xml:space="preserve">strength of the players in the market at issue.</w:t>
      </w:r>
      <w:r>
        <w:br/>
      </w:r>
      <w:r>
        <w:t xml:space="preserve">Categories</w:t>
      </w:r>
      <w:r>
        <w:t xml:space="preserve"> </w:t>
      </w:r>
      <w:r>
        <w:t xml:space="preserve">of</w:t>
      </w:r>
      <w:r>
        <w:t xml:space="preserve"> </w:t>
      </w:r>
      <w:r>
        <w:t xml:space="preserve">simplified</w:t>
      </w:r>
      <w:r>
        <w:t xml:space="preserve"> </w:t>
      </w:r>
      <w:r>
        <w:t xml:space="preserve">cases</w:t>
      </w:r>
      <w:r>
        <w:t xml:space="preserve"> </w:t>
      </w:r>
      <w:r>
        <w:t xml:space="preserve">Currently, there are 5 categories of cases which qualify for a</w:t>
      </w:r>
      <w:r>
        <w:t xml:space="preserve"> </w:t>
      </w:r>
      <w:r>
        <w:t xml:space="preserve">treatment under the simplified procedure. The conditions are based</w:t>
      </w:r>
      <w:r>
        <w:t xml:space="preserve"> </w:t>
      </w:r>
      <w:r>
        <w:t xml:space="preserve">on either turnover and asset value, or market shares, or a party is to</w:t>
      </w:r>
      <w:r>
        <w:t xml:space="preserve"> </w:t>
      </w:r>
      <w:r>
        <w:t xml:space="preserve">acquire sole control of an undertaking over which it already has</w:t>
      </w:r>
      <w:r>
        <w:t xml:space="preserve"> </w:t>
      </w:r>
      <w:r>
        <w:t xml:space="preserve">joint control.</w:t>
      </w:r>
      <w:r>
        <w:t xml:space="preserve"> </w:t>
      </w:r>
      <w:r>
        <w:t xml:space="preserve">Commercially</w:t>
      </w:r>
      <w:r>
        <w:t xml:space="preserve"> </w:t>
      </w:r>
      <w:r>
        <w:t xml:space="preserve">sensitive</w:t>
      </w:r>
      <w:r>
        <w:t xml:space="preserve"> </w:t>
      </w:r>
      <w:r>
        <w:t xml:space="preserve">information10</w:t>
      </w:r>
      <w:r>
        <w:t xml:space="preserve"> </w:t>
      </w:r>
      <w:r>
        <w:t xml:space="preserve">Business secrets and other confidential information the disclosure of</w:t>
      </w:r>
      <w:r>
        <w:t xml:space="preserve"> </w:t>
      </w:r>
      <w:r>
        <w:t xml:space="preserve">which would significantly harm a person or undertaking.</w:t>
      </w:r>
      <w:r>
        <w:t xml:space="preserve"> </w:t>
      </w:r>
      <w:r>
        <w:t xml:space="preserve">Customer foreclosure</w:t>
      </w:r>
      <w:r>
        <w:t xml:space="preserve"> </w:t>
      </w:r>
      <w:r>
        <w:t xml:space="preserve">A strategy of a vertically integrated firm to deny rivals access to its</w:t>
      </w:r>
      <w:r>
        <w:t xml:space="preserve"> </w:t>
      </w:r>
      <w:r>
        <w:t xml:space="preserve">(downstream) customer base. If a company through a merger with a</w:t>
      </w:r>
      <w:r>
        <w:t xml:space="preserve"> </w:t>
      </w:r>
      <w:r>
        <w:t xml:space="preserve">downstream firm controlled a large part of demand, it could</w:t>
      </w:r>
      <w:r>
        <w:t xml:space="preserve"> </w:t>
      </w:r>
      <w:r>
        <w:t xml:space="preserve">foreclose its rivals upstream by no longer allowing its subsidiary to</w:t>
      </w:r>
      <w:r>
        <w:t xml:space="preserve"> </w:t>
      </w:r>
      <w:r>
        <w:t xml:space="preserve">purchase from these rivals.</w:t>
      </w:r>
      <w:r>
        <w:br/>
      </w:r>
      <w:r>
        <w:t xml:space="preserve">eIDAS Regulation11</w:t>
      </w:r>
      <w:r>
        <w:t xml:space="preserve"> </w:t>
      </w:r>
      <w:r>
        <w:t xml:space="preserve">Regulation on electronic identification and trust services for</w:t>
      </w:r>
      <w:r>
        <w:t xml:space="preserve"> </w:t>
      </w:r>
      <w:r>
        <w:t xml:space="preserve">electronic transactions in the internal market.</w:t>
      </w:r>
      <w:r>
        <w:t xml:space="preserve"> </w:t>
      </w:r>
      <w:r>
        <w:t xml:space="preserve">Downstream market</w:t>
      </w:r>
      <w:r>
        <w:t xml:space="preserve"> </w:t>
      </w:r>
      <w:r>
        <w:t xml:space="preserve">A market, which is one level down in the supply chain, e.g. usually</w:t>
      </w:r>
      <w:r>
        <w:t xml:space="preserve"> </w:t>
      </w:r>
      <w:r>
        <w:t xml:space="preserve">a market, where products get produced using inputs from an</w:t>
      </w:r>
      <w:r>
        <w:t xml:space="preserve"> </w:t>
      </w:r>
      <w:r>
        <w:t xml:space="preserve">upstream market (raw materials, semi-finished products), or where</w:t>
      </w:r>
      <w:r>
        <w:t xml:space="preserve"> </w:t>
      </w:r>
      <w:r>
        <w:t xml:space="preserve">products are distributed.</w:t>
      </w:r>
      <w:r>
        <w:t xml:space="preserve"> </w:t>
      </w:r>
      <w:r>
        <w:t xml:space="preserve">Foreclosure</w:t>
      </w:r>
      <w:r>
        <w:t xml:space="preserve"> </w:t>
      </w:r>
      <w:r>
        <w:t xml:space="preserve">A strategy of a vertically integrated company to deny its rivals</w:t>
      </w:r>
      <w:r>
        <w:t xml:space="preserve"> </w:t>
      </w:r>
      <w:r>
        <w:t xml:space="preserve">access to inputs (upstream, input foreclosure) or access to customers</w:t>
      </w:r>
      <w:r>
        <w:t xml:space="preserve"> </w:t>
      </w:r>
      <w:r>
        <w:t xml:space="preserve">(downstream, customer foreclosure).</w:t>
      </w:r>
      <w:r>
        <w:t xml:space="preserve"> </w:t>
      </w:r>
      <w:r>
        <w:t xml:space="preserve">Form CO(ncentration)</w:t>
      </w:r>
      <w:r>
        <w:t xml:space="preserve"> </w:t>
      </w:r>
      <w:r>
        <w:t xml:space="preserve">The document by which normal cases must be notified to the</w:t>
      </w:r>
      <w:r>
        <w:t xml:space="preserve"> </w:t>
      </w:r>
      <w:r>
        <w:t xml:space="preserve">Commission. Form CO specifies the information that must be</w:t>
      </w:r>
      <w:r>
        <w:t xml:space="preserve"> </w:t>
      </w:r>
      <w:r>
        <w:t xml:space="preserve">provided by notifying parties when submitting a notification to the</w:t>
      </w:r>
      <w:r>
        <w:t xml:space="preserve"> </w:t>
      </w:r>
      <w:r>
        <w:t xml:space="preserve">European Commission of a proposed merger, acquisition or other</w:t>
      </w:r>
      <w:r>
        <w:t xml:space="preserve"> </w:t>
      </w:r>
      <w:r>
        <w:t xml:space="preserve">concentration. Form CO is Annex I of the Implementing</w:t>
      </w:r>
      <w:r>
        <w:t xml:space="preserve"> </w:t>
      </w:r>
      <w:r>
        <w:t xml:space="preserve">Regulation.</w:t>
      </w:r>
      <w:r>
        <w:t xml:space="preserve"> </w:t>
      </w:r>
      <w:r>
        <w:t xml:space="preserve">Form RM:</w:t>
      </w:r>
      <w:r>
        <w:t xml:space="preserve"> </w:t>
      </w:r>
      <w:r>
        <w:t xml:space="preserve">Form RM specifies the requirements and information that</w:t>
      </w:r>
      <w:r>
        <w:t xml:space="preserve"> </w:t>
      </w:r>
      <w:r>
        <w:t xml:space="preserve">submitting parties must provide when they present remedies in</w:t>
      </w:r>
      <w:r>
        <w:t xml:space="preserve"> </w:t>
      </w:r>
      <w:r>
        <w:t xml:space="preserve">order to solve the competition concerns. Form RM is Annex IV of</w:t>
      </w:r>
      <w:r>
        <w:t xml:space="preserve"> </w:t>
      </w:r>
      <w:r>
        <w:t xml:space="preserve">the Implementing Regulation.</w:t>
      </w:r>
      <w:r>
        <w:br/>
      </w:r>
      <w:r>
        <w:t xml:space="preserve">Form RS</w:t>
      </w:r>
      <w:r>
        <w:t xml:space="preserve"> </w:t>
      </w:r>
      <w:r>
        <w:t xml:space="preserve">Form RS specifies the information that submitting parties must</w:t>
      </w:r>
      <w:r>
        <w:t xml:space="preserve"> </w:t>
      </w:r>
      <w:r>
        <w:t xml:space="preserve">provide when making a reasoned submission for a pre-notification</w:t>
      </w:r>
      <w:r>
        <w:t xml:space="preserve"> </w:t>
      </w:r>
      <w:r>
        <w:t xml:space="preserve">referral under Article 4(4) or (5) of Council Regulation (EC)</w:t>
      </w:r>
      <w:r>
        <w:t xml:space="preserve"> </w:t>
      </w:r>
      <w:r>
        <w:t xml:space="preserve">No 139/2004 of 20 January 2004 on the control of concentrations</w:t>
      </w:r>
      <w:r>
        <w:t xml:space="preserve"> </w:t>
      </w:r>
      <w:r>
        <w:t xml:space="preserve">between undertakings. Form RS is Annex III of the Implementing</w:t>
      </w:r>
      <w:r>
        <w:t xml:space="preserve"> </w:t>
      </w:r>
      <w:r>
        <w:t xml:space="preserve">Regulation.</w:t>
      </w:r>
    </w:p>
    <w:p>
      <w:pPr>
        <w:pStyle w:val="BodyText"/>
      </w:pPr>
      <w:r>
        <w:t xml:space="preserve">10 See Section 6.1; subsection 6.1.1; paragraph thirty four.</w:t>
      </w:r>
      <w:r>
        <w:br/>
      </w:r>
      <w:r>
        <w:t xml:space="preserve">11 See Section 7.4; subsection 7.4.2; first paragraph.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Herfindahl-Hirschman</w:t>
      </w:r>
      <w:r>
        <w:t xml:space="preserve"> </w:t>
      </w:r>
      <w:r>
        <w:t xml:space="preserve">Index (HHI):</w:t>
      </w:r>
      <w:r>
        <w:t xml:space="preserve"> </w:t>
      </w:r>
      <w:r>
        <w:t xml:space="preserve">The HHI is a concentration measure of firms in the market at issue</w:t>
      </w:r>
      <w:r>
        <w:t xml:space="preserve"> </w:t>
      </w:r>
      <w:r>
        <w:t xml:space="preserve">and an indicator of the amount of competition among them. It is</w:t>
      </w:r>
      <w:r>
        <w:t xml:space="preserve"> </w:t>
      </w:r>
      <w:r>
        <w:t xml:space="preserve">calculated by squaring the market shares of each competing firm in</w:t>
      </w:r>
      <w:r>
        <w:t xml:space="preserve"> </w:t>
      </w:r>
      <w:r>
        <w:t xml:space="preserve">the industry and then summing the resulting numbers.</w:t>
      </w:r>
      <w:r>
        <w:br/>
      </w:r>
      <w:r>
        <w:t xml:space="preserve">HHI delta:</w:t>
      </w:r>
      <w:r>
        <w:t xml:space="preserve"> </w:t>
      </w:r>
      <w:r>
        <w:t xml:space="preserve">It is the difference between the HHI post merger and the HHI before</w:t>
      </w:r>
      <w:r>
        <w:t xml:space="preserve"> </w:t>
      </w:r>
      <w:r>
        <w:t xml:space="preserve">the merger and is used as a first filter to determine the increase in</w:t>
      </w:r>
      <w:r>
        <w:t xml:space="preserve"> </w:t>
      </w:r>
      <w:r>
        <w:t xml:space="preserve">concentration in a market.</w:t>
      </w:r>
      <w:r>
        <w:br/>
      </w:r>
      <w:r>
        <w:t xml:space="preserve">Short Form CO(ncentration) Information requirements in simplified cases, which is a drastically</w:t>
      </w:r>
      <w:r>
        <w:t xml:space="preserve"> </w:t>
      </w:r>
      <w:r>
        <w:t xml:space="preserve">reduced version of the Form CO used for normal cases. The Short</w:t>
      </w:r>
      <w:r>
        <w:t xml:space="preserve"> </w:t>
      </w:r>
      <w:r>
        <w:t xml:space="preserve">Form CO is Annex II of the Implementing Regulation.</w:t>
      </w:r>
      <w:r>
        <w:br/>
      </w:r>
      <w:r>
        <w:t xml:space="preserve">Non-controlling</w:t>
      </w:r>
      <w:r>
        <w:t xml:space="preserve"> </w:t>
      </w:r>
      <w:r>
        <w:t xml:space="preserve">shareholdings:12</w:t>
      </w:r>
      <w:r>
        <w:t xml:space="preserve"> </w:t>
      </w:r>
      <w:r>
        <w:t xml:space="preserve">Any shareholding that does not confer control in the sense of the EU</w:t>
      </w:r>
      <w:r>
        <w:t xml:space="preserve"> </w:t>
      </w:r>
      <w:r>
        <w:t xml:space="preserve">Merger Regulation.</w:t>
      </w:r>
      <w:r>
        <w:br/>
      </w:r>
      <w:r>
        <w:t xml:space="preserve">Normal</w:t>
      </w:r>
      <w:r>
        <w:t xml:space="preserve"> </w:t>
      </w:r>
      <w:r>
        <w:t xml:space="preserve">cases</w:t>
      </w:r>
      <w:r>
        <w:t xml:space="preserve"> </w:t>
      </w:r>
      <w:r>
        <w:t xml:space="preserve">or</w:t>
      </w:r>
      <w:r>
        <w:t xml:space="preserve"> </w:t>
      </w:r>
      <w:r>
        <w:t xml:space="preserve">non-</w:t>
      </w:r>
      <w:r>
        <w:t xml:space="preserve"> </w:t>
      </w:r>
      <w:r>
        <w:t xml:space="preserve">simplified cases:</w:t>
      </w:r>
      <w:r>
        <w:t xml:space="preserve"> </w:t>
      </w:r>
      <w:r>
        <w:t xml:space="preserve">Concentrations that require the completion of the full Form CO for</w:t>
      </w:r>
      <w:r>
        <w:t xml:space="preserve"> </w:t>
      </w:r>
      <w:r>
        <w:t xml:space="preserve">a more detailed review procedure.</w:t>
      </w:r>
      <w:r>
        <w:t xml:space="preserve"> </w:t>
      </w:r>
      <w:r>
        <w:t xml:space="preserve">Pre-notification contacts on</w:t>
      </w:r>
      <w:r>
        <w:t xml:space="preserve"> </w:t>
      </w:r>
      <w:r>
        <w:t xml:space="preserve">the assessment/on questions</w:t>
      </w:r>
      <w:r>
        <w:t xml:space="preserve"> </w:t>
      </w:r>
      <w:r>
        <w:t xml:space="preserve">of jurisdiction:13</w:t>
      </w:r>
      <w:r>
        <w:t xml:space="preserve"> </w:t>
      </w:r>
      <w:r>
        <w:t xml:space="preserve">It is a service offered by the Commission to notifying parties on a</w:t>
      </w:r>
      <w:r>
        <w:t xml:space="preserve"> </w:t>
      </w:r>
      <w:r>
        <w:t xml:space="preserve">voluntary basis in order to prepare the formal merger review</w:t>
      </w:r>
      <w:r>
        <w:t xml:space="preserve"> </w:t>
      </w:r>
      <w:r>
        <w:t xml:space="preserve">procedure. As such, while not mandatory, pre-notification contacts</w:t>
      </w:r>
      <w:r>
        <w:t xml:space="preserve"> </w:t>
      </w:r>
      <w:r>
        <w:t xml:space="preserve">can be extremely valuable to both the notifying parties and the</w:t>
      </w:r>
      <w:r>
        <w:t xml:space="preserve"> </w:t>
      </w:r>
      <w:r>
        <w:t xml:space="preserve">Commission in determining, amongst other things, the precise</w:t>
      </w:r>
      <w:r>
        <w:t xml:space="preserve"> </w:t>
      </w:r>
      <w:r>
        <w:t xml:space="preserve">amount of information required in a notification and, in the majority</w:t>
      </w:r>
      <w:r>
        <w:t xml:space="preserve"> </w:t>
      </w:r>
      <w:r>
        <w:t xml:space="preserve">of cases, will result in a significant reduction of the information</w:t>
      </w:r>
      <w:r>
        <w:t xml:space="preserve"> </w:t>
      </w:r>
      <w:r>
        <w:t xml:space="preserve">required.</w:t>
      </w:r>
      <w:r>
        <w:t xml:space="preserve"> </w:t>
      </w:r>
      <w:r>
        <w:t xml:space="preserve">Simplified cases:</w:t>
      </w:r>
      <w:r>
        <w:t xml:space="preserve"> </w:t>
      </w:r>
      <w:r>
        <w:t xml:space="preserve">Concentrations that can normally be authorised if there are no</w:t>
      </w:r>
      <w:r>
        <w:t xml:space="preserve"> </w:t>
      </w:r>
      <w:r>
        <w:t xml:space="preserve">special circumstances and that are handled by the Commission</w:t>
      </w:r>
      <w:r>
        <w:t xml:space="preserve"> </w:t>
      </w:r>
      <w:r>
        <w:t xml:space="preserve">under the so-called simplified procedure, as opposed to “normal” or</w:t>
      </w:r>
      <w:r>
        <w:t xml:space="preserve"> </w:t>
      </w:r>
      <w:r>
        <w:t xml:space="preserve">“non-simplified” cases.</w:t>
      </w:r>
      <w:r>
        <w:br/>
      </w:r>
      <w:r>
        <w:t xml:space="preserve">Unproblematic merger cases Mergers, which do not raise serious doubts as to their compatibility</w:t>
      </w:r>
      <w:r>
        <w:t xml:space="preserve"> </w:t>
      </w:r>
      <w:r>
        <w:t xml:space="preserve">with the internal market or do not lead to a significant impediment</w:t>
      </w:r>
      <w:r>
        <w:t xml:space="preserve"> </w:t>
      </w:r>
      <w:r>
        <w:t xml:space="preserve">to effective competition</w:t>
      </w:r>
      <w:r>
        <w:br/>
      </w:r>
      <w:r>
        <w:t xml:space="preserve">Upstream market:</w:t>
      </w:r>
      <w:r>
        <w:t xml:space="preserve"> </w:t>
      </w:r>
      <w:r>
        <w:t xml:space="preserve">A market at the previous stage of the production/supply/distribution</w:t>
      </w:r>
      <w:r>
        <w:t xml:space="preserve"> </w:t>
      </w:r>
      <w:r>
        <w:t xml:space="preserve">chain, on which material inputs are produced and supplied to the</w:t>
      </w:r>
      <w:r>
        <w:t xml:space="preserve"> </w:t>
      </w:r>
      <w:r>
        <w:t xml:space="preserve">next level of the supply chain.</w:t>
      </w:r>
    </w:p>
    <w:p>
      <w:pPr>
        <w:pStyle w:val="BodyText"/>
      </w:pPr>
      <w:r>
        <w:t xml:space="preserve">12 See Section 6.1; subsection 6.1.1; paragraph thirty four.</w:t>
      </w:r>
      <w:r>
        <w:br/>
      </w:r>
      <w:r>
        <w:t xml:space="preserve">13 See Section 5.2; subsection 5.2.3; Options 2 and 3 of the Report.</w:t>
      </w:r>
    </w:p>
    <w:p>
      <w:pPr>
        <w:pStyle w:val="BodyText"/>
      </w:pPr>
      <w:r>
        <w:t xml:space="preserve">5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</w:t>
      </w:r>
      <w:r>
        <w:t xml:space="preserve"> </w:t>
      </w:r>
      <w:r>
        <w:t xml:space="preserve">EU merger control – based on Council Regulation (EC) No 139/2004 of 20 January 2004</w:t>
      </w:r>
      <w:r>
        <w:t xml:space="preserve"> </w:t>
      </w:r>
      <w:r>
        <w:t xml:space="preserve">on the control of concentrations between undertakings (the “EU Merger Regulation”), its</w:t>
      </w:r>
      <w:r>
        <w:t xml:space="preserve"> </w:t>
      </w:r>
      <w:r>
        <w:t xml:space="preserve">implementing Regulation14 and related Notices and Guidelines – aims at ensuring that</w:t>
      </w:r>
      <w:r>
        <w:t xml:space="preserve"> </w:t>
      </w:r>
      <w:r>
        <w:t xml:space="preserve">corporate reorganisations in the form of concentrations do not result in lasting damage to</w:t>
      </w:r>
      <w:r>
        <w:t xml:space="preserve"> </w:t>
      </w:r>
      <w:r>
        <w:t xml:space="preserve">competition in the internal market.</w:t>
      </w:r>
      <w:r>
        <w:br/>
      </w:r>
      <w:r>
        <w:t xml:space="preserve">Under the EU Merger Regulation, the Commission has exclusive jurisdiction to assess</w:t>
      </w:r>
      <w:r>
        <w:t xml:space="preserve"> </w:t>
      </w:r>
      <w:r>
        <w:t xml:space="preserve">whether concentrations with an EU dimension (as defined based on turnover thresholds),</w:t>
      </w:r>
      <w:r>
        <w:t xml:space="preserve"> </w:t>
      </w:r>
      <w:r>
        <w:t xml:space="preserve">as well as concentrations referred to it by national competition authorities (“NCAs”),</w:t>
      </w:r>
      <w:r>
        <w:t xml:space="preserve"> </w:t>
      </w:r>
      <w:r>
        <w:t xml:space="preserve">would significantly impede effective competition in the internal market or a significant</w:t>
      </w:r>
      <w:r>
        <w:t xml:space="preserve"> </w:t>
      </w:r>
      <w:r>
        <w:t xml:space="preserve">part of it.15 Parties to a concentration are required to notify to the Commission all</w:t>
      </w:r>
      <w:r>
        <w:t xml:space="preserve"> </w:t>
      </w:r>
      <w:r>
        <w:t xml:space="preserve">concentrations having an EU dimension, by completing a specific notification form.</w:t>
      </w:r>
      <w:r>
        <w:t xml:space="preserve"> </w:t>
      </w:r>
      <w:r>
        <w:t xml:space="preserve">Member States are involved in all cases notified to the Commission. They receive copies</w:t>
      </w:r>
      <w:r>
        <w:t xml:space="preserve"> </w:t>
      </w:r>
      <w:r>
        <w:t xml:space="preserve">of all notifications, can request a referral of cases to or from the Commission and are</w:t>
      </w:r>
      <w:r>
        <w:t xml:space="preserve"> </w:t>
      </w:r>
      <w:r>
        <w:t xml:space="preserve">explicitly consulted in all cases in which an in-depth investigation is launched.</w:t>
      </w:r>
      <w:r>
        <w:t xml:space="preserve"> </w:t>
      </w:r>
      <w:r>
        <w:t xml:space="preserve">Pending the Commission’s review and until the Commission’s approval, the parties to</w:t>
      </w:r>
      <w:r>
        <w:t xml:space="preserve"> </w:t>
      </w:r>
      <w:r>
        <w:t xml:space="preserve">the concentration cannot implement their concentration. To carry out the review, the EU</w:t>
      </w:r>
      <w:r>
        <w:t xml:space="preserve"> </w:t>
      </w:r>
      <w:r>
        <w:t xml:space="preserve">Merger Regulation grants the Commission powers to investigate these concentrations and</w:t>
      </w:r>
      <w:r>
        <w:t xml:space="preserve"> </w:t>
      </w:r>
      <w:r>
        <w:t xml:space="preserve">to collect all necessary information, including from the parties to the concentration and</w:t>
      </w:r>
      <w:r>
        <w:t xml:space="preserve"> </w:t>
      </w:r>
      <w:r>
        <w:t xml:space="preserve">third parties, for instance from the customers, competitors and suppliers of the parties to</w:t>
      </w:r>
      <w:r>
        <w:t xml:space="preserve"> </w:t>
      </w:r>
      <w:r>
        <w:t xml:space="preserve">the concentration. At the end of the merger control review process, the Commission may</w:t>
      </w:r>
      <w:r>
        <w:t xml:space="preserve"> </w:t>
      </w:r>
      <w:r>
        <w:t xml:space="preserve">authorise the concentration as initially planned, authorise the concentration subject to</w:t>
      </w:r>
      <w:r>
        <w:t xml:space="preserve"> </w:t>
      </w:r>
      <w:r>
        <w:t xml:space="preserve">commitments offered by the merging companies to remedy any competition problems</w:t>
      </w:r>
      <w:r>
        <w:t xml:space="preserve"> </w:t>
      </w:r>
      <w:r>
        <w:t xml:space="preserve">identified by the Commission, or prohibit the concentration. The majority of</w:t>
      </w:r>
      <w:r>
        <w:t xml:space="preserve"> </w:t>
      </w:r>
      <w:r>
        <w:t xml:space="preserve">concentrations notified to the Commission (93% of all notified cases in 2021) do not</w:t>
      </w:r>
      <w:r>
        <w:t xml:space="preserve"> </w:t>
      </w:r>
      <w:r>
        <w:t xml:space="preserve">raise competition concerns and receive unconditional clearance.</w:t>
      </w:r>
      <w:r>
        <w:br/>
      </w:r>
      <w:r>
        <w:t xml:space="preserve">Since 1989 (when the EU merger control regime was introduced), the Commission has</w:t>
      </w:r>
      <w:r>
        <w:t xml:space="preserve"> </w:t>
      </w:r>
      <w:r>
        <w:t xml:space="preserve">sought to focus its investigations on the most relevant cases from a competition</w:t>
      </w:r>
      <w:r>
        <w:t xml:space="preserve"> </w:t>
      </w:r>
      <w:r>
        <w:t xml:space="preserve">perspective, which have a significant impact on EU businesses and citizens, while</w:t>
      </w:r>
      <w:r>
        <w:t xml:space="preserve"> </w:t>
      </w:r>
      <w:r>
        <w:t xml:space="preserve">reducing the administrative burden on businesses subject to merger review where</w:t>
      </w:r>
      <w:r>
        <w:t xml:space="preserve"> </w:t>
      </w:r>
      <w:r>
        <w:t xml:space="preserve">possible – without impairing effective enforcement. To that end, in 2000 the</w:t>
      </w:r>
      <w:r>
        <w:t xml:space="preserve"> </w:t>
      </w:r>
      <w:r>
        <w:t xml:space="preserve">Commission introduced a simplified procedure for categories of concentrations that can</w:t>
      </w:r>
      <w:r>
        <w:t xml:space="preserve"> </w:t>
      </w:r>
      <w:r>
        <w:t xml:space="preserve">normally be authorised if there are no special circumstances (“simplified cases” as</w:t>
      </w:r>
      <w:r>
        <w:t xml:space="preserve"> </w:t>
      </w:r>
      <w:r>
        <w:t xml:space="preserve">opposed to “normal” or “non-simplified cases” which require a detailed review</w:t>
      </w:r>
      <w:r>
        <w:t xml:space="preserve"> </w:t>
      </w:r>
      <w:r>
        <w:t xml:space="preserve">procedure). Under the simplified procedure, notifying parties are required to provide less</w:t>
      </w:r>
      <w:r>
        <w:t xml:space="preserve"> </w:t>
      </w:r>
      <w:r>
        <w:t xml:space="preserve">information to the Commission; the Commission generally does not request information</w:t>
      </w:r>
    </w:p>
    <w:p>
      <w:pPr>
        <w:pStyle w:val="FirstParagraph"/>
      </w:pPr>
      <w:r>
        <w:t xml:space="preserve">14</w:t>
      </w:r>
      <w:r>
        <w:br/>
      </w:r>
      <w:r>
        <w:t xml:space="preserve">Commission Regulation (EC) No 802/2004 of 21 April 2004 implementing Council Regulation (EC)</w:t>
      </w:r>
      <w:r>
        <w:t xml:space="preserve"> </w:t>
      </w:r>
      <w:r>
        <w:t xml:space="preserve">No 139/2004 on the control of concentrations between undertakings (OJ L 133, 30.04.2004, p. 1) as</w:t>
      </w:r>
      <w:r>
        <w:t xml:space="preserve"> </w:t>
      </w:r>
      <w:r>
        <w:t xml:space="preserve">amended (the</w:t>
      </w:r>
      <w:r>
        <w:t xml:space="preserve"> </w:t>
      </w:r>
      <w:r>
        <w:t xml:space="preserve">“Implementing Regulation”</w:t>
      </w:r>
      <w:r>
        <w:t xml:space="preserve">).</w:t>
      </w:r>
      <w:r>
        <w:t xml:space="preserve"> </w:t>
      </w:r>
      <w:r>
        <w:t xml:space="preserve">15</w:t>
      </w:r>
      <w:r>
        <w:br/>
      </w:r>
      <w:r>
        <w:t xml:space="preserve">Concentrations that do not have an EU dimension may still come within the jurisdiction of one or</w:t>
      </w:r>
      <w:r>
        <w:t xml:space="preserve"> </w:t>
      </w:r>
      <w:r>
        <w:t xml:space="preserve">several EU Member States. To ensure that the most appropriate authority carries out the assessment,</w:t>
      </w:r>
      <w:r>
        <w:t xml:space="preserve"> </w:t>
      </w:r>
      <w:r>
        <w:t xml:space="preserve">and as long as certain conditions are met, the review can be referred from the Commission to the</w:t>
      </w:r>
      <w:r>
        <w:t xml:space="preserve"> </w:t>
      </w:r>
      <w:r>
        <w:t xml:space="preserve">Member States or vice versa under the EU Merger Regulation’s referral system.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from third parties; and the review is normally completed faster. In 2013, the Commission</w:t>
      </w:r>
      <w:r>
        <w:t xml:space="preserve"> </w:t>
      </w:r>
      <w:r>
        <w:t xml:space="preserve">adopted a number of additional measures (the “2013 Simplification Package”) to further</w:t>
      </w:r>
      <w:r>
        <w:t xml:space="preserve"> </w:t>
      </w:r>
      <w:r>
        <w:t xml:space="preserve">simplify the review process without impairing the effectiveness of the EU merger</w:t>
      </w:r>
      <w:r>
        <w:t xml:space="preserve"> </w:t>
      </w:r>
      <w:r>
        <w:t xml:space="preserve">enforcement. It aimed principally at extending the categories of simplified cases, at</w:t>
      </w:r>
      <w:r>
        <w:t xml:space="preserve"> </w:t>
      </w:r>
      <w:r>
        <w:t xml:space="preserve">reducing the information requirements for merger notifications and at streamlining the</w:t>
      </w:r>
      <w:r>
        <w:t xml:space="preserve"> </w:t>
      </w:r>
      <w:r>
        <w:t xml:space="preserve">notification process. The 2013 simplification package entered into force on 1 January</w:t>
      </w:r>
      <w:r>
        <w:t xml:space="preserve"> </w:t>
      </w:r>
      <w:r>
        <w:t xml:space="preserve">2014.</w:t>
      </w:r>
      <w:r>
        <w:br/>
      </w:r>
      <w:r>
        <w:t xml:space="preserve">Since cases with a European dimension are defined through turnover criteria without any</w:t>
      </w:r>
      <w:r>
        <w:t xml:space="preserve"> </w:t>
      </w:r>
      <w:r>
        <w:t xml:space="preserve">assessment of the actual effect of the respective concentrations on competition, many</w:t>
      </w:r>
      <w:r>
        <w:t xml:space="preserve"> </w:t>
      </w:r>
      <w:r>
        <w:t xml:space="preserve">concentrations that are notifiable to the Commission under the EU Merger Regulation are</w:t>
      </w:r>
      <w:r>
        <w:t xml:space="preserve"> </w:t>
      </w:r>
      <w:r>
        <w:t xml:space="preserve">unlikely to result in lasting damage to competition in the internal market. The simplified</w:t>
      </w:r>
      <w:r>
        <w:t xml:space="preserve"> </w:t>
      </w:r>
      <w:r>
        <w:t xml:space="preserve">procedure aims to capture these cases. It is based on certain presumptions, in particular</w:t>
      </w:r>
      <w:r>
        <w:t xml:space="preserve"> </w:t>
      </w:r>
      <w:r>
        <w:t xml:space="preserve">based on market shares, but also on size measured in turnover and balance sheet figures</w:t>
      </w:r>
      <w:r>
        <w:t xml:space="preserve"> </w:t>
      </w:r>
      <w:r>
        <w:t xml:space="preserve">in the case of joint ventures. These presumptions, which have developed over the years</w:t>
      </w:r>
      <w:r>
        <w:t xml:space="preserve"> </w:t>
      </w:r>
      <w:r>
        <w:t xml:space="preserve">based on experience gained, are used to formulate certain categories of cases, which</w:t>
      </w:r>
      <w:r>
        <w:t xml:space="preserve"> </w:t>
      </w:r>
      <w:r>
        <w:t xml:space="preserve">normally do not lead to competition issues. There are currently five such categories.</w:t>
      </w:r>
      <w:r>
        <w:t xml:space="preserve"> </w:t>
      </w:r>
      <w:r>
        <w:t xml:space="preserve">Three of them are based on market shares, with upper limits of not more than 20% for</w:t>
      </w:r>
      <w:r>
        <w:t xml:space="preserve"> </w:t>
      </w:r>
      <w:r>
        <w:t xml:space="preserve">horizontal overlaps and not more than 30% for vertical relationships, as well as below</w:t>
      </w:r>
      <w:r>
        <w:t xml:space="preserve"> </w:t>
      </w:r>
      <w:r>
        <w:t xml:space="preserve">50% if the increment results in an HHI below 150. One category is based on turnover and</w:t>
      </w:r>
      <w:r>
        <w:t xml:space="preserve"> </w:t>
      </w:r>
      <w:r>
        <w:t xml:space="preserve">balance sheet below EUR 100 million for joint ventures, and the last one is about</w:t>
      </w:r>
      <w:r>
        <w:t xml:space="preserve"> </w:t>
      </w:r>
      <w:r>
        <w:t xml:space="preserve">changes from joint to sole control. Since these categories are built on presumptions, the</w:t>
      </w:r>
      <w:r>
        <w:t xml:space="preserve"> </w:t>
      </w:r>
      <w:r>
        <w:t xml:space="preserve">Commission reserves the right to revert to the normal procedure via so-called safeguard</w:t>
      </w:r>
      <w:r>
        <w:t xml:space="preserve"> </w:t>
      </w:r>
      <w:r>
        <w:t xml:space="preserve">mechanisms.</w:t>
      </w:r>
      <w:r>
        <w:t xml:space="preserve"> </w:t>
      </w:r>
      <w:r>
        <w:t xml:space="preserve">Any concentration which is not subject to the simplified procedure is treated under the</w:t>
      </w:r>
      <w:r>
        <w:t xml:space="preserve"> </w:t>
      </w:r>
      <w:r>
        <w:t xml:space="preserve">normal procedure. The difference between the two procedures is the level of scrutiny</w:t>
      </w:r>
      <w:r>
        <w:t xml:space="preserve"> </w:t>
      </w:r>
      <w:r>
        <w:t xml:space="preserve">applied by the Commission. As normal cases have a higher propensity to lead to</w:t>
      </w:r>
      <w:r>
        <w:t xml:space="preserve"> </w:t>
      </w:r>
      <w:r>
        <w:t xml:space="preserve">competition problems in one or more markets, the information requirements in the</w:t>
      </w:r>
      <w:r>
        <w:t xml:space="preserve"> </w:t>
      </w:r>
      <w:r>
        <w:t xml:space="preserve">notification form are higher, the Commission will ask more questions in the pre-</w:t>
      </w:r>
      <w:r>
        <w:t xml:space="preserve"> </w:t>
      </w:r>
      <w:r>
        <w:t xml:space="preserve">notification period and may also, following the formal notification, do a targeted or full</w:t>
      </w:r>
      <w:r>
        <w:t xml:space="preserve"> </w:t>
      </w:r>
      <w:r>
        <w:t xml:space="preserve">market investigation asking information from third parties. In practice, in all normal</w:t>
      </w:r>
      <w:r>
        <w:t xml:space="preserve"> </w:t>
      </w:r>
      <w:r>
        <w:t xml:space="preserve">cases the Commission contacts third parties to gather information via written</w:t>
      </w:r>
      <w:r>
        <w:t xml:space="preserve"> </w:t>
      </w:r>
      <w:r>
        <w:t xml:space="preserve">questionnaires and/or calls.</w:t>
      </w:r>
      <w:r>
        <w:br/>
      </w:r>
      <w:r>
        <w:t xml:space="preserve">Conversely, in concentrations falling under the simplified procedure, the Commission</w:t>
      </w:r>
      <w:r>
        <w:t xml:space="preserve"> </w:t>
      </w:r>
      <w:r>
        <w:t xml:space="preserve">employs a lighter approach, which leads to gains on both sides, in particular less</w:t>
      </w:r>
      <w:r>
        <w:t xml:space="preserve"> </w:t>
      </w:r>
      <w:r>
        <w:t xml:space="preserve">information to be submitted to the Commission both by parties to the concentration and</w:t>
      </w:r>
      <w:r>
        <w:t xml:space="preserve"> </w:t>
      </w:r>
      <w:r>
        <w:t xml:space="preserve">third parties, a faster administrative process and an earlier adoption of the clearance</w:t>
      </w:r>
      <w:r>
        <w:t xml:space="preserve"> </w:t>
      </w:r>
      <w:r>
        <w:t xml:space="preserve">decision. The evaluation of procedural and jurisdictional aspects of EU merger control</w:t>
      </w:r>
      <w:r>
        <w:t xml:space="preserve"> </w:t>
      </w:r>
      <w:r>
        <w:t xml:space="preserve">launched in 2016 (the “Evaluation”) concluded that parties to concentration saved on</w:t>
      </w:r>
      <w:r>
        <w:t xml:space="preserve"> </w:t>
      </w:r>
      <w:r>
        <w:t xml:space="preserve">average more than 25 working days (that is to say more than 5 calendar weeks) overall</w:t>
      </w:r>
      <w:r>
        <w:t xml:space="preserve"> </w:t>
      </w:r>
      <w:r>
        <w:t xml:space="preserve">(including pre-notification and notification) in cases treated under the simplified</w:t>
      </w:r>
      <w:r>
        <w:t xml:space="preserve"> </w:t>
      </w:r>
      <w:r>
        <w:t xml:space="preserve">procedure.</w:t>
      </w:r>
      <w:r>
        <w:t xml:space="preserve"> </w:t>
      </w:r>
      <w:r>
        <w:t xml:space="preserve">In 2014, the Commission adopted the White Paper entitled “Towards more effective EU</w:t>
      </w:r>
      <w:r>
        <w:t xml:space="preserve"> </w:t>
      </w:r>
      <w:r>
        <w:t xml:space="preserve">merger control” (the “2014 White Paper”). The 2014 White Paper and accompanying</w:t>
      </w:r>
      <w:r>
        <w:t xml:space="preserve"> </w:t>
      </w:r>
      <w:r>
        <w:t xml:space="preserve">documents took stock of issues concerning the substantive assessment of EU merger</w:t>
      </w:r>
      <w:r>
        <w:t xml:space="preserve"> </w:t>
      </w:r>
      <w:r>
        <w:t xml:space="preserve">control under the EU Merger Regulation. In this 2014 White Paper, the Commission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found that “merger control at the EU level was strengthened by the 2004 Merger</w:t>
      </w:r>
      <w:r>
        <w:t xml:space="preserve"> </w:t>
      </w:r>
      <w:r>
        <w:t xml:space="preserve">Regulation reforms” and that the EU Merger Regulation “provides a good framework for</w:t>
      </w:r>
      <w:r>
        <w:t xml:space="preserve"> </w:t>
      </w:r>
      <w:r>
        <w:t xml:space="preserve">effectively protecting competition and thus consumers from anticompetitive effects of</w:t>
      </w:r>
      <w:r>
        <w:t xml:space="preserve"> </w:t>
      </w:r>
      <w:r>
        <w:t xml:space="preserve">mergers and acquisitions in the internal market”. As such, it was concluded that no</w:t>
      </w:r>
      <w:r>
        <w:t xml:space="preserve"> </w:t>
      </w:r>
      <w:r>
        <w:t xml:space="preserve">fundamental overhaul of the EU merger system was needed, but that there was room for</w:t>
      </w:r>
      <w:r>
        <w:t xml:space="preserve"> </w:t>
      </w:r>
      <w:r>
        <w:t xml:space="preserve">improvement on specific issues. The Commission identified, at that stage, “two main</w:t>
      </w:r>
      <w:r>
        <w:t xml:space="preserve"> </w:t>
      </w:r>
      <w:r>
        <w:t xml:space="preserve">ways to improve the Merger Regulation through more limited amendments”. The first</w:t>
      </w:r>
      <w:r>
        <w:t xml:space="preserve"> </w:t>
      </w:r>
      <w:r>
        <w:t xml:space="preserve">concerned jurisdiction: bringing acquisitions of non-controlling minority shareholdings</w:t>
      </w:r>
      <w:r>
        <w:t xml:space="preserve"> </w:t>
      </w:r>
      <w:r>
        <w:t xml:space="preserve">into the scope of EU merger control. The second, procedures: further streamlining case</w:t>
      </w:r>
      <w:r>
        <w:t xml:space="preserve"> </w:t>
      </w:r>
      <w:r>
        <w:t xml:space="preserve">referrals.</w:t>
      </w:r>
      <w:r>
        <w:br/>
      </w:r>
      <w:r>
        <w:t xml:space="preserve">The Evaluation took as a starting point the White Paper adopted in 2014 (and the</w:t>
      </w:r>
      <w:r>
        <w:t xml:space="preserve"> </w:t>
      </w:r>
      <w:r>
        <w:t xml:space="preserve">underlying body of work) and aimed at completing the initiatives and work streams</w:t>
      </w:r>
      <w:r>
        <w:t xml:space="preserve"> </w:t>
      </w:r>
      <w:r>
        <w:t xml:space="preserve">identified therein.16 In designing the scope of the Evaluation, however, the Commission</w:t>
      </w:r>
      <w:r>
        <w:t xml:space="preserve"> </w:t>
      </w:r>
      <w:r>
        <w:t xml:space="preserve">did not simply rely on the work conducted before the adoption of the 2014 White Paper,</w:t>
      </w:r>
      <w:r>
        <w:t xml:space="preserve"> </w:t>
      </w:r>
      <w:r>
        <w:t xml:space="preserve">but also on subsequent developments and additional work conducted by its services.</w:t>
      </w:r>
      <w:r>
        <w:t xml:space="preserve"> </w:t>
      </w:r>
      <w:r>
        <w:t xml:space="preserve">Thus, first, concerning jurisdiction, it was decided not to further assess the issue of the</w:t>
      </w:r>
      <w:r>
        <w:t xml:space="preserve"> </w:t>
      </w:r>
      <w:r>
        <w:t xml:space="preserve">possible extension of the scope of application of the EUMR to include the review of non-</w:t>
      </w:r>
      <w:r>
        <w:t xml:space="preserve"> </w:t>
      </w:r>
      <w:r>
        <w:t xml:space="preserve">controlling minority shareholdings (the comprehensive work undertaken had not</w:t>
      </w:r>
      <w:r>
        <w:t xml:space="preserve"> </w:t>
      </w:r>
      <w:r>
        <w:t xml:space="preserve">unearthed compelling evidence that such a reform was needed at that point or that it</w:t>
      </w:r>
      <w:r>
        <w:t xml:space="preserve"> </w:t>
      </w:r>
      <w:r>
        <w:t xml:space="preserve">could effectively work at European level without creating a lot of complexity).17 Instead,</w:t>
      </w:r>
      <w:r>
        <w:t xml:space="preserve"> </w:t>
      </w:r>
      <w:r>
        <w:t xml:space="preserve">focus was put on new market developments, namely the acquisition of highly valued</w:t>
      </w:r>
      <w:r>
        <w:t xml:space="preserve"> </w:t>
      </w:r>
      <w:r>
        <w:t xml:space="preserve">companies with limited or no turnover so far. In particular, the 2014 Facebook/WhatsApp</w:t>
      </w:r>
      <w:r>
        <w:t xml:space="preserve"> </w:t>
      </w:r>
      <w:r>
        <w:t xml:space="preserve">transaction had ignited a debate about the effectiveness of the turnover-based</w:t>
      </w:r>
      <w:r>
        <w:t xml:space="preserve"> </w:t>
      </w:r>
      <w:r>
        <w:t xml:space="preserve">jurisdictional thresholds of the EUMR. This question had emerged in earnest only after</w:t>
      </w:r>
      <w:r>
        <w:t xml:space="preserve"> </w:t>
      </w:r>
      <w:r>
        <w:t xml:space="preserve">the 2014 White Paper and thus had not been specifically discussed in the previous public</w:t>
      </w:r>
      <w:r>
        <w:t xml:space="preserve"> </w:t>
      </w:r>
      <w:r>
        <w:t xml:space="preserve">consultations. Second, concerning procedures, the Commission decided to more</w:t>
      </w:r>
      <w:r>
        <w:t xml:space="preserve"> </w:t>
      </w:r>
      <w:r>
        <w:t xml:space="preserve">generally evaluate merger procedures and existing room for further simplification,</w:t>
      </w:r>
      <w:r>
        <w:t xml:space="preserve"> </w:t>
      </w:r>
      <w:r>
        <w:t xml:space="preserve">beyond the referral system and the options identified in 2014.18 This followed, amongst</w:t>
      </w:r>
      <w:r>
        <w:t xml:space="preserve"> </w:t>
      </w:r>
      <w:r>
        <w:t xml:space="preserve">others, stakeholders’ demand (notably from the business community) for further</w:t>
      </w:r>
    </w:p>
    <w:p>
      <w:pPr>
        <w:pStyle w:val="BodyText"/>
      </w:pPr>
      <w:r>
        <w:t xml:space="preserve">16</w:t>
      </w:r>
      <w:r>
        <w:br/>
      </w:r>
      <w:r>
        <w:t xml:space="preserve">The Commission had conducted diverse public consultations on the EU Merger Regulation in 2009,</w:t>
      </w:r>
      <w:r>
        <w:t xml:space="preserve"> </w:t>
      </w:r>
      <w:r>
        <w:t xml:space="preserve">2013 and 2014.</w:t>
      </w:r>
      <w:r>
        <w:t xml:space="preserve"> </w:t>
      </w:r>
      <w:r>
        <w:t xml:space="preserve">17</w:t>
      </w:r>
      <w:r>
        <w:br/>
      </w:r>
      <w:r>
        <w:t xml:space="preserve">In 2016, DG Competition commissioned and published an independent support study for impact</w:t>
      </w:r>
      <w:r>
        <w:t xml:space="preserve"> </w:t>
      </w:r>
      <w:r>
        <w:t xml:space="preserve">assessment concerning the possible review of the EUMR regarding minority shareholdings. The</w:t>
      </w:r>
      <w:r>
        <w:t xml:space="preserve"> </w:t>
      </w:r>
      <w:r>
        <w:t xml:space="preserve">purpose of the study was to provide the Commission with additional information on the topic of</w:t>
      </w:r>
      <w:r>
        <w:t xml:space="preserve"> </w:t>
      </w:r>
      <w:r>
        <w:t xml:space="preserve">acquisitions of non-controlling minority shareholdings from the point of view of both competition</w:t>
      </w:r>
      <w:r>
        <w:t xml:space="preserve"> </w:t>
      </w:r>
      <w:r>
        <w:t xml:space="preserve">and corporate law and practice in different jurisdictions where such acquisitions are subject to</w:t>
      </w:r>
      <w:r>
        <w:t xml:space="preserve"> </w:t>
      </w:r>
      <w:r>
        <w:t xml:space="preserve">merger review, as well as on the different levels of rights usually attached to non-controlling</w:t>
      </w:r>
      <w:r>
        <w:t xml:space="preserve"> </w:t>
      </w:r>
      <w:r>
        <w:t xml:space="preserve">minority shareholdings in several countries. In its final report, the authors of the study (Spark Legal</w:t>
      </w:r>
      <w:r>
        <w:t xml:space="preserve"> </w:t>
      </w:r>
      <w:r>
        <w:t xml:space="preserve">Network and Queen Mary University of London) identified a number of reservations concerning the</w:t>
      </w:r>
      <w:r>
        <w:t xml:space="preserve"> </w:t>
      </w:r>
      <w:r>
        <w:t xml:space="preserve">introduction, as proposed in the White Paper, of a system for the control of minority shareholdings</w:t>
      </w:r>
      <w:r>
        <w:t xml:space="preserve"> </w:t>
      </w:r>
      <w:r>
        <w:t xml:space="preserve">in the EUMR. See also the announcement of Commissioner Vestager in her speech at the</w:t>
      </w:r>
      <w:r>
        <w:t xml:space="preserve"> </w:t>
      </w:r>
      <w:r>
        <w:t xml:space="preserve">Studienvereinigung Kartellrecht (“Refining the EU merger control system”) on 10 March 2016.</w:t>
      </w:r>
      <w:r>
        <w:br/>
      </w:r>
      <w:r>
        <w:t xml:space="preserve">18</w:t>
      </w:r>
      <w:r>
        <w:br/>
      </w:r>
      <w:r>
        <w:t xml:space="preserve">Apart from referrals, the 2014 White Paper had only specifically identified the possibility of (1)</w:t>
      </w:r>
      <w:r>
        <w:t xml:space="preserve"> </w:t>
      </w:r>
      <w:r>
        <w:t xml:space="preserve">removing the obligation to notify joint ventures located and operating totally outside the EEA and</w:t>
      </w:r>
      <w:r>
        <w:t xml:space="preserve"> </w:t>
      </w:r>
      <w:r>
        <w:t xml:space="preserve">(2) empowering the Commission to exempt from notification certain categories of transactions that</w:t>
      </w:r>
      <w:r>
        <w:t xml:space="preserve"> </w:t>
      </w:r>
      <w:r>
        <w:t xml:space="preserve">normally do not raise competition concerns.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streamlining of procedures, as well as the Commission’s objective to ensure that its</w:t>
      </w:r>
      <w:r>
        <w:t xml:space="preserve"> </w:t>
      </w:r>
      <w:r>
        <w:t xml:space="preserve">merger control practice is as efficient as possible.</w:t>
      </w:r>
    </w:p>
    <w:p>
      <w:pPr>
        <w:pStyle w:val="BodyText"/>
      </w:pPr>
      <w:r>
        <w:t xml:space="preserve">In March 2021, the Commission finalised the Evaluation19, which focused on three</w:t>
      </w:r>
      <w:r>
        <w:t xml:space="preserve"> </w:t>
      </w:r>
      <w:r>
        <w:t xml:space="preserve">topics: (i) jurisdictional thresholds, (ii) the referral system, and (iii) simplification.20</w:t>
      </w:r>
      <w:r>
        <w:t xml:space="preserve"> </w:t>
      </w:r>
      <w:r>
        <w:t xml:space="preserve">Regarding (i) and (ii), the Commission found that the jurisdictional thresholds of the EU</w:t>
      </w:r>
      <w:r>
        <w:t xml:space="preserve"> </w:t>
      </w:r>
      <w:r>
        <w:t xml:space="preserve">Merger Regulation (complemented with the referral mechanisms) are generally effective</w:t>
      </w:r>
      <w:r>
        <w:t xml:space="preserve"> </w:t>
      </w:r>
      <w:r>
        <w:t xml:space="preserve">in capturing significant transactions in the EU internal market. The Commission also</w:t>
      </w:r>
      <w:r>
        <w:t xml:space="preserve"> </w:t>
      </w:r>
      <w:r>
        <w:t xml:space="preserve">decided to give its full potential to Article 22 of the EU Merger Regulation by accepting</w:t>
      </w:r>
      <w:r>
        <w:t xml:space="preserve"> </w:t>
      </w:r>
      <w:r>
        <w:t xml:space="preserve">under certain circumstances referrals by Member States, even for transactions which do</w:t>
      </w:r>
      <w:r>
        <w:t xml:space="preserve"> </w:t>
      </w:r>
      <w:r>
        <w:t xml:space="preserve">not meet national merger notification thresholds. Against this background, the</w:t>
      </w:r>
      <w:r>
        <w:t xml:space="preserve"> </w:t>
      </w:r>
      <w:r>
        <w:t xml:space="preserve">Commission accepted a referral of the acquisition of Grail by Illumina in April 2021.</w:t>
      </w:r>
      <w:r>
        <w:br/>
      </w:r>
      <w:r>
        <w:t xml:space="preserve">The General Court upheld the Commission’s decision in July 2022 (Case T-227/21</w:t>
      </w:r>
      <w:r>
        <w:t xml:space="preserve"> </w:t>
      </w:r>
      <w:r>
        <w:t xml:space="preserve">Illumina v Commission). As regards (iii), the Evaluation confirmed that the 2013</w:t>
      </w:r>
      <w:r>
        <w:t xml:space="preserve"> </w:t>
      </w:r>
      <w:r>
        <w:t xml:space="preserve">simplification measures have been effective in increasing the application of the</w:t>
      </w:r>
      <w:r>
        <w:t xml:space="preserve"> </w:t>
      </w:r>
      <w:r>
        <w:t xml:space="preserve">simplified procedure to unproblematic mergers and in reducing burden both for</w:t>
      </w:r>
      <w:r>
        <w:t xml:space="preserve"> </w:t>
      </w:r>
      <w:r>
        <w:t xml:space="preserve">businesses involved (i.e. the notifying parties) and the Commission without leading to</w:t>
      </w:r>
      <w:r>
        <w:t xml:space="preserve"> </w:t>
      </w:r>
      <w:r>
        <w:t xml:space="preserve">risks of underenforcement. However, the Evaluation also revealed that there is still room</w:t>
      </w:r>
      <w:r>
        <w:t xml:space="preserve"> </w:t>
      </w:r>
      <w:r>
        <w:t xml:space="preserve">to streamline the enforcement of EU merger control by the Commission.</w:t>
      </w:r>
      <w:r>
        <w:t xml:space="preserve"> </w:t>
      </w:r>
      <w:r>
        <w:t xml:space="preserve">These findings were published in a Staff Working Document (“SWD”) on 26 March</w:t>
      </w:r>
      <w:r>
        <w:t xml:space="preserve"> </w:t>
      </w:r>
      <w:r>
        <w:t xml:space="preserve">2021. At the same time, the Commission launched an Impact Assessment with the aim to</w:t>
      </w:r>
      <w:r>
        <w:t xml:space="preserve"> </w:t>
      </w:r>
      <w:r>
        <w:t xml:space="preserve">revise the Implementing Regulation and the Notice on Simplified Procedure21, in the</w:t>
      </w:r>
      <w:r>
        <w:t xml:space="preserve"> </w:t>
      </w:r>
      <w:r>
        <w:t xml:space="preserve">context of which two Consultations of stakeholders took place. More concretely, the</w:t>
      </w:r>
      <w:r>
        <w:t xml:space="preserve"> </w:t>
      </w:r>
      <w:r>
        <w:t xml:space="preserve">Commission launched a Public Consultation from 26 March 2021 to 18 June 2021 (the</w:t>
      </w:r>
      <w:r>
        <w:t xml:space="preserve"> </w:t>
      </w:r>
      <w:r>
        <w:t xml:space="preserve">“Public Consultation”), covering different options considered for further targeting and</w:t>
      </w:r>
      <w:r>
        <w:t xml:space="preserve"> </w:t>
      </w:r>
      <w:r>
        <w:t xml:space="preserve">simplifying its merger review, for both simplified and - where possible - non-simplified</w:t>
      </w:r>
      <w:r>
        <w:t xml:space="preserve"> </w:t>
      </w:r>
      <w:r>
        <w:t xml:space="preserve">merger cases, without compromising effective merger enforcement. Then, following the</w:t>
      </w:r>
      <w:r>
        <w:t xml:space="preserve"> </w:t>
      </w:r>
      <w:r>
        <w:t xml:space="preserve">assessment of the feedback received during the Public Consultation and further internal</w:t>
      </w:r>
      <w:r>
        <w:t xml:space="preserve"> </w:t>
      </w:r>
      <w:r>
        <w:t xml:space="preserve">research, the Commission reviewed the Implementing Regulation and the Notice on</w:t>
      </w:r>
      <w:r>
        <w:t xml:space="preserve"> </w:t>
      </w:r>
      <w:r>
        <w:t xml:space="preserve">Simplified Procedure and prepared revised draft legal texts on which it launched a</w:t>
      </w:r>
      <w:r>
        <w:t xml:space="preserve"> </w:t>
      </w:r>
      <w:r>
        <w:t xml:space="preserve">Consultation of stakeholders, from 6 May 2022 to 3 June 2022 (the “Consultation of</w:t>
      </w:r>
      <w:r>
        <w:t xml:space="preserve"> </w:t>
      </w:r>
      <w:r>
        <w:t xml:space="preserve">Stakeholders”). Lastly, following feedback received from stakeholders, the Commission</w:t>
      </w:r>
      <w:r>
        <w:t xml:space="preserve"> </w:t>
      </w:r>
      <w:r>
        <w:t xml:space="preserve">carried out a third, targeted, consultation of stakeholders, which took place from 5 to 19</w:t>
      </w:r>
    </w:p>
    <w:p>
      <w:pPr>
        <w:pStyle w:val="BodyText"/>
      </w:pPr>
      <w:r>
        <w:t xml:space="preserve">19</w:t>
      </w:r>
      <w:r>
        <w:br/>
      </w:r>
      <w:r>
        <w:t xml:space="preserve">See Commission Staff Working Document – Evaluation of procedural and jurisdictional aspects of</w:t>
      </w:r>
      <w:r>
        <w:t xml:space="preserve"> </w:t>
      </w:r>
      <w:r>
        <w:t xml:space="preserve">EU merger control, 26 March 2021, SWD(2021)66 final.</w:t>
      </w:r>
      <w:r>
        <w:br/>
      </w:r>
      <w:r>
        <w:t xml:space="preserve">20</w:t>
      </w:r>
      <w:r>
        <w:br/>
      </w:r>
      <w:r>
        <w:t xml:space="preserve">Regarding (i) and (ii), the Commission found that the jurisdictional thresholds of the EU Merger</w:t>
      </w:r>
      <w:r>
        <w:t xml:space="preserve"> </w:t>
      </w:r>
      <w:r>
        <w:t xml:space="preserve">Regulation (complemented with referral mechanisms) are generally effective in capturing significant</w:t>
      </w:r>
      <w:r>
        <w:t xml:space="preserve"> </w:t>
      </w:r>
      <w:r>
        <w:t xml:space="preserve">transactions in the EU internal market. The Commission also decided to give its full potential to</w:t>
      </w:r>
      <w:r>
        <w:t xml:space="preserve"> </w:t>
      </w:r>
      <w:r>
        <w:t xml:space="preserve">Article 22 of the EU Merger Regulation by accepting under certain circumstances referrals by</w:t>
      </w:r>
      <w:r>
        <w:t xml:space="preserve"> </w:t>
      </w:r>
      <w:r>
        <w:t xml:space="preserve">Member States, even for transactions which do not meet national merger notification thresholds.</w:t>
      </w:r>
      <w:r>
        <w:br/>
      </w:r>
      <w:r>
        <w:t xml:space="preserve">Against this background, the Commission accepted a referral of the acquisition of Grail by Illumina in</w:t>
      </w:r>
      <w:r>
        <w:t xml:space="preserve"> </w:t>
      </w:r>
      <w:r>
        <w:t xml:space="preserve">April 2021. The General Court upheld the Commission’s decision in July 2022 (Case T-227/21</w:t>
      </w:r>
      <w:r>
        <w:t xml:space="preserve"> </w:t>
      </w:r>
      <w:r>
        <w:t xml:space="preserve">Illumina v Commission).</w:t>
      </w:r>
      <w:r>
        <w:br/>
      </w:r>
      <w:r>
        <w:t xml:space="preserve">21</w:t>
      </w:r>
      <w:r>
        <w:br/>
      </w:r>
      <w:r>
        <w:t xml:space="preserve">Commission Notice on a simplified procedure for treatment of certain concentrations under Council</w:t>
      </w:r>
      <w:r>
        <w:t xml:space="preserve"> </w:t>
      </w:r>
      <w:r>
        <w:t xml:space="preserve">Regulation (EC) No 139/2004, 14.12.2013 (OJ C366/5) (the ‘Notice on Simplified Procedure’).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October 2022. This consultation covered a proposed modification to Article 9 of the</w:t>
      </w:r>
      <w:r>
        <w:t xml:space="preserve"> </w:t>
      </w:r>
      <w:r>
        <w:t xml:space="preserve">Implementing Regulation.</w:t>
      </w:r>
      <w:r>
        <w:t xml:space="preserve"> </w:t>
      </w:r>
      <w:r>
        <w:t xml:space="preserve">In this legal and political context, the current initiative aims to simplify and streamline</w:t>
      </w:r>
      <w:r>
        <w:t xml:space="preserve"> </w:t>
      </w:r>
      <w:r>
        <w:t xml:space="preserve">merger procedures as much as possible – including simplified and non-simplified cases.</w:t>
      </w:r>
      <w:r>
        <w:t xml:space="preserve"> </w:t>
      </w:r>
      <w:r>
        <w:t xml:space="preserve">Any such simplification/streamlining must, however, not come at the expense of an</w:t>
      </w:r>
      <w:r>
        <w:t xml:space="preserve"> </w:t>
      </w:r>
      <w:r>
        <w:t xml:space="preserve">effective merger enforcement. Therefore, this initiative aims at addressing one of the</w:t>
      </w:r>
      <w:r>
        <w:t xml:space="preserve"> </w:t>
      </w:r>
      <w:r>
        <w:t xml:space="preserve">shortcomings identified in the Evaluation.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2.1.</w:t>
      </w:r>
      <w:r>
        <w:t xml:space="preserve"> </w:t>
      </w:r>
      <w:r>
        <w:t xml:space="preserve">What is/are the problems?</w:t>
      </w:r>
      <w:r>
        <w:t xml:space="preserve"> </w:t>
      </w:r>
      <w:r>
        <w:t xml:space="preserve">The evaluation of procedural and jurisdictional aspects of EU merger control (the</w:t>
      </w:r>
      <w:r>
        <w:t xml:space="preserve"> </w:t>
      </w:r>
      <w:r>
        <w:t xml:space="preserve">“Evaluation”) showed that the 2013 Simplification Package has been effective in better</w:t>
      </w:r>
      <w:r>
        <w:t xml:space="preserve"> </w:t>
      </w:r>
      <w:r>
        <w:t xml:space="preserve">focussing the Commission’s resources on the most relevant cases and in reducing</w:t>
      </w:r>
      <w:r>
        <w:t xml:space="preserve"> </w:t>
      </w:r>
      <w:r>
        <w:t xml:space="preserve">administrative burden for the businesses involved (i.e. the notifying parties) and</w:t>
      </w:r>
      <w:r>
        <w:t xml:space="preserve"> </w:t>
      </w:r>
      <w:r>
        <w:t xml:space="preserve">Commission alike without negatively affecting the effectiveness of EU merger control.</w:t>
      </w:r>
      <w:r>
        <w:t xml:space="preserve"> </w:t>
      </w:r>
      <w:r>
        <w:t xml:space="preserve">At the same time, it revealed that there is still some room for improvement, although</w:t>
      </w:r>
      <w:r>
        <w:t xml:space="preserve"> </w:t>
      </w:r>
      <w:r>
        <w:t xml:space="preserve">limited. Cases falling under the simplified procedure accounted for more than 77% of the</w:t>
      </w:r>
      <w:r>
        <w:t xml:space="preserve"> </w:t>
      </w:r>
      <w:r>
        <w:t xml:space="preserve">notifications each year since 2018 (2018: 77.0%; 2019: 78.8%; 2020: 79.2%;</w:t>
      </w:r>
      <w:r>
        <w:t xml:space="preserve"> </w:t>
      </w:r>
      <w:r>
        <w:t xml:space="preserve">2021:78.2%), while in 2013 they accounted for 62.2%. Therefore, as already indicated in</w:t>
      </w:r>
      <w:r>
        <w:t xml:space="preserve"> </w:t>
      </w:r>
      <w:r>
        <w:t xml:space="preserve">the Evaluation, the scope to further simplify and capture more cases under the simplified</w:t>
      </w:r>
      <w:r>
        <w:t xml:space="preserve"> </w:t>
      </w:r>
      <w:r>
        <w:t xml:space="preserve">procedure is limited.</w:t>
      </w:r>
      <w:r>
        <w:t xml:space="preserve"> </w:t>
      </w:r>
      <w:r>
        <w:t xml:space="preserve">Concretely, the Evaluation made clear that there may be additional cases that are</w:t>
      </w:r>
      <w:r>
        <w:t xml:space="preserve"> </w:t>
      </w:r>
      <w:r>
        <w:t xml:space="preserve">typically unproblematic which are currently not captured by the simplified procedure and</w:t>
      </w:r>
      <w:r>
        <w:t xml:space="preserve"> </w:t>
      </w:r>
      <w:r>
        <w:t xml:space="preserve">that information requirements may be too extensive in certain circumstances. This creates</w:t>
      </w:r>
      <w:r>
        <w:t xml:space="preserve"> </w:t>
      </w:r>
      <w:r>
        <w:t xml:space="preserve">unnecessary burden and costs, for the parties to the concentration and for the</w:t>
      </w:r>
      <w:r>
        <w:t xml:space="preserve"> </w:t>
      </w:r>
      <w:r>
        <w:t xml:space="preserve">Commission, and leads to unnecessary delays. More specifically, there are currently</w:t>
      </w:r>
      <w:r>
        <w:t xml:space="preserve"> </w:t>
      </w:r>
      <w:r>
        <w:t xml:space="preserve">certain categories of cases that are unnecessarily assessed under the normal procedure</w:t>
      </w:r>
      <w:r>
        <w:t xml:space="preserve"> </w:t>
      </w:r>
      <w:r>
        <w:t xml:space="preserve">given that they are typically unproblematic and could instead be assessed under the</w:t>
      </w:r>
      <w:r>
        <w:t xml:space="preserve"> </w:t>
      </w:r>
      <w:r>
        <w:t xml:space="preserve">simplified procedure, benefitting from a faster and more streamlined review. Although</w:t>
      </w:r>
      <w:r>
        <w:t xml:space="preserve"> </w:t>
      </w:r>
      <w:r>
        <w:t xml:space="preserve">this concerns a limited number of cases, it creates unnecessary burden on companies that</w:t>
      </w:r>
      <w:r>
        <w:t xml:space="preserve"> </w:t>
      </w:r>
      <w:r>
        <w:t xml:space="preserve">could benefit from a faster and streamlined review. This burden may be very significant</w:t>
      </w:r>
      <w:r>
        <w:t xml:space="preserve"> </w:t>
      </w:r>
      <w:r>
        <w:t xml:space="preserve">for parties that cannot benefit from the simplified procedure while the case does not merit</w:t>
      </w:r>
      <w:r>
        <w:t xml:space="preserve"> </w:t>
      </w:r>
      <w:r>
        <w:t xml:space="preserve">an in-depth analysis. This initiative aims at addressing this shortcoming.</w:t>
      </w:r>
      <w:r>
        <w:br/>
      </w:r>
      <w:r>
        <w:t xml:space="preserve">It should also be noted that if additional categories of cases falling under the simplified</w:t>
      </w:r>
      <w:r>
        <w:t xml:space="preserve"> </w:t>
      </w:r>
      <w:r>
        <w:t xml:space="preserve">procedure are added, they will obviously have an impact on the number of cases treated</w:t>
      </w:r>
      <w:r>
        <w:t xml:space="preserve"> </w:t>
      </w:r>
      <w:r>
        <w:t xml:space="preserve">under the simplified procedure, but also, importantly, on the number of horizontal</w:t>
      </w:r>
      <w:r>
        <w:t xml:space="preserve"> </w:t>
      </w:r>
      <w:r>
        <w:t xml:space="preserve">overlaps and vertical relationships that are assessed under the normal procedure. With</w:t>
      </w:r>
      <w:r>
        <w:t xml:space="preserve"> </w:t>
      </w:r>
      <w:r>
        <w:t xml:space="preserve">regard to cases falling under the normal procedure, all horizontal overlaps and vertical</w:t>
      </w:r>
      <w:r>
        <w:t xml:space="preserve"> </w:t>
      </w:r>
      <w:r>
        <w:t xml:space="preserve">relationships not falling under one of the categories of the Notice on the Simplified</w:t>
      </w:r>
      <w:r>
        <w:t xml:space="preserve"> </w:t>
      </w:r>
      <w:r>
        <w:t xml:space="preserve">Procedure are assessed under the normal procedure. This implies that the notifying</w:t>
      </w:r>
      <w:r>
        <w:t xml:space="preserve"> </w:t>
      </w:r>
      <w:r>
        <w:t xml:space="preserve">parties need to provide detailed information about each of the markets, the Commission</w:t>
      </w:r>
      <w:r>
        <w:t xml:space="preserve"> </w:t>
      </w:r>
      <w:r>
        <w:t xml:space="preserve">needs to assess them and typically, third parties will be asked to respond to questions</w:t>
      </w:r>
      <w:r>
        <w:t xml:space="preserve"> </w:t>
      </w:r>
      <w:r>
        <w:t xml:space="preserve">relating to these markets including in the Commission’s market investigation</w:t>
      </w:r>
      <w:r>
        <w:t xml:space="preserve"> </w:t>
      </w:r>
      <w:r>
        <w:t xml:space="preserve">questionnaires. Horizontal overlaps and vertical relationships falling under one of the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categories of the Notice on the Simplified Procedure are not assessed under the normal</w:t>
      </w:r>
      <w:r>
        <w:t xml:space="preserve"> </w:t>
      </w:r>
      <w:r>
        <w:t xml:space="preserve">procedure. This means that the notifying parties do not provide information on these</w:t>
      </w:r>
      <w:r>
        <w:t xml:space="preserve"> </w:t>
      </w:r>
      <w:r>
        <w:t xml:space="preserve">markets or at least provide significantly less information, the Commission does not</w:t>
      </w:r>
      <w:r>
        <w:t xml:space="preserve"> </w:t>
      </w:r>
      <w:r>
        <w:t xml:space="preserve">assess them and third parties do not need to respond to questions about these markets.</w:t>
      </w:r>
      <w:r>
        <w:t xml:space="preserve"> </w:t>
      </w:r>
      <w:r>
        <w:t xml:space="preserve">Moreover, the simplified procedure can be further streamlined, in particular by reducing</w:t>
      </w:r>
      <w:r>
        <w:t xml:space="preserve"> </w:t>
      </w:r>
      <w:r>
        <w:t xml:space="preserve">unnecessary information requirements. With regard to the normal procedure, it also</w:t>
      </w:r>
      <w:r>
        <w:t xml:space="preserve"> </w:t>
      </w:r>
      <w:r>
        <w:t xml:space="preserve">appears possible to reduce certain information requirements, although to a more limited</w:t>
      </w:r>
      <w:r>
        <w:t xml:space="preserve"> </w:t>
      </w:r>
      <w:r>
        <w:t xml:space="preserve">extent. At the same time, the Notice on Simplified Procedure may not be clear enough in</w:t>
      </w:r>
      <w:r>
        <w:t xml:space="preserve"> </w:t>
      </w:r>
      <w:r>
        <w:t xml:space="preserve">identifying the special circumstances in which cases that meet the requirements of</w:t>
      </w:r>
      <w:r>
        <w:t xml:space="preserve"> </w:t>
      </w:r>
      <w:r>
        <w:t xml:space="preserve">simplified treatment may nonetheless require a more detailed review. This means that</w:t>
      </w:r>
      <w:r>
        <w:t xml:space="preserve"> </w:t>
      </w:r>
      <w:r>
        <w:t xml:space="preserve">certain cases falling under the simplified procedure, due to specific exceptional</w:t>
      </w:r>
      <w:r>
        <w:t xml:space="preserve"> </w:t>
      </w:r>
      <w:r>
        <w:t xml:space="preserve">circumstances, could merit a more detailed review under the normal procedure. However,</w:t>
      </w:r>
      <w:r>
        <w:t xml:space="preserve"> </w:t>
      </w:r>
      <w:r>
        <w:t xml:space="preserve">these circumstances are not sufficiently clear in the Notice on Simplified Procedure and</w:t>
      </w:r>
      <w:r>
        <w:t xml:space="preserve"> </w:t>
      </w:r>
      <w:r>
        <w:t xml:space="preserve">in particular, in the notification forms. Furthermore, while the Implementing Regulation</w:t>
      </w:r>
      <w:r>
        <w:t xml:space="preserve"> </w:t>
      </w:r>
      <w:r>
        <w:t xml:space="preserve">prescribes the format of merger notifications as “[o]ne signed original on paper”, due to</w:t>
      </w:r>
      <w:r>
        <w:t xml:space="preserve"> </w:t>
      </w:r>
      <w:r>
        <w:t xml:space="preserve">the exceptional measures that have been taken in the context of the Covid-19 pandemic,</w:t>
      </w:r>
      <w:r>
        <w:t xml:space="preserve"> </w:t>
      </w:r>
      <w:r>
        <w:t xml:space="preserve">the Commission has been accepting notifications in digital format, a practice which has</w:t>
      </w:r>
      <w:r>
        <w:t xml:space="preserve"> </w:t>
      </w:r>
      <w:r>
        <w:t xml:space="preserve">been widely preferred by both notifying parties and the Commission alike. Society is</w:t>
      </w:r>
      <w:r>
        <w:t xml:space="preserve"> </w:t>
      </w:r>
      <w:r>
        <w:t xml:space="preserve">becoming increasingly digital. Contributing to accelerate technological change and hyper</w:t>
      </w:r>
      <w:r>
        <w:t xml:space="preserve"> </w:t>
      </w:r>
      <w:r>
        <w:t xml:space="preserve">connectivity by switching to a fully electronic notification system and electronic</w:t>
      </w:r>
      <w:r>
        <w:t xml:space="preserve"> </w:t>
      </w:r>
      <w:r>
        <w:t xml:space="preserve">transmission of documents in general might therefore be appropriate. The current system</w:t>
      </w:r>
      <w:r>
        <w:t xml:space="preserve"> </w:t>
      </w:r>
      <w:r>
        <w:t xml:space="preserve">obliges notifying parties to print thousands of pages and bring them physically to the</w:t>
      </w:r>
      <w:r>
        <w:t xml:space="preserve"> </w:t>
      </w:r>
      <w:r>
        <w:t xml:space="preserve">dependencies of the Commission. This causes an unnecessary negative environmental</w:t>
      </w:r>
      <w:r>
        <w:t xml:space="preserve"> </w:t>
      </w:r>
      <w:r>
        <w:t xml:space="preserve">impact and creates administrative costs for businesses. The reduced need for paper as a</w:t>
      </w:r>
      <w:r>
        <w:t xml:space="preserve"> </w:t>
      </w:r>
      <w:r>
        <w:t xml:space="preserve">result of the electronic transmission of documents has a positive impact on the</w:t>
      </w:r>
      <w:r>
        <w:t xml:space="preserve"> </w:t>
      </w:r>
      <w:r>
        <w:t xml:space="preserve">environment and on sustainable development goal number 12 (responsible</w:t>
      </w:r>
      <w:r>
        <w:t xml:space="preserve"> </w:t>
      </w:r>
      <w:r>
        <w:t xml:space="preserve">consumption)22, although very limited, and is in line with the Commission’s digital</w:t>
      </w:r>
      <w:r>
        <w:t xml:space="preserve"> </w:t>
      </w:r>
      <w:r>
        <w:t xml:space="preserve">Strategy.</w:t>
      </w:r>
      <w:r>
        <w:t xml:space="preserve"> </w:t>
      </w:r>
      <w:r>
        <w:t xml:space="preserve">In the Public Consultation, several respondents indicated that as regards simplified cases,</w:t>
      </w:r>
      <w:r>
        <w:t xml:space="preserve"> </w:t>
      </w:r>
      <w:r>
        <w:t xml:space="preserve">the information requirements are still disproportionate, and that the Short Form CO (the</w:t>
      </w:r>
      <w:r>
        <w:t xml:space="preserve"> </w:t>
      </w:r>
      <w:r>
        <w:t xml:space="preserve">document by which simplified cases must be notified to the Commission) is not easy to</w:t>
      </w:r>
      <w:r>
        <w:t xml:space="preserve"> </w:t>
      </w:r>
      <w:r>
        <w:t xml:space="preserve">fill in. Regarding normal cases, some respondents voiced concerns about the excessive</w:t>
      </w:r>
      <w:r>
        <w:t xml:space="preserve"> </w:t>
      </w:r>
      <w:r>
        <w:t xml:space="preserve">information requirements in the current Form CO (the document by which normal cases</w:t>
      </w:r>
      <w:r>
        <w:t xml:space="preserve"> </w:t>
      </w:r>
      <w:r>
        <w:t xml:space="preserve">must be notified to the Commission) and the consequent length of the pre-notification</w:t>
      </w:r>
      <w:r>
        <w:t xml:space="preserve"> </w:t>
      </w:r>
      <w:r>
        <w:t xml:space="preserve">process. At the same time, on several occasions, the Commission receives calls to look</w:t>
      </w:r>
      <w:r>
        <w:t xml:space="preserve"> </w:t>
      </w:r>
      <w:r>
        <w:t xml:space="preserve">more in depth into certain transactions with limited or no overlaps between the parties’</w:t>
      </w:r>
      <w:r>
        <w:t xml:space="preserve"> </w:t>
      </w:r>
      <w:r>
        <w:t xml:space="preserve">activities, but which do raise important nascent/potential competition, innovation or other</w:t>
      </w:r>
      <w:r>
        <w:t xml:space="preserve"> </w:t>
      </w:r>
      <w:r>
        <w:t xml:space="preserve">issues.23</w:t>
      </w:r>
    </w:p>
    <w:p>
      <w:pPr>
        <w:pStyle w:val="BodyText"/>
      </w:pPr>
      <w:r>
        <w:t xml:space="preserve">22</w:t>
      </w:r>
      <w:r>
        <w:br/>
      </w:r>
      <w:r>
        <w:t xml:space="preserve">See United Nations Sustainable Development Goals: https://sdgs.un.org/goals.</w:t>
      </w:r>
      <w:r>
        <w:t xml:space="preserve"> </w:t>
      </w:r>
      <w:r>
        <w:t xml:space="preserve">23</w:t>
      </w:r>
      <w:r>
        <w:br/>
      </w:r>
      <w:r>
        <w:t xml:space="preserve">See European Parliament report on competition policy – annual report 2021, 2021/2185(INI), 25</w:t>
      </w:r>
      <w:r>
        <w:t xml:space="preserve"> </w:t>
      </w:r>
      <w:r>
        <w:t xml:space="preserve">March 2022, paragraphs 14, 55, 63; Commission Staff Working Document – Evaluation of procedural</w:t>
      </w:r>
      <w:r>
        <w:t xml:space="preserve"> </w:t>
      </w:r>
      <w:r>
        <w:t xml:space="preserve">and jurisdictional aspects of EU merger control, 26 March 2021, SWD(2021)66 final, paragraphs</w:t>
      </w:r>
      <w:r>
        <w:t xml:space="preserve"> </w:t>
      </w:r>
      <w:r>
        <w:t xml:space="preserve">22(e) and 132; European Court of Auditors, The Commission’s EU merger control and antitrust</w:t>
      </w:r>
      <w:r>
        <w:t xml:space="preserve"> </w:t>
      </w:r>
      <w:r>
        <w:t xml:space="preserve">proceedings: a need to scale up market oversight, 2020, paragraph 47;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2.2.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The Evaluation showed that the current legal framework implies that the simplified</w:t>
      </w:r>
      <w:r>
        <w:t xml:space="preserve"> </w:t>
      </w:r>
      <w:r>
        <w:t xml:space="preserve">procedure does not capture all cases that are typically unproblematic and vice versa that</w:t>
      </w:r>
      <w:r>
        <w:t xml:space="preserve"> </w:t>
      </w:r>
      <w:r>
        <w:t xml:space="preserve">it may not be clear enough when cases that meet the requirements for simplified</w:t>
      </w:r>
      <w:r>
        <w:t xml:space="preserve"> </w:t>
      </w:r>
      <w:r>
        <w:t xml:space="preserve">treatment require nonetheless a more detailed review. Furthermore, information</w:t>
      </w:r>
      <w:r>
        <w:t xml:space="preserve"> </w:t>
      </w:r>
      <w:r>
        <w:t xml:space="preserve">requirements might at times be too far-reaching for unproblematic cases. In addition, the</w:t>
      </w:r>
      <w:r>
        <w:t xml:space="preserve"> </w:t>
      </w:r>
      <w:r>
        <w:t xml:space="preserve">current legal framework would need to be amended to allow for a fully electronic</w:t>
      </w:r>
      <w:r>
        <w:t xml:space="preserve"> </w:t>
      </w:r>
      <w:r>
        <w:t xml:space="preserve">notification system and electronic transmission of documents in general.</w:t>
      </w:r>
      <w:r>
        <w:t xml:space="preserve"> </w:t>
      </w:r>
      <w:r>
        <w:t xml:space="preserve">The problems identified above are mainly due to shortcomings in the current legal</w:t>
      </w:r>
      <w:r>
        <w:t xml:space="preserve"> </w:t>
      </w:r>
      <w:r>
        <w:t xml:space="preserve">framework. In particular, the Notice on Simplified Procedure does not cover certain</w:t>
      </w:r>
      <w:r>
        <w:t xml:space="preserve"> </w:t>
      </w:r>
      <w:r>
        <w:t xml:space="preserve">categories of cases, which are currently unnecessarily assessed under the normal</w:t>
      </w:r>
      <w:r>
        <w:t xml:space="preserve"> </w:t>
      </w:r>
      <w:r>
        <w:t xml:space="preserve">procedure given that they are typically unproblematic and could be assessed under the</w:t>
      </w:r>
      <w:r>
        <w:t xml:space="preserve"> </w:t>
      </w:r>
      <w:r>
        <w:t xml:space="preserve">simplified procedure, benefitting from a faster and streamlined review. Moreover, the</w:t>
      </w:r>
      <w:r>
        <w:t xml:space="preserve"> </w:t>
      </w:r>
      <w:r>
        <w:t xml:space="preserve">mandatory notification forms contained in the annexes to the Implementing Regulation</w:t>
      </w:r>
      <w:r>
        <w:t xml:space="preserve"> </w:t>
      </w:r>
      <w:r>
        <w:t xml:space="preserve">require information that may not be necessary in particular for cases falling under the</w:t>
      </w:r>
      <w:r>
        <w:t xml:space="preserve"> </w:t>
      </w:r>
      <w:r>
        <w:t xml:space="preserve">simplified procedure and, to a much lesser extent, for cases assessed under the normal</w:t>
      </w:r>
      <w:r>
        <w:t xml:space="preserve"> </w:t>
      </w:r>
      <w:r>
        <w:t xml:space="preserve">procedure. Finally, the current legal framework does not allow fully electronic</w:t>
      </w:r>
      <w:r>
        <w:t xml:space="preserve"> </w:t>
      </w:r>
      <w:r>
        <w:t xml:space="preserve">notifications, thus creating an unnecessary negative environmental impact and additional</w:t>
      </w:r>
      <w:r>
        <w:t xml:space="preserve"> </w:t>
      </w:r>
      <w:r>
        <w:t xml:space="preserve">administrative costs for notifying parties.</w:t>
      </w:r>
      <w:r>
        <w:t xml:space="preserve"> </w:t>
      </w:r>
      <w:r>
        <w:t xml:space="preserve">2.3.</w:t>
      </w:r>
      <w:r>
        <w:t xml:space="preserve"> </w:t>
      </w:r>
      <w:r>
        <w:t xml:space="preserve">How likely is the problem to persist?</w:t>
      </w:r>
      <w:r>
        <w:t xml:space="preserve"> </w:t>
      </w:r>
      <w:r>
        <w:t xml:space="preserve">If the current legal framework is kept in place, the current situation will persist and</w:t>
      </w:r>
      <w:r>
        <w:t xml:space="preserve"> </w:t>
      </w:r>
      <w:r>
        <w:t xml:space="preserve">unnecessary costs and burdens will continue to be borne by notifying parties.</w:t>
      </w:r>
      <w:r>
        <w:br/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EU competition law, including EU merger control, is an exclusive competence of the</w:t>
      </w:r>
      <w:r>
        <w:t xml:space="preserve"> </w:t>
      </w:r>
      <w:r>
        <w:t xml:space="preserve">European Union. The Commission adopted the Implementing Regulation on the basis of</w:t>
      </w:r>
      <w:r>
        <w:t xml:space="preserve"> </w:t>
      </w:r>
      <w:r>
        <w:t xml:space="preserve">the EU Merger Regulation. The Commission published its first notice introducing a</w:t>
      </w:r>
      <w:r>
        <w:t xml:space="preserve"> </w:t>
      </w:r>
      <w:r>
        <w:t xml:space="preserve">simplified merger procedure in 2000. The latest review of the Implementing Regulation</w:t>
      </w:r>
      <w:r>
        <w:t xml:space="preserve"> </w:t>
      </w:r>
      <w:r>
        <w:t xml:space="preserve">and the Notice on Simplified Procedure was carried out as part of the 2013 Simplification</w:t>
      </w:r>
      <w:r>
        <w:t xml:space="preserve"> </w:t>
      </w:r>
      <w:r>
        <w:t xml:space="preserve">Package.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and added value of EU action</w:t>
      </w:r>
      <w:r>
        <w:t xml:space="preserve"> </w:t>
      </w:r>
      <w:r>
        <w:t xml:space="preserve">As mentioned above, EU action is necessary as EU competition law, including EU</w:t>
      </w:r>
      <w:r>
        <w:t xml:space="preserve"> </w:t>
      </w:r>
      <w:r>
        <w:t xml:space="preserve">merger control, is an exclusive competence of the European Union.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This initiative aims at revising the Implementing Regulation, with annexes for a revised</w:t>
      </w:r>
      <w:r>
        <w:t xml:space="preserve"> </w:t>
      </w:r>
      <w:r>
        <w:t xml:space="preserve">Form CO, Short Form CO, Form RS and Form RM, as well as the Notice on Simplified</w:t>
      </w:r>
      <w:r>
        <w:t xml:space="preserve"> </w:t>
      </w:r>
      <w:r>
        <w:t xml:space="preserve">Procedure. The general objective of the initiative is to improve EU merger control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procedures which aim at preventing lasting damage to competition in the internal market</w:t>
      </w:r>
      <w:r>
        <w:t xml:space="preserve"> </w:t>
      </w:r>
      <w:r>
        <w:t xml:space="preserve">stemming from anti-competitive mergers, by providing clearer rules and guidance that</w:t>
      </w:r>
      <w:r>
        <w:t xml:space="preserve"> </w:t>
      </w:r>
      <w:r>
        <w:t xml:space="preserve">are fit-for-purpose and simplify/streamline procedures where appropriate to reduce the</w:t>
      </w:r>
      <w:r>
        <w:t xml:space="preserve"> </w:t>
      </w:r>
      <w:r>
        <w:t xml:space="preserve">administrative burden for parties involved and the Commission alike, without increasing</w:t>
      </w:r>
      <w:r>
        <w:t xml:space="preserve"> </w:t>
      </w:r>
      <w:r>
        <w:t xml:space="preserve">the risk of negative effects on the enforcement of EU merger control rules. This will</w:t>
      </w:r>
      <w:r>
        <w:t xml:space="preserve"> </w:t>
      </w:r>
      <w:r>
        <w:t xml:space="preserve">allow parties to get legal certainty more quickly and at a lower cost and will as such be</w:t>
      </w:r>
      <w:r>
        <w:t xml:space="preserve"> </w:t>
      </w:r>
      <w:r>
        <w:t xml:space="preserve">beneficial for their fundamental rights of defence, and will allow the Commission to</w:t>
      </w:r>
      <w:r>
        <w:t xml:space="preserve"> </w:t>
      </w:r>
      <w:r>
        <w:t xml:space="preserve">allocate resources more appropriately.</w:t>
      </w:r>
      <w:r>
        <w:br/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The specific objectives of this initiative are to (i) better target the merger review process,</w:t>
      </w:r>
      <w:r>
        <w:t xml:space="preserve"> </w:t>
      </w:r>
      <w:r>
        <w:t xml:space="preserve">allowing the Commission to focus its investigations on the cases that merit a more</w:t>
      </w:r>
      <w:r>
        <w:t xml:space="preserve"> </w:t>
      </w:r>
      <w:r>
        <w:t xml:space="preserve">detailed review and (ii) reduce the administrative costs and burdens of the merger review</w:t>
      </w:r>
      <w:r>
        <w:t xml:space="preserve"> </w:t>
      </w:r>
      <w:r>
        <w:t xml:space="preserve">process.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The baseline from which the options are assessed is the current legal framework</w:t>
      </w:r>
      <w:r>
        <w:t xml:space="preserve"> </w:t>
      </w:r>
      <w:r>
        <w:t xml:space="preserve">regarding merger control by the European Commission. Currently, the relevant legal</w:t>
      </w:r>
      <w:r>
        <w:t xml:space="preserve"> </w:t>
      </w:r>
      <w:r>
        <w:t xml:space="preserve">framework includes (in addition to the EU Merger Regulation) the Implementing</w:t>
      </w:r>
      <w:r>
        <w:t xml:space="preserve"> </w:t>
      </w:r>
      <w:r>
        <w:t xml:space="preserve">Regulation and the Notice on Simplified Procedure (as last updated in 2013).</w:t>
      </w:r>
      <w:r>
        <w:t xml:space="preserve"> </w:t>
      </w:r>
      <w:r>
        <w:t xml:space="preserve">The baseline scenario would imply to apply the simplified procedure only to the five</w:t>
      </w:r>
      <w:r>
        <w:t xml:space="preserve"> </w:t>
      </w:r>
      <w:r>
        <w:t xml:space="preserve">categories of concentrations identified in paragraphs 5 and 6 of the Commission Notice</w:t>
      </w:r>
      <w:r>
        <w:t xml:space="preserve"> </w:t>
      </w:r>
      <w:r>
        <w:t xml:space="preserve">on a Simplified Procedure as it stands today, without adding new categories and without</w:t>
      </w:r>
      <w:r>
        <w:t xml:space="preserve"> </w:t>
      </w:r>
      <w:r>
        <w:t xml:space="preserve">adding new safeguards. Currently, the simplified procedure can be applied (i) to joint</w:t>
      </w:r>
      <w:r>
        <w:t xml:space="preserve"> </w:t>
      </w:r>
      <w:r>
        <w:t xml:space="preserve">ventures with assets/sales of less than EUR 100 million in Europe, (ii) cases with no</w:t>
      </w:r>
      <w:r>
        <w:t xml:space="preserve"> </w:t>
      </w:r>
      <w:r>
        <w:t xml:space="preserve">horizontal overlaps or vertical relationships, (iii) cases in which the parties’ combined</w:t>
      </w:r>
      <w:r>
        <w:t xml:space="preserve"> </w:t>
      </w:r>
      <w:r>
        <w:t xml:space="preserve">market share is below 20% and the parties’ market share on each vertically related market</w:t>
      </w:r>
      <w:r>
        <w:t xml:space="preserve"> </w:t>
      </w:r>
      <w:r>
        <w:t xml:space="preserve">is below 30%, (iv) cases in which the parties’ combined market share is below 50% with</w:t>
      </w:r>
      <w:r>
        <w:t xml:space="preserve"> </w:t>
      </w:r>
      <w:r>
        <w:t xml:space="preserve">a low increment (defined as an increment resulting in an HHI delta below 150) and (v)</w:t>
      </w:r>
      <w:r>
        <w:t xml:space="preserve"> </w:t>
      </w:r>
      <w:r>
        <w:t xml:space="preserve">cases in which there is a change from joint to sole control24.</w:t>
      </w:r>
      <w:r>
        <w:t xml:space="preserve"> </w:t>
      </w:r>
      <w:r>
        <w:t xml:space="preserve">The baseline scenario would also imply to maintain the current notification form (the</w:t>
      </w:r>
      <w:r>
        <w:t xml:space="preserve"> </w:t>
      </w:r>
      <w:r>
        <w:t xml:space="preserve">“Short Form CO”) as it stands today in Annex II of the Implementing Regulation,</w:t>
      </w:r>
      <w:r>
        <w:t xml:space="preserve"> </w:t>
      </w:r>
      <w:r>
        <w:t xml:space="preserve">without streamlining the format or adding or removing any questions.</w:t>
      </w:r>
      <w:r>
        <w:t xml:space="preserve"> </w:t>
      </w:r>
      <w:r>
        <w:t xml:space="preserve">Concerning cases subject to the normal procedure, the baseline scenario would be to</w:t>
      </w:r>
      <w:r>
        <w:t xml:space="preserve"> </w:t>
      </w:r>
      <w:r>
        <w:t xml:space="preserve">maintain the current standard notification form for concentrations, the so-called “Form</w:t>
      </w:r>
      <w:r>
        <w:t xml:space="preserve"> </w:t>
      </w:r>
      <w:r>
        <w:t xml:space="preserve">CO”, as it stands today as Annex I of the Implementing Regulation, without streamlining</w:t>
      </w:r>
      <w:r>
        <w:t xml:space="preserve"> </w:t>
      </w:r>
      <w:r>
        <w:t xml:space="preserve">the format, adding or removing any information requirements, or making waivers for</w:t>
      </w:r>
      <w:r>
        <w:t xml:space="preserve"> </w:t>
      </w:r>
      <w:r>
        <w:t xml:space="preserve">certain sections easier.</w:t>
      </w:r>
    </w:p>
    <w:p>
      <w:pPr>
        <w:pStyle w:val="BodyText"/>
      </w:pPr>
      <w:r>
        <w:t xml:space="preserve">24</w:t>
      </w:r>
      <w:r>
        <w:br/>
      </w:r>
      <w:r>
        <w:t xml:space="preserve">This is a general explanation of the current categories of cases falling under the simplified</w:t>
      </w:r>
      <w:r>
        <w:t xml:space="preserve"> </w:t>
      </w:r>
      <w:r>
        <w:t xml:space="preserve">procedure. For the exact definition, please see paragraphs 5 and 6 of Notice on Simplified Procedure.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In addition, under the current legal framework, i.e. the Implementing Regulation, the</w:t>
      </w:r>
      <w:r>
        <w:t xml:space="preserve"> </w:t>
      </w:r>
      <w:r>
        <w:t xml:space="preserve">format of merger notifications is prescribed as “[o]ne signed original on paper”. Under</w:t>
      </w:r>
      <w:r>
        <w:t xml:space="preserve"> </w:t>
      </w:r>
      <w:r>
        <w:t xml:space="preserve">the baseline scenario, the temporary practice of accepting notifications in digital format,</w:t>
      </w:r>
      <w:r>
        <w:t xml:space="preserve"> </w:t>
      </w:r>
      <w:r>
        <w:t xml:space="preserve">due to the exceptional sanitary measures that have been taken in the context of the Covid-</w:t>
      </w:r>
      <w:r>
        <w:t xml:space="preserve"> </w:t>
      </w:r>
      <w:r>
        <w:t xml:space="preserve">19 pandemic, would have to be discontinued, resulting in unnecessary burden, costs and</w:t>
      </w:r>
      <w:r>
        <w:t xml:space="preserve"> </w:t>
      </w:r>
      <w:r>
        <w:t xml:space="preserve">delays. The baseline scenario here would be to maintain the current legal requirements</w:t>
      </w:r>
      <w:r>
        <w:t xml:space="preserve"> </w:t>
      </w:r>
      <w:r>
        <w:t xml:space="preserve">regarding transmission of documents, including for the purposes of notifying merger</w:t>
      </w:r>
      <w:r>
        <w:t xml:space="preserve"> </w:t>
      </w:r>
      <w:r>
        <w:t xml:space="preserve">transactions. In relation to the submission of merger notifications, the Implementing</w:t>
      </w:r>
      <w:r>
        <w:t xml:space="preserve"> </w:t>
      </w:r>
      <w:r>
        <w:t xml:space="preserve">Regulation requires “[o]ne signed original on paper”.</w:t>
      </w:r>
      <w:r>
        <w:t xml:space="preserve"> </w:t>
      </w:r>
      <w:r>
        <w:t xml:space="preserve">5.2.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5.2.1. Introduction and scoping of the options</w:t>
      </w:r>
      <w:r>
        <w:t xml:space="preserve"> </w:t>
      </w:r>
      <w:r>
        <w:t xml:space="preserve">The Evaluation indicated that there are considerable complexities in achieving significant</w:t>
      </w:r>
      <w:r>
        <w:t xml:space="preserve"> </w:t>
      </w:r>
      <w:r>
        <w:t xml:space="preserve">simplification through a review of the EU Merger Regulation (such as exempting certain</w:t>
      </w:r>
      <w:r>
        <w:t xml:space="preserve"> </w:t>
      </w:r>
      <w:r>
        <w:t xml:space="preserve">transactions from merger review or introducing a system of self-assessment) without</w:t>
      </w:r>
      <w:r>
        <w:t xml:space="preserve"> </w:t>
      </w:r>
      <w:r>
        <w:t xml:space="preserve">compromising the effectiveness or the efficiency of the EU merger control regime.</w:t>
      </w:r>
      <w:r>
        <w:br/>
      </w:r>
      <w:r>
        <w:t xml:space="preserve">In light of the results of the Evaluation and the Commission’s commitment to focus its</w:t>
      </w:r>
      <w:r>
        <w:t xml:space="preserve"> </w:t>
      </w:r>
      <w:r>
        <w:t xml:space="preserve">detailed investigations on the most relevant cases and reduce administrative burden for</w:t>
      </w:r>
      <w:r>
        <w:t xml:space="preserve"> </w:t>
      </w:r>
      <w:r>
        <w:t xml:space="preserve">those cases which are unlikely to raise competition concerns, the Commission wishes to</w:t>
      </w:r>
      <w:r>
        <w:t xml:space="preserve"> </w:t>
      </w:r>
      <w:r>
        <w:t xml:space="preserve">explore options for further targeting and simplifying the review, in both simplified and,</w:t>
      </w:r>
      <w:r>
        <w:t xml:space="preserve"> </w:t>
      </w:r>
      <w:r>
        <w:t xml:space="preserve">where possible, non-simplified cases without compromising effective merger</w:t>
      </w:r>
      <w:r>
        <w:t xml:space="preserve"> </w:t>
      </w:r>
      <w:r>
        <w:t xml:space="preserve">enforcement.</w:t>
      </w:r>
      <w:r>
        <w:br/>
      </w:r>
      <w:r>
        <w:t xml:space="preserve">In this context, several alternative scenarios have been identified and considered, but</w:t>
      </w:r>
      <w:r>
        <w:t xml:space="preserve"> </w:t>
      </w:r>
      <w:r>
        <w:t xml:space="preserve">have been rejected upfront.</w:t>
      </w:r>
      <w:r>
        <w:t xml:space="preserve"> </w:t>
      </w:r>
      <w:r>
        <w:t xml:space="preserve">Scenario 1: Reform of the EU Merger Regulation. This option would include a reform of</w:t>
      </w:r>
      <w:r>
        <w:t xml:space="preserve"> </w:t>
      </w:r>
      <w:r>
        <w:t xml:space="preserve">the legal framework regarding the substantive assessment of mergers (namely those</w:t>
      </w:r>
      <w:r>
        <w:t xml:space="preserve"> </w:t>
      </w:r>
      <w:r>
        <w:t xml:space="preserve">aspects related to the examination of whether or not a notified concentration significantly</w:t>
      </w:r>
      <w:r>
        <w:t xml:space="preserve"> </w:t>
      </w:r>
      <w:r>
        <w:t xml:space="preserve">impedes effective competition in the internal market − and, if so, how to remedy it).</w:t>
      </w:r>
      <w:r>
        <w:t xml:space="preserve"> </w:t>
      </w:r>
      <w:r>
        <w:t xml:space="preserve">However, the results of the Evaluation did not support this option. In line with the</w:t>
      </w:r>
      <w:r>
        <w:t xml:space="preserve"> </w:t>
      </w:r>
      <w:r>
        <w:t xml:space="preserve">findings of the 2014 White Paper, the evaluation pointed out that the EU Merger</w:t>
      </w:r>
      <w:r>
        <w:t xml:space="preserve"> </w:t>
      </w:r>
      <w:r>
        <w:t xml:space="preserve">Regulation overall provides a good framework for effectively preventing anticompetitive</w:t>
      </w:r>
      <w:r>
        <w:t xml:space="preserve"> </w:t>
      </w:r>
      <w:r>
        <w:t xml:space="preserve">effects of mergers and acquisitions in the internal market, so that improvements are only</w:t>
      </w:r>
      <w:r>
        <w:t xml:space="preserve"> </w:t>
      </w:r>
      <w:r>
        <w:t xml:space="preserve">appropriate on certain specific issues. As such, this option was rejected.</w:t>
      </w:r>
      <w:r>
        <w:t xml:space="preserve"> </w:t>
      </w:r>
      <w:r>
        <w:t xml:space="preserve">Scenario 2: Setting up a self-assessment system with the possibility of a voluntary</w:t>
      </w:r>
      <w:r>
        <w:t xml:space="preserve"> </w:t>
      </w:r>
      <w:r>
        <w:t xml:space="preserve">notification for selected categories of cases. The Evaluation again did not support this</w:t>
      </w:r>
      <w:r>
        <w:t xml:space="preserve"> </w:t>
      </w:r>
      <w:r>
        <w:t xml:space="preserve">option. It showed that this option would come with issues, related to reducing legal</w:t>
      </w:r>
      <w:r>
        <w:t xml:space="preserve"> </w:t>
      </w:r>
      <w:r>
        <w:t xml:space="preserve">certainty; the problem of undoing closed transactions; the mechanics of the referral</w:t>
      </w:r>
      <w:r>
        <w:t xml:space="preserve"> </w:t>
      </w:r>
      <w:r>
        <w:t xml:space="preserve">system in a voluntary system at EU level; and the fact that a self-assessment system can</w:t>
      </w:r>
      <w:r>
        <w:t xml:space="preserve"> </w:t>
      </w:r>
      <w:r>
        <w:t xml:space="preserve">work for clear-cut criteria such as turnover thresholds but would be more problematic for</w:t>
      </w:r>
      <w:r>
        <w:t xml:space="preserve"> </w:t>
      </w:r>
      <w:r>
        <w:t xml:space="preserve">more subjective criteria, such as potential harm to competition. As such, this option was</w:t>
      </w:r>
      <w:r>
        <w:t xml:space="preserve"> </w:t>
      </w:r>
      <w:r>
        <w:t xml:space="preserve">not upheld.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Scenario 3: Excluding extra-EEA joint ventures from the scope of application of the EU</w:t>
      </w:r>
      <w:r>
        <w:t xml:space="preserve"> </w:t>
      </w:r>
      <w:r>
        <w:t xml:space="preserve">Merger Regulation (a proposal contained in the 2014 White Paper). The Evaluation</w:t>
      </w:r>
      <w:r>
        <w:t xml:space="preserve"> </w:t>
      </w:r>
      <w:r>
        <w:t xml:space="preserve">showed complaints about the requirement to notify joint ventures that have no impact in</w:t>
      </w:r>
      <w:r>
        <w:t xml:space="preserve"> </w:t>
      </w:r>
      <w:r>
        <w:t xml:space="preserve">the EEA, while the option of further streamlining the review of extra-EEA joint ventures</w:t>
      </w:r>
      <w:r>
        <w:t xml:space="preserve"> </w:t>
      </w:r>
      <w:r>
        <w:t xml:space="preserve">was welcomed. However, the Evaluation revealed that excluding extra-EEA joint</w:t>
      </w:r>
      <w:r>
        <w:t xml:space="preserve"> </w:t>
      </w:r>
      <w:r>
        <w:t xml:space="preserve">ventures entirely from the scope of EU merger control entailed the risk that these</w:t>
      </w:r>
      <w:r>
        <w:t xml:space="preserve"> </w:t>
      </w:r>
      <w:r>
        <w:t xml:space="preserve">transactions may fall under different national regimes and therefore trigger multiple</w:t>
      </w:r>
      <w:r>
        <w:t xml:space="preserve"> </w:t>
      </w:r>
      <w:r>
        <w:t xml:space="preserve">notifications in different Member States, which would mean losing the benefit of the one-</w:t>
      </w:r>
      <w:r>
        <w:t xml:space="preserve"> </w:t>
      </w:r>
      <w:r>
        <w:t xml:space="preserve">stop-shop review at EU level of these transactions, increasing burden and costs on</w:t>
      </w:r>
      <w:r>
        <w:t xml:space="preserve"> </w:t>
      </w:r>
      <w:r>
        <w:t xml:space="preserve">notifying parties rather than reducing them. Therefore, the possibility to exclude extra-</w:t>
      </w:r>
      <w:r>
        <w:t xml:space="preserve"> </w:t>
      </w:r>
      <w:r>
        <w:t xml:space="preserve">EEA joint ventures from the obligation to notify was not considered an option. At the</w:t>
      </w:r>
      <w:r>
        <w:t xml:space="preserve"> </w:t>
      </w:r>
      <w:r>
        <w:t xml:space="preserve">same time, given their lack of impact on the internal market, information requirements</w:t>
      </w:r>
      <w:r>
        <w:t xml:space="preserve"> </w:t>
      </w:r>
      <w:r>
        <w:t xml:space="preserve">for these cases should be limited to the maximum extent possible.</w:t>
      </w:r>
      <w:r>
        <w:t xml:space="preserve"> </w:t>
      </w:r>
      <w:r>
        <w:t xml:space="preserve">In addition to the rejected options listed above, the Evaluation also resulted in a number</w:t>
      </w:r>
      <w:r>
        <w:t xml:space="preserve"> </w:t>
      </w:r>
      <w:r>
        <w:t xml:space="preserve">of valid policy options for further simplification, related to (i) expanding and clarifying</w:t>
      </w:r>
      <w:r>
        <w:t xml:space="preserve"> </w:t>
      </w:r>
      <w:r>
        <w:t xml:space="preserve">the categories of cases treated under the simplified procedure, (ii) streamlining the review</w:t>
      </w:r>
      <w:r>
        <w:t xml:space="preserve"> </w:t>
      </w:r>
      <w:r>
        <w:t xml:space="preserve">of cases treated under the simplified procedure, (iii) streamlining the review of cases</w:t>
      </w:r>
      <w:r>
        <w:t xml:space="preserve"> </w:t>
      </w:r>
      <w:r>
        <w:t xml:space="preserve">treated under the normal procedure, and (iv) electronic transmissions of documents.</w:t>
      </w:r>
      <w:r>
        <w:br/>
      </w:r>
      <w:r>
        <w:t xml:space="preserve">In more detail:</w:t>
      </w:r>
      <w:r>
        <w:br/>
      </w:r>
      <w:r>
        <w:t xml:space="preserve">i.</w:t>
      </w:r>
      <w:r>
        <w:t xml:space="preserve"> </w:t>
      </w:r>
      <w:r>
        <w:t xml:space="preserve">As regards expanding and clarifying the categories of simplified cases, the</w:t>
      </w:r>
      <w:r>
        <w:t xml:space="preserve"> </w:t>
      </w:r>
      <w:r>
        <w:t xml:space="preserve">Commission’s initiative looks to identify new categories of simplified cases, and to</w:t>
      </w:r>
      <w:r>
        <w:t xml:space="preserve"> </w:t>
      </w:r>
      <w:r>
        <w:t xml:space="preserve">introduce a flexibility mechanism that would allow the Commission to treat under</w:t>
      </w:r>
      <w:r>
        <w:t xml:space="preserve"> </w:t>
      </w:r>
      <w:r>
        <w:t xml:space="preserve">the simplified procedure cases which a priori do not fall under any of the simplified</w:t>
      </w:r>
      <w:r>
        <w:t xml:space="preserve"> </w:t>
      </w:r>
      <w:r>
        <w:t xml:space="preserve">treatment categories.</w:t>
      </w:r>
      <w:r>
        <w:t xml:space="preserve"> </w:t>
      </w:r>
      <w:r>
        <w:t xml:space="preserve">ii.</w:t>
      </w:r>
      <w:r>
        <w:t xml:space="preserve"> </w:t>
      </w:r>
      <w:r>
        <w:t xml:space="preserve">On the streamlining of the review of simplified cases, the Commission is proposing</w:t>
      </w:r>
      <w:r>
        <w:t xml:space="preserve"> </w:t>
      </w:r>
      <w:r>
        <w:t xml:space="preserve">certain categories of simplified cases which would not require any pre-notification</w:t>
      </w:r>
      <w:r>
        <w:t xml:space="preserve"> </w:t>
      </w:r>
      <w:r>
        <w:t xml:space="preserve">contacts. The initiative also looks to reduce the information required in simplified</w:t>
      </w:r>
      <w:r>
        <w:t xml:space="preserve"> </w:t>
      </w:r>
      <w:r>
        <w:t xml:space="preserve">cases (in particular regarding jurisdiction). To that end, the Commission proposes</w:t>
      </w:r>
      <w:r>
        <w:t xml:space="preserve"> </w:t>
      </w:r>
      <w:r>
        <w:t xml:space="preserve">to move for simplified cases to a notification form with a tick-the-box format and</w:t>
      </w:r>
      <w:r>
        <w:t xml:space="preserve"> </w:t>
      </w:r>
      <w:r>
        <w:t xml:space="preserve">less open text.</w:t>
      </w:r>
      <w:r>
        <w:t xml:space="preserve"> </w:t>
      </w:r>
      <w:r>
        <w:t xml:space="preserve">iii.</w:t>
      </w:r>
      <w:r>
        <w:t xml:space="preserve"> </w:t>
      </w:r>
      <w:r>
        <w:t xml:space="preserve">Regarding the streamlining of the review of non-simplified cases, based on the</w:t>
      </w:r>
      <w:r>
        <w:t xml:space="preserve"> </w:t>
      </w:r>
      <w:r>
        <w:t xml:space="preserve">experience gained by the Commission in its enforcement practice over the years,</w:t>
      </w:r>
      <w:r>
        <w:t xml:space="preserve"> </w:t>
      </w:r>
      <w:r>
        <w:t xml:space="preserve">here the Commission proposes to reduce the information required for some types of</w:t>
      </w:r>
      <w:r>
        <w:t xml:space="preserve"> </w:t>
      </w:r>
      <w:r>
        <w:t xml:space="preserve">non-simplified cases. The Commission also looks to provide clear instructions to</w:t>
      </w:r>
      <w:r>
        <w:t xml:space="preserve"> </w:t>
      </w:r>
      <w:r>
        <w:t xml:space="preserve">notifying parties who plan to request waivers for certain sections of the notification</w:t>
      </w:r>
      <w:r>
        <w:t xml:space="preserve"> </w:t>
      </w:r>
      <w:r>
        <w:t xml:space="preserve">form.</w:t>
      </w:r>
      <w:r>
        <w:br/>
      </w:r>
      <w:r>
        <w:t xml:space="preserve">iv.</w:t>
      </w:r>
      <w:r>
        <w:t xml:space="preserve"> </w:t>
      </w:r>
      <w:r>
        <w:t xml:space="preserve">The Commission is currently allowing businesses to notify merger cases</w:t>
      </w:r>
      <w:r>
        <w:t xml:space="preserve"> </w:t>
      </w:r>
      <w:r>
        <w:t xml:space="preserve">electronically echoing Covid-19 restrictions. Per this initiative, the Commission</w:t>
      </w:r>
      <w:r>
        <w:t xml:space="preserve"> </w:t>
      </w:r>
      <w:r>
        <w:t xml:space="preserve">now looks to establish that going forward, notifications of mergers and</w:t>
      </w:r>
      <w:r>
        <w:t xml:space="preserve"> </w:t>
      </w:r>
      <w:r>
        <w:t xml:space="preserve">transmission of documents in general shall take place in principle through digital</w:t>
      </w:r>
      <w:r>
        <w:t xml:space="preserve"> </w:t>
      </w:r>
      <w:r>
        <w:t xml:space="preserve">means – providing for a safe, reliable, environmentally-friendly, and cost-efficient</w:t>
      </w:r>
      <w:r>
        <w:t xml:space="preserve"> </w:t>
      </w:r>
      <w:r>
        <w:t xml:space="preserve">transmission mechanism. The reduced need for paper as a result of the electronic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transmission of documents also entails a positive impact on sustainable</w:t>
      </w:r>
      <w:r>
        <w:t xml:space="preserve"> </w:t>
      </w:r>
      <w:r>
        <w:t xml:space="preserve">development goals number 12 (responsible consumption)25, although very limited.</w:t>
      </w:r>
      <w:r>
        <w:t xml:space="preserve"> </w:t>
      </w:r>
      <w:r>
        <w:t xml:space="preserve">The problems identified are mainly due to shortcomings in the current legal framework.</w:t>
      </w:r>
      <w:r>
        <w:t xml:space="preserve"> </w:t>
      </w:r>
      <w:r>
        <w:t xml:space="preserve">In particular, the Notice on Simplified Procedure does not cover certain categories of</w:t>
      </w:r>
      <w:r>
        <w:t xml:space="preserve"> </w:t>
      </w:r>
      <w:r>
        <w:t xml:space="preserve">cases, which are currently unnecessarily assessed under the normal procedure given that</w:t>
      </w:r>
      <w:r>
        <w:t xml:space="preserve"> </w:t>
      </w:r>
      <w:r>
        <w:t xml:space="preserve">they are typically unproblematic and could be assessed under the simplified procedure,</w:t>
      </w:r>
      <w:r>
        <w:t xml:space="preserve"> </w:t>
      </w:r>
      <w:r>
        <w:t xml:space="preserve">benefitting from a faster and streamlined review. Moreover, the mandatory notification</w:t>
      </w:r>
      <w:r>
        <w:t xml:space="preserve"> </w:t>
      </w:r>
      <w:r>
        <w:t xml:space="preserve">forms contained in the annexes to the Implementing Regulation require information that</w:t>
      </w:r>
      <w:r>
        <w:t xml:space="preserve"> </w:t>
      </w:r>
      <w:r>
        <w:t xml:space="preserve">may not be necessary in particular for cases falling under the simplified procedure and, to</w:t>
      </w:r>
      <w:r>
        <w:t xml:space="preserve"> </w:t>
      </w:r>
      <w:r>
        <w:t xml:space="preserve">a much lesser extent, for cases assessed under the normal procedure. Finally, the current</w:t>
      </w:r>
      <w:r>
        <w:t xml:space="preserve"> </w:t>
      </w:r>
      <w:r>
        <w:t xml:space="preserve">legal framework does not allow for fully electronic notifications, thus creating an</w:t>
      </w:r>
      <w:r>
        <w:t xml:space="preserve"> </w:t>
      </w:r>
      <w:r>
        <w:t xml:space="preserve">unnecessary negative environmental impact and additional administrative costs for</w:t>
      </w:r>
      <w:r>
        <w:t xml:space="preserve"> </w:t>
      </w:r>
      <w:r>
        <w:t xml:space="preserve">notifying parties.</w:t>
      </w:r>
      <w:r>
        <w:t xml:space="preserve"> </w:t>
      </w:r>
      <w:r>
        <w:t xml:space="preserve">The Commission cannot accept a notification under the simplified procedure of a case</w:t>
      </w:r>
      <w:r>
        <w:t xml:space="preserve"> </w:t>
      </w:r>
      <w:r>
        <w:t xml:space="preserve">that does not meet the conditions specified in the Simplified Notice. Similarly,</w:t>
      </w:r>
      <w:r>
        <w:t xml:space="preserve"> </w:t>
      </w:r>
      <w:r>
        <w:t xml:space="preserve">notifications which do not fulfil the information requirements established in the</w:t>
      </w:r>
      <w:r>
        <w:t xml:space="preserve"> </w:t>
      </w:r>
      <w:r>
        <w:t xml:space="preserve">mandatory notification forms may be considered incomplete and, as a result, ineffective.</w:t>
      </w:r>
      <w:r>
        <w:t xml:space="preserve"> </w:t>
      </w:r>
      <w:r>
        <w:t xml:space="preserve">Therefore, soft measures such as guidance to case teams or to notifying parties could not</w:t>
      </w:r>
      <w:r>
        <w:t xml:space="preserve"> </w:t>
      </w:r>
      <w:r>
        <w:t xml:space="preserve">achieve the objectives of this initiative in an effective manner.</w:t>
      </w:r>
      <w:r>
        <w:t xml:space="preserve"> </w:t>
      </w:r>
      <w:r>
        <w:t xml:space="preserve">5.2.2. Policy options regarding expanding and clarifying the categories of</w:t>
      </w:r>
      <w:r>
        <w:t xml:space="preserve"> </w:t>
      </w:r>
      <w:r>
        <w:t xml:space="preserve">cases treated under the simplified procedure</w:t>
      </w:r>
      <w:r>
        <w:t xml:space="preserve"> </w:t>
      </w:r>
      <w:r>
        <w:t xml:space="preserve">Three policy options have been identified for this area of simplification/streamlining,</w:t>
      </w:r>
      <w:r>
        <w:t xml:space="preserve"> </w:t>
      </w:r>
      <w:r>
        <w:t xml:space="preserve">which could be pursued cumulatively. The market share thresholds for each option have</w:t>
      </w:r>
      <w:r>
        <w:t xml:space="preserve"> </w:t>
      </w:r>
      <w:r>
        <w:t xml:space="preserve">been chosen based on two criteria: i) market share references contained in the</w:t>
      </w:r>
      <w:r>
        <w:t xml:space="preserve"> </w:t>
      </w:r>
      <w:r>
        <w:t xml:space="preserve">Commission’s Horizontal Merger Guidelines and in the Commission’s Non-Horizontal</w:t>
      </w:r>
      <w:r>
        <w:t xml:space="preserve"> </w:t>
      </w:r>
      <w:r>
        <w:t xml:space="preserve">Merger Guidelines and ii) the results of the research on intervention cases.</w:t>
      </w:r>
      <w:r>
        <w:t xml:space="preserve"> </w:t>
      </w:r>
      <w:r>
        <w:t xml:space="preserve">Option 1: Introducing a flexibility clause in the Notice on Simplified Procedure, giving</w:t>
      </w:r>
      <w:r>
        <w:t xml:space="preserve"> </w:t>
      </w:r>
      <w:r>
        <w:t xml:space="preserve">the Commission discretion to treat cases under the simplified procedure. The flexibility</w:t>
      </w:r>
      <w:r>
        <w:t xml:space="preserve"> </w:t>
      </w:r>
      <w:r>
        <w:t xml:space="preserve">clause could be applied to:</w:t>
      </w:r>
      <w:r>
        <w:br/>
      </w:r>
      <w:r>
        <w:t xml:space="preserve">a) Cases in which the market share thresholds for the application of the simplified</w:t>
      </w:r>
      <w:r>
        <w:t xml:space="preserve"> </w:t>
      </w:r>
      <w:r>
        <w:t xml:space="preserve">procedure are exceeded only slightly in horizontal overlaps (e.g. 1% or 5%) between</w:t>
      </w:r>
      <w:r>
        <w:t xml:space="preserve"> </w:t>
      </w:r>
      <w:r>
        <w:t xml:space="preserve">the activities of the parties. With regard to the exact threshold for Option 1a, the</w:t>
      </w:r>
      <w:r>
        <w:t xml:space="preserve"> </w:t>
      </w:r>
      <w:r>
        <w:t xml:space="preserve">Commission considered two possibilities: i) to increase the combined market shares</w:t>
      </w:r>
      <w:r>
        <w:t xml:space="preserve"> </w:t>
      </w:r>
      <w:r>
        <w:t xml:space="preserve">by 1 percentage point (i.e., up to 21%) (“Option 1a.i”) or by 5 percentage points (i.e.,</w:t>
      </w:r>
      <w:r>
        <w:t xml:space="preserve"> </w:t>
      </w:r>
      <w:r>
        <w:t xml:space="preserve">up to 25%) (“Option 1a.ii”). The Commission does not consider it appropriate to</w:t>
      </w:r>
      <w:r>
        <w:t xml:space="preserve"> </w:t>
      </w:r>
      <w:r>
        <w:t xml:space="preserve">introduce a flexibility clause going beyond 25% combined market share for</w:t>
      </w:r>
      <w:r>
        <w:t xml:space="preserve"> </w:t>
      </w:r>
      <w:r>
        <w:t xml:space="preserve">horizontal overlaps because (i) this is the threshold considered in recital 32 of the EU</w:t>
      </w:r>
      <w:r>
        <w:t xml:space="preserve"> </w:t>
      </w:r>
      <w:r>
        <w:t xml:space="preserve">Merger Regulation and paragraph 18 of the Guidelines on the Assessment of</w:t>
      </w:r>
      <w:r>
        <w:t xml:space="preserve"> </w:t>
      </w:r>
      <w:r>
        <w:t xml:space="preserve">Horizontal Mergers as an indication that the transaction is not liable to impede</w:t>
      </w:r>
      <w:r>
        <w:t xml:space="preserve"> </w:t>
      </w:r>
      <w:r>
        <w:t xml:space="preserve">effective competition and (ii) according to the Commission’s internal research, there</w:t>
      </w:r>
    </w:p>
    <w:p>
      <w:pPr>
        <w:pStyle w:val="BodyText"/>
      </w:pPr>
      <w:r>
        <w:t xml:space="preserve">25 See United Nations Sustainable Development Goals: https://sdgs.un.org/goals.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have been a number of past intervention cases involving horizontal overlaps with</w:t>
      </w:r>
      <w:r>
        <w:t xml:space="preserve"> </w:t>
      </w:r>
      <w:r>
        <w:t xml:space="preserve">combined market shares close to 25%.</w:t>
      </w:r>
      <w:r>
        <w:t xml:space="preserve"> </w:t>
      </w:r>
      <w:r>
        <w:t xml:space="preserve">;</w:t>
      </w:r>
      <w:r>
        <w:br/>
      </w:r>
      <w:r>
        <w:t xml:space="preserve">b) Cases in which the market share thresholds for the application of the simplified</w:t>
      </w:r>
      <w:r>
        <w:t xml:space="preserve"> </w:t>
      </w:r>
      <w:r>
        <w:t xml:space="preserve">procedure are exceeded only slightly in vertical relationships (e.g. 1% or 5%)</w:t>
      </w:r>
      <w:r>
        <w:t xml:space="preserve"> </w:t>
      </w:r>
      <w:r>
        <w:t xml:space="preserve">between the activities of the parties. The Commission considered two possibilities: i)</w:t>
      </w:r>
      <w:r>
        <w:t xml:space="preserve"> </w:t>
      </w:r>
      <w:r>
        <w:t xml:space="preserve">to increase the combined market shares by 1 percentage point (i.e., up to 31%)</w:t>
      </w:r>
      <w:r>
        <w:t xml:space="preserve"> </w:t>
      </w:r>
      <w:r>
        <w:t xml:space="preserve">(“Option 1b.i”) or by 5 percentage points (i.e., up to 35%) (“Option 1b.ii”). The</w:t>
      </w:r>
      <w:r>
        <w:t xml:space="preserve"> </w:t>
      </w:r>
      <w:r>
        <w:t xml:space="preserve">Commission does not consider it appropriate to introduce a flexibility clause going</w:t>
      </w:r>
      <w:r>
        <w:t xml:space="preserve"> </w:t>
      </w:r>
      <w:r>
        <w:t xml:space="preserve">beyond 35% for vertical relations because, according to its internal research, there</w:t>
      </w:r>
      <w:r>
        <w:t xml:space="preserve"> </w:t>
      </w:r>
      <w:r>
        <w:t xml:space="preserve">have been a number of past intervention cases involving vertical relations with</w:t>
      </w:r>
      <w:r>
        <w:t xml:space="preserve"> </w:t>
      </w:r>
      <w:r>
        <w:t xml:space="preserve">combined market shares close to 35%.; and</w:t>
      </w:r>
      <w:r>
        <w:t xml:space="preserve"> </w:t>
      </w:r>
      <w:r>
        <w:t xml:space="preserve">c) Cases of joint ventures with annual current turnover26 or asset value slightly</w:t>
      </w:r>
      <w:r>
        <w:t xml:space="preserve"> </w:t>
      </w:r>
      <w:r>
        <w:t xml:space="preserve">exceeding the current threshold of EUR 100 million (e.g. up to EUR 150 million) but</w:t>
      </w:r>
      <w:r>
        <w:t xml:space="preserve"> </w:t>
      </w:r>
      <w:r>
        <w:t xml:space="preserve">that raise no competition concerns. The Commission does not consider it appropriate</w:t>
      </w:r>
      <w:r>
        <w:t xml:space="preserve"> </w:t>
      </w:r>
      <w:r>
        <w:t xml:space="preserve">to introduce a flexibility clause going beyond the threshold of EUR 150 million</w:t>
      </w:r>
      <w:r>
        <w:t xml:space="preserve"> </w:t>
      </w:r>
      <w:r>
        <w:t xml:space="preserve">because according to the Commission’s internal research, there have been a number</w:t>
      </w:r>
      <w:r>
        <w:t xml:space="preserve"> </w:t>
      </w:r>
      <w:r>
        <w:t xml:space="preserve">of past intervention cases involving JVs with turnover close to EUR 150 million.</w:t>
      </w:r>
      <w:r>
        <w:t xml:space="preserve"> </w:t>
      </w:r>
      <w:r>
        <w:t xml:space="preserve">Option 2: Adding new categories of cases that could benefit from simplified treatment.</w:t>
      </w:r>
      <w:r>
        <w:t xml:space="preserve"> </w:t>
      </w:r>
      <w:r>
        <w:t xml:space="preserve">In particular, the following categories could be introduced:</w:t>
      </w:r>
      <w:r>
        <w:br/>
      </w:r>
      <w:r>
        <w:t xml:space="preserve">a) Cases with highly asymmetric market positions upstream and downstream, with low</w:t>
      </w:r>
      <w:r>
        <w:t xml:space="preserve"> </w:t>
      </w:r>
      <w:r>
        <w:t xml:space="preserve">market shares in one of the vertically related markets (e.g. &lt;5% or &lt;10%) and a</w:t>
      </w:r>
      <w:r>
        <w:t xml:space="preserve"> </w:t>
      </w:r>
      <w:r>
        <w:t xml:space="preserve">maximum market share in the other vertically related market (e.g. &lt;40% or &lt;50%).</w:t>
      </w:r>
      <w:r>
        <w:t xml:space="preserve"> </w:t>
      </w:r>
      <w:r>
        <w:t xml:space="preserve">With regard to the exact threshold for Option 2a, the Commission considered four</w:t>
      </w:r>
      <w:r>
        <w:t xml:space="preserve"> </w:t>
      </w:r>
      <w:r>
        <w:t xml:space="preserve">possibilities: i) a maximum individual or combined market share of 5% in one market</w:t>
      </w:r>
      <w:r>
        <w:t xml:space="preserve"> </w:t>
      </w:r>
      <w:r>
        <w:t xml:space="preserve">and a maximum individual or combined market share of 40% in a vertically related</w:t>
      </w:r>
      <w:r>
        <w:t xml:space="preserve"> </w:t>
      </w:r>
      <w:r>
        <w:t xml:space="preserve">market; ii) a maximum individual or combined market share of 10% in one market</w:t>
      </w:r>
      <w:r>
        <w:t xml:space="preserve"> </w:t>
      </w:r>
      <w:r>
        <w:t xml:space="preserve">and a maximum individual or combined market share of 40% in a vertically related</w:t>
      </w:r>
      <w:r>
        <w:t xml:space="preserve"> </w:t>
      </w:r>
      <w:r>
        <w:t xml:space="preserve">market; iii) a maximum individual or combined market share of 5% in one market</w:t>
      </w:r>
      <w:r>
        <w:t xml:space="preserve"> </w:t>
      </w:r>
      <w:r>
        <w:t xml:space="preserve">and a maximum individual or combined market share of 50% in a vertically related</w:t>
      </w:r>
      <w:r>
        <w:t xml:space="preserve"> </w:t>
      </w:r>
      <w:r>
        <w:t xml:space="preserve">market; iv) a maximum individual or combined market share of 10% in one market</w:t>
      </w:r>
      <w:r>
        <w:t xml:space="preserve"> </w:t>
      </w:r>
      <w:r>
        <w:t xml:space="preserve">and a maximum individual or combined market share of 5% in a vertically related</w:t>
      </w:r>
      <w:r>
        <w:t xml:space="preserve"> </w:t>
      </w:r>
      <w:r>
        <w:t xml:space="preserve">market. A threshold above 50% would not be appropriate, as according to paragraph</w:t>
      </w:r>
      <w:r>
        <w:t xml:space="preserve"> </w:t>
      </w:r>
      <w:r>
        <w:t xml:space="preserve">17 of the Horizontal Guidelines market shares above 50% may in themselves be</w:t>
      </w:r>
      <w:r>
        <w:t xml:space="preserve"> </w:t>
      </w:r>
      <w:r>
        <w:t xml:space="preserve">evidence of the existence of a dominant market position;</w:t>
      </w:r>
      <w:r>
        <w:br/>
      </w:r>
      <w:r>
        <w:t xml:space="preserve">b) Cases with upstream sales share beneath the current threshold (&lt;30%) and low</w:t>
      </w:r>
      <w:r>
        <w:t xml:space="preserve"> </w:t>
      </w:r>
      <w:r>
        <w:t xml:space="preserve">downstream purchasing share (e.g. &lt;5%, &lt;10% or &lt;30%). Several possibilities were</w:t>
      </w:r>
      <w:r>
        <w:t xml:space="preserve"> </w:t>
      </w:r>
      <w:r>
        <w:t xml:space="preserve">considered: i) a maximum purchasing share of 5% and a maximum downstream</w:t>
      </w:r>
      <w:r>
        <w:t xml:space="preserve"> </w:t>
      </w:r>
      <w:r>
        <w:t xml:space="preserve">combined market share of 50%; ii) a maximum purchasing share of 10% and a</w:t>
      </w:r>
      <w:r>
        <w:t xml:space="preserve"> </w:t>
      </w:r>
      <w:r>
        <w:t xml:space="preserve">maximum downstream combined market share of 50%; iii) a maximum purchasing</w:t>
      </w:r>
    </w:p>
    <w:p>
      <w:pPr>
        <w:pStyle w:val="BodyText"/>
      </w:pPr>
      <w:r>
        <w:t xml:space="preserve">26</w:t>
      </w:r>
      <w:r>
        <w:br/>
      </w:r>
      <w:r>
        <w:t xml:space="preserve">The term “current turnover” refers to turnover generated by the joint venture at the time of</w:t>
      </w:r>
      <w:r>
        <w:t xml:space="preserve"> </w:t>
      </w:r>
      <w:r>
        <w:t xml:space="preserve">notification. The turnover of the joint venture can be determined according to the most recent audited</w:t>
      </w:r>
      <w:r>
        <w:t xml:space="preserve"> </w:t>
      </w:r>
      <w:r>
        <w:t xml:space="preserve">accounts of the parent companies, or the joint venture itself, depending on the availability of separate</w:t>
      </w:r>
      <w:r>
        <w:t xml:space="preserve"> </w:t>
      </w:r>
      <w:r>
        <w:t xml:space="preserve">accounts for the resources combined in the joint venture.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share of 5% without limit downstream; iv) a maximum purchasing share of 10%</w:t>
      </w:r>
      <w:r>
        <w:t xml:space="preserve"> </w:t>
      </w:r>
      <w:r>
        <w:t xml:space="preserve">without limit downstream; and v) a maximum purchasing share of 30% without limit</w:t>
      </w:r>
      <w:r>
        <w:t xml:space="preserve"> </w:t>
      </w:r>
      <w:r>
        <w:t xml:space="preserve">downstream; and</w:t>
      </w:r>
      <w:r>
        <w:br/>
      </w:r>
      <w:r>
        <w:t xml:space="preserve">c) Cases with limited increments to a pre-existing vertical integration, for instance by</w:t>
      </w:r>
      <w:r>
        <w:t xml:space="preserve"> </w:t>
      </w:r>
      <w:r>
        <w:t xml:space="preserve">aligning vertical cases with horizontal cases under point 6 of the Notice on Simplified</w:t>
      </w:r>
      <w:r>
        <w:t xml:space="preserve"> </w:t>
      </w:r>
      <w:r>
        <w:t xml:space="preserve">Procedure27. A threshold above 50% would not be appropriate, as according to</w:t>
      </w:r>
      <w:r>
        <w:t xml:space="preserve"> </w:t>
      </w:r>
      <w:r>
        <w:t xml:space="preserve">paragraph 17 of the Horizontal Guidelines market shares above 50% may in</w:t>
      </w:r>
      <w:r>
        <w:t xml:space="preserve"> </w:t>
      </w:r>
      <w:r>
        <w:t xml:space="preserve">themselves be evidence of the existence of a dominant market position. There is no</w:t>
      </w:r>
      <w:r>
        <w:t xml:space="preserve"> </w:t>
      </w:r>
      <w:r>
        <w:t xml:space="preserve">scope to increase the HHI delta beyond 150, as it should be aligned with the HHI</w:t>
      </w:r>
      <w:r>
        <w:t xml:space="preserve"> </w:t>
      </w:r>
      <w:r>
        <w:t xml:space="preserve">delta for horizontal overlaps; otherwise the market would have to be assessed in any</w:t>
      </w:r>
      <w:r>
        <w:t xml:space="preserve"> </w:t>
      </w:r>
      <w:r>
        <w:t xml:space="preserve">event under the normal procedure. Moreover, the HHI delta should also be aligned</w:t>
      </w:r>
      <w:r>
        <w:t xml:space="preserve"> </w:t>
      </w:r>
      <w:r>
        <w:t xml:space="preserve">with the thresholds considered in paragraph 20 of the Horizontal Merger</w:t>
      </w:r>
      <w:r>
        <w:t xml:space="preserve"> </w:t>
      </w:r>
      <w:r>
        <w:t xml:space="preserve">Guidelines28.</w:t>
      </w:r>
      <w:r>
        <w:t xml:space="preserve"> </w:t>
      </w:r>
      <w:r>
        <w:t xml:space="preserve">Option 3: Reviewing the scope and interpretation of the safeguards and exclusions</w:t>
      </w:r>
      <w:r>
        <w:t xml:space="preserve"> </w:t>
      </w:r>
      <w:r>
        <w:t xml:space="preserve">included in the Notice on Simplified Procedure.</w:t>
      </w:r>
      <w:r>
        <w:t xml:space="preserve"> </w:t>
      </w:r>
      <w:r>
        <w:t xml:space="preserve">Options 1, 2 and 3 are not mutually exclusive and could thus be introduced cumulatively.</w:t>
      </w:r>
      <w:r>
        <w:t xml:space="preserve"> </w:t>
      </w:r>
      <w:r>
        <w:t xml:space="preserve">5.2.3. Policy options regarding streamlining the review of cases treated</w:t>
      </w:r>
      <w:r>
        <w:t xml:space="preserve"> </w:t>
      </w:r>
      <w:r>
        <w:t xml:space="preserve">under the simplified procedure</w:t>
      </w:r>
      <w:r>
        <w:t xml:space="preserve"> </w:t>
      </w:r>
      <w:r>
        <w:t xml:space="preserve">Three policy options have been identified for this area of simplification/streamlining.</w:t>
      </w:r>
      <w:r>
        <w:br/>
      </w:r>
      <w:r>
        <w:t xml:space="preserve">Option 1: Maintaining the current information requirements (i.e. not adding or removing</w:t>
      </w:r>
      <w:r>
        <w:t xml:space="preserve"> </w:t>
      </w:r>
      <w:r>
        <w:t xml:space="preserve">questions) but replacing the Short Form CO by a tick-the-box form with a more</w:t>
      </w:r>
      <w:r>
        <w:t xml:space="preserve"> </w:t>
      </w:r>
      <w:r>
        <w:t xml:space="preserve">streamlined formatting.</w:t>
      </w:r>
    </w:p>
    <w:p>
      <w:pPr>
        <w:pStyle w:val="BodyText"/>
      </w:pPr>
      <w:r>
        <w:t xml:space="preserve">Option 2: Introducing a streamlined review of jurisdiction in simplified cases, with a</w:t>
      </w:r>
      <w:r>
        <w:t xml:space="preserve"> </w:t>
      </w:r>
      <w:r>
        <w:t xml:space="preserve">tick-the-box list of statements on the basic facts relevant for the jurisdictional assessment,</w:t>
      </w:r>
      <w:r>
        <w:t xml:space="preserve"> </w:t>
      </w:r>
      <w:r>
        <w:t xml:space="preserve">that notifying parties would need to complete by ticking the relevant boxes but without</w:t>
      </w:r>
      <w:r>
        <w:t xml:space="preserve"> </w:t>
      </w:r>
      <w:r>
        <w:t xml:space="preserve">the need for them to provide underlying evidence. This would reduce certain information</w:t>
      </w:r>
      <w:r>
        <w:t xml:space="preserve"> </w:t>
      </w:r>
      <w:r>
        <w:t xml:space="preserve">requirements and consequently reduce or remove the need for pre-notification contacts</w:t>
      </w:r>
      <w:r>
        <w:t xml:space="preserve"> </w:t>
      </w:r>
      <w:r>
        <w:t xml:space="preserve">on questions of jurisdiction. The assessment of jurisdiction is not related to the</w:t>
      </w:r>
      <w:r>
        <w:t xml:space="preserve"> </w:t>
      </w:r>
      <w:r>
        <w:t xml:space="preserve">identification of cases which may potentially raise competition concerns, but to ascertain</w:t>
      </w:r>
      <w:r>
        <w:t xml:space="preserve"> </w:t>
      </w:r>
      <w:r>
        <w:t xml:space="preserve">whether the Commission is competent to review a case. The assessment of jurisdiction</w:t>
      </w:r>
      <w:r>
        <w:t xml:space="preserve"> </w:t>
      </w:r>
      <w:r>
        <w:t xml:space="preserve">entails currently an unnecessary burden on the notifying parties and the Commission for</w:t>
      </w:r>
      <w:r>
        <w:t xml:space="preserve"> </w:t>
      </w:r>
      <w:r>
        <w:t xml:space="preserve">cases which, from experience, clearly do not raise any competition concerns, such as</w:t>
      </w:r>
      <w:r>
        <w:t xml:space="preserve"> </w:t>
      </w:r>
      <w:r>
        <w:t xml:space="preserve">extra-EEA joint ventures. The streamlining of the assessment of jurisdiction on these</w:t>
      </w:r>
    </w:p>
    <w:p>
      <w:pPr>
        <w:pStyle w:val="BodyText"/>
      </w:pPr>
      <w:r>
        <w:t xml:space="preserve">27</w:t>
      </w:r>
      <w:r>
        <w:br/>
      </w:r>
      <w:r>
        <w:t xml:space="preserve">According to point 6 of the Notice on Simplified Procedure, the Commission may also apply the</w:t>
      </w:r>
      <w:r>
        <w:t xml:space="preserve"> </w:t>
      </w:r>
      <w:r>
        <w:t xml:space="preserve">simplified procedure where two or more undertakings merge, or one or more undertakings acquire</w:t>
      </w:r>
      <w:r>
        <w:t xml:space="preserve"> </w:t>
      </w:r>
      <w:r>
        <w:t xml:space="preserve">sole or joint control of another undertaking, and both of the following conditions are fulfilled: (i) the</w:t>
      </w:r>
      <w:r>
        <w:t xml:space="preserve"> </w:t>
      </w:r>
      <w:r>
        <w:t xml:space="preserve">combined market share of all the parties to the concentration that are in a horizontal relationship is</w:t>
      </w:r>
      <w:r>
        <w:t xml:space="preserve"> </w:t>
      </w:r>
      <w:r>
        <w:t xml:space="preserve">less than 50 %; and (ii) the increment (delta) of the Herfindahl-Hirschman Index (HHI) resulting from</w:t>
      </w:r>
      <w:r>
        <w:t xml:space="preserve"> </w:t>
      </w:r>
      <w:r>
        <w:t xml:space="preserve">the concentration is below 150.</w:t>
      </w:r>
      <w:r>
        <w:t xml:space="preserve"> </w:t>
      </w:r>
      <w:r>
        <w:t xml:space="preserve">28</w:t>
      </w:r>
      <w:r>
        <w:br/>
      </w:r>
      <w:r>
        <w:t xml:space="preserve">Paragraph 20 establishes that it is unlikely to find horizontal concerns in a merger with HHI between</w:t>
      </w:r>
      <w:r>
        <w:t xml:space="preserve"> </w:t>
      </w:r>
      <w:r>
        <w:t xml:space="preserve">1000 and 2000 and a delta below 250 or a merger with a post-merger HHI above 2000 and a delta</w:t>
      </w:r>
      <w:r>
        <w:t xml:space="preserve"> </w:t>
      </w:r>
      <w:r>
        <w:t xml:space="preserve">below 150.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cases would lead to a significant reduction in information requirements and would allow</w:t>
      </w:r>
      <w:r>
        <w:t xml:space="preserve"> </w:t>
      </w:r>
      <w:r>
        <w:t xml:space="preserve">notifying parties to make use of the super simplified procedure whereby the parties can</w:t>
      </w:r>
      <w:r>
        <w:t xml:space="preserve"> </w:t>
      </w:r>
      <w:r>
        <w:t xml:space="preserve">notify with no pre-notification, without any risk of under-enforcement.</w:t>
      </w:r>
    </w:p>
    <w:bookmarkStart w:id="9" w:name="X356f979edfd128d9535bf954b5e7580e9b03937"/>
    <w:p>
      <w:pPr>
        <w:pStyle w:val="Heading2"/>
      </w:pPr>
      <w:r>
        <w:t xml:space="preserve">Option 3: Introducing a streamlined review of the competitive assessment:</w:t>
      </w:r>
    </w:p>
    <w:p>
      <w:pPr>
        <w:pStyle w:val="FirstParagraph"/>
      </w:pPr>
      <w:r>
        <w:t xml:space="preserve">for simplified cases without overlaps between the activities of the parties, this</w:t>
      </w:r>
      <w:r>
        <w:t xml:space="preserve"> </w:t>
      </w:r>
      <w:r>
        <w:t xml:space="preserve">would be a tick-the-box list of statements on the basic facts relevant for the</w:t>
      </w:r>
      <w:r>
        <w:t xml:space="preserve"> </w:t>
      </w:r>
      <w:r>
        <w:t xml:space="preserve">assessment, that notifying parties would need to complete by ticking the</w:t>
      </w:r>
      <w:r>
        <w:t xml:space="preserve"> </w:t>
      </w:r>
      <w:r>
        <w:t xml:space="preserve">relevant boxes but without the need for them to provide underlying evidence,</w:t>
      </w:r>
      <w:r>
        <w:t xml:space="preserve"> </w:t>
      </w:r>
      <w:r>
        <w:t xml:space="preserve">thereby reducing certain information requirements and consequently reducing</w:t>
      </w:r>
      <w:r>
        <w:t xml:space="preserve"> </w:t>
      </w:r>
      <w:r>
        <w:t xml:space="preserve">or removing the need for pre-notification contacts on the assessment.</w:t>
      </w:r>
      <w:r>
        <w:br/>
      </w:r>
      <w:r>
        <w:t xml:space="preserve">-</w:t>
      </w:r>
      <w:r>
        <w:t xml:space="preserve"> </w:t>
      </w:r>
      <w:r>
        <w:t xml:space="preserve">for all other categories of simplified cases (i.e. other than those that are</w:t>
      </w:r>
      <w:r>
        <w:t xml:space="preserve"> </w:t>
      </w:r>
      <w:r>
        <w:t xml:space="preserve">simplified because of a lack of overlap between the activities of the parties),</w:t>
      </w:r>
      <w:r>
        <w:t xml:space="preserve"> </w:t>
      </w:r>
      <w:r>
        <w:t xml:space="preserve">review would also be streamlined in the sense that the Short Form would</w:t>
      </w:r>
      <w:r>
        <w:t xml:space="preserve"> </w:t>
      </w:r>
      <w:r>
        <w:t xml:space="preserve">include template tables for the parties to fill in.</w:t>
      </w:r>
      <w:r>
        <w:br/>
      </w:r>
      <w:r>
        <w:t xml:space="preserve">Options 1, 2 and 3 could in principle be introduced cumulatively. Options 2 and 3 would</w:t>
      </w:r>
      <w:r>
        <w:t xml:space="preserve"> </w:t>
      </w:r>
      <w:r>
        <w:t xml:space="preserve">entail limiting certain information requirements and would therefore constitute an</w:t>
      </w:r>
      <w:r>
        <w:t xml:space="preserve"> </w:t>
      </w:r>
      <w:r>
        <w:t xml:space="preserve">alternative to option 1 for certain parts of the notification forms.</w:t>
      </w:r>
    </w:p>
    <w:p>
      <w:pPr>
        <w:pStyle w:val="BodyText"/>
      </w:pPr>
      <w:r>
        <w:t xml:space="preserve">5.2.4. Policy options regarding streamlining the review of cases treated</w:t>
      </w:r>
      <w:r>
        <w:t xml:space="preserve"> </w:t>
      </w:r>
      <w:r>
        <w:t xml:space="preserve">under the normal procedure</w:t>
      </w:r>
      <w:r>
        <w:br/>
      </w:r>
      <w:r>
        <w:t xml:space="preserve">Two policy options have been identified for this area of streamlining the review process.</w:t>
      </w:r>
      <w:r>
        <w:br/>
      </w:r>
      <w:r>
        <w:t xml:space="preserve">Option 1: Introducing modifications to the structure of the current notification form,</w:t>
      </w:r>
      <w:r>
        <w:t xml:space="preserve"> </w:t>
      </w:r>
      <w:r>
        <w:t xml:space="preserve">such as separating sections for factual information and for advocacy (where the Parties</w:t>
      </w:r>
      <w:r>
        <w:t xml:space="preserve"> </w:t>
      </w:r>
      <w:r>
        <w:t xml:space="preserve">could summarize their main arguments, on a voluntary basis) and introducing a table</w:t>
      </w:r>
      <w:r>
        <w:t xml:space="preserve"> </w:t>
      </w:r>
      <w:r>
        <w:t xml:space="preserve">with an overview of all affected markets.</w:t>
      </w:r>
      <w:r>
        <w:br/>
      </w:r>
      <w:r>
        <w:t xml:space="preserve">Option 2: Identifying opt-out sections in section 8 of the Form CO to be waived by the</w:t>
      </w:r>
      <w:r>
        <w:t xml:space="preserve"> </w:t>
      </w:r>
      <w:r>
        <w:t xml:space="preserve">Commission at the request of the Parties.</w:t>
      </w:r>
      <w:r>
        <w:t xml:space="preserve"> </w:t>
      </w:r>
      <w:r>
        <w:t xml:space="preserve">Proposals made under Option 1, in particular separating sections for factual information</w:t>
      </w:r>
      <w:r>
        <w:t xml:space="preserve"> </w:t>
      </w:r>
      <w:r>
        <w:t xml:space="preserve">and for advocacy, were not well received in the Public Consultation of 2021. The vast</w:t>
      </w:r>
      <w:r>
        <w:t xml:space="preserve"> </w:t>
      </w:r>
      <w:r>
        <w:t xml:space="preserve">majority of replies received considered this separation as having no or negligible effects</w:t>
      </w:r>
      <w:r>
        <w:t xml:space="preserve"> </w:t>
      </w:r>
      <w:r>
        <w:t xml:space="preserve">on administrative costs and burden. In reaction to these answers, modified and new</w:t>
      </w:r>
      <w:r>
        <w:t xml:space="preserve"> </w:t>
      </w:r>
      <w:r>
        <w:t xml:space="preserve">proposals to modify the structure of the Form CO were proposed and tested in the</w:t>
      </w:r>
      <w:r>
        <w:t xml:space="preserve"> </w:t>
      </w:r>
      <w:r>
        <w:t xml:space="preserve">Consultation of Stakeholders of 2022.</w:t>
      </w:r>
      <w:r>
        <w:br/>
      </w:r>
      <w:r>
        <w:t xml:space="preserve">These proposals include limiting the information requirements for markets that benefit</w:t>
      </w:r>
      <w:r>
        <w:t xml:space="preserve"> </w:t>
      </w:r>
      <w:r>
        <w:t xml:space="preserve">from the flexibility clauses in point 8 of the draft revised Notice on Simplified Procedure,</w:t>
      </w:r>
      <w:r>
        <w:t xml:space="preserve"> </w:t>
      </w:r>
      <w:r>
        <w:t xml:space="preserve">in order to streamline the relevant sections of the current Form CO, where these markets</w:t>
      </w:r>
      <w:r>
        <w:t xml:space="preserve"> </w:t>
      </w:r>
      <w:r>
        <w:t xml:space="preserve">are considered affected and the applicable information requirements are much more</w:t>
      </w:r>
      <w:r>
        <w:t xml:space="preserve"> </w:t>
      </w:r>
      <w:r>
        <w:t xml:space="preserve">extensive. Further modifications to streamline the current Form CO are the elimination of</w:t>
      </w:r>
      <w:r>
        <w:t xml:space="preserve"> </w:t>
      </w:r>
      <w:r>
        <w:t xml:space="preserve">certain information requirements in Section 8 of the current Form CO, concerning</w:t>
      </w:r>
      <w:r>
        <w:t xml:space="preserve"> </w:t>
      </w:r>
      <w:r>
        <w:t xml:space="preserve">“Cooperative Agreements”, “Trade between Member States and imports from outside the</w:t>
      </w:r>
      <w:r>
        <w:t xml:space="preserve"> </w:t>
      </w:r>
      <w:r>
        <w:t xml:space="preserve">EEA”, and “Trade associations”, as well as introducing tables requiring that information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on potential horizontal overlaps , thereby homogenising information requests on pipeline</w:t>
      </w:r>
      <w:r>
        <w:t xml:space="preserve"> </w:t>
      </w:r>
      <w:r>
        <w:t xml:space="preserve">products in sectors where innovation is a key parameter of competition.</w:t>
      </w:r>
      <w:r>
        <w:t xml:space="preserve"> </w:t>
      </w:r>
      <w:r>
        <w:t xml:space="preserve">Under Option 2 clearer instructions are provided to notifying parties how to request</w:t>
      </w:r>
      <w:r>
        <w:t xml:space="preserve"> </w:t>
      </w:r>
      <w:r>
        <w:t xml:space="preserve">waivers for certain Sections or sub-Sections of the draft revised Form CO, as well as</w:t>
      </w:r>
      <w:r>
        <w:t xml:space="preserve"> </w:t>
      </w:r>
      <w:r>
        <w:t xml:space="preserve">identifying the parts of the draft revised Form CO which are particularly suitable for a</w:t>
      </w:r>
      <w:r>
        <w:t xml:space="preserve"> </w:t>
      </w:r>
      <w:r>
        <w:t xml:space="preserve">waiver request (including several information requirements from Section 8 of the current</w:t>
      </w:r>
      <w:r>
        <w:t xml:space="preserve"> </w:t>
      </w:r>
      <w:r>
        <w:t xml:space="preserve">Form CO).</w:t>
      </w:r>
      <w:r>
        <w:br/>
      </w:r>
      <w:r>
        <w:t xml:space="preserve">Waivers are already part of the current notification process but are not currently being</w:t>
      </w:r>
      <w:r>
        <w:t xml:space="preserve"> </w:t>
      </w:r>
      <w:r>
        <w:t xml:space="preserve">requested in many cases. The current Form CO provides in its introduction general</w:t>
      </w:r>
      <w:r>
        <w:t xml:space="preserve"> </w:t>
      </w:r>
      <w:r>
        <w:t xml:space="preserve">guidance on when, how and for what information typically a waiver can be requested by</w:t>
      </w:r>
      <w:r>
        <w:t xml:space="preserve"> </w:t>
      </w:r>
      <w:r>
        <w:t xml:space="preserve">the notifying party or parties (1.4.g), and points in a very scattered way to information</w:t>
      </w:r>
      <w:r>
        <w:t xml:space="preserve"> </w:t>
      </w:r>
      <w:r>
        <w:t xml:space="preserve">requested in the Form CO which is particularly suitable for a waiver request. However,</w:t>
      </w:r>
      <w:r>
        <w:t xml:space="preserve"> </w:t>
      </w:r>
      <w:r>
        <w:t xml:space="preserve">the Form CO does not highlight these instances in any obvious or specifically visible</w:t>
      </w:r>
      <w:r>
        <w:t xml:space="preserve"> </w:t>
      </w:r>
      <w:r>
        <w:t xml:space="preserve">manner. Instead, the encouragement to request a waiver in relation to certain information</w:t>
      </w:r>
      <w:r>
        <w:t xml:space="preserve"> </w:t>
      </w:r>
      <w:r>
        <w:t xml:space="preserve">requirements is included only in nine footnotes in the current Form CO. This may have</w:t>
      </w:r>
      <w:r>
        <w:t xml:space="preserve"> </w:t>
      </w:r>
      <w:r>
        <w:t xml:space="preserve">contributed to the fact that notifying parties have seldom made use of this opportunity to</w:t>
      </w:r>
      <w:r>
        <w:t xml:space="preserve"> </w:t>
      </w:r>
      <w:r>
        <w:t xml:space="preserve">save time and effort in filling in the Form CO.</w:t>
      </w:r>
      <w:r>
        <w:t xml:space="preserve"> </w:t>
      </w:r>
      <w:r>
        <w:t xml:space="preserve">In the revised Form CO, a new section on waivers would provide more prominence to the</w:t>
      </w:r>
      <w:r>
        <w:t xml:space="preserve"> </w:t>
      </w:r>
      <w:r>
        <w:t xml:space="preserve">possibility of requesting waivers and a stronger encouragement for notifying parties to</w:t>
      </w:r>
      <w:r>
        <w:t xml:space="preserve"> </w:t>
      </w:r>
      <w:r>
        <w:t xml:space="preserve">make use of this possibility. The new section on waivers would set out two general</w:t>
      </w:r>
      <w:r>
        <w:t xml:space="preserve"> </w:t>
      </w:r>
      <w:r>
        <w:t xml:space="preserve">conditions for waiver requests to be considered favourably by the Commission: (i) the</w:t>
      </w:r>
      <w:r>
        <w:t xml:space="preserve"> </w:t>
      </w:r>
      <w:r>
        <w:t xml:space="preserve">notifying parties give adequate reasons why the relevant information is not reasonably</w:t>
      </w:r>
      <w:r>
        <w:t xml:space="preserve"> </w:t>
      </w:r>
      <w:r>
        <w:t xml:space="preserve">available and provide best estimates for the missing data; (ii) the notifying parties give</w:t>
      </w:r>
      <w:r>
        <w:t xml:space="preserve"> </w:t>
      </w:r>
      <w:r>
        <w:t xml:space="preserve">adequate reasons why the relevant information is not necessary for the examination of the</w:t>
      </w:r>
      <w:r>
        <w:t xml:space="preserve"> </w:t>
      </w:r>
      <w:r>
        <w:t xml:space="preserve">case. If one of these two conditions were fulfilled, the notifying party would have a good</w:t>
      </w:r>
      <w:r>
        <w:t xml:space="preserve"> </w:t>
      </w:r>
      <w:r>
        <w:t xml:space="preserve">chance to obtain the waiver.</w:t>
      </w:r>
      <w:r>
        <w:br/>
      </w:r>
      <w:r>
        <w:t xml:space="preserve">The new specific section on waivers would also clearly outline which parts of the Form</w:t>
      </w:r>
      <w:r>
        <w:t xml:space="preserve"> </w:t>
      </w:r>
      <w:r>
        <w:t xml:space="preserve">CO are particularly suitable for a waiver request. For instance, a waiver for the entire</w:t>
      </w:r>
      <w:r>
        <w:t xml:space="preserve"> </w:t>
      </w:r>
      <w:r>
        <w:t xml:space="preserve">chapter 10 is proposed, which is about product differentiation and closeness of</w:t>
      </w:r>
      <w:r>
        <w:t xml:space="preserve"> </w:t>
      </w:r>
      <w:r>
        <w:t xml:space="preserve">competition.</w:t>
      </w:r>
      <w:r>
        <w:br/>
      </w:r>
      <w:r>
        <w:t xml:space="preserve">As a safeguard against under-enforcement, however, the Commission would retain the</w:t>
      </w:r>
      <w:r>
        <w:t xml:space="preserve"> </w:t>
      </w:r>
      <w:r>
        <w:t xml:space="preserve">right to ask for the information during the administrative procedure should this become</w:t>
      </w:r>
      <w:r>
        <w:t xml:space="preserve"> </w:t>
      </w:r>
      <w:r>
        <w:t xml:space="preserve">necessary to carry out a complete assessment of the case. As before, waivers would be</w:t>
      </w:r>
      <w:r>
        <w:t xml:space="preserve"> </w:t>
      </w:r>
      <w:r>
        <w:t xml:space="preserve">granted following a case-by-case assessment, but the clarified process would make it</w:t>
      </w:r>
      <w:r>
        <w:t xml:space="preserve"> </w:t>
      </w:r>
      <w:r>
        <w:t xml:space="preserve">more likely that notifying parties request waivers and that the Commission ultimately</w:t>
      </w:r>
      <w:r>
        <w:t xml:space="preserve"> </w:t>
      </w:r>
      <w:r>
        <w:t xml:space="preserve">grants them.</w:t>
      </w:r>
      <w:r>
        <w:br/>
      </w:r>
      <w:r>
        <w:t xml:space="preserve">5.2.5. Policy options regarding electronic transmissions of documents</w:t>
      </w:r>
      <w:r>
        <w:t xml:space="preserve"> </w:t>
      </w:r>
      <w:r>
        <w:t xml:space="preserve">Due to the exceptional sanitary measures taken in the context of the Covid-19 pandemic,</w:t>
      </w:r>
      <w:r>
        <w:t xml:space="preserve"> </w:t>
      </w:r>
      <w:r>
        <w:t xml:space="preserve">the Commission temporarily accepts and in fact, encourages, merger notifications in</w:t>
      </w:r>
      <w:r>
        <w:t xml:space="preserve"> </w:t>
      </w:r>
      <w:r>
        <w:t xml:space="preserve">digital format. However, following the submission of the electronic notification, in order</w:t>
      </w:r>
      <w:r>
        <w:t xml:space="preserve"> </w:t>
      </w:r>
      <w:r>
        <w:t xml:space="preserve">to comply with the existing Implementing Regulation, notifying parties are still obliged</w:t>
      </w:r>
      <w:r>
        <w:t xml:space="preserve"> </w:t>
      </w:r>
      <w:r>
        <w:t xml:space="preserve">to deliver a duly signed paper copy of the notification to the Commission, without delay.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Two options have been identified, taking advantage of DG Competition’s experience</w:t>
      </w:r>
      <w:r>
        <w:t xml:space="preserve"> </w:t>
      </w:r>
      <w:r>
        <w:t xml:space="preserve">regarding electronic notifications, to further promote the Commission’s digital</w:t>
      </w:r>
      <w:r>
        <w:t xml:space="preserve"> </w:t>
      </w:r>
      <w:r>
        <w:t xml:space="preserve">transformation and to simplify the notification process for the notifying parties and the</w:t>
      </w:r>
      <w:r>
        <w:t xml:space="preserve"> </w:t>
      </w:r>
      <w:r>
        <w:t xml:space="preserve">general exchange of case-related documents between the Commission and external</w:t>
      </w:r>
      <w:r>
        <w:t xml:space="preserve"> </w:t>
      </w:r>
      <w:r>
        <w:t xml:space="preserve">stakeholders.</w:t>
      </w:r>
      <w:r>
        <w:t xml:space="preserve"> </w:t>
      </w:r>
      <w:r>
        <w:t xml:space="preserve">Option 1: A system of electronic notifications followed by paper originals without delay</w:t>
      </w:r>
      <w:r>
        <w:t xml:space="preserve"> </w:t>
      </w:r>
      <w:r>
        <w:t xml:space="preserve">(i.e. as soon as possible).</w:t>
      </w:r>
      <w:r>
        <w:br/>
      </w:r>
      <w:r>
        <w:t xml:space="preserve">Option 2: Accept fully digital transmission of documents, including transmission of</w:t>
      </w:r>
      <w:r>
        <w:t xml:space="preserve"> </w:t>
      </w:r>
      <w:r>
        <w:t xml:space="preserve">notifications, using digital signatures.</w:t>
      </w:r>
      <w:r>
        <w:t xml:space="preserve"> </w:t>
      </w:r>
      <w:r>
        <w:t xml:space="preserve">The two options are alternatives.</w:t>
      </w:r>
      <w:r>
        <w:t xml:space="preserve"> </w:t>
      </w:r>
      <w:r>
        <w:t xml:space="preserve">As far as electronic notifications are concerned under both policy options, these would</w:t>
      </w:r>
      <w:r>
        <w:t xml:space="preserve"> </w:t>
      </w:r>
      <w:r>
        <w:t xml:space="preserve">initially be introduced using the Commission’s web-based exchange platform, eTrustEx.</w:t>
      </w:r>
      <w:r>
        <w:t xml:space="preserve"> </w:t>
      </w:r>
      <w:r>
        <w:t xml:space="preserve">eTrustEx is a corporate application and serves as a secure communication channel to</w:t>
      </w:r>
      <w:r>
        <w:t xml:space="preserve"> </w:t>
      </w:r>
      <w:r>
        <w:t xml:space="preserve">send documents to DG Competition. eTrustEx (which will soon be called “EU Send”)</w:t>
      </w:r>
      <w:r>
        <w:t xml:space="preserve"> </w:t>
      </w:r>
      <w:r>
        <w:t xml:space="preserve">supports message encryption, message integrity through the use of checksum algorithms,</w:t>
      </w:r>
      <w:r>
        <w:t xml:space="preserve"> </w:t>
      </w:r>
      <w:r>
        <w:t xml:space="preserve">authentication via EU Login and traceability. The platform has been in use for more than</w:t>
      </w:r>
      <w:r>
        <w:t xml:space="preserve"> </w:t>
      </w:r>
      <w:r>
        <w:t xml:space="preserve">two years in competition cases and the two policy options mentioned above entail no</w:t>
      </w:r>
      <w:r>
        <w:t xml:space="preserve"> </w:t>
      </w:r>
      <w:r>
        <w:t xml:space="preserve">further adaptation of the Commission’s IT systems or additional costs. More information</w:t>
      </w:r>
      <w:r>
        <w:t xml:space="preserve"> </w:t>
      </w:r>
      <w:r>
        <w:t xml:space="preserve">on eTrustEx can be found here.</w:t>
      </w:r>
      <w:r>
        <w:t xml:space="preserve"> </w:t>
      </w:r>
      <w:r>
        <w:t xml:space="preserve">Any given submission and its corresponding signature must be in the same format and</w:t>
      </w:r>
      <w:r>
        <w:t xml:space="preserve"> </w:t>
      </w:r>
      <w:r>
        <w:t xml:space="preserve">there must be a strong link between the two. For instance, a USB drive containing 1</w:t>
      </w:r>
      <w:r>
        <w:t xml:space="preserve"> </w:t>
      </w:r>
      <w:r>
        <w:t xml:space="preserve">million documents cannot be considered as validly signed if it is hand-delivered to the</w:t>
      </w:r>
      <w:r>
        <w:t xml:space="preserve"> </w:t>
      </w:r>
      <w:r>
        <w:t xml:space="preserve">Commission together with a hand-signed cover page. In this case, the link between the</w:t>
      </w:r>
      <w:r>
        <w:t xml:space="preserve"> </w:t>
      </w:r>
      <w:r>
        <w:t xml:space="preserve">electronic files and the paper cover page that contains the signature is not strong enough.</w:t>
      </w:r>
      <w:r>
        <w:br/>
      </w:r>
      <w:r>
        <w:t xml:space="preserve">Therefore, Option 1 requires a hand signed paper copy of the complete submission to be</w:t>
      </w:r>
      <w:r>
        <w:t xml:space="preserve"> </w:t>
      </w:r>
      <w:r>
        <w:t xml:space="preserve">hand delivered or sent to the Commission by registered post. Under option 2, where a</w:t>
      </w:r>
      <w:r>
        <w:t xml:space="preserve"> </w:t>
      </w:r>
      <w:r>
        <w:t xml:space="preserve">notification, including annexes (or any other documents), is provided to the Commission</w:t>
      </w:r>
      <w:r>
        <w:t xml:space="preserve"> </w:t>
      </w:r>
      <w:r>
        <w:t xml:space="preserve">in electronic format and is electronically signed with a valid digital signature, no paper</w:t>
      </w:r>
      <w:r>
        <w:t xml:space="preserve"> </w:t>
      </w:r>
      <w:r>
        <w:t xml:space="preserve">copy is required.</w:t>
      </w:r>
      <w:r>
        <w:t xml:space="preserve"> </w:t>
      </w:r>
      <w:r>
        <w:t xml:space="preserve">In addition, under Option 2, it may be appropriate for the Commission to accept, as a</w:t>
      </w:r>
      <w:r>
        <w:t xml:space="preserve"> </w:t>
      </w:r>
      <w:r>
        <w:t xml:space="preserve">back-up solution, a hand signed paper copy of the complete submission, to be hand</w:t>
      </w:r>
      <w:r>
        <w:t xml:space="preserve"> </w:t>
      </w:r>
      <w:r>
        <w:t xml:space="preserve">delivered or sent to the Commission by registered post. Option 2 remains the “digital by</w:t>
      </w:r>
      <w:r>
        <w:t xml:space="preserve"> </w:t>
      </w:r>
      <w:r>
        <w:t xml:space="preserve">default” option and a paper notification may be accepted only exceptionally, for instance,</w:t>
      </w:r>
      <w:r>
        <w:t xml:space="preserve"> </w:t>
      </w:r>
      <w:r>
        <w:t xml:space="preserve">where the notifying party cannot possibly sign electronically, or the validity of the digital</w:t>
      </w:r>
      <w:r>
        <w:t xml:space="preserve"> </w:t>
      </w:r>
      <w:r>
        <w:t xml:space="preserve">signature cannot be verified by the Commission.</w:t>
      </w:r>
      <w:r>
        <w:t xml:space="preserve"> </w:t>
      </w:r>
      <w:r>
        <w:t xml:space="preserve">6.</w:t>
      </w:r>
      <w:r>
        <w:t xml:space="preserve"> </w:t>
      </w:r>
      <w:r>
        <w:t xml:space="preserve">WHAT IS THE IMPACT OF THE DIFFERENT POLICY OPTIONS?</w:t>
      </w:r>
      <w:r>
        <w:t xml:space="preserve"> </w:t>
      </w:r>
      <w:r>
        <w:t xml:space="preserve">This section presents the main impact of the policy options described in Section 5.2</w:t>
      </w:r>
      <w:r>
        <w:t xml:space="preserve"> </w:t>
      </w:r>
      <w:r>
        <w:t xml:space="preserve">compared to the baseline scenario (which involves no change to any of the Commission’s</w:t>
      </w:r>
      <w:r>
        <w:t xml:space="preserve"> </w:t>
      </w:r>
      <w:r>
        <w:t xml:space="preserve">rules). These policy options would primarily affect undertakings that have to comply</w:t>
      </w:r>
      <w:r>
        <w:t xml:space="preserve"> </w:t>
      </w:r>
      <w:r>
        <w:t xml:space="preserve">with the provisions of EU merger control law. Indirectly, the policy options would also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affect EU citizens and undertakings that benefit from effective EU merger control. Other</w:t>
      </w:r>
      <w:r>
        <w:t xml:space="preserve"> </w:t>
      </w:r>
      <w:r>
        <w:t xml:space="preserve">important stakeholders are industry and business organisations; consumer associations;</w:t>
      </w:r>
      <w:r>
        <w:t xml:space="preserve"> </w:t>
      </w:r>
      <w:r>
        <w:t xml:space="preserve">formal and informal associations of professionals in EU competition law and policy;</w:t>
      </w:r>
      <w:r>
        <w:t xml:space="preserve"> </w:t>
      </w:r>
      <w:r>
        <w:t xml:space="preserve">NCAs, ministries and other government bodies in charge of competition law and policy</w:t>
      </w:r>
      <w:r>
        <w:t xml:space="preserve"> </w:t>
      </w:r>
      <w:r>
        <w:t xml:space="preserve">in Member States; and academics.</w:t>
      </w:r>
      <w:r>
        <w:t xml:space="preserve"> </w:t>
      </w:r>
      <w:r>
        <w:t xml:space="preserve">The following sub-sections assess the impact of the different policy options on: (i)the</w:t>
      </w:r>
      <w:r>
        <w:t xml:space="preserve"> </w:t>
      </w:r>
      <w:r>
        <w:t xml:space="preserve">internal market. EU competition policy has contributed significantly over the years to the</w:t>
      </w:r>
      <w:r>
        <w:t xml:space="preserve"> </w:t>
      </w:r>
      <w:r>
        <w:t xml:space="preserve">competitiveness of the EU economy and European businesses. It helps create the</w:t>
      </w:r>
      <w:r>
        <w:t xml:space="preserve"> </w:t>
      </w:r>
      <w:r>
        <w:t xml:space="preserve">conditions for growth, promotes efficiency and encourages innovation. Strong</w:t>
      </w:r>
      <w:r>
        <w:t xml:space="preserve"> </w:t>
      </w:r>
      <w:r>
        <w:t xml:space="preserve">competition between companies foster innovation that is key for economic growth, the</w:t>
      </w:r>
      <w:r>
        <w:t xml:space="preserve"> </w:t>
      </w:r>
      <w:r>
        <w:t xml:space="preserve">creation of jobs and to continue having leading industries in different sectors. Moreover,</w:t>
      </w:r>
      <w:r>
        <w:t xml:space="preserve"> </w:t>
      </w:r>
      <w:r>
        <w:t xml:space="preserve">competition is of paramount importance to keep low prices for consumers, thus</w:t>
      </w:r>
      <w:r>
        <w:t xml:space="preserve"> </w:t>
      </w:r>
      <w:r>
        <w:t xml:space="preserve">contributing to fairness. In this vein, the academic community of economists has pointed</w:t>
      </w:r>
      <w:r>
        <w:t xml:space="preserve"> </w:t>
      </w:r>
      <w:r>
        <w:t xml:space="preserve">to emerging empirical evidence that recent decades have been characterised by a trend</w:t>
      </w:r>
      <w:r>
        <w:t xml:space="preserve"> </w:t>
      </w:r>
      <w:r>
        <w:t xml:space="preserve">towards higher profit margins and more concentrated markets, in particular in the US,</w:t>
      </w:r>
      <w:r>
        <w:t xml:space="preserve"> </w:t>
      </w:r>
      <w:r>
        <w:t xml:space="preserve">leading to more inequality and lower wages. This section assess whether the different</w:t>
      </w:r>
      <w:r>
        <w:t xml:space="preserve"> </w:t>
      </w:r>
      <w:r>
        <w:t xml:space="preserve">policy options could create significant risks of under-enforcement (i.e. not intervening in</w:t>
      </w:r>
      <w:r>
        <w:t xml:space="preserve"> </w:t>
      </w:r>
      <w:r>
        <w:t xml:space="preserve">cases that would create competition concerns), thus having a negative impact on the</w:t>
      </w:r>
      <w:r>
        <w:t xml:space="preserve"> </w:t>
      </w:r>
      <w:r>
        <w:t xml:space="preserve">internal market; (ii) undertakings that have to comply with the provisions of EU merger</w:t>
      </w:r>
      <w:r>
        <w:t xml:space="preserve"> </w:t>
      </w:r>
      <w:r>
        <w:t xml:space="preserve">control law and the enforcement authority (i.e. the Commission); (iii) digitalisation; and</w:t>
      </w:r>
      <w:r>
        <w:t xml:space="preserve"> </w:t>
      </w:r>
      <w:r>
        <w:t xml:space="preserve">(iv) environmental issues. The evidence gathered during the impact assessment, notably</w:t>
      </w:r>
      <w:r>
        <w:t xml:space="preserve"> </w:t>
      </w:r>
      <w:r>
        <w:t xml:space="preserve">the feedback from the stakeholders and NCAs, shows that the different policy options</w:t>
      </w:r>
      <w:r>
        <w:t xml:space="preserve"> </w:t>
      </w:r>
      <w:r>
        <w:t xml:space="preserve">would not have any impact on social issues, SMEs, and fundamental rights. In particular,</w:t>
      </w:r>
      <w:r>
        <w:t xml:space="preserve"> </w:t>
      </w:r>
      <w:r>
        <w:t xml:space="preserve">with regard to impact on SMEs, an undertaking qualifies as an SME when it has an</w:t>
      </w:r>
      <w:r>
        <w:t xml:space="preserve"> </w:t>
      </w:r>
      <w:r>
        <w:t xml:space="preserve">annual turnover of EUR 50 million or less based on its approved accounts.29 By contrast,</w:t>
      </w:r>
      <w:r>
        <w:t xml:space="preserve"> </w:t>
      </w:r>
      <w:r>
        <w:t xml:space="preserve">the EU Merger Regulation captures concentrations between undertakings with much</w:t>
      </w:r>
      <w:r>
        <w:t xml:space="preserve"> </w:t>
      </w:r>
      <w:r>
        <w:t xml:space="preserve">higher turnovers (at least EUR 100 million in the EEA according to Article 1(2) and 1(3)</w:t>
      </w:r>
      <w:r>
        <w:t xml:space="preserve"> </w:t>
      </w:r>
      <w:r>
        <w:t xml:space="preserve">of the EU Merger Regulation). It is thus extremely unlikely that the EU Merger</w:t>
      </w:r>
      <w:r>
        <w:t xml:space="preserve"> </w:t>
      </w:r>
      <w:r>
        <w:t xml:space="preserve">Regulation (and the policy options discussed below) would apply to concentrations</w:t>
      </w:r>
      <w:r>
        <w:t xml:space="preserve"> </w:t>
      </w:r>
      <w:r>
        <w:t xml:space="preserve">involving SMEs. These areas are therefore not further discussed. As regards the impact</w:t>
      </w:r>
      <w:r>
        <w:t xml:space="preserve"> </w:t>
      </w:r>
      <w:r>
        <w:t xml:space="preserve">on competitiveness, overall the reduction in administrative burden for businesses</w:t>
      </w:r>
      <w:r>
        <w:t xml:space="preserve"> </w:t>
      </w:r>
      <w:r>
        <w:t xml:space="preserve">involved will make them more efficient preparing for and going through the merger</w:t>
      </w:r>
      <w:r>
        <w:t xml:space="preserve"> </w:t>
      </w:r>
      <w:r>
        <w:t xml:space="preserve">review process, thereby making them more competitive. However, given the small</w:t>
      </w:r>
      <w:r>
        <w:t xml:space="preserve"> </w:t>
      </w:r>
      <w:r>
        <w:t xml:space="preserve">number of businesses involved (in the hundreds) in a given year, the overall impact is</w:t>
      </w:r>
      <w:r>
        <w:t xml:space="preserve"> </w:t>
      </w:r>
      <w:r>
        <w:t xml:space="preserve">likely to be extremely limited and therefore will not be further discussed.</w:t>
      </w:r>
      <w:r>
        <w:t xml:space="preserve"> </w:t>
      </w:r>
      <w:r>
        <w:t xml:space="preserve">The assessment of the impact of the different policy options is subject to limitations,</w:t>
      </w:r>
      <w:r>
        <w:t xml:space="preserve"> </w:t>
      </w:r>
      <w:r>
        <w:t xml:space="preserve">which are similar to the limitations faced during the evaluation of the current rules.</w:t>
      </w:r>
      <w:r>
        <w:t xml:space="preserve"> </w:t>
      </w:r>
      <w:r>
        <w:t xml:space="preserve">In particular, it proved impossible to collect quantitative evidence on the costs and</w:t>
      </w:r>
      <w:r>
        <w:t xml:space="preserve"> </w:t>
      </w:r>
      <w:r>
        <w:t xml:space="preserve">benefits of each of the policy options identified.30</w:t>
      </w:r>
    </w:p>
    <w:p>
      <w:pPr>
        <w:pStyle w:val="BodyText"/>
      </w:pPr>
      <w:r>
        <w:t xml:space="preserve">29</w:t>
      </w:r>
      <w:r>
        <w:br/>
      </w:r>
      <w:r>
        <w:t xml:space="preserve">See Recommendation 2003/361/EC, Annex, Article 2.</w:t>
      </w:r>
      <w:r>
        <w:br/>
      </w:r>
      <w:r>
        <w:t xml:space="preserve">30</w:t>
      </w:r>
      <w:r>
        <w:br/>
      </w:r>
      <w:r>
        <w:t xml:space="preserve">The difficulty in quantifying the costs and benefits had already become apparent during the</w:t>
      </w:r>
      <w:r>
        <w:t xml:space="preserve"> </w:t>
      </w:r>
      <w:r>
        <w:t xml:space="preserve">Commission’s evaluation of selected procedural and jurisdictional aspects of EU merger control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It should be noted from the outset that, while savings for businesses involved in a</w:t>
      </w:r>
      <w:r>
        <w:t xml:space="preserve"> </w:t>
      </w:r>
      <w:r>
        <w:t xml:space="preserve">notification (notifying parties) may be significant, the aggregate impact of this initiative</w:t>
      </w:r>
      <w:r>
        <w:t xml:space="preserve"> </w:t>
      </w:r>
      <w:r>
        <w:t xml:space="preserve">on businesses in Europe is limited, given the relatively small number of companies</w:t>
      </w:r>
      <w:r>
        <w:t xml:space="preserve"> </w:t>
      </w:r>
      <w:r>
        <w:t xml:space="preserve">compared to the number of overall existing companies that notify a transaction to the</w:t>
      </w:r>
      <w:r>
        <w:t xml:space="preserve"> </w:t>
      </w:r>
      <w:r>
        <w:t xml:space="preserve">Commission every year: in the last 5 years, there were on average less than 400</w:t>
      </w:r>
      <w:r>
        <w:t xml:space="preserve"> </w:t>
      </w:r>
      <w:r>
        <w:t xml:space="preserve">notifications per year, which include most often only one notifying party. Moreover, the</w:t>
      </w:r>
      <w:r>
        <w:t xml:space="preserve"> </w:t>
      </w:r>
      <w:r>
        <w:t xml:space="preserve">additional number of cases captured by the simplified procedure will be limited.</w:t>
      </w:r>
      <w:r>
        <w:t xml:space="preserve"> </w:t>
      </w:r>
      <w:r>
        <w:t xml:space="preserve">More specifically, with regard to savings for the parties to a concentration, the costs of an</w:t>
      </w:r>
      <w:r>
        <w:t xml:space="preserve"> </w:t>
      </w:r>
      <w:r>
        <w:t xml:space="preserve">EU merger procedure include notably those resulting from preparing, drafting and</w:t>
      </w:r>
      <w:r>
        <w:t xml:space="preserve"> </w:t>
      </w:r>
      <w:r>
        <w:t xml:space="preserve">submitting an EU merger notification and from waiting for approval before implementing</w:t>
      </w:r>
      <w:r>
        <w:t xml:space="preserve"> </w:t>
      </w:r>
      <w:r>
        <w:t xml:space="preserve">the transaction. These costs may vary significantly depending on the scope and size of</w:t>
      </w:r>
      <w:r>
        <w:t xml:space="preserve"> </w:t>
      </w:r>
      <w:r>
        <w:t xml:space="preserve">the transaction, the number of markets involved or the complexity of the case. Due to</w:t>
      </w:r>
      <w:r>
        <w:t xml:space="preserve"> </w:t>
      </w:r>
      <w:r>
        <w:t xml:space="preserve">those variations, the Commission has only been able to use proxies for cost reductions.</w:t>
      </w:r>
      <w:r>
        <w:t xml:space="preserve"> </w:t>
      </w:r>
      <w:r>
        <w:t xml:space="preserve">The questionnaire for the Public Consultation gave respondents the opportunity to assess</w:t>
      </w:r>
      <w:r>
        <w:t xml:space="preserve"> </w:t>
      </w:r>
      <w:r>
        <w:t xml:space="preserve">the impacts of the proposed policy options in terms of reducing administrative burdens</w:t>
      </w:r>
      <w:r>
        <w:t xml:space="preserve"> </w:t>
      </w:r>
      <w:r>
        <w:t xml:space="preserve">and costs for businesses involved on a scale ranging from “no or negligible reduction” to</w:t>
      </w:r>
      <w:r>
        <w:t xml:space="preserve"> </w:t>
      </w:r>
      <w:r>
        <w:t xml:space="preserve">“moderate” to “significant reduction”. At the same time, respondents could add free-text</w:t>
      </w:r>
      <w:r>
        <w:t xml:space="preserve"> </w:t>
      </w:r>
      <w:r>
        <w:t xml:space="preserve">answers to such questions and were invited to provide further information.</w:t>
      </w:r>
      <w:r>
        <w:br/>
      </w:r>
      <w:r>
        <w:t xml:space="preserve">The Commission has attempted to quantify in monetary terms the cost savings for</w:t>
      </w:r>
      <w:r>
        <w:t xml:space="preserve"> </w:t>
      </w:r>
      <w:r>
        <w:t xml:space="preserve">businesses, asking stakeholders on several occasions to quantify these benefits and cost</w:t>
      </w:r>
      <w:r>
        <w:t xml:space="preserve"> </w:t>
      </w:r>
      <w:r>
        <w:t xml:space="preserve">reductions. Questions were included in the Public Consultation and the Commission also</w:t>
      </w:r>
      <w:r>
        <w:t xml:space="preserve"> </w:t>
      </w:r>
      <w:r>
        <w:t xml:space="preserve">sent more targeted follow-up questions by email to stakeholders that had replied to the</w:t>
      </w:r>
      <w:r>
        <w:t xml:space="preserve"> </w:t>
      </w:r>
      <w:r>
        <w:t xml:space="preserve">Public Consultation. In particular, the Commission asked a number of law firms and</w:t>
      </w:r>
      <w:r>
        <w:t xml:space="preserve"> </w:t>
      </w:r>
      <w:r>
        <w:t xml:space="preserve">associations representing multiple law firms and businesses that had stated in their replies</w:t>
      </w:r>
      <w:r>
        <w:t xml:space="preserve"> </w:t>
      </w:r>
      <w:r>
        <w:t xml:space="preserve">to the Public Consultation that the Commission’s proposals would limit the burden of</w:t>
      </w:r>
      <w:r>
        <w:t xml:space="preserve"> </w:t>
      </w:r>
      <w:r>
        <w:t xml:space="preserve">businesses related to merger control to provide quantitative evidence for their statement.</w:t>
      </w:r>
      <w:r>
        <w:t xml:space="preserve"> </w:t>
      </w:r>
      <w:r>
        <w:t xml:space="preserve">Even following a reminder sent to these respondents, the Commission only received</w:t>
      </w:r>
      <w:r>
        <w:t xml:space="preserve"> </w:t>
      </w:r>
      <w:r>
        <w:t xml:space="preserve">limited replies, which do not include sufficient information or data to accurately estimate</w:t>
      </w:r>
      <w:r>
        <w:t xml:space="preserve"> </w:t>
      </w:r>
      <w:r>
        <w:t xml:space="preserve">costs savings in terms of time or money. In this regard, an association of law firms</w:t>
      </w:r>
      <w:r>
        <w:t xml:space="preserve"> </w:t>
      </w:r>
      <w:r>
        <w:t xml:space="preserve">explained that “estimating costs related to M&amp;A transactions is a nearly impossible task.</w:t>
      </w:r>
      <w:r>
        <w:t xml:space="preserve"> </w:t>
      </w:r>
      <w:r>
        <w:t xml:space="preserve">The cost of a transaction will be very case-specific, and very much depend on the</w:t>
      </w:r>
      <w:r>
        <w:t xml:space="preserve"> </w:t>
      </w:r>
      <w:r>
        <w:t xml:space="preserve">industry, the parties, the complexity of the case, the market dynamics, the timeline, the</w:t>
      </w:r>
      <w:r>
        <w:t xml:space="preserve"> </w:t>
      </w:r>
      <w:r>
        <w:t xml:space="preserve">outside counsels involved”.</w:t>
      </w:r>
      <w:r>
        <w:br/>
      </w:r>
      <w:r>
        <w:t xml:space="preserve">Only two respondents provided rough estimates of the costs of a simplified procedure</w:t>
      </w:r>
      <w:r>
        <w:t xml:space="preserve"> </w:t>
      </w:r>
      <w:r>
        <w:t xml:space="preserve">and one respondent provided rough estimates of the costs of a normal procedure. On the</w:t>
      </w:r>
      <w:r>
        <w:t xml:space="preserve"> </w:t>
      </w:r>
      <w:r>
        <w:t xml:space="preserve">costs of a simplified procedure, while the first respondent estimated that on average a</w:t>
      </w:r>
      <w:r>
        <w:t xml:space="preserve"> </w:t>
      </w:r>
      <w:r>
        <w:t xml:space="preserve">simplified procedure implies EUR 115 000 in costs of legal fees, an amount that</w:t>
      </w:r>
      <w:r>
        <w:t xml:space="preserve"> </w:t>
      </w:r>
      <w:r>
        <w:t xml:space="preserve">according to this respondent should probably be doubled to take into account the costs</w:t>
      </w:r>
      <w:r>
        <w:t xml:space="preserve"> </w:t>
      </w:r>
      <w:r>
        <w:t xml:space="preserve">for preparation and support provided internally by the parties to the concentration, the</w:t>
      </w:r>
      <w:r>
        <w:t xml:space="preserve"> </w:t>
      </w:r>
      <w:r>
        <w:t xml:space="preserve">second respondent provided a largely different amount, estimating that a simplified</w:t>
      </w:r>
      <w:r>
        <w:t xml:space="preserve"> </w:t>
      </w:r>
      <w:r>
        <w:t xml:space="preserve">procedure costs generally EUR 50 000. These significant differences between only these</w:t>
      </w:r>
    </w:p>
    <w:p>
      <w:pPr>
        <w:pStyle w:val="BodyText"/>
      </w:pPr>
      <w:r>
        <w:t xml:space="preserve">(2016-2021). See Commission Staff Working Document – Evaluation of procedural and jurisdictional</w:t>
      </w:r>
      <w:r>
        <w:t xml:space="preserve"> </w:t>
      </w:r>
      <w:r>
        <w:t xml:space="preserve">aspects of EU merger control, 26 March 2021, SWD(2021)66 final, para. 75.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two replies show the inherent difficulties of quantifying costs with any precision. The</w:t>
      </w:r>
      <w:r>
        <w:t xml:space="preserve"> </w:t>
      </w:r>
      <w:r>
        <w:t xml:space="preserve">only respondent that provided data for a Phase 1 non-simplified procedure estimated that</w:t>
      </w:r>
      <w:r>
        <w:t xml:space="preserve"> </w:t>
      </w:r>
      <w:r>
        <w:t xml:space="preserve">such a procedure costs on average EUR 700 000 in legal fees plus internal costs.</w:t>
      </w:r>
      <w:r>
        <w:br/>
      </w:r>
      <w:r>
        <w:t xml:space="preserve">The respondents mentioned that in terms of cost savings, “a further simplification of the</w:t>
      </w:r>
      <w:r>
        <w:t xml:space="preserve"> </w:t>
      </w:r>
      <w:r>
        <w:t xml:space="preserve">merger rules as envisaged by the current reform would likely have a significant impact”</w:t>
      </w:r>
      <w:r>
        <w:t xml:space="preserve"> </w:t>
      </w:r>
      <w:r>
        <w:t xml:space="preserve">One respondent referred in this context to a reduction “in terms of the number of business</w:t>
      </w:r>
      <w:r>
        <w:t xml:space="preserve"> </w:t>
      </w:r>
      <w:r>
        <w:t xml:space="preserve">people involved, and the timing for the preparation and the pre-notification phase”, for</w:t>
      </w:r>
      <w:r>
        <w:t xml:space="preserve"> </w:t>
      </w:r>
      <w:r>
        <w:t xml:space="preserve">which it estimates a reduction of 1 month in some cases. Another respondent mentioned</w:t>
      </w:r>
      <w:r>
        <w:t xml:space="preserve"> </w:t>
      </w:r>
      <w:r>
        <w:t xml:space="preserve">in this context that “Even a week saved in pre-notification could save several thousands</w:t>
      </w:r>
      <w:r>
        <w:t xml:space="preserve"> </w:t>
      </w:r>
      <w:r>
        <w:t xml:space="preserve">of Euros in legal fees for a client”.</w:t>
      </w:r>
      <w:r>
        <w:t xml:space="preserve"> </w:t>
      </w:r>
      <w:r>
        <w:t xml:space="preserve">Overall, while it is clear that it is impossible to quantify costs savings precisely, it can be</w:t>
      </w:r>
      <w:r>
        <w:t xml:space="preserve"> </w:t>
      </w:r>
      <w:r>
        <w:t xml:space="preserve">concluded that as a result of the simplification and streamlining of merger control</w:t>
      </w:r>
      <w:r>
        <w:t xml:space="preserve"> </w:t>
      </w:r>
      <w:r>
        <w:t xml:space="preserve">procedures, for each case that would fall under the simplified procedure, and possibly</w:t>
      </w:r>
      <w:r>
        <w:t xml:space="preserve"> </w:t>
      </w:r>
      <w:r>
        <w:t xml:space="preserve">also the non-simplified procedure, the notifying parties could save several hundreds of</w:t>
      </w:r>
      <w:r>
        <w:t xml:space="preserve"> </w:t>
      </w:r>
      <w:r>
        <w:t xml:space="preserve">thousands of euros. This was confirmed by the large majority of private stakeholders that</w:t>
      </w:r>
      <w:r>
        <w:t xml:space="preserve"> </w:t>
      </w:r>
      <w:r>
        <w:t xml:space="preserve">considered that the introduction of the preferred option would be beneficial and consider</w:t>
      </w:r>
      <w:r>
        <w:t xml:space="preserve"> </w:t>
      </w:r>
      <w:r>
        <w:t xml:space="preserve">that it would bring a moderate to significant reduction of administrative burden and costs</w:t>
      </w:r>
      <w:r>
        <w:t xml:space="preserve"> </w:t>
      </w:r>
      <w:r>
        <w:t xml:space="preserve">for businesses in response to the Public Consultation. Saving several hundreds of</w:t>
      </w:r>
      <w:r>
        <w:t xml:space="preserve"> </w:t>
      </w:r>
      <w:r>
        <w:t xml:space="preserve">thousands euros is a significant cost reduction for the individual companies involved in</w:t>
      </w:r>
      <w:r>
        <w:t xml:space="preserve"> </w:t>
      </w:r>
      <w:r>
        <w:t xml:space="preserve">the notification of a case.</w:t>
      </w:r>
      <w:r>
        <w:t xml:space="preserve"> </w:t>
      </w:r>
      <w:r>
        <w:t xml:space="preserve">The impact of electronic notifications and transmission of documents is expected to be</w:t>
      </w:r>
      <w:r>
        <w:t xml:space="preserve"> </w:t>
      </w:r>
      <w:r>
        <w:t xml:space="preserve">significant as this concerns all cases, whether simplified or not. As the notifying party</w:t>
      </w:r>
      <w:r>
        <w:t xml:space="preserve"> </w:t>
      </w:r>
      <w:r>
        <w:t xml:space="preserve">can be based anywhere outside Brussels, it is very challenging to calculate the cost of</w:t>
      </w:r>
      <w:r>
        <w:t xml:space="preserve"> </w:t>
      </w:r>
      <w:r>
        <w:t xml:space="preserve">posting paper originals to Brussels (as is currently required), or the actual delay incurred</w:t>
      </w:r>
      <w:r>
        <w:t xml:space="preserve"> </w:t>
      </w:r>
      <w:r>
        <w:t xml:space="preserve">by printing and posting a notification to the Commission. In an attempt to provide an</w:t>
      </w:r>
      <w:r>
        <w:t xml:space="preserve"> </w:t>
      </w:r>
      <w:r>
        <w:t xml:space="preserve">alternative quantification methodology, the Commission was able to extract statistics on</w:t>
      </w:r>
      <w:r>
        <w:t xml:space="preserve"> </w:t>
      </w:r>
      <w:r>
        <w:t xml:space="preserve">the size of notifications as these are registered in DG Competition’s Case Management</w:t>
      </w:r>
      <w:r>
        <w:t xml:space="preserve"> </w:t>
      </w:r>
      <w:r>
        <w:t xml:space="preserve">IT tool. From 1/9/2021 to 1/9/2022, the total size of 386 registered notifications was</w:t>
      </w:r>
      <w:r>
        <w:t xml:space="preserve"> </w:t>
      </w:r>
      <w:r>
        <w:t xml:space="preserve">249 245,03 megabytes. resulting in 646 megabytes on average per notification. This</w:t>
      </w:r>
      <w:r>
        <w:t xml:space="preserve"> </w:t>
      </w:r>
      <w:r>
        <w:t xml:space="preserve">number is aligned with case-related experience whereas the notification of a simplified</w:t>
      </w:r>
      <w:r>
        <w:t xml:space="preserve"> </w:t>
      </w:r>
      <w:r>
        <w:t xml:space="preserve">case could contain 2 000 – 3 000 pages and that of a non-simplified case could contain up</w:t>
      </w:r>
      <w:r>
        <w:t xml:space="preserve"> </w:t>
      </w:r>
      <w:r>
        <w:t xml:space="preserve">to 20 000 pages. Therefore, the preferred option has a significantly positive impact in</w:t>
      </w:r>
      <w:r>
        <w:t xml:space="preserve"> </w:t>
      </w:r>
      <w:r>
        <w:t xml:space="preserve">terms of costs and on the environment as these amounts of paper would not have to be</w:t>
      </w:r>
      <w:r>
        <w:t xml:space="preserve"> </w:t>
      </w:r>
      <w:r>
        <w:t xml:space="preserve">printed and posted to Brussels for a merger transaction to be notified. Against this</w:t>
      </w:r>
      <w:r>
        <w:t xml:space="preserve"> </w:t>
      </w:r>
      <w:r>
        <w:t xml:space="preserve">background, the present impact assessment relies to a significant extent on qualitative</w:t>
      </w:r>
      <w:r>
        <w:t xml:space="preserve"> </w:t>
      </w:r>
      <w:r>
        <w:t xml:space="preserve">evidence and especially on the feedback of stakeholders and NCAs. The feedback of</w:t>
      </w:r>
      <w:r>
        <w:t xml:space="preserve"> </w:t>
      </w:r>
      <w:r>
        <w:t xml:space="preserve">stakeholders and NCAs is of particular importance. Companies subject to EU merger</w:t>
      </w:r>
      <w:r>
        <w:t xml:space="preserve"> </w:t>
      </w:r>
      <w:r>
        <w:t xml:space="preserve">control and law firms involved are the primary “users” of the Notice on Simplified</w:t>
      </w:r>
      <w:r>
        <w:t xml:space="preserve"> </w:t>
      </w:r>
      <w:r>
        <w:t xml:space="preserve">Procedure and the Implementing Regulation and its annexes containing notification and</w:t>
      </w:r>
      <w:r>
        <w:t xml:space="preserve"> </w:t>
      </w:r>
      <w:r>
        <w:t xml:space="preserve">other forms. They are the ones with relevant practical experience on the impact of the</w:t>
      </w:r>
      <w:r>
        <w:t xml:space="preserve"> </w:t>
      </w:r>
      <w:r>
        <w:t xml:space="preserve">different rules. NCAs have experience in merger control in their respective Member</w:t>
      </w:r>
      <w:r>
        <w:t xml:space="preserve"> </w:t>
      </w:r>
      <w:r>
        <w:t xml:space="preserve">States. The views of stakeholders and NCAs were sought in the context of two public</w:t>
      </w:r>
      <w:r>
        <w:t xml:space="preserve"> </w:t>
      </w:r>
      <w:r>
        <w:t xml:space="preserve">consultations. NCAs were also frequently consulted in the context of Merger Working</w:t>
      </w:r>
      <w:r>
        <w:t xml:space="preserve"> </w:t>
      </w:r>
      <w:r>
        <w:t xml:space="preserve">Group meetings (i.e., regular meetings between the Commission and the NCAs).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The Commission analysed carefully but critically all stakeholder feedback, recognising</w:t>
      </w:r>
      <w:r>
        <w:t xml:space="preserve"> </w:t>
      </w:r>
      <w:r>
        <w:t xml:space="preserve">that not every view reflects the opinion of all stakeholders. The Commission sought to</w:t>
      </w:r>
      <w:r>
        <w:t xml:space="preserve"> </w:t>
      </w:r>
      <w:r>
        <w:t xml:space="preserve">confirm whether a particular view was held by all or by only specific categories of</w:t>
      </w:r>
      <w:r>
        <w:t xml:space="preserve"> </w:t>
      </w:r>
      <w:r>
        <w:t xml:space="preserve">stakeholders.</w:t>
      </w:r>
      <w:r>
        <w:t xml:space="preserve"> </w:t>
      </w:r>
      <w:r>
        <w:t xml:space="preserve">In addition to the feedback received from stakeholders, several internal work streams</w:t>
      </w:r>
      <w:r>
        <w:t xml:space="preserve"> </w:t>
      </w:r>
      <w:r>
        <w:t xml:space="preserve">were launched to assess the impact of different policy options in each</w:t>
      </w:r>
      <w:r>
        <w:t xml:space="preserve"> </w:t>
      </w:r>
      <w:r>
        <w:t xml:space="preserve">simplification/streamlining area.</w:t>
      </w:r>
      <w:r>
        <w:br/>
      </w:r>
      <w:r>
        <w:t xml:space="preserve">First, the Commission carried out extensive internal research in order to assess the</w:t>
      </w:r>
      <w:r>
        <w:t xml:space="preserve"> </w:t>
      </w:r>
      <w:r>
        <w:t xml:space="preserve">proposals made. In particular, the Commission reviewed: (i) the intervention cases31 in</w:t>
      </w:r>
      <w:r>
        <w:t xml:space="preserve"> </w:t>
      </w:r>
      <w:r>
        <w:t xml:space="preserve">2015-2020 in order to assess the risks of introducing new categories of simplified cases</w:t>
      </w:r>
      <w:r>
        <w:t xml:space="preserve"> </w:t>
      </w:r>
      <w:r>
        <w:t xml:space="preserve">and (ii) all normal (non-simplified) cases in January 2020-June 2021 in order to quantify</w:t>
      </w:r>
      <w:r>
        <w:t xml:space="preserve"> </w:t>
      </w:r>
      <w:r>
        <w:t xml:space="preserve">the benefits of the introduction of new categories of simplified cases.32 The research on</w:t>
      </w:r>
      <w:r>
        <w:t xml:space="preserve"> </w:t>
      </w:r>
      <w:r>
        <w:t xml:space="preserve">intervention cases covers the period from 2015-2020 to ensure a sufficient number of</w:t>
      </w:r>
      <w:r>
        <w:t xml:space="preserve"> </w:t>
      </w:r>
      <w:r>
        <w:t xml:space="preserve">cases is analysed, as the number of intervention per year is limited. The reach on the</w:t>
      </w:r>
      <w:r>
        <w:t xml:space="preserve"> </w:t>
      </w:r>
      <w:r>
        <w:t xml:space="preserve">number of horizontal overlaps and vertical relationships on normal cases that would fall</w:t>
      </w:r>
      <w:r>
        <w:t xml:space="preserve"> </w:t>
      </w:r>
      <w:r>
        <w:t xml:space="preserve">under one of the categories of the simplified procedure is limited to the period from</w:t>
      </w:r>
      <w:r>
        <w:t xml:space="preserve"> </w:t>
      </w:r>
      <w:r>
        <w:t xml:space="preserve">January 2020 to June 2021, as it includes several thousands of horizontal overlaps and</w:t>
      </w:r>
      <w:r>
        <w:t xml:space="preserve"> </w:t>
      </w:r>
      <w:r>
        <w:t xml:space="preserve">several thousands of vertical relationships.</w:t>
      </w:r>
      <w:r>
        <w:t xml:space="preserve"> </w:t>
      </w:r>
      <w:r>
        <w:t xml:space="preserve">It should be noted that a case can be treated under the simplified procedure only if all</w:t>
      </w:r>
      <w:r>
        <w:t xml:space="preserve"> </w:t>
      </w:r>
      <w:r>
        <w:t xml:space="preserve">horizontal overlaps and vertical relationships fall under at least one of the categories of</w:t>
      </w:r>
      <w:r>
        <w:t xml:space="preserve"> </w:t>
      </w:r>
      <w:r>
        <w:t xml:space="preserve">cases included in the Notice on Simplified Procedure. If only one horizontal overlap or</w:t>
      </w:r>
      <w:r>
        <w:t xml:space="preserve"> </w:t>
      </w:r>
      <w:r>
        <w:t xml:space="preserve">vertical relationship exceeds the thresholds established in the Notice, the entire case</w:t>
      </w:r>
      <w:r>
        <w:t xml:space="preserve"> </w:t>
      </w:r>
      <w:r>
        <w:t xml:space="preserve">should be assessed under the normal procedure, even if the majority of horizontal</w:t>
      </w:r>
      <w:r>
        <w:t xml:space="preserve"> </w:t>
      </w:r>
      <w:r>
        <w:t xml:space="preserve">overlaps and vertical relationships falls under one of the categories of the simplified</w:t>
      </w:r>
      <w:r>
        <w:t xml:space="preserve"> </w:t>
      </w:r>
      <w:r>
        <w:t xml:space="preserve">procedure. Under the normal procedure, each horizontal overlap or vertical relationship</w:t>
      </w:r>
      <w:r>
        <w:t xml:space="preserve"> </w:t>
      </w:r>
      <w:r>
        <w:t xml:space="preserve">falling under the established threshold does not need to be assessed in detail in the final</w:t>
      </w:r>
      <w:r>
        <w:t xml:space="preserve"> </w:t>
      </w:r>
      <w:r>
        <w:t xml:space="preserve">decision. Therefore, increasing the threshold also have an impact on burden reduction on</w:t>
      </w:r>
      <w:r>
        <w:t xml:space="preserve"> </w:t>
      </w:r>
      <w:r>
        <w:t xml:space="preserve">normal cases.</w:t>
      </w:r>
    </w:p>
    <w:p>
      <w:pPr>
        <w:pStyle w:val="BodyText"/>
      </w:pPr>
      <w:r>
        <w:t xml:space="preserve">Second, the Commission modified the internal data collection used in simplified and</w:t>
      </w:r>
      <w:r>
        <w:t xml:space="preserve"> </w:t>
      </w:r>
      <w:r>
        <w:t xml:space="preserve">normal cases in order to gather relevant information on current cases. For instance, the</w:t>
      </w:r>
      <w:r>
        <w:t xml:space="preserve"> </w:t>
      </w:r>
      <w:r>
        <w:t xml:space="preserve">Commission calculated the total number of requests for information sent in pre-</w:t>
      </w:r>
      <w:r>
        <w:t xml:space="preserve"> </w:t>
      </w:r>
      <w:r>
        <w:t xml:space="preserve">notification in simplified cases and the number of questions on jurisdictional issues and</w:t>
      </w:r>
      <w:r>
        <w:t xml:space="preserve"> </w:t>
      </w:r>
      <w:r>
        <w:t xml:space="preserve">on substantive assessment.</w:t>
      </w:r>
      <w:r>
        <w:br/>
      </w:r>
      <w:r>
        <w:t xml:space="preserve">Regarding cost savings, this section focuses on i) calculating the number of additional</w:t>
      </w:r>
      <w:r>
        <w:t xml:space="preserve"> </w:t>
      </w:r>
      <w:r>
        <w:t xml:space="preserve">cases that would be captured by the simplified procedure, ii) calculating the number of</w:t>
      </w:r>
      <w:r>
        <w:t xml:space="preserve"> </w:t>
      </w:r>
      <w:r>
        <w:t xml:space="preserve">horizontal overlaps and vertical relationships that will not have to be assessed under the</w:t>
      </w:r>
      <w:r>
        <w:t xml:space="preserve"> </w:t>
      </w:r>
      <w:r>
        <w:t xml:space="preserve">normal procedure and iii) reporting on the feedback provided by respondents to the</w:t>
      </w:r>
      <w:r>
        <w:t xml:space="preserve"> </w:t>
      </w:r>
      <w:r>
        <w:t xml:space="preserve">Public Consultation.</w:t>
      </w:r>
    </w:p>
    <w:p>
      <w:pPr>
        <w:pStyle w:val="BodyText"/>
      </w:pPr>
      <w:r>
        <w:t xml:space="preserve">31</w:t>
      </w:r>
      <w:r>
        <w:br/>
      </w:r>
      <w:r>
        <w:t xml:space="preserve">Namely, prohibitions, conditional approvals and withdrawals of notifications in Phase II.</w:t>
      </w:r>
      <w:r>
        <w:br/>
      </w:r>
      <w:r>
        <w:t xml:space="preserve">32</w:t>
      </w:r>
      <w:r>
        <w:br/>
      </w:r>
      <w:r>
        <w:t xml:space="preserve">The Commission used this research to estimate the number of unproblematic cases and/or markets</w:t>
      </w:r>
      <w:r>
        <w:t xml:space="preserve"> </w:t>
      </w:r>
      <w:r>
        <w:t xml:space="preserve">that would have benefitted from a simplified/streamlined review based on the new categories</w:t>
      </w:r>
      <w:r>
        <w:t xml:space="preserve"> </w:t>
      </w:r>
      <w:r>
        <w:t xml:space="preserve">proposed.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6.1.</w:t>
      </w:r>
      <w:r>
        <w:t xml:space="preserve"> </w:t>
      </w:r>
      <w:r>
        <w:t xml:space="preserve">Expanding and clarifying the categories of simplified cases falling under</w:t>
      </w:r>
      <w:r>
        <w:t xml:space="preserve"> </w:t>
      </w:r>
      <w:r>
        <w:t xml:space="preserve">the simplified procedure</w:t>
      </w:r>
      <w:r>
        <w:t xml:space="preserve"> </w:t>
      </w:r>
      <w:r>
        <w:t xml:space="preserve">6.1.1. Impact on the internal market</w:t>
      </w:r>
      <w:r>
        <w:t xml:space="preserve"> </w:t>
      </w:r>
      <w:r>
        <w:t xml:space="preserve">The impact assessment shows that Option 1 would have a neutral impact on the internal</w:t>
      </w:r>
      <w:r>
        <w:t xml:space="preserve"> </w:t>
      </w:r>
      <w:r>
        <w:t xml:space="preserve">market. Different thresholds can be considered for the flexibility clause (i.e. 1% or 5%</w:t>
      </w:r>
      <w:r>
        <w:t xml:space="preserve"> </w:t>
      </w:r>
      <w:r>
        <w:t xml:space="preserve">above the current thresholds for horizontal overlaps or vertical relations). The</w:t>
      </w:r>
      <w:r>
        <w:t xml:space="preserve"> </w:t>
      </w:r>
      <w:r>
        <w:t xml:space="preserve">Commission assessed the impact of introducing the highest threshold. Given that</w:t>
      </w:r>
      <w:r>
        <w:t xml:space="preserve"> </w:t>
      </w:r>
      <w:r>
        <w:t xml:space="preserve">introducing the highest threshold would not have any significant impact on the internal</w:t>
      </w:r>
      <w:r>
        <w:t xml:space="preserve"> </w:t>
      </w:r>
      <w:r>
        <w:t xml:space="preserve">market, it is not necessary to assess the impact of introducing a lower threshold, as its</w:t>
      </w:r>
      <w:r>
        <w:t xml:space="preserve"> </w:t>
      </w:r>
      <w:r>
        <w:t xml:space="preserve">impact would be smaller by definition.</w:t>
      </w:r>
      <w:r>
        <w:t xml:space="preserve"> </w:t>
      </w:r>
      <w:r>
        <w:t xml:space="preserve">Regarding Options 1a and 1b, in response to the Public Consultation, private</w:t>
      </w:r>
      <w:r>
        <w:t xml:space="preserve"> </w:t>
      </w:r>
      <w:r>
        <w:t xml:space="preserve">stakeholders and the very few public authorities that replied expressed unanimous</w:t>
      </w:r>
      <w:r>
        <w:t xml:space="preserve"> </w:t>
      </w:r>
      <w:r>
        <w:t xml:space="preserve">support for the introduction of a flexibility clause for cases in which the current market</w:t>
      </w:r>
      <w:r>
        <w:t xml:space="preserve"> </w:t>
      </w:r>
      <w:r>
        <w:t xml:space="preserve">share thresholds of simplified cases are slightly exceeded by up to 5% (i.e. 20-25%</w:t>
      </w:r>
      <w:r>
        <w:t xml:space="preserve"> </w:t>
      </w:r>
      <w:r>
        <w:t xml:space="preserve">combined share for horizontal overlaps and 30-35% individual or combined share for</w:t>
      </w:r>
      <w:r>
        <w:t xml:space="preserve"> </w:t>
      </w:r>
      <w:r>
        <w:t xml:space="preserve">vertical relationships), as these cases are perceived as generally unproblematic.33</w:t>
      </w:r>
      <w:r>
        <w:t xml:space="preserve"> </w:t>
      </w:r>
      <w:r>
        <w:t xml:space="preserve">Moreover, a number of stakeholders called for even greater flexibility in applying the</w:t>
      </w:r>
      <w:r>
        <w:t xml:space="preserve"> </w:t>
      </w:r>
      <w:r>
        <w:t xml:space="preserve">simplified procedure either by increasing the flexibility thresholds further (e.g. up to 30%</w:t>
      </w:r>
      <w:r>
        <w:t xml:space="preserve"> </w:t>
      </w:r>
      <w:r>
        <w:t xml:space="preserve">combined share for horizontal overlaps) or even giving the Commission the discretion to</w:t>
      </w:r>
      <w:r>
        <w:t xml:space="preserve"> </w:t>
      </w:r>
      <w:r>
        <w:t xml:space="preserve">treat under the simplified procedure any case (without market share limit), if it is clear</w:t>
      </w:r>
      <w:r>
        <w:t xml:space="preserve"> </w:t>
      </w:r>
      <w:r>
        <w:t xml:space="preserve">that the transaction will not have any appreciable effect on competition. In response to</w:t>
      </w:r>
      <w:r>
        <w:t xml:space="preserve"> </w:t>
      </w:r>
      <w:r>
        <w:t xml:space="preserve">the Consultation of Stakeholders, both private and public respondents expressed</w:t>
      </w:r>
      <w:r>
        <w:t xml:space="preserve"> </w:t>
      </w:r>
      <w:r>
        <w:t xml:space="preserve">unanimous support for the introduction of a flexibility clause for horizontal overlaps with</w:t>
      </w:r>
      <w:r>
        <w:t xml:space="preserve"> </w:t>
      </w:r>
      <w:r>
        <w:t xml:space="preserve">combined market shares between 20 and 25%. Moreover, similar to the Public</w:t>
      </w:r>
      <w:r>
        <w:t xml:space="preserve"> </w:t>
      </w:r>
      <w:r>
        <w:t xml:space="preserve">Consultation, a few private stakeholders called for even greater flexibility for the</w:t>
      </w:r>
      <w:r>
        <w:t xml:space="preserve"> </w:t>
      </w:r>
      <w:r>
        <w:t xml:space="preserve">Commission, by increasing the flexibility thresholds further (e.g. up to 30% for</w:t>
      </w:r>
      <w:r>
        <w:t xml:space="preserve"> </w:t>
      </w:r>
      <w:r>
        <w:t xml:space="preserve">horizontal overlaps) or even to give the Commission discretion to treat under the</w:t>
      </w:r>
      <w:r>
        <w:t xml:space="preserve"> </w:t>
      </w:r>
      <w:r>
        <w:t xml:space="preserve">simplified procedure any case in which it is clear that the transaction will not have any</w:t>
      </w:r>
      <w:r>
        <w:t xml:space="preserve"> </w:t>
      </w:r>
      <w:r>
        <w:t xml:space="preserve">appreciable effect on competition. However, as explained in section 5, the Commission</w:t>
      </w:r>
      <w:r>
        <w:t xml:space="preserve"> </w:t>
      </w:r>
      <w:r>
        <w:t xml:space="preserve">does not consider it appropriate to introduce a flexibility clause going beyond 35% for</w:t>
      </w:r>
      <w:r>
        <w:t xml:space="preserve"> </w:t>
      </w:r>
      <w:r>
        <w:t xml:space="preserve">horizontal overlaps.</w:t>
      </w:r>
      <w:r>
        <w:t xml:space="preserve"> </w:t>
      </w:r>
      <w:r>
        <w:t xml:space="preserve">As regards horizontal overlaps, the internal research on intervention cases shows that</w:t>
      </w:r>
      <w:r>
        <w:t xml:space="preserve"> </w:t>
      </w:r>
      <w:r>
        <w:t xml:space="preserve">none of the 127 cases in which the Commission intervened in the period 2015-2020</w:t>
      </w:r>
      <w:r>
        <w:t xml:space="preserve"> </w:t>
      </w:r>
      <w:r>
        <w:t xml:space="preserve">would have completely fallen under the simplified procedure with an application of</w:t>
      </w:r>
      <w:r>
        <w:t xml:space="preserve"> </w:t>
      </w:r>
      <w:r>
        <w:t xml:space="preserve">Option 1a, but some of the affected markets would have (see Annex 5). Looking</w:t>
      </w:r>
      <w:r>
        <w:t xml:space="preserve"> </w:t>
      </w:r>
      <w:r>
        <w:t xml:space="preserve">individually at all the markets in which the Commission intervened, 23 cases (18%) out</w:t>
      </w:r>
      <w:r>
        <w:t xml:space="preserve"> </w:t>
      </w:r>
      <w:r>
        <w:t xml:space="preserve">of the total of 127 intervention cases presented some markets with horizontal overlaps</w:t>
      </w:r>
      <w:r>
        <w:t xml:space="preserve"> </w:t>
      </w:r>
      <w:r>
        <w:t xml:space="preserve">with a combined market share below 25%. However, had the proposed flexibility clause</w:t>
      </w:r>
      <w:r>
        <w:t xml:space="preserve"> </w:t>
      </w:r>
      <w:r>
        <w:t xml:space="preserve">already been in place, it would have been very unlikely that any of these cases would</w:t>
      </w:r>
    </w:p>
    <w:p>
      <w:pPr>
        <w:pStyle w:val="BodyText"/>
      </w:pPr>
      <w:r>
        <w:t xml:space="preserve">33</w:t>
      </w:r>
      <w:r>
        <w:br/>
      </w:r>
      <w:r>
        <w:t xml:space="preserve">In this regard, the French Competition Authority has pointed out in its reply to the public consultation</w:t>
      </w:r>
      <w:r>
        <w:t xml:space="preserve"> </w:t>
      </w:r>
      <w:r>
        <w:t xml:space="preserve">that in France the threshold to treat cases under the simplified procedure is fixed at 25% for horizontal</w:t>
      </w:r>
      <w:r>
        <w:t xml:space="preserve"> </w:t>
      </w:r>
      <w:r>
        <w:t xml:space="preserve">overlaps.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have been treated under the simplified procedure or any of these markets would have</w:t>
      </w:r>
      <w:r>
        <w:t xml:space="preserve"> </w:t>
      </w:r>
      <w:r>
        <w:t xml:space="preserve">escaped an in-depth review by the Commission. In each of these cases, a number of</w:t>
      </w:r>
      <w:r>
        <w:t xml:space="preserve"> </w:t>
      </w:r>
      <w:r>
        <w:t xml:space="preserve">easily identifiable factors were present which would likely have led the Commission to</w:t>
      </w:r>
      <w:r>
        <w:t xml:space="preserve"> </w:t>
      </w:r>
      <w:r>
        <w:t xml:space="preserve">look closely at the effects of the respective transaction even on those markets where the</w:t>
      </w:r>
      <w:r>
        <w:t xml:space="preserve"> </w:t>
      </w:r>
      <w:r>
        <w:t xml:space="preserve">market shares remained below the level of the proposed flexibility clause. The factors</w:t>
      </w:r>
      <w:r>
        <w:t xml:space="preserve"> </w:t>
      </w:r>
      <w:r>
        <w:t xml:space="preserve">that led the Commission to intervene in these cases were the following: (i) market shares</w:t>
      </w:r>
      <w:r>
        <w:t xml:space="preserve"> </w:t>
      </w:r>
      <w:r>
        <w:t xml:space="preserve">were high in certain segments or under certain market definitions, (ii) there remained less</w:t>
      </w:r>
      <w:r>
        <w:t xml:space="preserve"> </w:t>
      </w:r>
      <w:r>
        <w:t xml:space="preserve">than 3 competitors in the market, (iii) market shares were higher in previous years, (iv)</w:t>
      </w:r>
      <w:r>
        <w:t xml:space="preserve"> </w:t>
      </w:r>
      <w:r>
        <w:t xml:space="preserve">market shares were high in several Member States, (v) market shares were completely</w:t>
      </w:r>
      <w:r>
        <w:t xml:space="preserve"> </w:t>
      </w:r>
      <w:r>
        <w:t xml:space="preserve">unreliable, (vi) one of the parties was a recent entrant and/or (vii) there were overlaps</w:t>
      </w:r>
      <w:r>
        <w:t xml:space="preserve"> </w:t>
      </w:r>
      <w:r>
        <w:t xml:space="preserve">between pipeline projects.34 For a detailed assessment of the main findings, see Annex 5.</w:t>
      </w:r>
      <w:r>
        <w:t xml:space="preserve"> </w:t>
      </w:r>
      <w:r>
        <w:t xml:space="preserve">In any event, to mitigate further any risk that potentially problematic cases or markets</w:t>
      </w:r>
      <w:r>
        <w:t xml:space="preserve"> </w:t>
      </w:r>
      <w:r>
        <w:t xml:space="preserve">might escape review under the non-simplified procedure further to the introduction of a</w:t>
      </w:r>
      <w:r>
        <w:t xml:space="preserve"> </w:t>
      </w:r>
      <w:r>
        <w:t xml:space="preserve">flexibility clause, additional safeguards have been introduced in the revised notification</w:t>
      </w:r>
      <w:r>
        <w:t xml:space="preserve"> </w:t>
      </w:r>
      <w:r>
        <w:t xml:space="preserve">form covering these cases.35</w:t>
      </w:r>
    </w:p>
    <w:p>
      <w:pPr>
        <w:pStyle w:val="BodyText"/>
      </w:pPr>
      <w:r>
        <w:t xml:space="preserve">As regards vertical relationships (option 1b), the internal research also showed that in</w:t>
      </w:r>
      <w:r>
        <w:t xml:space="preserve"> </w:t>
      </w:r>
      <w:r>
        <w:t xml:space="preserve">three intervention cases in the period 2015-2020 (2% of the total number of interventions</w:t>
      </w:r>
      <w:r>
        <w:t xml:space="preserve"> </w:t>
      </w:r>
      <w:r>
        <w:t xml:space="preserve">cases in this period) the Commission intervened when a vertical link existed between the</w:t>
      </w:r>
      <w:r>
        <w:t xml:space="preserve"> </w:t>
      </w:r>
      <w:r>
        <w:t xml:space="preserve">activities of the parties and their combined or individual share in the upstream or</w:t>
      </w:r>
      <w:r>
        <w:t xml:space="preserve"> </w:t>
      </w:r>
      <w:r>
        <w:t xml:space="preserve">downstream markets was 30-35%. However, none of these cases would have completely</w:t>
      </w:r>
      <w:r>
        <w:t xml:space="preserve"> </w:t>
      </w:r>
      <w:r>
        <w:t xml:space="preserve">fallen under the simplified procedure with the flexibility clause, as there were other</w:t>
      </w:r>
      <w:r>
        <w:t xml:space="preserve"> </w:t>
      </w:r>
      <w:r>
        <w:t xml:space="preserve">markets with higher market shares. Moreover, the flexibility clause would not have had</w:t>
      </w:r>
      <w:r>
        <w:t xml:space="preserve"> </w:t>
      </w:r>
      <w:r>
        <w:t xml:space="preserve">any impact on any of the markets in which the Commission intervened, as in each of the</w:t>
      </w:r>
      <w:r>
        <w:t xml:space="preserve"> </w:t>
      </w:r>
      <w:r>
        <w:t xml:space="preserve">three cases concerned, the Commission intervened in markets which presented higher</w:t>
      </w:r>
      <w:r>
        <w:t xml:space="preserve"> </w:t>
      </w:r>
      <w:r>
        <w:t xml:space="preserve">market shares depending on segments, metrics or geographies (national or local markets)</w:t>
      </w:r>
      <w:r>
        <w:t xml:space="preserve"> </w:t>
      </w:r>
      <w:r>
        <w:t xml:space="preserve">and the remedy covered all markets. A more detailed assessment is provided in Annex 5.</w:t>
      </w:r>
    </w:p>
    <w:p>
      <w:pPr>
        <w:pStyle w:val="BodyText"/>
      </w:pPr>
      <w:r>
        <w:t xml:space="preserve">Option 1c concerns the introduction of a flexibility clause for joint ventures with annual</w:t>
      </w:r>
      <w:r>
        <w:t xml:space="preserve"> </w:t>
      </w:r>
      <w:r>
        <w:t xml:space="preserve">current turnover or asset value slightly exceeding the current threshold of EUR 100</w:t>
      </w:r>
      <w:r>
        <w:t xml:space="preserve"> </w:t>
      </w:r>
      <w:r>
        <w:t xml:space="preserve">million but that raise no competition concerns.</w:t>
      </w:r>
      <w:r>
        <w:br/>
      </w:r>
      <w:r>
        <w:t xml:space="preserve">In response to the Public Consultation, the vast majority of private stakeholders and</w:t>
      </w:r>
      <w:r>
        <w:t xml:space="preserve"> </w:t>
      </w:r>
      <w:r>
        <w:t xml:space="preserve">public authorities who responded expressed support for the introduction of a flexibility</w:t>
      </w:r>
      <w:r>
        <w:t xml:space="preserve"> </w:t>
      </w:r>
      <w:r>
        <w:t xml:space="preserve">clause for cases of joint ventures with turnover or asset value up to EUR 150 million,</w:t>
      </w:r>
      <w:r>
        <w:t xml:space="preserve"> </w:t>
      </w:r>
      <w:r>
        <w:t xml:space="preserve">because these cases are perceived as generally unproblematic. In response to the</w:t>
      </w:r>
      <w:r>
        <w:t xml:space="preserve"> </w:t>
      </w:r>
      <w:r>
        <w:t xml:space="preserve">Consultation of Stakeholders, both private and public stakeholder respondents expressed</w:t>
      </w:r>
      <w:r>
        <w:t xml:space="preserve"> </w:t>
      </w:r>
      <w:r>
        <w:t xml:space="preserve">unanimous support for the introduction of a flexibility clause for joint ventures with</w:t>
      </w:r>
    </w:p>
    <w:p>
      <w:pPr>
        <w:pStyle w:val="BodyText"/>
      </w:pPr>
      <w:r>
        <w:t xml:space="preserve">34</w:t>
      </w:r>
      <w:r>
        <w:br/>
      </w:r>
      <w:r>
        <w:t xml:space="preserve">There were interventions in markets where the combined market shares were below 20%, showing</w:t>
      </w:r>
      <w:r>
        <w:t xml:space="preserve"> </w:t>
      </w:r>
      <w:r>
        <w:t xml:space="preserve">that the Commission was able to intervene even if the market fell, already at the time, prima facie</w:t>
      </w:r>
      <w:r>
        <w:t xml:space="preserve"> </w:t>
      </w:r>
      <w:r>
        <w:t xml:space="preserve">under the simplified procedure.</w:t>
      </w:r>
      <w:r>
        <w:br/>
      </w:r>
      <w:r>
        <w:t xml:space="preserve">35</w:t>
      </w:r>
      <w:r>
        <w:br/>
      </w:r>
      <w:r>
        <w:t xml:space="preserve">The proposed new tick-the-box form asks for market shares for the last 3 years for all relevant</w:t>
      </w:r>
      <w:r>
        <w:t xml:space="preserve"> </w:t>
      </w:r>
      <w:r>
        <w:t xml:space="preserve">markets/segments. Moreover, additional safeguards can and should be introduced in the Notice on</w:t>
      </w:r>
      <w:r>
        <w:t xml:space="preserve"> </w:t>
      </w:r>
      <w:r>
        <w:t xml:space="preserve">Simplified Procedure for situations in which (i) there remain less than three significant competitors,</w:t>
      </w:r>
      <w:r>
        <w:t xml:space="preserve"> </w:t>
      </w:r>
      <w:r>
        <w:t xml:space="preserve">(ii) one of the Parties is a recent entrant or (iii) there are pipeline overlaps. The tick-the-box should</w:t>
      </w:r>
      <w:r>
        <w:t xml:space="preserve"> </w:t>
      </w:r>
      <w:r>
        <w:t xml:space="preserve">then have a new section on safeguards which would explicitly request the relevant information. For</w:t>
      </w:r>
      <w:r>
        <w:t xml:space="preserve"> </w:t>
      </w:r>
      <w:r>
        <w:t xml:space="preserve">more details, see option 3 on safeguards.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annual current turnover and asset value in the EEA between EUR 100 and EUR 150</w:t>
      </w:r>
      <w:r>
        <w:t xml:space="preserve"> </w:t>
      </w:r>
      <w:r>
        <w:t xml:space="preserve">millions.</w:t>
      </w:r>
      <w:r>
        <w:br/>
      </w:r>
      <w:r>
        <w:t xml:space="preserve">The internal research on intervention cases (see Annex 5) shows that only one of the 127</w:t>
      </w:r>
      <w:r>
        <w:t xml:space="preserve"> </w:t>
      </w:r>
      <w:r>
        <w:t xml:space="preserve">cases in which the Commission intervened in the period 2015-2020 would have fallen</w:t>
      </w:r>
      <w:r>
        <w:t xml:space="preserve"> </w:t>
      </w:r>
      <w:r>
        <w:t xml:space="preserve">under Option 1c (i.e., joint ventures with annual turnover or assets transferred with value</w:t>
      </w:r>
      <w:r>
        <w:t xml:space="preserve"> </w:t>
      </w:r>
      <w:r>
        <w:t xml:space="preserve">between EUR 100 and 150 million). However, it is unlikely that this case (or any similar</w:t>
      </w:r>
      <w:r>
        <w:t xml:space="preserve"> </w:t>
      </w:r>
      <w:r>
        <w:t xml:space="preserve">cases in the future) would be treated under the simplified procedure and intervention</w:t>
      </w:r>
      <w:r>
        <w:t xml:space="preserve"> </w:t>
      </w:r>
      <w:r>
        <w:t xml:space="preserve">would be avoided. The draft revised Short Form CO requires notifying parties to provide</w:t>
      </w:r>
      <w:r>
        <w:t xml:space="preserve"> </w:t>
      </w:r>
      <w:r>
        <w:t xml:space="preserve">information on market shares for any horizontal overlap and/or vertical relationship</w:t>
      </w:r>
      <w:r>
        <w:t xml:space="preserve"> </w:t>
      </w:r>
      <w:r>
        <w:t xml:space="preserve">between the activities of the parties to the concentration, even if a joint venture falls</w:t>
      </w:r>
      <w:r>
        <w:t xml:space="preserve"> </w:t>
      </w:r>
      <w:r>
        <w:t xml:space="preserve">under the flexibility clause. This information would allow the Commission to identify</w:t>
      </w:r>
      <w:r>
        <w:t xml:space="preserve"> </w:t>
      </w:r>
      <w:r>
        <w:t xml:space="preserve">any possible competition issues and ultimately decide to assess the case under the normal</w:t>
      </w:r>
      <w:r>
        <w:t xml:space="preserve"> </w:t>
      </w:r>
      <w:r>
        <w:t xml:space="preserve">procedure if needed. A similar safeguard exists today in paragraph 14 of the Notice on</w:t>
      </w:r>
      <w:r>
        <w:t xml:space="preserve"> </w:t>
      </w:r>
      <w:r>
        <w:t xml:space="preserve">Simplified Procedure regarding joint ventures with yearly EEA turnover or asset value in</w:t>
      </w:r>
      <w:r>
        <w:t xml:space="preserve"> </w:t>
      </w:r>
      <w:r>
        <w:t xml:space="preserve">the EEA of less than EUR 100 million. The draft revised Notice on Simplified Procedure</w:t>
      </w:r>
      <w:r>
        <w:t xml:space="preserve"> </w:t>
      </w:r>
      <w:r>
        <w:t xml:space="preserve">repeats this safeguard in paragraph 13.</w:t>
      </w:r>
    </w:p>
    <w:p>
      <w:pPr>
        <w:pStyle w:val="BodyText"/>
      </w:pPr>
      <w:r>
        <w:t xml:space="preserve">The impact assessment shows that Option 2 would have a neutral impact on the internal</w:t>
      </w:r>
      <w:r>
        <w:t xml:space="preserve"> </w:t>
      </w:r>
      <w:r>
        <w:t xml:space="preserve">market. Different thresholds can be considered for the new categories of simplified cases</w:t>
      </w:r>
      <w:r>
        <w:t xml:space="preserve"> </w:t>
      </w:r>
      <w:r>
        <w:t xml:space="preserve">for certain vertical links considered. This section assesses the impact of introducing the</w:t>
      </w:r>
      <w:r>
        <w:t xml:space="preserve"> </w:t>
      </w:r>
      <w:r>
        <w:t xml:space="preserve">highest threshold considered in the context of this impact assessment. Given that</w:t>
      </w:r>
      <w:r>
        <w:t xml:space="preserve"> </w:t>
      </w:r>
      <w:r>
        <w:t xml:space="preserve">introducing the highest thresholds would not have any significant impact on the internal</w:t>
      </w:r>
      <w:r>
        <w:t xml:space="preserve"> </w:t>
      </w:r>
      <w:r>
        <w:t xml:space="preserve">market, it is not necessary to assess the impact of introducing lower thresholds, as its</w:t>
      </w:r>
      <w:r>
        <w:t xml:space="preserve"> </w:t>
      </w:r>
      <w:r>
        <w:t xml:space="preserve">impact would be smaller by definition.</w:t>
      </w:r>
      <w:r>
        <w:t xml:space="preserve"> </w:t>
      </w:r>
      <w:r>
        <w:t xml:space="preserve">Option 2a proposes to include in the Notice on Simplified Procedure cases with highly</w:t>
      </w:r>
      <w:r>
        <w:t xml:space="preserve"> </w:t>
      </w:r>
      <w:r>
        <w:t xml:space="preserve">asymmetric market positions upstream and downstream, with low market shares in one of</w:t>
      </w:r>
      <w:r>
        <w:t xml:space="preserve"> </w:t>
      </w:r>
      <w:r>
        <w:t xml:space="preserve">the markets (&lt;5% or &lt;10%) and a maximum market share in the other market (&lt;40% or</w:t>
      </w:r>
      <w:r>
        <w:t xml:space="preserve"> </w:t>
      </w:r>
      <w:r>
        <w:t xml:space="preserve">&lt;50%). The rationale for introducing this category is based on the guidance provided in</w:t>
      </w:r>
      <w:r>
        <w:t xml:space="preserve"> </w:t>
      </w:r>
      <w:r>
        <w:t xml:space="preserve">the Non-Horizontal Merger Guidelines, which focuses on the incentives to foreclose</w:t>
      </w:r>
      <w:r>
        <w:t xml:space="preserve"> </w:t>
      </w:r>
      <w:r>
        <w:t xml:space="preserve">based on the profitability of a foreclosure strategy which takes into account the market</w:t>
      </w:r>
      <w:r>
        <w:t xml:space="preserve"> </w:t>
      </w:r>
      <w:r>
        <w:t xml:space="preserve">positions in the different markets. In response to the Public Consultation, private</w:t>
      </w:r>
      <w:r>
        <w:t xml:space="preserve"> </w:t>
      </w:r>
      <w:r>
        <w:t xml:space="preserve">stakeholders expressed quasi-unanimous support for the introduction of this category, as</w:t>
      </w:r>
      <w:r>
        <w:t xml:space="preserve"> </w:t>
      </w:r>
      <w:r>
        <w:t xml:space="preserve">they consider these cases as generally unproblematic, and advocated for introducing the</w:t>
      </w:r>
      <w:r>
        <w:t xml:space="preserve"> </w:t>
      </w:r>
      <w:r>
        <w:t xml:space="preserve">highest thresholds proposed (i.e. 50% upstream or downstream and 10% in the other</w:t>
      </w:r>
      <w:r>
        <w:t xml:space="preserve"> </w:t>
      </w:r>
      <w:r>
        <w:t xml:space="preserve">vertically related market).36 However, the French Competition Authority took a more</w:t>
      </w:r>
      <w:r>
        <w:t xml:space="preserve"> </w:t>
      </w:r>
      <w:r>
        <w:t xml:space="preserve">cautious approach considering that it is not possible to conclude from the outset that a</w:t>
      </w:r>
      <w:r>
        <w:t xml:space="preserve"> </w:t>
      </w:r>
      <w:r>
        <w:t xml:space="preserve">foreclosure strategy is not feasible because market shares in the upstream or downstream</w:t>
      </w:r>
      <w:r>
        <w:t xml:space="preserve"> </w:t>
      </w:r>
      <w:r>
        <w:t xml:space="preserve">market are low, as this is a complex analysis in which several factors should be</w:t>
      </w:r>
    </w:p>
    <w:p>
      <w:pPr>
        <w:pStyle w:val="BodyText"/>
      </w:pPr>
      <w:r>
        <w:t xml:space="preserve">36</w:t>
      </w:r>
      <w:r>
        <w:br/>
      </w:r>
      <w:r>
        <w:t xml:space="preserve">In the IIA four options were proposed: 1.- 50% upstream and 10% downstream or vice versa (i.e. 10%</w:t>
      </w:r>
      <w:r>
        <w:t xml:space="preserve"> </w:t>
      </w:r>
      <w:r>
        <w:t xml:space="preserve">upstream and 50% downstream); 2.- 50% upstream and 5% downstream or vice versa; 3.- 40%</w:t>
      </w:r>
      <w:r>
        <w:t xml:space="preserve"> </w:t>
      </w:r>
      <w:r>
        <w:t xml:space="preserve">upstream and 10% downstream or vice versa; 4.- 40% upstream and 5% downstream or vice versa. A</w:t>
      </w:r>
      <w:r>
        <w:t xml:space="preserve"> </w:t>
      </w:r>
      <w:r>
        <w:t xml:space="preserve">threshold above 50% would not be appropriate, as according to paragraph 17 of the Horizontal</w:t>
      </w:r>
      <w:r>
        <w:t xml:space="preserve"> </w:t>
      </w:r>
      <w:r>
        <w:t xml:space="preserve">Guidelines market shares above 50% may in themselves be evidence of the existence of a dominant</w:t>
      </w:r>
      <w:r>
        <w:t xml:space="preserve"> </w:t>
      </w:r>
      <w:r>
        <w:t xml:space="preserve">market position.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considered. In a similar vein, the German Federal Bar considers that an important input</w:t>
      </w:r>
      <w:r>
        <w:t xml:space="preserve"> </w:t>
      </w:r>
      <w:r>
        <w:t xml:space="preserve">on the upstream market can be used to grow the position on the downstream market.</w:t>
      </w:r>
    </w:p>
    <w:p>
      <w:pPr>
        <w:pStyle w:val="BodyText"/>
      </w:pPr>
      <w:r>
        <w:t xml:space="preserve">The internal research on intervention cases shows that only one of the 127 cases in which</w:t>
      </w:r>
      <w:r>
        <w:t xml:space="preserve"> </w:t>
      </w:r>
      <w:r>
        <w:t xml:space="preserve">the Commission has intervened in the period 2015-2020 could have fallen under the</w:t>
      </w:r>
      <w:r>
        <w:t xml:space="preserve"> </w:t>
      </w:r>
      <w:r>
        <w:t xml:space="preserve">category of high market share upstream and low market share downstream, if the highest</w:t>
      </w:r>
      <w:r>
        <w:t xml:space="preserve"> </w:t>
      </w:r>
      <w:r>
        <w:t xml:space="preserve">thresholds proposed in the IIA were introduced (i.e. 50% market share upstream and 10%</w:t>
      </w:r>
      <w:r>
        <w:t xml:space="preserve"> </w:t>
      </w:r>
      <w:r>
        <w:t xml:space="preserve">downstream)37, and only if exclusively the market shares provided by the parties are</w:t>
      </w:r>
      <w:r>
        <w:t xml:space="preserve"> </w:t>
      </w:r>
      <w:r>
        <w:t xml:space="preserve">considered. It should be noted however that market shares provided by the parties were</w:t>
      </w:r>
      <w:r>
        <w:t xml:space="preserve"> </w:t>
      </w:r>
      <w:r>
        <w:t xml:space="preserve">unreliable and the Commission raised concerns based on other estimates with</w:t>
      </w:r>
      <w:r>
        <w:t xml:space="preserve"> </w:t>
      </w:r>
      <w:r>
        <w:t xml:space="preserve">significantly higher market shares (between 45% and 55% for the upstream market and</w:t>
      </w:r>
      <w:r>
        <w:t xml:space="preserve"> </w:t>
      </w:r>
      <w:r>
        <w:t xml:space="preserve">between 25% and 30% for the downstream market). In addition, the simplified procedure</w:t>
      </w:r>
      <w:r>
        <w:t xml:space="preserve"> </w:t>
      </w:r>
      <w:r>
        <w:t xml:space="preserve">should not apply to cases in which market shares are unreliable. Moreover, the</w:t>
      </w:r>
      <w:r>
        <w:t xml:space="preserve"> </w:t>
      </w:r>
      <w:r>
        <w:t xml:space="preserve">Commission intervened in the same market based on horizontal concerns. Finally, no</w:t>
      </w:r>
      <w:r>
        <w:t xml:space="preserve"> </w:t>
      </w:r>
      <w:r>
        <w:t xml:space="preserve">intervention market would fall under the category of high market shares downstream (up</w:t>
      </w:r>
      <w:r>
        <w:t xml:space="preserve"> </w:t>
      </w:r>
      <w:r>
        <w:t xml:space="preserve">to 50%) and low market shares upstream (up to 10%). Therefore, introducing this</w:t>
      </w:r>
      <w:r>
        <w:t xml:space="preserve"> </w:t>
      </w:r>
      <w:r>
        <w:t xml:space="preserve">category, even with the highest thresholds, together with adequate safeguards, would not</w:t>
      </w:r>
      <w:r>
        <w:t xml:space="preserve"> </w:t>
      </w:r>
      <w:r>
        <w:t xml:space="preserve">risk missing any problematic case or market.</w:t>
      </w:r>
      <w:r>
        <w:br/>
      </w:r>
      <w:r>
        <w:t xml:space="preserve">In any event, as pointed out by the French Competition Authority and German Federal</w:t>
      </w:r>
      <w:r>
        <w:t xml:space="preserve"> </w:t>
      </w:r>
      <w:r>
        <w:t xml:space="preserve">Bar, in very exceptional circumstances an assessment of the incentives may be</w:t>
      </w:r>
      <w:r>
        <w:t xml:space="preserve"> </w:t>
      </w:r>
      <w:r>
        <w:t xml:space="preserve">appropriate. Including these types of cases under the flexibility clause rather than a new</w:t>
      </w:r>
      <w:r>
        <w:t xml:space="preserve"> </w:t>
      </w:r>
      <w:r>
        <w:t xml:space="preserve">category of simplified cases would give the Commission the discretion to use the</w:t>
      </w:r>
      <w:r>
        <w:t xml:space="preserve"> </w:t>
      </w:r>
      <w:r>
        <w:t xml:space="preserve">simplified procedure only if it is clear that the transaction raises no competition concerns.</w:t>
      </w:r>
      <w:r>
        <w:t xml:space="preserve"> </w:t>
      </w:r>
      <w:r>
        <w:t xml:space="preserve">This would further reduce any potential risk.</w:t>
      </w:r>
    </w:p>
    <w:p>
      <w:pPr>
        <w:pStyle w:val="BodyText"/>
      </w:pPr>
      <w:r>
        <w:t xml:space="preserve">The private and public stakeholders that responded to the Consultation of Stakeholders</w:t>
      </w:r>
      <w:r>
        <w:t xml:space="preserve"> </w:t>
      </w:r>
      <w:r>
        <w:t xml:space="preserve">expressed support for the introduction of this category under the flexibility clause.</w:t>
      </w:r>
      <w:r>
        <w:t xml:space="preserve"> </w:t>
      </w:r>
      <w:r>
        <w:t xml:space="preserve">Certain private stakeholders insisted that these types of cases should become categories</w:t>
      </w:r>
      <w:r>
        <w:t xml:space="preserve"> </w:t>
      </w:r>
      <w:r>
        <w:t xml:space="preserve">of simplified cases and not simply be included under the flexibility clause. However,</w:t>
      </w:r>
      <w:r>
        <w:t xml:space="preserve"> </w:t>
      </w:r>
      <w:r>
        <w:t xml:space="preserve">public stakeholders welcomed the introduction of these cases under the flexibility clause</w:t>
      </w:r>
      <w:r>
        <w:t xml:space="preserve"> </w:t>
      </w:r>
      <w:r>
        <w:t xml:space="preserve">and not as a default category. They noted that a strong position upstream or downstream</w:t>
      </w:r>
      <w:r>
        <w:t xml:space="preserve"> </w:t>
      </w:r>
      <w:r>
        <w:t xml:space="preserve">can be leveraged to grow quickly on the other market and the risk of foreclosure is a</w:t>
      </w:r>
      <w:r>
        <w:t xml:space="preserve"> </w:t>
      </w:r>
      <w:r>
        <w:t xml:space="preserve">complex analysis in which several factors should be considered and therefore, the</w:t>
      </w:r>
      <w:r>
        <w:t xml:space="preserve"> </w:t>
      </w:r>
      <w:r>
        <w:t xml:space="preserve">Commission should retain sufficient flexibility to assess these cases under the normal</w:t>
      </w:r>
      <w:r>
        <w:t xml:space="preserve"> </w:t>
      </w:r>
      <w:r>
        <w:t xml:space="preserve">procedure, in particular if some of the safeguards or exclusions apply.</w:t>
      </w:r>
    </w:p>
    <w:p>
      <w:pPr>
        <w:pStyle w:val="BodyText"/>
      </w:pPr>
      <w:r>
        <w:t xml:space="preserve">Option 2b consists in including in the Notice on Simplified Procedure cases with</w:t>
      </w:r>
      <w:r>
        <w:t xml:space="preserve"> </w:t>
      </w:r>
      <w:r>
        <w:t xml:space="preserve">upstream sales share beneath the current threshold (&lt;30%), low downstream purchasing</w:t>
      </w:r>
      <w:r>
        <w:t xml:space="preserve"> </w:t>
      </w:r>
      <w:r>
        <w:t xml:space="preserve">share (&lt;5% or &lt;10%) and maximum downstream sales shares (&lt;50%) or without limit</w:t>
      </w:r>
      <w:r>
        <w:t xml:space="preserve"> </w:t>
      </w:r>
      <w:r>
        <w:t xml:space="preserve">downstream.</w:t>
      </w:r>
    </w:p>
    <w:p>
      <w:pPr>
        <w:pStyle w:val="BodyText"/>
      </w:pPr>
      <w:r>
        <w:t xml:space="preserve">In the Public Consultation, private stakeholders and public authorities expressed</w:t>
      </w:r>
      <w:r>
        <w:t xml:space="preserve"> </w:t>
      </w:r>
      <w:r>
        <w:t xml:space="preserve">unanimous support for the introduction of this category, as they consider that these cases</w:t>
      </w:r>
    </w:p>
    <w:p>
      <w:pPr>
        <w:pStyle w:val="BodyText"/>
      </w:pPr>
      <w:r>
        <w:t xml:space="preserve">37</w:t>
      </w:r>
      <w:r>
        <w:br/>
      </w:r>
      <w:r>
        <w:t xml:space="preserve">With lower thresholds (50% upstream but 5% downstream) no case would have fallen under this</w:t>
      </w:r>
      <w:r>
        <w:t xml:space="preserve"> </w:t>
      </w:r>
      <w:r>
        <w:t xml:space="preserve">category.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are generally unproblematic. In fact, one stakeholder advocated for the introduction of a</w:t>
      </w:r>
      <w:r>
        <w:t xml:space="preserve"> </w:t>
      </w:r>
      <w:r>
        <w:t xml:space="preserve">higher threshold for the purchasing share, as it considered a 10% purchasing share as too</w:t>
      </w:r>
      <w:r>
        <w:t xml:space="preserve"> </w:t>
      </w:r>
      <w:r>
        <w:t xml:space="preserve">low.38 This stakeholder further explained that for customer foreclosure theories of harm</w:t>
      </w:r>
      <w:r>
        <w:t xml:space="preserve"> </w:t>
      </w:r>
      <w:r>
        <w:t xml:space="preserve">only the purchasing share is relevant, as the market shares in the downstream market are</w:t>
      </w:r>
      <w:r>
        <w:t xml:space="preserve"> </w:t>
      </w:r>
      <w:r>
        <w:t xml:space="preserve">not an indicator of the importance of a company as a customer. Following this reasoning,</w:t>
      </w:r>
      <w:r>
        <w:t xml:space="preserve"> </w:t>
      </w:r>
      <w:r>
        <w:t xml:space="preserve">this stakeholder suggested that no upper limit be introduced for the market shares in the</w:t>
      </w:r>
      <w:r>
        <w:t xml:space="preserve"> </w:t>
      </w:r>
      <w:r>
        <w:t xml:space="preserve">downstream market and that the purchasing share should be increased to 30%. In the</w:t>
      </w:r>
      <w:r>
        <w:t xml:space="preserve"> </w:t>
      </w:r>
      <w:r>
        <w:t xml:space="preserve">same vein, the majority of respondents consider that this category of cases is</w:t>
      </w:r>
      <w:r>
        <w:t xml:space="preserve"> </w:t>
      </w:r>
      <w:r>
        <w:t xml:space="preserve">unproblematic regardless of the market share in the downstream market. The</w:t>
      </w:r>
      <w:r>
        <w:t xml:space="preserve"> </w:t>
      </w:r>
      <w:r>
        <w:t xml:space="preserve">Commission agrees that the market share in the downstream market is not always</w:t>
      </w:r>
      <w:r>
        <w:t xml:space="preserve"> </w:t>
      </w:r>
      <w:r>
        <w:t xml:space="preserve">informative of the importance of a company as a customer. For example, a company may</w:t>
      </w:r>
      <w:r>
        <w:t xml:space="preserve"> </w:t>
      </w:r>
      <w:r>
        <w:t xml:space="preserve">have an important market share in a downstream market clearly above 50%. This</w:t>
      </w:r>
      <w:r>
        <w:t xml:space="preserve"> </w:t>
      </w:r>
      <w:r>
        <w:t xml:space="preserve">company purchases an input that is used for several applications. The application in</w:t>
      </w:r>
      <w:r>
        <w:t xml:space="preserve"> </w:t>
      </w:r>
      <w:r>
        <w:t xml:space="preserve">which this company is active represents only a fraction of the use of the upstream input</w:t>
      </w:r>
      <w:r>
        <w:t xml:space="preserve"> </w:t>
      </w:r>
      <w:r>
        <w:t xml:space="preserve">(e.g. &lt;5%). This company would be a very small customer of the upstream input which</w:t>
      </w:r>
      <w:r>
        <w:t xml:space="preserve"> </w:t>
      </w:r>
      <w:r>
        <w:t xml:space="preserve">clearly shows that the downstream market share is not a reliable indicator of the</w:t>
      </w:r>
      <w:r>
        <w:t xml:space="preserve"> </w:t>
      </w:r>
      <w:r>
        <w:t xml:space="preserve">importance of a company as a customer. Instead the purchasing share is the appropriate</w:t>
      </w:r>
      <w:r>
        <w:t xml:space="preserve"> </w:t>
      </w:r>
      <w:r>
        <w:t xml:space="preserve">indicator to ascertain the importance of a company as a customer as it represents the</w:t>
      </w:r>
      <w:r>
        <w:t xml:space="preserve"> </w:t>
      </w:r>
      <w:r>
        <w:t xml:space="preserve">proportion of the input that it purchases.</w:t>
      </w:r>
    </w:p>
    <w:p>
      <w:pPr>
        <w:pStyle w:val="BodyText"/>
      </w:pPr>
      <w:r>
        <w:t xml:space="preserve">The internal research on intervention cases shows more generally that interventions based</w:t>
      </w:r>
      <w:r>
        <w:t xml:space="preserve"> </w:t>
      </w:r>
      <w:r>
        <w:t xml:space="preserve">on customer foreclosure are very rare and that the Commission did not intervene on any</w:t>
      </w:r>
      <w:r>
        <w:t xml:space="preserve"> </w:t>
      </w:r>
      <w:r>
        <w:t xml:space="preserve">market that would fall under this category in the period 2015-2020. In fact, without any</w:t>
      </w:r>
      <w:r>
        <w:t xml:space="preserve"> </w:t>
      </w:r>
      <w:r>
        <w:t xml:space="preserve">limit on the downstream market and increasing the threshold to 30% for the purchasing</w:t>
      </w:r>
      <w:r>
        <w:t xml:space="preserve"> </w:t>
      </w:r>
      <w:r>
        <w:t xml:space="preserve">share, this category would not capture any market in which the Commission intervened.</w:t>
      </w:r>
    </w:p>
    <w:p>
      <w:pPr>
        <w:pStyle w:val="BodyText"/>
      </w:pPr>
      <w:r>
        <w:t xml:space="preserve">Private and public stakeholders responding to the Consultation of Stakeholders expressed</w:t>
      </w:r>
      <w:r>
        <w:t xml:space="preserve"> </w:t>
      </w:r>
      <w:r>
        <w:t xml:space="preserve">unanimous support for the introduction of this category without any limit on the</w:t>
      </w:r>
      <w:r>
        <w:t xml:space="preserve"> </w:t>
      </w:r>
      <w:r>
        <w:t xml:space="preserve">downstream market and with a threshold of 30% for the purchasing share.</w:t>
      </w:r>
    </w:p>
    <w:p>
      <w:pPr>
        <w:pStyle w:val="BodyText"/>
      </w:pPr>
      <w:r>
        <w:t xml:space="preserve">Option 2c consists in including in the Notice on Simplified Procedure cases with limited</w:t>
      </w:r>
      <w:r>
        <w:t xml:space="preserve"> </w:t>
      </w:r>
      <w:r>
        <w:t xml:space="preserve">increments to a pre-existing vertical integration, for instance by aligning vertical cases</w:t>
      </w:r>
      <w:r>
        <w:t xml:space="preserve"> </w:t>
      </w:r>
      <w:r>
        <w:t xml:space="preserve">with horizontal cases under point 6 of the Notice on Simplified Procedure.</w:t>
      </w:r>
    </w:p>
    <w:p>
      <w:pPr>
        <w:pStyle w:val="BodyText"/>
      </w:pPr>
      <w:r>
        <w:t xml:space="preserve">In response to the Public Consultation, private stakeholders and public authorities</w:t>
      </w:r>
      <w:r>
        <w:t xml:space="preserve"> </w:t>
      </w:r>
      <w:r>
        <w:t xml:space="preserve">expressed unanimous support for the introduction of this category, as they consider that</w:t>
      </w:r>
      <w:r>
        <w:t xml:space="preserve"> </w:t>
      </w:r>
      <w:r>
        <w:t xml:space="preserve">these cases are generally unproblematic. In fact, some stakeholders advocated for the</w:t>
      </w:r>
      <w:r>
        <w:t xml:space="preserve"> </w:t>
      </w:r>
      <w:r>
        <w:t xml:space="preserve">introduction of a higher threshold for the HHI increment (e.g. up to 250) or suggested to</w:t>
      </w:r>
      <w:r>
        <w:t xml:space="preserve"> </w:t>
      </w:r>
      <w:r>
        <w:t xml:space="preserve">use market share ranges instead of the HHI increment (e.g. a maximum increment of 4%</w:t>
      </w:r>
      <w:r>
        <w:t xml:space="preserve"> </w:t>
      </w:r>
      <w:r>
        <w:t xml:space="preserve">if combined shares are below 35%, maximum increment of 3% if combined shares are</w:t>
      </w:r>
      <w:r>
        <w:t xml:space="preserve"> </w:t>
      </w:r>
      <w:r>
        <w:t xml:space="preserve">below 40%, etc.). However, the Commission considers that the HHI delta achieves the</w:t>
      </w:r>
      <w:r>
        <w:t xml:space="preserve"> </w:t>
      </w:r>
      <w:r>
        <w:t xml:space="preserve">same objective, given that, considering the same increment, the resulting HHI delta is</w:t>
      </w:r>
    </w:p>
    <w:p>
      <w:pPr>
        <w:pStyle w:val="BodyText"/>
      </w:pPr>
      <w:r>
        <w:t xml:space="preserve">38</w:t>
      </w:r>
      <w:r>
        <w:br/>
      </w:r>
      <w:r>
        <w:t xml:space="preserve">The IIA consulted on several options: while the limit upstream is always 30%, the Commission</w:t>
      </w:r>
      <w:r>
        <w:t xml:space="preserve"> </w:t>
      </w:r>
      <w:r>
        <w:t xml:space="preserve">consulted on two different possibilities for the limit downstream -50% or 100%- and two possibilities</w:t>
      </w:r>
      <w:r>
        <w:t xml:space="preserve"> </w:t>
      </w:r>
      <w:r>
        <w:t xml:space="preserve">for the limit for the purchasing share -5% or 10%-.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lower if combined market shares are lower. Therefore, the current limit of 150 HHI delta</w:t>
      </w:r>
      <w:r>
        <w:t xml:space="preserve"> </w:t>
      </w:r>
      <w:r>
        <w:t xml:space="preserve">already allows a bigger increment if combined market shares are moderate.</w:t>
      </w:r>
    </w:p>
    <w:p>
      <w:pPr>
        <w:pStyle w:val="BodyText"/>
      </w:pPr>
      <w:r>
        <w:t xml:space="preserve">In the Consultation of Stakeholders, private and public stakeholders responding to the</w:t>
      </w:r>
      <w:r>
        <w:t xml:space="preserve"> </w:t>
      </w:r>
      <w:r>
        <w:t xml:space="preserve">Consultation of Stakeholders expressed support for the introduction of this category. A</w:t>
      </w:r>
      <w:r>
        <w:t xml:space="preserve"> </w:t>
      </w:r>
      <w:r>
        <w:t xml:space="preserve">few private stakeholders advocated for higher HHI delta thresholds so that more</w:t>
      </w:r>
      <w:r>
        <w:t xml:space="preserve"> </w:t>
      </w:r>
      <w:r>
        <w:t xml:space="preserve">concentrations become simplified cases. The internal research on intervention markets</w:t>
      </w:r>
      <w:r>
        <w:t xml:space="preserve"> </w:t>
      </w:r>
      <w:r>
        <w:t xml:space="preserve">shows that the Commission did not intervene on any market that would fall under this</w:t>
      </w:r>
      <w:r>
        <w:t xml:space="preserve"> </w:t>
      </w:r>
      <w:r>
        <w:t xml:space="preserve">category in the period 2015-2020. However, there is no scope to increase the HHI delta,</w:t>
      </w:r>
      <w:r>
        <w:t xml:space="preserve"> </w:t>
      </w:r>
      <w:r>
        <w:t xml:space="preserve">as it should be aligned with the HHI delta for horizontal overlaps; otherwise the market</w:t>
      </w:r>
      <w:r>
        <w:t xml:space="preserve"> </w:t>
      </w:r>
      <w:r>
        <w:t xml:space="preserve">would have to be assessed in any event under the normal procedure. Moreover, the HHI</w:t>
      </w:r>
      <w:r>
        <w:t xml:space="preserve"> </w:t>
      </w:r>
      <w:r>
        <w:t xml:space="preserve">delta should also be aligned with the thresholds considered in paragraph 20 of the</w:t>
      </w:r>
      <w:r>
        <w:t xml:space="preserve"> </w:t>
      </w:r>
      <w:r>
        <w:t xml:space="preserve">Horizontal Merger Guidelines, as explained in section 5.</w:t>
      </w:r>
    </w:p>
    <w:p>
      <w:pPr>
        <w:pStyle w:val="BodyText"/>
      </w:pPr>
      <w:r>
        <w:t xml:space="preserve">Option 3 consists in reviewing the scope and interpretation of the safeguards and</w:t>
      </w:r>
      <w:r>
        <w:t xml:space="preserve"> </w:t>
      </w:r>
      <w:r>
        <w:t xml:space="preserve">exclusions included in the Notice on Simplified Procedure, and adding safeguards in a</w:t>
      </w:r>
      <w:r>
        <w:t xml:space="preserve"> </w:t>
      </w:r>
      <w:r>
        <w:t xml:space="preserve">new Section 11 of the Short Form CO.</w:t>
      </w:r>
    </w:p>
    <w:p>
      <w:pPr>
        <w:pStyle w:val="BodyText"/>
      </w:pPr>
      <w:r>
        <w:t xml:space="preserve">Paragraph 8 et seq of the Notice on Simplified Procedure describes certain “safeguards”,</w:t>
      </w:r>
      <w:r>
        <w:t xml:space="preserve"> </w:t>
      </w:r>
      <w:r>
        <w:t xml:space="preserve">which are factors or circumstances that could be taken into consideration by the</w:t>
      </w:r>
      <w:r>
        <w:t xml:space="preserve"> </w:t>
      </w:r>
      <w:r>
        <w:t xml:space="preserve">Commission to revert a case to a full assessment under the normal procedure even if the</w:t>
      </w:r>
      <w:r>
        <w:t xml:space="preserve"> </w:t>
      </w:r>
      <w:r>
        <w:t xml:space="preserve">thresholds for the application of the simplified procedure are met.</w:t>
      </w:r>
    </w:p>
    <w:p>
      <w:pPr>
        <w:pStyle w:val="BodyText"/>
      </w:pPr>
      <w:r>
        <w:t xml:space="preserve">However, some of these factors and circumstances are very general (e.g. the market is</w:t>
      </w:r>
      <w:r>
        <w:t xml:space="preserve"> </w:t>
      </w:r>
      <w:r>
        <w:t xml:space="preserve">already concentrated or the concentration would eliminate an important competitive</w:t>
      </w:r>
      <w:r>
        <w:t xml:space="preserve"> </w:t>
      </w:r>
      <w:r>
        <w:t xml:space="preserve">force) and difficult to spot or assess with the information currently provided in the Short</w:t>
      </w:r>
      <w:r>
        <w:t xml:space="preserve"> </w:t>
      </w:r>
      <w:r>
        <w:t xml:space="preserve">Form CO.</w:t>
      </w:r>
    </w:p>
    <w:p>
      <w:pPr>
        <w:pStyle w:val="BodyText"/>
      </w:pPr>
      <w:r>
        <w:t xml:space="preserve">For this reason, the Commission explored whether additional safeguards and exclusions</w:t>
      </w:r>
      <w:r>
        <w:t xml:space="preserve"> </w:t>
      </w:r>
      <w:r>
        <w:t xml:space="preserve">would be required to ensure that the Commission does not treat under the simplified</w:t>
      </w:r>
      <w:r>
        <w:t xml:space="preserve"> </w:t>
      </w:r>
      <w:r>
        <w:t xml:space="preserve">procedure cases which would merit a closer look. Under this option, the Notice on</w:t>
      </w:r>
      <w:r>
        <w:t xml:space="preserve"> </w:t>
      </w:r>
      <w:r>
        <w:t xml:space="preserve">Simplified Procedure would include more concrete factors and circumstances. The most</w:t>
      </w:r>
      <w:r>
        <w:t xml:space="preserve"> </w:t>
      </w:r>
      <w:r>
        <w:t xml:space="preserve">important factors would be mirrored in the notification forms.</w:t>
      </w:r>
    </w:p>
    <w:p>
      <w:pPr>
        <w:pStyle w:val="BodyText"/>
      </w:pPr>
      <w:r>
        <w:t xml:space="preserve">In particular, in the Public Consultation the Commission asked about the potential impact</w:t>
      </w:r>
      <w:r>
        <w:t xml:space="preserve"> </w:t>
      </w:r>
      <w:r>
        <w:t xml:space="preserve">on the internal market for the following factors:</w:t>
      </w:r>
    </w:p>
    <w:p>
      <w:pPr>
        <w:pStyle w:val="Compact"/>
        <w:numPr>
          <w:ilvl w:val="0"/>
          <w:numId w:val="1002"/>
        </w:numPr>
      </w:pPr>
      <w:r>
        <w:t xml:space="preserve">Number of competitors remaining in each market.</w:t>
      </w:r>
    </w:p>
    <w:p>
      <w:pPr>
        <w:pStyle w:val="Compact"/>
        <w:numPr>
          <w:ilvl w:val="0"/>
          <w:numId w:val="1002"/>
        </w:numPr>
      </w:pPr>
      <w:r>
        <w:t xml:space="preserve">Strength of the competitors remaining, including whether their market share</w:t>
      </w:r>
      <w:r>
        <w:t xml:space="preserve"> </w:t>
      </w:r>
      <w:r>
        <w:t xml:space="preserve">exceeds the increment brought about by the transaction.</w:t>
      </w:r>
    </w:p>
    <w:p>
      <w:pPr>
        <w:pStyle w:val="Compact"/>
        <w:numPr>
          <w:ilvl w:val="0"/>
          <w:numId w:val="1002"/>
        </w:numPr>
      </w:pPr>
      <w:r>
        <w:t xml:space="preserve">Shares thresholds are exceeded in terms of capacity shares or production shares.</w:t>
      </w:r>
    </w:p>
    <w:p>
      <w:pPr>
        <w:pStyle w:val="Compact"/>
        <w:numPr>
          <w:ilvl w:val="0"/>
          <w:numId w:val="1002"/>
        </w:numPr>
      </w:pPr>
      <w:r>
        <w:t xml:space="preserve">One of the parties to the concentration is a recent entrant (entered the market in the</w:t>
      </w:r>
      <w:r>
        <w:t xml:space="preserve"> </w:t>
      </w:r>
      <w:r>
        <w:t xml:space="preserve">last three years).</w:t>
      </w:r>
    </w:p>
    <w:p>
      <w:pPr>
        <w:pStyle w:val="Compact"/>
        <w:numPr>
          <w:ilvl w:val="0"/>
          <w:numId w:val="1002"/>
        </w:numPr>
      </w:pPr>
      <w:r>
        <w:t xml:space="preserve">One of the parties to the concentration is an important innovator in the overlapping</w:t>
      </w:r>
      <w:r>
        <w:t xml:space="preserve"> </w:t>
      </w:r>
      <w:r>
        <w:t xml:space="preserve">markets.</w:t>
      </w:r>
    </w:p>
    <w:p>
      <w:pPr>
        <w:pStyle w:val="Compact"/>
        <w:numPr>
          <w:ilvl w:val="0"/>
          <w:numId w:val="1002"/>
        </w:numPr>
      </w:pPr>
      <w:r>
        <w:t xml:space="preserve">The transaction gives rise to pipeline-to-pipeline or pipeline-to-marketed products</w:t>
      </w:r>
      <w:r>
        <w:t xml:space="preserve"> </w:t>
      </w:r>
      <w:r>
        <w:t xml:space="preserve">overlaps.</w:t>
      </w:r>
    </w:p>
    <w:p>
      <w:pPr>
        <w:pStyle w:val="Compact"/>
        <w:numPr>
          <w:ilvl w:val="0"/>
          <w:numId w:val="1002"/>
        </w:numPr>
      </w:pPr>
      <w:r>
        <w:t xml:space="preserve">Vertical relationships exceed thresholds in distant levels of the value chain.</w:t>
      </w:r>
    </w:p>
    <w:p>
      <w:pPr>
        <w:pStyle w:val="FirstParagraph"/>
      </w:pPr>
      <w:r>
        <w:t xml:space="preserve">31</w:t>
      </w:r>
    </w:p>
    <w:p>
      <w:pPr>
        <w:pStyle w:val="Compact"/>
        <w:numPr>
          <w:ilvl w:val="0"/>
          <w:numId w:val="1003"/>
        </w:numPr>
      </w:pPr>
      <w:r>
        <w:t xml:space="preserve">The activities of the parties to the concentration overlap in highly differentiated</w:t>
      </w:r>
      <w:r>
        <w:t xml:space="preserve"> </w:t>
      </w:r>
      <w:r>
        <w:t xml:space="preserve">products.</w:t>
      </w:r>
    </w:p>
    <w:p>
      <w:pPr>
        <w:pStyle w:val="FirstParagraph"/>
      </w:pPr>
      <w:r>
        <w:t xml:space="preserve">The replies received to the Public Consultation regarding the need to introduce new</w:t>
      </w:r>
      <w:r>
        <w:t xml:space="preserve"> </w:t>
      </w:r>
      <w:r>
        <w:t xml:space="preserve">safeguards were somewhat contradictory. While the majority of respondents consider that</w:t>
      </w:r>
      <w:r>
        <w:t xml:space="preserve"> </w:t>
      </w:r>
      <w:r>
        <w:t xml:space="preserve">the current safeguards and exclusions foreseen in the Notice on Simplified Procedure are</w:t>
      </w:r>
      <w:r>
        <w:t xml:space="preserve"> </w:t>
      </w:r>
      <w:r>
        <w:t xml:space="preserve">sufficient, they also consider that the factors listed above can have a potential or likely</w:t>
      </w:r>
      <w:r>
        <w:t xml:space="preserve"> </w:t>
      </w:r>
      <w:r>
        <w:t xml:space="preserve">impact on competition in certain cases.39</w:t>
      </w:r>
    </w:p>
    <w:p>
      <w:pPr>
        <w:pStyle w:val="BodyText"/>
      </w:pPr>
      <w:r>
        <w:t xml:space="preserve">Some stakeholders consider that none of the factors taken in isolation could have an</w:t>
      </w:r>
      <w:r>
        <w:t xml:space="preserve"> </w:t>
      </w:r>
      <w:r>
        <w:t xml:space="preserve">impact on competition and/or that the mere fact that a case falls below any of the market</w:t>
      </w:r>
      <w:r>
        <w:t xml:space="preserve"> </w:t>
      </w:r>
      <w:r>
        <w:t xml:space="preserve">share thresholds foreseen in the Notice on Simplified Procedure suffices to conclude that</w:t>
      </w:r>
      <w:r>
        <w:t xml:space="preserve"> </w:t>
      </w:r>
      <w:r>
        <w:t xml:space="preserve">it is not problematic in the vast majority of cases.</w:t>
      </w:r>
    </w:p>
    <w:p>
      <w:pPr>
        <w:pStyle w:val="BodyText"/>
      </w:pPr>
      <w:r>
        <w:t xml:space="preserve">Conversely, a number of stakeholders consider that additional safeguards should be</w:t>
      </w:r>
      <w:r>
        <w:t xml:space="preserve"> </w:t>
      </w:r>
      <w:r>
        <w:t xml:space="preserve">included for the digital economy, where dynamic aspects and potential competition play</w:t>
      </w:r>
      <w:r>
        <w:t xml:space="preserve"> </w:t>
      </w:r>
      <w:r>
        <w:t xml:space="preserve">a bigger role than just looking at static market shares. Other stakeholders mentioned that</w:t>
      </w:r>
      <w:r>
        <w:t xml:space="preserve"> </w:t>
      </w:r>
      <w:r>
        <w:t xml:space="preserve">additional safeguards could be introduced for vertical transactions involving nascent</w:t>
      </w:r>
      <w:r>
        <w:t xml:space="preserve"> </w:t>
      </w:r>
      <w:r>
        <w:t xml:space="preserve">competitors or transactions which would allow to leverage on data. However, these</w:t>
      </w:r>
      <w:r>
        <w:t xml:space="preserve"> </w:t>
      </w:r>
      <w:r>
        <w:t xml:space="preserve">observations were rather unspecific, without any more concrete proposals.</w:t>
      </w:r>
    </w:p>
    <w:p>
      <w:pPr>
        <w:pStyle w:val="BodyText"/>
      </w:pPr>
      <w:r>
        <w:t xml:space="preserve">Also the internal research on intervention cases (see Annex 5) showed that in the period</w:t>
      </w:r>
      <w:r>
        <w:t xml:space="preserve"> </w:t>
      </w:r>
      <w:r>
        <w:t xml:space="preserve">2015-2021 the Commission intervened in certain markets potentially falling under the</w:t>
      </w:r>
      <w:r>
        <w:t xml:space="preserve"> </w:t>
      </w:r>
      <w:r>
        <w:t xml:space="preserve">new categories proposed or even in no affected markets in which at least one of the</w:t>
      </w:r>
      <w:r>
        <w:t xml:space="preserve"> </w:t>
      </w:r>
      <w:r>
        <w:t xml:space="preserve">following factors was present:</w:t>
      </w:r>
    </w:p>
    <w:p>
      <w:pPr>
        <w:pStyle w:val="Compact"/>
        <w:numPr>
          <w:ilvl w:val="0"/>
          <w:numId w:val="1004"/>
        </w:numPr>
      </w:pPr>
      <w:r>
        <w:t xml:space="preserve">Where less than three significant competitors remained post-merger;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Where there were pipeline to pipeline or pipeline to marketed product overlaps;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Where market share thresholds were exceeded significantly in certain segments</w:t>
      </w:r>
      <w:r>
        <w:t xml:space="preserve"> </w:t>
      </w:r>
      <w:r>
        <w:t xml:space="preserve">and/or Member States;</w:t>
      </w:r>
    </w:p>
    <w:p>
      <w:pPr>
        <w:pStyle w:val="Compact"/>
        <w:numPr>
          <w:ilvl w:val="0"/>
          <w:numId w:val="1004"/>
        </w:numPr>
      </w:pPr>
      <w:r>
        <w:t xml:space="preserve">Where market share thresholds were exceeded in previous years;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Where market shares were difficult to calculate / unreliable;</w:t>
      </w:r>
    </w:p>
    <w:p>
      <w:pPr>
        <w:pStyle w:val="Compact"/>
        <w:numPr>
          <w:ilvl w:val="0"/>
          <w:numId w:val="1004"/>
        </w:numPr>
      </w:pPr>
      <w:r>
        <w:t xml:space="preserve">Where at least one of the Parties was a recent entrant.</w:t>
      </w:r>
    </w:p>
    <w:p>
      <w:pPr>
        <w:pStyle w:val="FirstParagraph"/>
      </w:pPr>
      <w:r>
        <w:t xml:space="preserve">Cases in which these factors are present would in most cases already be captured by the</w:t>
      </w:r>
      <w:r>
        <w:t xml:space="preserve"> </w:t>
      </w:r>
      <w:r>
        <w:t xml:space="preserve">general safeguards and exclusions currently included in the Notice on Simplified</w:t>
      </w:r>
      <w:r>
        <w:t xml:space="preserve"> </w:t>
      </w:r>
      <w:r>
        <w:t xml:space="preserve">Procedure. However, it would be beneficial to have more concrete language for the most</w:t>
      </w:r>
      <w:r>
        <w:t xml:space="preserve"> </w:t>
      </w:r>
      <w:r>
        <w:t xml:space="preserve">relevant factors which led to interventions in some markets or which are considered in</w:t>
      </w:r>
      <w:r>
        <w:t xml:space="preserve"> </w:t>
      </w:r>
      <w:r>
        <w:t xml:space="preserve">the Horizontal or Vertical Merger Guidelines, without eliminating the more general</w:t>
      </w:r>
      <w:r>
        <w:t xml:space="preserve"> </w:t>
      </w:r>
      <w:r>
        <w:t xml:space="preserve">safeguards already listed in the Notice, which give the Commission the necessary</w:t>
      </w:r>
      <w:r>
        <w:t xml:space="preserve"> </w:t>
      </w:r>
      <w:r>
        <w:t xml:space="preserve">flexibility for unforeseen circumstances.</w:t>
      </w:r>
    </w:p>
    <w:p>
      <w:pPr>
        <w:pStyle w:val="BodyText"/>
      </w:pPr>
      <w:r>
        <w:t xml:space="preserve">39</w:t>
      </w:r>
      <w:r>
        <w:br/>
      </w:r>
      <w:r>
        <w:t xml:space="preserve">With regard to the factor that the activities of the merging parties overlap in highly differentiated</w:t>
      </w:r>
      <w:r>
        <w:t xml:space="preserve"> </w:t>
      </w:r>
      <w:r>
        <w:t xml:space="preserve">products, half of the respondents consider that this factor will have an unlikely impact on competition</w:t>
      </w:r>
      <w:r>
        <w:t xml:space="preserve"> </w:t>
      </w:r>
      <w:r>
        <w:t xml:space="preserve">in all cases, while the other half consider it may have a potential or likely impact in certain cases.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Moreover, some of the most important circumstances identified above are not</w:t>
      </w:r>
      <w:r>
        <w:t xml:space="preserve"> </w:t>
      </w:r>
      <w:r>
        <w:t xml:space="preserve">systematically checked currently, as the notification forms do not require specific</w:t>
      </w:r>
      <w:r>
        <w:t xml:space="preserve"> </w:t>
      </w:r>
      <w:r>
        <w:t xml:space="preserve">information on them. Although the general safeguards contained in the Notice on</w:t>
      </w:r>
      <w:r>
        <w:t xml:space="preserve"> </w:t>
      </w:r>
      <w:r>
        <w:t xml:space="preserve">Simplified Procedure would allow to revert a case to the normal procedure under all the</w:t>
      </w:r>
      <w:r>
        <w:t xml:space="preserve"> </w:t>
      </w:r>
      <w:r>
        <w:t xml:space="preserve">circumstances identified in the new safeguards, the current notification forms do not</w:t>
      </w:r>
      <w:r>
        <w:t xml:space="preserve"> </w:t>
      </w:r>
      <w:r>
        <w:t xml:space="preserve">require specific information on them. To be fully effective, it should be checked</w:t>
      </w:r>
      <w:r>
        <w:t xml:space="preserve"> </w:t>
      </w:r>
      <w:r>
        <w:t xml:space="preserve">systematically in the notification forms whether any of the factors which led the</w:t>
      </w:r>
      <w:r>
        <w:t xml:space="preserve"> </w:t>
      </w:r>
      <w:r>
        <w:t xml:space="preserve">Commission to intervene in certain markets are present. Without this information, the</w:t>
      </w:r>
      <w:r>
        <w:t xml:space="preserve"> </w:t>
      </w:r>
      <w:r>
        <w:t xml:space="preserve">Commission is not in a position to check systematically whether these special</w:t>
      </w:r>
      <w:r>
        <w:t xml:space="preserve"> </w:t>
      </w:r>
      <w:r>
        <w:t xml:space="preserve">circumstances are present. This is a shortcoming of the current forms. These safeguards</w:t>
      </w:r>
      <w:r>
        <w:t xml:space="preserve"> </w:t>
      </w:r>
      <w:r>
        <w:t xml:space="preserve">will be even more important once the new categories of simplified cases are introduced,</w:t>
      </w:r>
      <w:r>
        <w:t xml:space="preserve"> </w:t>
      </w:r>
      <w:r>
        <w:t xml:space="preserve">as thresholds for treatment under the simplified procedure will be increased.. Therefore,</w:t>
      </w:r>
      <w:r>
        <w:t xml:space="preserve"> </w:t>
      </w:r>
      <w:r>
        <w:t xml:space="preserve">option 3 would help to better target the merger review process, provided that the</w:t>
      </w:r>
      <w:r>
        <w:t xml:space="preserve"> </w:t>
      </w:r>
      <w:r>
        <w:t xml:space="preserve">safeguards included are objective, concrete and not too data-intensive.</w:t>
      </w:r>
    </w:p>
    <w:p>
      <w:pPr>
        <w:pStyle w:val="BodyText"/>
      </w:pPr>
      <w:r>
        <w:t xml:space="preserve">In view of the results of the internal research and the feedback received in reply to the</w:t>
      </w:r>
      <w:r>
        <w:t xml:space="preserve"> </w:t>
      </w:r>
      <w:r>
        <w:t xml:space="preserve">Public Consultation, the Commission came up with some new language in a section II.C.</w:t>
      </w:r>
      <w:r>
        <w:t xml:space="preserve"> </w:t>
      </w:r>
      <w:r>
        <w:t xml:space="preserve">of the Notice on Simplified Procedure and a new Section 11 of the Short Form CO, that it</w:t>
      </w:r>
      <w:r>
        <w:t xml:space="preserve"> </w:t>
      </w:r>
      <w:r>
        <w:t xml:space="preserve">tested during the Consultation of Stakeholders, per which it shared the redrafted legal</w:t>
      </w:r>
      <w:r>
        <w:t xml:space="preserve"> </w:t>
      </w:r>
      <w:r>
        <w:t xml:space="preserve">texts with stakeholders for their input. The Commission prepared the list, among other</w:t>
      </w:r>
      <w:r>
        <w:t xml:space="preserve"> </w:t>
      </w:r>
      <w:r>
        <w:t xml:space="preserve">things, drawing from the special circumstances mentioned in the Horizontal and Non-</w:t>
      </w:r>
      <w:r>
        <w:t xml:space="preserve"> </w:t>
      </w:r>
      <w:r>
        <w:t xml:space="preserve">Horizontal Merger Guidelines. Moreover, in the research on intervention cases, the</w:t>
      </w:r>
      <w:r>
        <w:t xml:space="preserve"> </w:t>
      </w:r>
      <w:r>
        <w:t xml:space="preserve">Commission identified additional special circumstances that led to interventions in cases</w:t>
      </w:r>
      <w:r>
        <w:t xml:space="preserve"> </w:t>
      </w:r>
      <w:r>
        <w:t xml:space="preserve">where market shares would be below or close to the thresholds established in the Notice</w:t>
      </w:r>
      <w:r>
        <w:t xml:space="preserve"> </w:t>
      </w:r>
      <w:r>
        <w:t xml:space="preserve">on Simplified Procedure. By way of example, Section 11 included the following</w:t>
      </w:r>
      <w:r>
        <w:t xml:space="preserve"> </w:t>
      </w:r>
      <w:r>
        <w:t xml:space="preserve">safeguards and exclusions (in a “yes/no” format):</w:t>
      </w:r>
    </w:p>
    <w:p>
      <w:pPr>
        <w:pStyle w:val="Compact"/>
        <w:numPr>
          <w:ilvl w:val="0"/>
          <w:numId w:val="1005"/>
        </w:numPr>
      </w:pPr>
      <w:r>
        <w:t xml:space="preserve">Any of the parties to the concentration has significant non-controlling</w:t>
      </w:r>
      <w:r>
        <w:t xml:space="preserve"> </w:t>
      </w:r>
      <w:r>
        <w:t xml:space="preserve">shareholdings (i.e. above 10%) or cross-directorships in companies active in the</w:t>
      </w:r>
      <w:r>
        <w:t xml:space="preserve"> </w:t>
      </w:r>
      <w:r>
        <w:t xml:space="preserve">same markets as any of the other parties or in vertically related markets (e.g. the</w:t>
      </w:r>
      <w:r>
        <w:t xml:space="preserve"> </w:t>
      </w:r>
      <w:r>
        <w:t xml:space="preserve">acquiring undertaking has a non-controlling minority shareholding or common</w:t>
      </w:r>
      <w:r>
        <w:t xml:space="preserve"> </w:t>
      </w:r>
      <w:r>
        <w:t xml:space="preserve">directors in an undertaking active in the same market as the target).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One or more of the parties’ customers or competitors have a significant non-</w:t>
      </w:r>
      <w:r>
        <w:t xml:space="preserve"> </w:t>
      </w:r>
      <w:r>
        <w:t xml:space="preserve">controlling shareholding (i.e. above 10%) in any of the undertakings concerned.</w:t>
      </w:r>
    </w:p>
    <w:p>
      <w:pPr>
        <w:pStyle w:val="Compact"/>
        <w:numPr>
          <w:ilvl w:val="0"/>
          <w:numId w:val="1005"/>
        </w:numPr>
      </w:pPr>
      <w:r>
        <w:t xml:space="preserve">The parties own or control important technological, financial or competitively</w:t>
      </w:r>
      <w:r>
        <w:t xml:space="preserve"> </w:t>
      </w:r>
      <w:r>
        <w:t xml:space="preserve">valuable assets, such as raw materials, intellectual property rights, patents, data or</w:t>
      </w:r>
      <w:r>
        <w:t xml:space="preserve"> </w:t>
      </w:r>
      <w:r>
        <w:t xml:space="preserve">infrastructure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The parties are active in closely neighbouring markets and any of the Parties</w:t>
      </w:r>
      <w:r>
        <w:t xml:space="preserve"> </w:t>
      </w:r>
      <w:r>
        <w:t xml:space="preserve">individually holds a market share of 30% or more in any of these markets under</w:t>
      </w:r>
      <w:r>
        <w:t xml:space="preserve"> </w:t>
      </w:r>
      <w:r>
        <w:t xml:space="preserve">any plausible market definition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The parties have a significant user base and/or commercially valuable data</w:t>
      </w:r>
      <w:r>
        <w:t xml:space="preserve"> </w:t>
      </w:r>
      <w:r>
        <w:t xml:space="preserve">inventories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The concentration will allow the merged entity to gain access to commercially</w:t>
      </w:r>
      <w:r>
        <w:t xml:space="preserve"> </w:t>
      </w:r>
      <w:r>
        <w:t xml:space="preserve">sensitive information regarding the upstream or downstream activities of rivals.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There will remain fewer than three competitors with market shares above 5% in</w:t>
      </w:r>
      <w:r>
        <w:t xml:space="preserve"> </w:t>
      </w:r>
      <w:r>
        <w:t xml:space="preserve">any of the markets giving raise to horizontal overlaps or vertical relationships under</w:t>
      </w:r>
      <w:r>
        <w:t xml:space="preserve"> </w:t>
      </w:r>
      <w:r>
        <w:t xml:space="preserve">any plausible market definition.</w:t>
      </w:r>
    </w:p>
    <w:p>
      <w:pPr>
        <w:pStyle w:val="FirstParagraph"/>
      </w:pPr>
      <w:r>
        <w:t xml:space="preserve">33</w:t>
      </w:r>
    </w:p>
    <w:p>
      <w:pPr>
        <w:pStyle w:val="Compact"/>
        <w:numPr>
          <w:ilvl w:val="0"/>
          <w:numId w:val="1006"/>
        </w:numPr>
      </w:pPr>
      <w:r>
        <w:t xml:space="preserve">The relevant market share thresholds are exceeded in terms of capacity or</w:t>
      </w:r>
      <w:r>
        <w:t xml:space="preserve"> </w:t>
      </w:r>
      <w:r>
        <w:t xml:space="preserve">production under any plausible market definition.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The parties (or one of them) are recent entrants in the overlapping markets (i.e. </w:t>
      </w:r>
      <w:r>
        <w:t xml:space="preserve"> </w:t>
      </w:r>
      <w:r>
        <w:t xml:space="preserve">entered the market in the last three years)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The parties’ activities overlap or have a vertical relationship in highly differentiated</w:t>
      </w:r>
      <w:r>
        <w:t xml:space="preserve"> </w:t>
      </w:r>
      <w:r>
        <w:t xml:space="preserve">products. And (i) brand recognition is important in any of the overlapping markets;</w:t>
      </w:r>
    </w:p>
    <w:p>
      <w:pPr>
        <w:pStyle w:val="Compact"/>
        <w:numPr>
          <w:ilvl w:val="0"/>
          <w:numId w:val="1007"/>
        </w:numPr>
      </w:pPr>
      <w:r>
        <w:t xml:space="preserve">branch or store locations are important in any of the overlapping markets, (iii)</w:t>
      </w:r>
      <w:r>
        <w:t xml:space="preserve"> </w:t>
      </w:r>
      <w:r>
        <w:t xml:space="preserve">Technical specifications, quality or level of service is important in any of the</w:t>
      </w:r>
      <w:r>
        <w:t xml:space="preserve"> </w:t>
      </w:r>
      <w:r>
        <w:t xml:space="preserve">overlapping markets, (iv) Advertising is important in any of the overlapping</w:t>
      </w:r>
      <w:r>
        <w:t xml:space="preserve"> </w:t>
      </w:r>
      <w:r>
        <w:t xml:space="preserve">markets.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The parties are important innovators in the overlapping markets.</w:t>
      </w:r>
    </w:p>
    <w:p>
      <w:pPr>
        <w:pStyle w:val="Compact"/>
        <w:numPr>
          <w:ilvl w:val="0"/>
          <w:numId w:val="1008"/>
        </w:numPr>
      </w:pPr>
      <w:r>
        <w:t xml:space="preserve">The parties have brought to the market an important pipeline product within the last</w:t>
      </w:r>
      <w:r>
        <w:t xml:space="preserve"> </w:t>
      </w:r>
      <w:r>
        <w:t xml:space="preserve">5 years.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The main activity of one or more companies focuses on R&amp;D.</w:t>
      </w:r>
    </w:p>
    <w:p>
      <w:pPr>
        <w:pStyle w:val="Compact"/>
        <w:numPr>
          <w:ilvl w:val="0"/>
          <w:numId w:val="1008"/>
        </w:numPr>
      </w:pPr>
      <w:r>
        <w:t xml:space="preserve">The concentration gives raise to pipeline-to-pipeline or pipeline-to-marketed</w:t>
      </w:r>
      <w:r>
        <w:t xml:space="preserve"> </w:t>
      </w:r>
      <w:r>
        <w:t xml:space="preserve">product overlaps.</w:t>
      </w:r>
    </w:p>
    <w:p>
      <w:pPr>
        <w:pStyle w:val="Compact"/>
        <w:numPr>
          <w:ilvl w:val="0"/>
          <w:numId w:val="1008"/>
        </w:numPr>
      </w:pPr>
      <w:r>
        <w:t xml:space="preserve">One of the parties has plans to expand into product markets and/or geographic</w:t>
      </w:r>
      <w:r>
        <w:t xml:space="preserve"> </w:t>
      </w:r>
      <w:r>
        <w:t xml:space="preserve">markets in which the other party is active or which are in a vertical relation with</w:t>
      </w:r>
      <w:r>
        <w:t xml:space="preserve"> </w:t>
      </w:r>
      <w:r>
        <w:t xml:space="preserve">products in which the other party is active.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In production chains with more than two levels, individual or combined market</w:t>
      </w:r>
      <w:r>
        <w:t xml:space="preserve"> </w:t>
      </w:r>
      <w:r>
        <w:t xml:space="preserve">shares of the parties exceed 30% in any of the levels of the value chain (in terms of</w:t>
      </w:r>
      <w:r>
        <w:t xml:space="preserve"> </w:t>
      </w:r>
      <w:r>
        <w:t xml:space="preserve">value, volume, production or capacity).</w:t>
      </w:r>
    </w:p>
    <w:p>
      <w:pPr>
        <w:pStyle w:val="FirstParagraph"/>
      </w:pPr>
      <w:r>
        <w:t xml:space="preserve">However, some of the replies received during the Consultation of Stakeholders expressed</w:t>
      </w:r>
      <w:r>
        <w:t xml:space="preserve"> </w:t>
      </w:r>
      <w:r>
        <w:t xml:space="preserve">a need for caution on a number of the safeguards included at that point, indicating that</w:t>
      </w:r>
      <w:r>
        <w:t xml:space="preserve"> </w:t>
      </w:r>
      <w:r>
        <w:t xml:space="preserve">certain safeguards (and in particular safeguards c, e, f and j) cannot be answered in a</w:t>
      </w:r>
      <w:r>
        <w:t xml:space="preserve"> </w:t>
      </w:r>
      <w:r>
        <w:t xml:space="preserve">“yes/no” format because they imply a subjective judgment or are too vague. Also, they</w:t>
      </w:r>
      <w:r>
        <w:t xml:space="preserve"> </w:t>
      </w:r>
      <w:r>
        <w:t xml:space="preserve">point out that some safeguards (e.g. safeguard h) require the gathering of detailed</w:t>
      </w:r>
      <w:r>
        <w:t xml:space="preserve"> </w:t>
      </w:r>
      <w:r>
        <w:t xml:space="preserve">information in order to reply to the “yes/no” question included in the new Short Form</w:t>
      </w:r>
      <w:r>
        <w:t xml:space="preserve"> </w:t>
      </w:r>
      <w:r>
        <w:t xml:space="preserve">CO, which would be burdensome and unjustified for simplified cases.</w:t>
      </w:r>
    </w:p>
    <w:p>
      <w:pPr>
        <w:pStyle w:val="BodyText"/>
      </w:pPr>
      <w:r>
        <w:t xml:space="preserve">In conclusion, introducing Options 1a, 1b, 2a, 2b, 2c and 3 would have a neutral impact</w:t>
      </w:r>
      <w:r>
        <w:t xml:space="preserve"> </w:t>
      </w:r>
      <w:r>
        <w:t xml:space="preserve">on the internal market. As explained above, the risks of introducing all the options</w:t>
      </w:r>
      <w:r>
        <w:t xml:space="preserve"> </w:t>
      </w:r>
      <w:r>
        <w:t xml:space="preserve">assessed are very limited. Moreover, Option 3 will have a positive impact on the internal</w:t>
      </w:r>
      <w:r>
        <w:t xml:space="preserve"> </w:t>
      </w:r>
      <w:r>
        <w:t xml:space="preserve">market, as it will help to identify cases falling a priori under the simplified procedure but</w:t>
      </w:r>
      <w:r>
        <w:t xml:space="preserve"> </w:t>
      </w:r>
      <w:r>
        <w:t xml:space="preserve">that may require a more detailed assessment. As regards Option 3 specifically though, the</w:t>
      </w:r>
      <w:r>
        <w:t xml:space="preserve"> </w:t>
      </w:r>
      <w:r>
        <w:t xml:space="preserve">Commission considers that it should take into account the feedback received during the</w:t>
      </w:r>
      <w:r>
        <w:t xml:space="preserve"> </w:t>
      </w:r>
      <w:r>
        <w:t xml:space="preserve">Consultation of Stakeholders and remove some safeguards from the Short Form CO (i.e. </w:t>
      </w:r>
      <w:r>
        <w:t xml:space="preserve"> </w:t>
      </w:r>
      <w:r>
        <w:t xml:space="preserve">safeguards c, e, f, h and j), to make the list included as objective and concrete as possible</w:t>
      </w:r>
      <w:r>
        <w:t xml:space="preserve"> </w:t>
      </w:r>
      <w:r>
        <w:t xml:space="preserve">and to reduce as much as possible the burden for businesses involved in terms of</w:t>
      </w:r>
      <w:r>
        <w:t xml:space="preserve"> </w:t>
      </w:r>
      <w:r>
        <w:t xml:space="preserve">information gathering. Here, it is important to note that none of the safeguards concerned</w:t>
      </w:r>
      <w:r>
        <w:t xml:space="preserve"> </w:t>
      </w:r>
      <w:r>
        <w:t xml:space="preserve">by these comments and to be removed in the final version of the Short Form CO were</w:t>
      </w:r>
      <w:r>
        <w:t xml:space="preserve"> </w:t>
      </w:r>
      <w:r>
        <w:t xml:space="preserve">identified in the internal research on intervention cases as some of the factors leading the</w:t>
      </w:r>
      <w:r>
        <w:t xml:space="preserve"> </w:t>
      </w:r>
      <w:r>
        <w:t xml:space="preserve">Commission to intervene in markets that could fall under the simplified procedure. These</w:t>
      </w:r>
      <w:r>
        <w:t xml:space="preserve"> </w:t>
      </w:r>
      <w:r>
        <w:t xml:space="preserve">are the most important safeguards to ensure that the Commission captures all cases that</w:t>
      </w:r>
      <w:r>
        <w:t xml:space="preserve"> </w:t>
      </w:r>
      <w:r>
        <w:t xml:space="preserve">could potentially raise competition concerns. A more detailed assessment can be found</w:t>
      </w:r>
      <w:r>
        <w:t xml:space="preserve"> </w:t>
      </w:r>
      <w:r>
        <w:t xml:space="preserve">in Annex 5. Also, none of these safeguards should be removed from the Notice on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Simplified Procedure so that the Commission can still inquire about these by way of</w:t>
      </w:r>
      <w:r>
        <w:t xml:space="preserve"> </w:t>
      </w:r>
      <w:r>
        <w:t xml:space="preserve">requests for information in cases of doubts.</w:t>
      </w:r>
    </w:p>
    <w:p>
      <w:pPr>
        <w:pStyle w:val="BodyText"/>
      </w:pPr>
      <w:r>
        <w:t xml:space="preserve">6.1.2. Impact on businesses and enforcement authorities</w:t>
      </w:r>
      <w:r>
        <w:t xml:space="preserve"> </w:t>
      </w:r>
      <w:r>
        <w:t xml:space="preserve">With regard to Options 1a and 1b, the large majority of stakeholders consider that the</w:t>
      </w:r>
      <w:r>
        <w:t xml:space="preserve"> </w:t>
      </w:r>
      <w:r>
        <w:t xml:space="preserve">introduction of the flexibility clause would be beneficial and consider that it would bring</w:t>
      </w:r>
      <w:r>
        <w:t xml:space="preserve"> </w:t>
      </w:r>
      <w:r>
        <w:t xml:space="preserve">a moderate to significant reduction of burden and costs for businesses involved (i.e. the</w:t>
      </w:r>
      <w:r>
        <w:t xml:space="preserve"> </w:t>
      </w:r>
      <w:r>
        <w:t xml:space="preserve">notifying parties) (with only a few stakeholders indicating that it would only bring a</w:t>
      </w:r>
      <w:r>
        <w:t xml:space="preserve"> </w:t>
      </w:r>
      <w:r>
        <w:t xml:space="preserve">negligible reduction).</w:t>
      </w:r>
    </w:p>
    <w:p>
      <w:pPr>
        <w:pStyle w:val="BodyText"/>
      </w:pPr>
      <w:r>
        <w:t xml:space="preserve">The internal research on intervention cases shows that no additional case would be</w:t>
      </w:r>
      <w:r>
        <w:t xml:space="preserve"> </w:t>
      </w:r>
      <w:r>
        <w:t xml:space="preserve">captured under the simplified procedure with option 1a. In two cases (2% of all cases</w:t>
      </w:r>
      <w:r>
        <w:t xml:space="preserve"> </w:t>
      </w:r>
      <w:r>
        <w:t xml:space="preserve">analysed) all the horizontal overlaps involved combined market shares between 20 and</w:t>
      </w:r>
      <w:r>
        <w:t xml:space="preserve"> </w:t>
      </w:r>
      <w:r>
        <w:t xml:space="preserve">25% and could therefore benefit from the flexibility clause. However, these cases also</w:t>
      </w:r>
      <w:r>
        <w:t xml:space="preserve"> </w:t>
      </w:r>
      <w:r>
        <w:t xml:space="preserve">gave rise to vertical relationships, which would not fall under any of the categories of</w:t>
      </w:r>
      <w:r>
        <w:t xml:space="preserve"> </w:t>
      </w:r>
      <w:r>
        <w:t xml:space="preserve">simplified treatment proposed. The horizontal overlaps (including all possible segments)</w:t>
      </w:r>
      <w:r>
        <w:t xml:space="preserve"> </w:t>
      </w:r>
      <w:r>
        <w:t xml:space="preserve">that would qualify for simplified treatment under the flexibility clause for horizontal</w:t>
      </w:r>
      <w:r>
        <w:t xml:space="preserve"> </w:t>
      </w:r>
      <w:r>
        <w:t xml:space="preserve">overlaps represent approximately 14% of the total horizontal overlaps analysed in the</w:t>
      </w:r>
      <w:r>
        <w:t xml:space="preserve"> </w:t>
      </w:r>
      <w:r>
        <w:t xml:space="preserve">period reviewed. Therefore, the impact of introducing this clause would be very</w:t>
      </w:r>
      <w:r>
        <w:t xml:space="preserve"> </w:t>
      </w:r>
      <w:r>
        <w:t xml:space="preserve">significant.</w:t>
      </w:r>
    </w:p>
    <w:p>
      <w:pPr>
        <w:pStyle w:val="BodyText"/>
      </w:pPr>
      <w:r>
        <w:t xml:space="preserve">Three cases (3% of all cases analysed) could have been reviewed under the simplified</w:t>
      </w:r>
      <w:r>
        <w:t xml:space="preserve"> </w:t>
      </w:r>
      <w:r>
        <w:t xml:space="preserve">procedure with the flexibility clause for vertical relationships (Option 1b). The vertically</w:t>
      </w:r>
      <w:r>
        <w:t xml:space="preserve"> </w:t>
      </w:r>
      <w:r>
        <w:t xml:space="preserve">related markets (including all possible segments) in which market shares were between</w:t>
      </w:r>
      <w:r>
        <w:t xml:space="preserve"> </w:t>
      </w:r>
      <w:r>
        <w:t xml:space="preserve">30 and 35% either upstream or downstream represent approximately 19% of the total</w:t>
      </w:r>
      <w:r>
        <w:t xml:space="preserve"> </w:t>
      </w:r>
      <w:r>
        <w:t xml:space="preserve">vertically related markets analysed. Approximately 13% of all vertical relations analysed</w:t>
      </w:r>
      <w:r>
        <w:t xml:space="preserve"> </w:t>
      </w:r>
      <w:r>
        <w:t xml:space="preserve">in the period reviewed presented market shares between 30% and 35% either in the</w:t>
      </w:r>
      <w:r>
        <w:t xml:space="preserve"> </w:t>
      </w:r>
      <w:r>
        <w:t xml:space="preserve">upstream or downstream market, while in the other vertically related market, market</w:t>
      </w:r>
      <w:r>
        <w:t xml:space="preserve"> </w:t>
      </w:r>
      <w:r>
        <w:t xml:space="preserve">shares were below 35% and thus would have benefited from the flexibility clause.</w:t>
      </w:r>
    </w:p>
    <w:p>
      <w:pPr>
        <w:pStyle w:val="BodyText"/>
      </w:pPr>
      <w:r>
        <w:t xml:space="preserve">It follows that introducing the flexibility clause for horizontal overlaps and vertical</w:t>
      </w:r>
      <w:r>
        <w:t xml:space="preserve"> </w:t>
      </w:r>
      <w:r>
        <w:t xml:space="preserve">relationships would bring a very significant reduction of burden for cases falling under</w:t>
      </w:r>
      <w:r>
        <w:t xml:space="preserve"> </w:t>
      </w:r>
      <w:r>
        <w:t xml:space="preserve">the normal procedure, as 14% of the horizontal markets/segments and 13% of the</w:t>
      </w:r>
      <w:r>
        <w:t xml:space="preserve"> </w:t>
      </w:r>
      <w:r>
        <w:t xml:space="preserve">vertically related markets/segments reviewed under the normal procedure in the period</w:t>
      </w:r>
      <w:r>
        <w:t xml:space="preserve"> </w:t>
      </w:r>
      <w:r>
        <w:t xml:space="preserve">assessed could have benefitted from this clause and thus a detailed assessment and</w:t>
      </w:r>
      <w:r>
        <w:t xml:space="preserve"> </w:t>
      </w:r>
      <w:r>
        <w:t xml:space="preserve">market investigation would not have been required for these markets.</w:t>
      </w:r>
    </w:p>
    <w:p>
      <w:pPr>
        <w:pStyle w:val="BodyText"/>
      </w:pPr>
      <w:r>
        <w:t xml:space="preserve">Most respondents added that a flexibility clause based on Option 1c would lead to a</w:t>
      </w:r>
      <w:r>
        <w:t xml:space="preserve"> </w:t>
      </w:r>
      <w:r>
        <w:t xml:space="preserve">“moderate” or “significant” reduction in administrative burden and costs for</w:t>
      </w:r>
      <w:r>
        <w:t xml:space="preserve"> </w:t>
      </w:r>
      <w:r>
        <w:t xml:space="preserve">undertakings involved (i.e. the notifying parties). Internal research shows that Option 1c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would also reduce the administrative burden on the Commission. Thanks to this Option,</w:t>
      </w:r>
      <w:r>
        <w:t xml:space="preserve"> </w:t>
      </w:r>
      <w:r>
        <w:t xml:space="preserve">on average 2.5 additional cases per year would fall under the simplified procedure.40</w:t>
      </w:r>
      <w:r>
        <w:t xml:space="preserve"> </w:t>
      </w:r>
      <w:r>
        <w:t xml:space="preserve">With regard to option 2a, the large majority of private stakeholders consider that the</w:t>
      </w:r>
      <w:r>
        <w:t xml:space="preserve"> </w:t>
      </w:r>
      <w:r>
        <w:t xml:space="preserve">introduction of the category of highly asymmetric positions upstream and downstream</w:t>
      </w:r>
      <w:r>
        <w:t xml:space="preserve"> </w:t>
      </w:r>
      <w:r>
        <w:t xml:space="preserve">would be beneficial and consider that it would bring a moderate to significant reduction</w:t>
      </w:r>
      <w:r>
        <w:t xml:space="preserve"> </w:t>
      </w:r>
      <w:r>
        <w:t xml:space="preserve">of burden and costs for businesses involved (i.e. the notifying parties) (with only a few</w:t>
      </w:r>
      <w:r>
        <w:t xml:space="preserve"> </w:t>
      </w:r>
      <w:r>
        <w:t xml:space="preserve">stakeholders indicating that it would only bring a negligible reduction). The only public</w:t>
      </w:r>
      <w:r>
        <w:t xml:space="preserve"> </w:t>
      </w:r>
      <w:r>
        <w:t xml:space="preserve">authority that replied to this question considers that it would bring a significant reduction</w:t>
      </w:r>
      <w:r>
        <w:t xml:space="preserve"> </w:t>
      </w:r>
      <w:r>
        <w:t xml:space="preserve">of the burden and costs for companies and the Commission.</w:t>
      </w:r>
    </w:p>
    <w:p>
      <w:pPr>
        <w:pStyle w:val="BodyText"/>
      </w:pPr>
      <w:r>
        <w:t xml:space="preserve">The internal research carried out by the Commission on the number of horizontal</w:t>
      </w:r>
      <w:r>
        <w:t xml:space="preserve"> </w:t>
      </w:r>
      <w:r>
        <w:t xml:space="preserve">overlaps and vertical relationships that would fall under the simplified procedure shows</w:t>
      </w:r>
      <w:r>
        <w:t xml:space="preserve"> </w:t>
      </w:r>
      <w:r>
        <w:t xml:space="preserve">that introducing this new category would have captured four additional cases under the</w:t>
      </w:r>
      <w:r>
        <w:t xml:space="preserve"> </w:t>
      </w:r>
      <w:r>
        <w:t xml:space="preserve">simplified procedure in the period assessed. Moreover, it would also bring a significant</w:t>
      </w:r>
      <w:r>
        <w:t xml:space="preserve"> </w:t>
      </w:r>
      <w:r>
        <w:t xml:space="preserve">reduction of burden for cases falling under the normal procedure, as a significant number</w:t>
      </w:r>
      <w:r>
        <w:t xml:space="preserve"> </w:t>
      </w:r>
      <w:r>
        <w:t xml:space="preserve">of vertical markets/segments reviewed under the normal procedure in the period assessed</w:t>
      </w:r>
      <w:r>
        <w:t xml:space="preserve"> </w:t>
      </w:r>
      <w:r>
        <w:t xml:space="preserve">could have benefitted from this clause and thus a detailed assessment and market</w:t>
      </w:r>
      <w:r>
        <w:t xml:space="preserve"> </w:t>
      </w:r>
      <w:r>
        <w:t xml:space="preserve">investigation would not have been required for these markets. In particular, introducing</w:t>
      </w:r>
      <w:r>
        <w:t xml:space="preserve"> </w:t>
      </w:r>
      <w:r>
        <w:t xml:space="preserve">the highest thresholds considered (i.e. 50% in one market and 10% in the other vertically</w:t>
      </w:r>
      <w:r>
        <w:t xml:space="preserve"> </w:t>
      </w:r>
      <w:r>
        <w:t xml:space="preserve">related market) would capture approximately 2% of the vertically related</w:t>
      </w:r>
      <w:r>
        <w:t xml:space="preserve"> </w:t>
      </w:r>
      <w:r>
        <w:t xml:space="preserve">markets/segments analysed.</w:t>
      </w:r>
    </w:p>
    <w:p>
      <w:pPr>
        <w:pStyle w:val="BodyText"/>
      </w:pPr>
      <w:r>
        <w:t xml:space="preserve">With regard to Option 2b, the large majority of private stakeholders consider that the</w:t>
      </w:r>
      <w:r>
        <w:t xml:space="preserve"> </w:t>
      </w:r>
      <w:r>
        <w:t xml:space="preserve">introduction of the category of low purchasing share would be beneficial and consider</w:t>
      </w:r>
      <w:r>
        <w:t xml:space="preserve"> </w:t>
      </w:r>
      <w:r>
        <w:t xml:space="preserve">that it would bring a moderate to significant reduction of burden and costs for businesses</w:t>
      </w:r>
      <w:r>
        <w:t xml:space="preserve"> </w:t>
      </w:r>
      <w:r>
        <w:t xml:space="preserve">involved (i.e. the notifying parties) (with only a few stakeholders indicating that it would</w:t>
      </w:r>
      <w:r>
        <w:t xml:space="preserve"> </w:t>
      </w:r>
      <w:r>
        <w:t xml:space="preserve">only bring a negligible reduction). The public authority that replied to this question</w:t>
      </w:r>
      <w:r>
        <w:t xml:space="preserve"> </w:t>
      </w:r>
      <w:r>
        <w:t xml:space="preserve">considers that it would bring a moderate reduction of burden and costs for companies and</w:t>
      </w:r>
      <w:r>
        <w:t xml:space="preserve"> </w:t>
      </w:r>
      <w:r>
        <w:t xml:space="preserve">the Commission.</w:t>
      </w:r>
    </w:p>
    <w:p>
      <w:pPr>
        <w:pStyle w:val="BodyText"/>
      </w:pPr>
      <w:r>
        <w:t xml:space="preserve">The internal research carried out by the Commission on the number of horizontal</w:t>
      </w:r>
      <w:r>
        <w:t xml:space="preserve"> </w:t>
      </w:r>
      <w:r>
        <w:t xml:space="preserve">overlaps and vertical relationships that would fall under the simplified procedure shows</w:t>
      </w:r>
      <w:r>
        <w:t xml:space="preserve"> </w:t>
      </w:r>
      <w:r>
        <w:t xml:space="preserve">that introducing this new category would have captured two additional cases under the</w:t>
      </w:r>
      <w:r>
        <w:t xml:space="preserve"> </w:t>
      </w:r>
      <w:r>
        <w:t xml:space="preserve">simplified procedure in the period assessed. Furthermore, in one case all the vertical</w:t>
      </w:r>
      <w:r>
        <w:t xml:space="preserve"> </w:t>
      </w:r>
      <w:r>
        <w:t xml:space="preserve">relationships would have fallen under the new purchasing share category. However, in</w:t>
      </w:r>
      <w:r>
        <w:t xml:space="preserve"> </w:t>
      </w:r>
      <w:r>
        <w:t xml:space="preserve">this case all the horizontal overlaps except one could have fallen under the flexibility</w:t>
      </w:r>
      <w:r>
        <w:t xml:space="preserve"> </w:t>
      </w:r>
      <w:r>
        <w:t xml:space="preserve">clause. Therefore, if it had not been for this one overlap, the case would have fallen under</w:t>
      </w:r>
      <w:r>
        <w:t xml:space="preserve"> </w:t>
      </w:r>
      <w:r>
        <w:t xml:space="preserve">the simplified procedure. Moreover, this new category would also bring a significant</w:t>
      </w:r>
      <w:r>
        <w:t xml:space="preserve"> </w:t>
      </w:r>
      <w:r>
        <w:t xml:space="preserve">reduction of burden for cases falling under the normal procedure, as approximately 3% of</w:t>
      </w:r>
      <w:r>
        <w:t xml:space="preserve"> </w:t>
      </w:r>
      <w:r>
        <w:t xml:space="preserve">the total vertically related markets reviewed under the normal procedure in the period</w:t>
      </w:r>
      <w:r>
        <w:t xml:space="preserve"> </w:t>
      </w:r>
      <w:r>
        <w:t xml:space="preserve">assessed could have benefitted from this clause and thus a detailed assessment and</w:t>
      </w:r>
      <w:r>
        <w:t xml:space="preserve"> </w:t>
      </w:r>
      <w:r>
        <w:t xml:space="preserve">market investigation would not have been required for these markets, if the highest</w:t>
      </w:r>
    </w:p>
    <w:p>
      <w:pPr>
        <w:pStyle w:val="BodyText"/>
      </w:pPr>
      <w:r>
        <w:t xml:space="preserve">40</w:t>
      </w:r>
      <w:r>
        <w:br/>
      </w:r>
      <w:r>
        <w:t xml:space="preserve">Taking into account cases reviewed in the period 2010-2020. As the number of joint ventures with</w:t>
      </w:r>
      <w:r>
        <w:t xml:space="preserve"> </w:t>
      </w:r>
      <w:r>
        <w:t xml:space="preserve">low turnover notified each year is relatively low, the Commission’s internal research covered a longer</w:t>
      </w:r>
      <w:r>
        <w:t xml:space="preserve"> </w:t>
      </w:r>
      <w:r>
        <w:t xml:space="preserve">period to ensure it is representative.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thresholds considered were introduced (i.e. 30% upstream and 30% for purchasing share,</w:t>
      </w:r>
      <w:r>
        <w:t xml:space="preserve"> </w:t>
      </w:r>
      <w:r>
        <w:t xml:space="preserve">without limit downstream).</w:t>
      </w:r>
    </w:p>
    <w:p>
      <w:pPr>
        <w:pStyle w:val="BodyText"/>
      </w:pPr>
      <w:r>
        <w:t xml:space="preserve">With regard to Option 2c, the large majority of private stakeholders consider that the</w:t>
      </w:r>
      <w:r>
        <w:t xml:space="preserve"> </w:t>
      </w:r>
      <w:r>
        <w:t xml:space="preserve">introduction of the category of a limited increment to pre-existing vertical integration</w:t>
      </w:r>
      <w:r>
        <w:t xml:space="preserve"> </w:t>
      </w:r>
      <w:r>
        <w:t xml:space="preserve">would be beneficial and consider that it would bring a moderate to significant reduction</w:t>
      </w:r>
      <w:r>
        <w:t xml:space="preserve"> </w:t>
      </w:r>
      <w:r>
        <w:t xml:space="preserve">of burden and costs for businesses involved (i.e. the notifying parties) (with only a few</w:t>
      </w:r>
      <w:r>
        <w:t xml:space="preserve"> </w:t>
      </w:r>
      <w:r>
        <w:t xml:space="preserve">stakeholders indicating that it would only bring a negligible reduction). The public</w:t>
      </w:r>
      <w:r>
        <w:t xml:space="preserve"> </w:t>
      </w:r>
      <w:r>
        <w:t xml:space="preserve">authority41 that replied to this question considers that it would bring a significant</w:t>
      </w:r>
      <w:r>
        <w:t xml:space="preserve"> </w:t>
      </w:r>
      <w:r>
        <w:t xml:space="preserve">reduction of the burden and costs for companies and the Commission.</w:t>
      </w:r>
    </w:p>
    <w:p>
      <w:pPr>
        <w:pStyle w:val="BodyText"/>
      </w:pPr>
      <w:r>
        <w:t xml:space="preserve">The internal research carried out by the Commission on the number of horizontal</w:t>
      </w:r>
      <w:r>
        <w:t xml:space="preserve"> </w:t>
      </w:r>
      <w:r>
        <w:t xml:space="preserve">overlaps and vertical relationships that would fall under the simplified procedure shows</w:t>
      </w:r>
      <w:r>
        <w:t xml:space="preserve"> </w:t>
      </w:r>
      <w:r>
        <w:t xml:space="preserve">that introducing this new category would have captured two additional cases under the</w:t>
      </w:r>
      <w:r>
        <w:t xml:space="preserve"> </w:t>
      </w:r>
      <w:r>
        <w:t xml:space="preserve">simplified procedure in the period assessed. Moreover, it would also bring a moderate</w:t>
      </w:r>
      <w:r>
        <w:t xml:space="preserve"> </w:t>
      </w:r>
      <w:r>
        <w:t xml:space="preserve">reduction of burden for cases falling under the normal procedure, as approximately 0,4%</w:t>
      </w:r>
      <w:r>
        <w:t xml:space="preserve"> </w:t>
      </w:r>
      <w:r>
        <w:t xml:space="preserve">of the total vertically related markets reviewed under the normal procedure in the period</w:t>
      </w:r>
      <w:r>
        <w:t xml:space="preserve"> </w:t>
      </w:r>
      <w:r>
        <w:t xml:space="preserve">assessed could have benefitted from this clause and thus a detailed assessment and</w:t>
      </w:r>
      <w:r>
        <w:t xml:space="preserve"> </w:t>
      </w:r>
      <w:r>
        <w:t xml:space="preserve">market investigation would not have been required for these markets.</w:t>
      </w:r>
    </w:p>
    <w:p>
      <w:pPr>
        <w:pStyle w:val="BodyText"/>
      </w:pPr>
      <w:r>
        <w:t xml:space="preserve">With regard to Option 3, its impact in terms of burden and costs for companies involved</w:t>
      </w:r>
      <w:r>
        <w:t xml:space="preserve"> </w:t>
      </w:r>
      <w:r>
        <w:t xml:space="preserve">and the Commission is expected to be very limited given that the number of cases that</w:t>
      </w:r>
      <w:r>
        <w:t xml:space="preserve"> </w:t>
      </w:r>
      <w:r>
        <w:t xml:space="preserve">will have to be reverted to the normal procedure is expected to be very limited. The</w:t>
      </w:r>
      <w:r>
        <w:t xml:space="preserve"> </w:t>
      </w:r>
      <w:r>
        <w:t xml:space="preserve">Commission has not applied these safeguards in the past and therefore it is not possible</w:t>
      </w:r>
      <w:r>
        <w:t xml:space="preserve"> </w:t>
      </w:r>
      <w:r>
        <w:t xml:space="preserve">to quantify the exact number of cases. In any event, the Commission will have discretion</w:t>
      </w:r>
      <w:r>
        <w:t xml:space="preserve"> </w:t>
      </w:r>
      <w:r>
        <w:t xml:space="preserve">to revert a case to the normal procedure and it will not be an automatic process.</w:t>
      </w:r>
      <w:r>
        <w:t xml:space="preserve"> </w:t>
      </w:r>
      <w:r>
        <w:t xml:space="preserve">Therefore, only cases that could be problematic and merit a more in-depth review would</w:t>
      </w:r>
      <w:r>
        <w:t xml:space="preserve"> </w:t>
      </w:r>
      <w:r>
        <w:t xml:space="preserve">be assessed under the normal procedure. The introduction of the appropriate safeguards</w:t>
      </w:r>
      <w:r>
        <w:t xml:space="preserve"> </w:t>
      </w:r>
      <w:r>
        <w:t xml:space="preserve">together with a modification of the notification forms to systematically check them can</w:t>
      </w:r>
      <w:r>
        <w:t xml:space="preserve"> </w:t>
      </w:r>
      <w:r>
        <w:t xml:space="preserve">help to ensure that there is no risk of under-enforcement. Although this is a new</w:t>
      </w:r>
      <w:r>
        <w:t xml:space="preserve"> </w:t>
      </w:r>
      <w:r>
        <w:t xml:space="preserve">information requirement, the burden will be very limited as information on safeguards is</w:t>
      </w:r>
      <w:r>
        <w:t xml:space="preserve"> </w:t>
      </w:r>
      <w:r>
        <w:t xml:space="preserve">to be supplied in response to a limited number of Yes/No questions. Moreover, this will</w:t>
      </w:r>
      <w:r>
        <w:t xml:space="preserve"> </w:t>
      </w:r>
      <w:r>
        <w:t xml:space="preserve">allow to increase the thresholds for treatment under the simplified procedure without any</w:t>
      </w:r>
      <w:r>
        <w:t xml:space="preserve"> </w:t>
      </w:r>
      <w:r>
        <w:t xml:space="preserve">undue risk of under-enforcement, thus reducing administrative burden.</w:t>
      </w:r>
    </w:p>
    <w:p>
      <w:pPr>
        <w:pStyle w:val="BodyText"/>
      </w:pPr>
      <w:r>
        <w:t xml:space="preserve">However, as set out on page 34, in the Consultation of Stakeholders a significant number</w:t>
      </w:r>
      <w:r>
        <w:t xml:space="preserve"> </w:t>
      </w:r>
      <w:r>
        <w:t xml:space="preserve">of private stakeholders and several NCAs considered that some of the safeguards</w:t>
      </w:r>
      <w:r>
        <w:t xml:space="preserve"> </w:t>
      </w:r>
      <w:r>
        <w:t xml:space="preserve">introduced in the Short Form CO cannot be answered objectively in a “yes/no” format as</w:t>
      </w:r>
      <w:r>
        <w:t xml:space="preserve"> </w:t>
      </w:r>
      <w:r>
        <w:t xml:space="preserve">required, and providing detailed information would be very burdensome and unjustified</w:t>
      </w:r>
      <w:r>
        <w:t xml:space="preserve"> </w:t>
      </w:r>
      <w:r>
        <w:t xml:space="preserve">for simplified cases. None of the safeguards concerned by these comments were</w:t>
      </w:r>
      <w:r>
        <w:t xml:space="preserve"> </w:t>
      </w:r>
      <w:r>
        <w:t xml:space="preserve">identified in the internal research on intervention cases as some of the factors leading the</w:t>
      </w:r>
      <w:r>
        <w:t xml:space="preserve"> </w:t>
      </w:r>
      <w:r>
        <w:t xml:space="preserve">Commission to intervene in markets that could fall under the simplified procedure.</w:t>
      </w:r>
      <w:r>
        <w:t xml:space="preserve"> </w:t>
      </w:r>
      <w:r>
        <w:t xml:space="preserve">Moreover, these safeguards should in any event be included in the Notice on Simplified</w:t>
      </w:r>
      <w:r>
        <w:t xml:space="preserve"> </w:t>
      </w:r>
      <w:r>
        <w:t xml:space="preserve">Procedure and the Commission will be able to request this information through requests</w:t>
      </w:r>
      <w:r>
        <w:t xml:space="preserve"> </w:t>
      </w:r>
      <w:r>
        <w:t xml:space="preserve">for information if it is relevant for a specific case, as it can do currently. As such, to</w:t>
      </w:r>
    </w:p>
    <w:p>
      <w:pPr>
        <w:pStyle w:val="BodyText"/>
      </w:pPr>
      <w:r>
        <w:t xml:space="preserve">41</w:t>
      </w:r>
      <w:r>
        <w:br/>
      </w:r>
      <w:r>
        <w:t xml:space="preserve">The Romanian Competition Council.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reduce the burden for notifying parties as much as possible, they should not be included</w:t>
      </w:r>
      <w:r>
        <w:t xml:space="preserve"> </w:t>
      </w:r>
      <w:r>
        <w:t xml:space="preserve">in the notification forms.</w:t>
      </w:r>
    </w:p>
    <w:p>
      <w:pPr>
        <w:pStyle w:val="BodyText"/>
      </w:pPr>
      <w:r>
        <w:t xml:space="preserve">With regard to options 1a, 1b, 1c 2a, 2b, 2c and 3, 115 decisions adopted in non-</w:t>
      </w:r>
      <w:r>
        <w:t xml:space="preserve"> </w:t>
      </w:r>
      <w:r>
        <w:t xml:space="preserve">simplified cases in the period running from 1 January 2020 to 30 June 2021 were</w:t>
      </w:r>
      <w:r>
        <w:t xml:space="preserve"> </w:t>
      </w:r>
      <w:r>
        <w:t xml:space="preserve">analysed. Should all the categories with the highest proposed thresholds be included in</w:t>
      </w:r>
      <w:r>
        <w:t xml:space="preserve"> </w:t>
      </w:r>
      <w:r>
        <w:t xml:space="preserve">the Notice on Simplified Procedure, we would have captured approximately 11</w:t>
      </w:r>
      <w:r>
        <w:t xml:space="preserve"> </w:t>
      </w:r>
      <w:r>
        <w:t xml:space="preserve">additional cases under the simplified procedure in this period. This would represent</w:t>
      </w:r>
      <w:r>
        <w:t xml:space="preserve"> </w:t>
      </w:r>
      <w:r>
        <w:t xml:space="preserve">approximately 9.5% of the non-simplified cases. It would also increase by two</w:t>
      </w:r>
      <w:r>
        <w:t xml:space="preserve"> </w:t>
      </w:r>
      <w:r>
        <w:t xml:space="preserve">percentage points approximately the overall number of cases treated under the simplified</w:t>
      </w:r>
      <w:r>
        <w:t xml:space="preserve"> </w:t>
      </w:r>
      <w:r>
        <w:t xml:space="preserve">procedure. Finally, in cases falling under the normal procedure the combination of all</w:t>
      </w:r>
      <w:r>
        <w:t xml:space="preserve"> </w:t>
      </w:r>
      <w:r>
        <w:t xml:space="preserve">options considered would capture a very significant number of markets/segments which</w:t>
      </w:r>
      <w:r>
        <w:t xml:space="preserve"> </w:t>
      </w:r>
      <w:r>
        <w:t xml:space="preserve">would not need to be assessed in-depth. In particular, approximately 14% of the total</w:t>
      </w:r>
      <w:r>
        <w:t xml:space="preserve"> </w:t>
      </w:r>
      <w:r>
        <w:t xml:space="preserve">horizontal overlaps and up to 19% of the total vertical relationships assessed under the</w:t>
      </w:r>
      <w:r>
        <w:t xml:space="preserve"> </w:t>
      </w:r>
      <w:r>
        <w:t xml:space="preserve">normal procedure in the period assessed could have benefitted from the different options</w:t>
      </w:r>
      <w:r>
        <w:t xml:space="preserve"> </w:t>
      </w:r>
      <w:r>
        <w:t xml:space="preserve">and thus a detailed assessment and market investigation would not have been required for</w:t>
      </w:r>
      <w:r>
        <w:t xml:space="preserve"> </w:t>
      </w:r>
      <w:r>
        <w:t xml:space="preserve">these markets.</w:t>
      </w:r>
    </w:p>
    <w:p>
      <w:pPr>
        <w:pStyle w:val="BodyText"/>
      </w:pPr>
      <w:r>
        <w:t xml:space="preserve">In terms of costs, as concluded in the evaluation, increasing the number of simplified</w:t>
      </w:r>
      <w:r>
        <w:t xml:space="preserve"> </w:t>
      </w:r>
      <w:r>
        <w:t xml:space="preserve">cases reduces costs for businesses and the Commission alike.</w:t>
      </w:r>
      <w:r>
        <w:br/>
      </w:r>
      <w:r>
        <w:t xml:space="preserve">With regard to savings for the parties to a concentration, the costs of an EU merger</w:t>
      </w:r>
      <w:r>
        <w:t xml:space="preserve"> </w:t>
      </w:r>
      <w:r>
        <w:t xml:space="preserve">notification include notably those resulting from preparing, drafting and submitting an</w:t>
      </w:r>
      <w:r>
        <w:t xml:space="preserve"> </w:t>
      </w:r>
      <w:r>
        <w:t xml:space="preserve">EU merger notification and from waiting for approval before implementing the</w:t>
      </w:r>
      <w:r>
        <w:t xml:space="preserve"> </w:t>
      </w:r>
      <w:r>
        <w:t xml:space="preserve">transaction. These costs may vary significantly depending on the scope and size of the</w:t>
      </w:r>
      <w:r>
        <w:t xml:space="preserve"> </w:t>
      </w:r>
      <w:r>
        <w:t xml:space="preserve">transaction, the number of markets involved or the complexity of the case. Due to those</w:t>
      </w:r>
      <w:r>
        <w:t xml:space="preserve"> </w:t>
      </w:r>
      <w:r>
        <w:t xml:space="preserve">complexities, the Commission was only able to use two rough proxies for the cost</w:t>
      </w:r>
      <w:r>
        <w:t xml:space="preserve"> </w:t>
      </w:r>
      <w:r>
        <w:t xml:space="preserve">reductions in the evaluation:</w:t>
      </w:r>
      <w:r>
        <w:t xml:space="preserve"> </w:t>
      </w:r>
      <w:r>
        <w:t xml:space="preserve">(i) the average length of the notification documents: the information required to submit a</w:t>
      </w:r>
      <w:r>
        <w:t xml:space="preserve"> </w:t>
      </w:r>
      <w:r>
        <w:t xml:space="preserve">notification under the simplified procedure is significantly less than that required</w:t>
      </w:r>
      <w:r>
        <w:t xml:space="preserve"> </w:t>
      </w:r>
      <w:r>
        <w:t xml:space="preserve">under the normal procedure and less burdensome to collect for the Parties;</w:t>
      </w:r>
      <w:r>
        <w:br/>
      </w:r>
      <w:r>
        <w:t xml:space="preserve">(ii) the average time needed to obtain a clearance decision: the waiting period until</w:t>
      </w:r>
      <w:r>
        <w:t xml:space="preserve"> </w:t>
      </w:r>
      <w:r>
        <w:t xml:space="preserve">clearance entails costs for firms, notably in terms of financing costs and in terms of</w:t>
      </w:r>
      <w:r>
        <w:t xml:space="preserve"> </w:t>
      </w:r>
      <w:r>
        <w:t xml:space="preserve">delaying the realisation of any benefits resulting from the operation. The evaluation</w:t>
      </w:r>
      <w:r>
        <w:t xml:space="preserve"> </w:t>
      </w:r>
      <w:r>
        <w:t xml:space="preserve">concluded that parties to concentration saved on average more than 25 working days</w:t>
      </w:r>
      <w:r>
        <w:t xml:space="preserve"> </w:t>
      </w:r>
      <w:r>
        <w:t xml:space="preserve">(that is to say more than 5 calendar weeks) overall (including pre-notification and</w:t>
      </w:r>
      <w:r>
        <w:t xml:space="preserve"> </w:t>
      </w:r>
      <w:r>
        <w:t xml:space="preserve">notification) in cases treated under the simplified procedure.</w:t>
      </w:r>
      <w:r>
        <w:t xml:space="preserve"> </w:t>
      </w:r>
      <w:r>
        <w:t xml:space="preserve">Therefore, increasing the number of cases that will be reviewed under the simplified</w:t>
      </w:r>
      <w:r>
        <w:t xml:space="preserve"> </w:t>
      </w:r>
      <w:r>
        <w:t xml:space="preserve">procedure has a significant positive impact in terms of cost reductions for the parties to a</w:t>
      </w:r>
      <w:r>
        <w:t xml:space="preserve"> </w:t>
      </w:r>
      <w:r>
        <w:t xml:space="preserve">concentration. This was confirmed by the large majority of private stakeholders that</w:t>
      </w:r>
      <w:r>
        <w:t xml:space="preserve"> </w:t>
      </w:r>
      <w:r>
        <w:t xml:space="preserve">considered that the introduction of options 1, 2 and 3 would be beneficial and consider</w:t>
      </w:r>
      <w:r>
        <w:t xml:space="preserve"> </w:t>
      </w:r>
      <w:r>
        <w:t xml:space="preserve">that it would bring a moderate to significant reduction of burden and costs for businesses</w:t>
      </w:r>
      <w:r>
        <w:t xml:space="preserve"> </w:t>
      </w:r>
      <w:r>
        <w:t xml:space="preserve">involved (i.e. the notifying parties).</w:t>
      </w:r>
      <w:r>
        <w:t xml:space="preserve"> </w:t>
      </w:r>
      <w:r>
        <w:t xml:space="preserve">6.1.3. Impact on digitalisation</w:t>
      </w:r>
      <w:r>
        <w:t xml:space="preserve"> </w:t>
      </w:r>
      <w:r>
        <w:t xml:space="preserve">Options 1, 2 and 3 do not have any impact on digitalisation.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6.1.4. Environmental impact</w:t>
      </w:r>
      <w:r>
        <w:t xml:space="preserve"> </w:t>
      </w:r>
      <w:r>
        <w:t xml:space="preserve">Options 1, 2 and 3 do not have any environmental impact.</w:t>
      </w:r>
      <w:r>
        <w:t xml:space="preserve"> </w:t>
      </w:r>
      <w:r>
        <w:t xml:space="preserve">6.2.</w:t>
      </w:r>
      <w:r>
        <w:t xml:space="preserve"> </w:t>
      </w:r>
      <w:r>
        <w:t xml:space="preserve">Streamlining the review of cases treated under the simplified procedure</w:t>
      </w:r>
      <w:r>
        <w:t xml:space="preserve"> </w:t>
      </w:r>
      <w:r>
        <w:t xml:space="preserve">6.2.1. Impact on the internal market</w:t>
      </w:r>
      <w:r>
        <w:t xml:space="preserve"> </w:t>
      </w:r>
      <w:r>
        <w:t xml:space="preserve">The impact assessment shows that Options 1, 2, 3 would all have a neutral impact on the</w:t>
      </w:r>
      <w:r>
        <w:t xml:space="preserve"> </w:t>
      </w:r>
      <w:r>
        <w:t xml:space="preserve">internal market.</w:t>
      </w:r>
    </w:p>
    <w:p>
      <w:pPr>
        <w:pStyle w:val="BodyText"/>
      </w:pPr>
      <w:r>
        <w:t xml:space="preserve">Option 1 proposes a rather limited change, streamlining only the format of the</w:t>
      </w:r>
      <w:r>
        <w:t xml:space="preserve"> </w:t>
      </w:r>
      <w:r>
        <w:t xml:space="preserve">notification without reducing information requirements or streamlining the way in which</w:t>
      </w:r>
      <w:r>
        <w:t xml:space="preserve"> </w:t>
      </w:r>
      <w:r>
        <w:t xml:space="preserve">the Commission carries out the jurisdictional and substantive assessment of the case. As</w:t>
      </w:r>
      <w:r>
        <w:t xml:space="preserve"> </w:t>
      </w:r>
      <w:r>
        <w:t xml:space="preserve">a result, this Option would entail minimum risk because the Commission would still</w:t>
      </w:r>
      <w:r>
        <w:t xml:space="preserve"> </w:t>
      </w:r>
      <w:r>
        <w:t xml:space="preserve">receive the same information and carry out the same type of review.</w:t>
      </w:r>
    </w:p>
    <w:p>
      <w:pPr>
        <w:pStyle w:val="BodyText"/>
      </w:pPr>
      <w:r>
        <w:t xml:space="preserve">In the Public Consultation, the vast majority of private stakeholders and public</w:t>
      </w:r>
      <w:r>
        <w:t xml:space="preserve"> </w:t>
      </w:r>
      <w:r>
        <w:t xml:space="preserve">authorities responding indicated that Option 1 would not entail any risk for the effective</w:t>
      </w:r>
      <w:r>
        <w:t xml:space="preserve"> </w:t>
      </w:r>
      <w:r>
        <w:t xml:space="preserve">enforcement of EU merger control rules (e.g., a risk that the Commission would not</w:t>
      </w:r>
      <w:r>
        <w:t xml:space="preserve"> </w:t>
      </w:r>
      <w:r>
        <w:t xml:space="preserve">receive sufficient information to assess whether a transaction should be reviewed under</w:t>
      </w:r>
      <w:r>
        <w:t xml:space="preserve"> </w:t>
      </w:r>
      <w:r>
        <w:t xml:space="preserve">the simplified procedure or not). Certain respondents submitted that with Option 1,</w:t>
      </w:r>
      <w:r>
        <w:t xml:space="preserve"> </w:t>
      </w:r>
      <w:r>
        <w:t xml:space="preserve">notifying parties might not have the opportunity to provide details or additional</w:t>
      </w:r>
      <w:r>
        <w:t xml:space="preserve"> </w:t>
      </w:r>
      <w:r>
        <w:t xml:space="preserve">explanations on some of their statements. Private and public stakeholder respondents</w:t>
      </w:r>
      <w:r>
        <w:t xml:space="preserve"> </w:t>
      </w:r>
      <w:r>
        <w:t xml:space="preserve">raised the same issue in the Consultation of Stakeholders. To address these concerns, the</w:t>
      </w:r>
      <w:r>
        <w:t xml:space="preserve"> </w:t>
      </w:r>
      <w:r>
        <w:t xml:space="preserve">draft revised Short Form CO on which the Commission consulted in the Consultation of</w:t>
      </w:r>
      <w:r>
        <w:t xml:space="preserve"> </w:t>
      </w:r>
      <w:r>
        <w:t xml:space="preserve">Stakeholders includes several “free-text” boxes where the notifying parties can elaborate</w:t>
      </w:r>
      <w:r>
        <w:t xml:space="preserve"> </w:t>
      </w:r>
      <w:r>
        <w:t xml:space="preserve">on the statement boxes they have ticked.</w:t>
      </w:r>
    </w:p>
    <w:p>
      <w:pPr>
        <w:pStyle w:val="BodyText"/>
      </w:pPr>
      <w:r>
        <w:t xml:space="preserve">Option 2 would introduce a streamlined formatting and review of jurisdiction in</w:t>
      </w:r>
      <w:r>
        <w:t xml:space="preserve"> </w:t>
      </w:r>
      <w:r>
        <w:t xml:space="preserve">simplified cases. Here, the idea would be to introduce a “tick-the-box” list of statements</w:t>
      </w:r>
      <w:r>
        <w:t xml:space="preserve"> </w:t>
      </w:r>
      <w:r>
        <w:t xml:space="preserve">on the basic facts relevant for the jurisdictional assessment, that notifying parties would</w:t>
      </w:r>
      <w:r>
        <w:t xml:space="preserve"> </w:t>
      </w:r>
      <w:r>
        <w:t xml:space="preserve">need to tick without needing to provide underlying evidence, thereby reducing certain</w:t>
      </w:r>
      <w:r>
        <w:t xml:space="preserve"> </w:t>
      </w:r>
      <w:r>
        <w:t xml:space="preserve">information requirements and thus, limiting pre-notification contacts on questions of</w:t>
      </w:r>
      <w:r>
        <w:t xml:space="preserve"> </w:t>
      </w:r>
      <w:r>
        <w:t xml:space="preserve">jurisdiction.</w:t>
      </w:r>
    </w:p>
    <w:p>
      <w:pPr>
        <w:pStyle w:val="BodyText"/>
      </w:pPr>
      <w:r>
        <w:t xml:space="preserve">None of the public authorities that participated in the Public Consultation and/or the</w:t>
      </w:r>
      <w:r>
        <w:t xml:space="preserve"> </w:t>
      </w:r>
      <w:r>
        <w:t xml:space="preserve">Consultation of Stakeholders raised concerns about the impact of Option 2 on the</w:t>
      </w:r>
      <w:r>
        <w:t xml:space="preserve"> </w:t>
      </w:r>
      <w:r>
        <w:t xml:space="preserve">allocation of jurisdiction between the Commission and the NCAs in merger cases</w:t>
      </w:r>
      <w:r>
        <w:t xml:space="preserve"> </w:t>
      </w:r>
      <w:r>
        <w:t xml:space="preserve">(namely, about the possibility that an operation would be assessed under merger rules at</w:t>
      </w:r>
      <w:r>
        <w:t xml:space="preserve"> </w:t>
      </w:r>
      <w:r>
        <w:t xml:space="preserve">EU level and not at Member State level).42 Respondents to the Public Consultation and/or</w:t>
      </w:r>
      <w:r>
        <w:t xml:space="preserve"> </w:t>
      </w:r>
      <w:r>
        <w:t xml:space="preserve">the Consultation of Stakeholders did not raise concerns either about the risk that an</w:t>
      </w:r>
      <w:r>
        <w:t xml:space="preserve"> </w:t>
      </w:r>
      <w:r>
        <w:t xml:space="preserve">operation would be assessed as a concentration while it should be investigated under</w:t>
      </w:r>
    </w:p>
    <w:p>
      <w:pPr>
        <w:pStyle w:val="BodyText"/>
      </w:pPr>
      <w:r>
        <w:t xml:space="preserve">42</w:t>
      </w:r>
      <w:r>
        <w:br/>
      </w:r>
      <w:r>
        <w:t xml:space="preserve">Similarly, NCAs did not specifically comment on this point during the Merger Working Group</w:t>
      </w:r>
      <w:r>
        <w:t xml:space="preserve"> </w:t>
      </w:r>
      <w:r>
        <w:t xml:space="preserve">meetings when the simplification options were presented.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antitrust rules and Regulation 1/2003.43 This could, in principle, happen since in cases</w:t>
      </w:r>
      <w:r>
        <w:t xml:space="preserve"> </w:t>
      </w:r>
      <w:r>
        <w:t xml:space="preserve">where a transaction is not notifiable because it is not a concentration within the meaning</w:t>
      </w:r>
      <w:r>
        <w:t xml:space="preserve"> </w:t>
      </w:r>
      <w:r>
        <w:t xml:space="preserve">of the EUMR, the transaction would be subject to Regulation 1/2003. However, given</w:t>
      </w:r>
      <w:r>
        <w:t xml:space="preserve"> </w:t>
      </w:r>
      <w:r>
        <w:t xml:space="preserve">that the streamlined revision of jurisdiction only concerns cases that do not raise</w:t>
      </w:r>
      <w:r>
        <w:t xml:space="preserve"> </w:t>
      </w:r>
      <w:r>
        <w:t xml:space="preserve">competition concerns, it is extremely unlikely that these transactions are of any interest</w:t>
      </w:r>
      <w:r>
        <w:t xml:space="preserve"> </w:t>
      </w:r>
      <w:r>
        <w:t xml:space="preserve">under Regulation 1/2003.</w:t>
      </w:r>
    </w:p>
    <w:p>
      <w:pPr>
        <w:pStyle w:val="BodyText"/>
      </w:pPr>
      <w:r>
        <w:t xml:space="preserve">In the same vein, the Commission’s internal assessment did not reveal any serious risk</w:t>
      </w:r>
      <w:r>
        <w:t xml:space="preserve"> </w:t>
      </w:r>
      <w:r>
        <w:t xml:space="preserve">linked to Option 2. The statements on jurisdiction included in the “tick-the-box” form are</w:t>
      </w:r>
      <w:r>
        <w:t xml:space="preserve"> </w:t>
      </w:r>
      <w:r>
        <w:t xml:space="preserve">factual. When this is not the case, the notifying parties can complement their response by</w:t>
      </w:r>
      <w:r>
        <w:t xml:space="preserve"> </w:t>
      </w:r>
      <w:r>
        <w:t xml:space="preserve">adding explanations in “free-text” format. In any event, if any Member State or NCA or</w:t>
      </w:r>
      <w:r>
        <w:t xml:space="preserve"> </w:t>
      </w:r>
      <w:r>
        <w:t xml:space="preserve">third parties raise jurisdictional concerns during the proceedings, the Commission would</w:t>
      </w:r>
      <w:r>
        <w:t xml:space="preserve"> </w:t>
      </w:r>
      <w:r>
        <w:t xml:space="preserve">have the ability to check jurisdiction more in detail.44 Finally, the Commission recognises</w:t>
      </w:r>
      <w:r>
        <w:t xml:space="preserve"> </w:t>
      </w:r>
      <w:r>
        <w:t xml:space="preserve">that there are cases in which the jurisdictional assessment is not straightforward and the</w:t>
      </w:r>
      <w:r>
        <w:t xml:space="preserve"> </w:t>
      </w:r>
      <w:r>
        <w:t xml:space="preserve">notifying parties would like to get comfort on jurisdiction in view of any remaining legal</w:t>
      </w:r>
      <w:r>
        <w:t xml:space="preserve"> </w:t>
      </w:r>
      <w:r>
        <w:t xml:space="preserve">risks. For these cases, there is always the option for notifying parties to file a</w:t>
      </w:r>
      <w:r>
        <w:t xml:space="preserve"> </w:t>
      </w:r>
      <w:r>
        <w:t xml:space="preserve">jurisdictional consultation in order to engage in pre-notification discussions and clarify</w:t>
      </w:r>
      <w:r>
        <w:t xml:space="preserve"> </w:t>
      </w:r>
      <w:r>
        <w:t xml:space="preserve">the jurisdictional aspects.</w:t>
      </w:r>
      <w:r>
        <w:br/>
      </w:r>
      <w:r>
        <w:t xml:space="preserve">Option 3 distinguishes two types of simplified cases:</w:t>
      </w:r>
      <w:r>
        <w:br/>
      </w:r>
      <w:r>
        <w:t xml:space="preserve">(a)</w:t>
      </w:r>
      <w:r>
        <w:t xml:space="preserve"> </w:t>
      </w:r>
      <w:r>
        <w:t xml:space="preserve">Simplified cases where the transaction does not give rise to horizontal overlaps or</w:t>
      </w:r>
      <w:r>
        <w:t xml:space="preserve"> </w:t>
      </w:r>
      <w:r>
        <w:t xml:space="preserve">vertical relationships between the activities of the parties. For these cases, Option</w:t>
      </w:r>
      <w:r>
        <w:t xml:space="preserve"> </w:t>
      </w:r>
      <w:r>
        <w:t xml:space="preserve">3 proposes that the concentration should be notified without pre-notification</w:t>
      </w:r>
      <w:r>
        <w:t xml:space="preserve"> </w:t>
      </w:r>
      <w:r>
        <w:t xml:space="preserve">contacts and there is no need to detail the activities of the target (as required in</w:t>
      </w:r>
      <w:r>
        <w:t xml:space="preserve"> </w:t>
      </w:r>
      <w:r>
        <w:t xml:space="preserve">Section 8 of the existing Short Form CO);</w:t>
      </w:r>
      <w:r>
        <w:br/>
      </w:r>
      <w:r>
        <w:t xml:space="preserve">(b)</w:t>
      </w:r>
      <w:r>
        <w:t xml:space="preserve"> </w:t>
      </w:r>
      <w:r>
        <w:t xml:space="preserve">All other simplified cases. For these cases, Option 3 still requires pre-notification</w:t>
      </w:r>
      <w:r>
        <w:t xml:space="preserve"> </w:t>
      </w:r>
      <w:r>
        <w:t xml:space="preserve">contacts but includes template tables which the notifying parties can use to present</w:t>
      </w:r>
      <w:r>
        <w:t xml:space="preserve"> </w:t>
      </w:r>
      <w:r>
        <w:t xml:space="preserve">their horizontal overlaps and vertical relationships, streamlining the relevant</w:t>
      </w:r>
      <w:r>
        <w:t xml:space="preserve"> </w:t>
      </w:r>
      <w:r>
        <w:t xml:space="preserve">analysis.</w:t>
      </w:r>
    </w:p>
    <w:p>
      <w:pPr>
        <w:pStyle w:val="BodyText"/>
      </w:pPr>
      <w:r>
        <w:t xml:space="preserve">In the Public Consultation, the vast majority of private stakeholders and public</w:t>
      </w:r>
      <w:r>
        <w:t xml:space="preserve"> </w:t>
      </w:r>
      <w:r>
        <w:t xml:space="preserve">authorities respondents indicated that Option 3 would not entail any risk for the effective</w:t>
      </w:r>
      <w:r>
        <w:t xml:space="preserve"> </w:t>
      </w:r>
      <w:r>
        <w:t xml:space="preserve">enforcement of EU merger control rules (e.g., a risk that the Commission would not</w:t>
      </w:r>
      <w:r>
        <w:t xml:space="preserve"> </w:t>
      </w:r>
      <w:r>
        <w:t xml:space="preserve">receive sufficient information to assess whether a transaction should be reviewed under</w:t>
      </w:r>
      <w:r>
        <w:t xml:space="preserve"> </w:t>
      </w:r>
      <w:r>
        <w:t xml:space="preserve">the simplified procedure or not). In the Consultation of Stakeholders, respondents</w:t>
      </w:r>
      <w:r>
        <w:t xml:space="preserve"> </w:t>
      </w:r>
      <w:r>
        <w:t xml:space="preserve">welcomed the inclusion of “safeguards” in the revised Short Form CO, because it limits</w:t>
      </w:r>
      <w:r>
        <w:t xml:space="preserve"> </w:t>
      </w:r>
      <w:r>
        <w:t xml:space="preserve">the risk that potentially problematic cases are reviewed under the simplified procedure.</w:t>
      </w:r>
      <w:r>
        <w:br/>
      </w:r>
      <w:r>
        <w:t xml:space="preserve">The Commission’s internal assessment confirms the views expressed in the Public</w:t>
      </w:r>
      <w:r>
        <w:t xml:space="preserve"> </w:t>
      </w:r>
      <w:r>
        <w:t xml:space="preserve">Consultation and in the Consultation of Stakeholders. The risk that Option 3 entails for</w:t>
      </w:r>
    </w:p>
    <w:p>
      <w:pPr>
        <w:pStyle w:val="BodyText"/>
      </w:pPr>
      <w:r>
        <w:t xml:space="preserve">43</w:t>
      </w:r>
      <w:r>
        <w:br/>
      </w:r>
      <w:r>
        <w:t xml:space="preserve">Council Regulation (EC) No 1/2003 of 16 December 2002 on the implementation of the rules on</w:t>
      </w:r>
      <w:r>
        <w:t xml:space="preserve"> </w:t>
      </w:r>
      <w:r>
        <w:t xml:space="preserve">competition laid down in Articles 81 and 82 of the Treaty OJ L 1, 4.1.2003, p. 1–25.</w:t>
      </w:r>
      <w:r>
        <w:br/>
      </w:r>
      <w:r>
        <w:t xml:space="preserve">44</w:t>
      </w:r>
      <w:r>
        <w:br/>
      </w:r>
      <w:r>
        <w:t xml:space="preserve">Moreover, if, after the clearance, it turns out the Parties erred in their assessment, the Commission</w:t>
      </w:r>
      <w:r>
        <w:t xml:space="preserve"> </w:t>
      </w:r>
      <w:r>
        <w:t xml:space="preserve">could check whether the Parties provided incorrect and/or misleading information for which one of</w:t>
      </w:r>
      <w:r>
        <w:t xml:space="preserve"> </w:t>
      </w:r>
      <w:r>
        <w:t xml:space="preserve">the undertakings was responsible and, in the affirmative, could consider revoking the clearance</w:t>
      </w:r>
      <w:r>
        <w:t xml:space="preserve"> </w:t>
      </w:r>
      <w:r>
        <w:t xml:space="preserve">decision pursuant to Article 6(4) EUMR or imposing fines based on Article 14(1)(a) EUMR.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the internal market is that the Commission would clear (under the simplified procedure) a</w:t>
      </w:r>
      <w:r>
        <w:t xml:space="preserve"> </w:t>
      </w:r>
      <w:r>
        <w:t xml:space="preserve">potentially problematic concentration that could significantly affect competition in one or</w:t>
      </w:r>
      <w:r>
        <w:t xml:space="preserve"> </w:t>
      </w:r>
      <w:r>
        <w:t xml:space="preserve">more relevant markets in the EEA. However, this risk is limited for the following</w:t>
      </w:r>
      <w:r>
        <w:t xml:space="preserve"> </w:t>
      </w:r>
      <w:r>
        <w:t xml:space="preserve">reasons:</w:t>
      </w:r>
    </w:p>
    <w:p>
      <w:pPr>
        <w:pStyle w:val="Compact"/>
        <w:numPr>
          <w:ilvl w:val="0"/>
          <w:numId w:val="1009"/>
        </w:numPr>
      </w:pPr>
      <w:r>
        <w:t xml:space="preserve">Unlike the existing Short Form CO, the revised Short Form CO would include a list</w:t>
      </w:r>
      <w:r>
        <w:t xml:space="preserve"> </w:t>
      </w:r>
      <w:r>
        <w:t xml:space="preserve">of “safeguards” (namely, circumstances that would require the Commission to</w:t>
      </w:r>
      <w:r>
        <w:t xml:space="preserve"> </w:t>
      </w:r>
      <w:r>
        <w:t xml:space="preserve">assess more closely a concentration). The notifying parties would be required to</w:t>
      </w:r>
      <w:r>
        <w:t xml:space="preserve"> </w:t>
      </w:r>
      <w:r>
        <w:t xml:space="preserve">identify whether one of these safeguards applies to their concentration. This limits</w:t>
      </w:r>
      <w:r>
        <w:t xml:space="preserve"> </w:t>
      </w:r>
      <w:r>
        <w:t xml:space="preserve">the risk that the Commission misses facts which are relevant for the assessment of</w:t>
      </w:r>
      <w:r>
        <w:t xml:space="preserve"> </w:t>
      </w:r>
      <w:r>
        <w:t xml:space="preserve">potentially problematic concentrations;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The Commission would retain the possibility to revert the case to normal procedure</w:t>
      </w:r>
      <w:r>
        <w:t xml:space="preserve"> </w:t>
      </w:r>
      <w:r>
        <w:t xml:space="preserve">after notification if it receives substantiated complaints from third parties during</w:t>
      </w:r>
      <w:r>
        <w:t xml:space="preserve"> </w:t>
      </w:r>
      <w:r>
        <w:t xml:space="preserve">the procedure; and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The Commission would also be able to declare the notification incomplete or even</w:t>
      </w:r>
      <w:r>
        <w:t xml:space="preserve"> </w:t>
      </w:r>
      <w:r>
        <w:t xml:space="preserve">to revoke its decision if the notifying parties provided incorrect and/or misleading</w:t>
      </w:r>
      <w:r>
        <w:t xml:space="preserve"> </w:t>
      </w:r>
      <w:r>
        <w:t xml:space="preserve">information in the “tick-the-box” statements about safeguards (Article 6(3)(a)</w:t>
      </w:r>
      <w:r>
        <w:t xml:space="preserve"> </w:t>
      </w:r>
      <w:r>
        <w:t xml:space="preserve">EUMR). The Commission could also impose a fine on the notifying parties under</w:t>
      </w:r>
      <w:r>
        <w:t xml:space="preserve"> </w:t>
      </w:r>
      <w:r>
        <w:t xml:space="preserve">Article 14(1) EUMR if the information provided were found incorrect and/or</w:t>
      </w:r>
      <w:r>
        <w:t xml:space="preserve"> </w:t>
      </w:r>
      <w:r>
        <w:t xml:space="preserve">misleading.</w:t>
      </w:r>
    </w:p>
    <w:p>
      <w:pPr>
        <w:pStyle w:val="FirstParagraph"/>
      </w:pPr>
      <w:r>
        <w:t xml:space="preserve">6.2.2. Impact on businesses and enforcement authorities</w:t>
      </w:r>
      <w:r>
        <w:t xml:space="preserve"> </w:t>
      </w:r>
      <w:r>
        <w:t xml:space="preserve">Option 1 brings the most limited efficiency gains both for businesses involved and</w:t>
      </w:r>
      <w:r>
        <w:t xml:space="preserve"> </w:t>
      </w:r>
      <w:r>
        <w:t xml:space="preserve">enforcement authorities (the Commission), as it essentially includes the same information</w:t>
      </w:r>
      <w:r>
        <w:t xml:space="preserve"> </w:t>
      </w:r>
      <w:r>
        <w:t xml:space="preserve">requirements with minimal changes in the structure of the Short Form CO.</w:t>
      </w:r>
    </w:p>
    <w:p>
      <w:pPr>
        <w:pStyle w:val="BodyText"/>
      </w:pPr>
      <w:r>
        <w:t xml:space="preserve">Regarding Option 1, the majority of respondents to the Public Consultation indicated that</w:t>
      </w:r>
      <w:r>
        <w:t xml:space="preserve"> </w:t>
      </w:r>
      <w:r>
        <w:t xml:space="preserve">it could lead to “no or negligible” or at best, “moderate” reduction in the amount of</w:t>
      </w:r>
      <w:r>
        <w:t xml:space="preserve"> </w:t>
      </w:r>
      <w:r>
        <w:t xml:space="preserve">information that businesses have to submit with their notification. The results are similar</w:t>
      </w:r>
      <w:r>
        <w:t xml:space="preserve"> </w:t>
      </w:r>
      <w:r>
        <w:t xml:space="preserve">as regards the impact of Option 1 on the average time needed to obtain a clearance</w:t>
      </w:r>
      <w:r>
        <w:t xml:space="preserve"> </w:t>
      </w:r>
      <w:r>
        <w:t xml:space="preserve">decision in unproblematic cases (treated under the simplified procedure). This impact</w:t>
      </w:r>
      <w:r>
        <w:t xml:space="preserve"> </w:t>
      </w:r>
      <w:r>
        <w:t xml:space="preserve">(even if limited) would be beneficial for the businesses involved but also for the</w:t>
      </w:r>
      <w:r>
        <w:t xml:space="preserve"> </w:t>
      </w:r>
      <w:r>
        <w:t xml:space="preserve">enforcement authority (i.e. the Commission) which can focus its resources on more</w:t>
      </w:r>
      <w:r>
        <w:t xml:space="preserve"> </w:t>
      </w:r>
      <w:r>
        <w:t xml:space="preserve">problematic cases.</w:t>
      </w:r>
      <w:r>
        <w:br/>
      </w:r>
      <w:r>
        <w:t xml:space="preserve">Turning to Option 2, the vast majority of respondents to the Public Consultation stated</w:t>
      </w:r>
      <w:r>
        <w:t xml:space="preserve"> </w:t>
      </w:r>
      <w:r>
        <w:t xml:space="preserve">that it could lead to a “moderate” or “significant” reduction of the amount of information</w:t>
      </w:r>
      <w:r>
        <w:t xml:space="preserve"> </w:t>
      </w:r>
      <w:r>
        <w:t xml:space="preserve">that businesses have to submit with their notification. The results are similar as regards</w:t>
      </w:r>
      <w:r>
        <w:t xml:space="preserve"> </w:t>
      </w:r>
      <w:r>
        <w:t xml:space="preserve">the impact of Option 2 on the average time needed to obtain a clearance decision in</w:t>
      </w:r>
      <w:r>
        <w:t xml:space="preserve"> </w:t>
      </w:r>
      <w:r>
        <w:t xml:space="preserve">unproblematic cases (treated under the simplified procedure).</w:t>
      </w:r>
      <w:r>
        <w:br/>
      </w:r>
      <w:r>
        <w:t xml:space="preserve">In the same vein, the Commission’s internal research suggests that Option 2 would allow</w:t>
      </w:r>
      <w:r>
        <w:t xml:space="preserve"> </w:t>
      </w:r>
      <w:r>
        <w:t xml:space="preserve">to significantly reduce the duration of pre-notification contacts in simplified cases. In</w:t>
      </w:r>
      <w:r>
        <w:t xml:space="preserve"> </w:t>
      </w:r>
      <w:r>
        <w:t xml:space="preserve">more than 65% of the simplified cases notified between June 2021 and May 202245, the</w:t>
      </w:r>
    </w:p>
    <w:p>
      <w:pPr>
        <w:pStyle w:val="BodyText"/>
      </w:pPr>
      <w:r>
        <w:t xml:space="preserve">45</w:t>
      </w:r>
      <w:r>
        <w:br/>
      </w:r>
      <w:r>
        <w:t xml:space="preserve">Based on information from internal data collection.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Commission asked pre-notification questions to the parties on the jurisdictional aspects</w:t>
      </w:r>
      <w:r>
        <w:t xml:space="preserve"> </w:t>
      </w:r>
      <w:r>
        <w:t xml:space="preserve">of the case. In a significant part of those cases (46/134 – 34%), the questions on</w:t>
      </w:r>
      <w:r>
        <w:t xml:space="preserve"> </w:t>
      </w:r>
      <w:r>
        <w:t xml:space="preserve">jurisdiction represented half or more of the total number of questions sent, including</w:t>
      </w:r>
      <w:r>
        <w:t xml:space="preserve"> </w:t>
      </w:r>
      <w:r>
        <w:t xml:space="preserve">eight cases of extra-EEA joint ventures (with no activities and no impact in the EEA)</w:t>
      </w:r>
      <w:r>
        <w:t xml:space="preserve"> </w:t>
      </w:r>
      <w:r>
        <w:t xml:space="preserve">where all the questions asked concerned the jurisdictional assessment. The introduction</w:t>
      </w:r>
      <w:r>
        <w:t xml:space="preserve"> </w:t>
      </w:r>
      <w:r>
        <w:t xml:space="preserve">of the tick-the-box form, coupled with a system where the Commission relies on the</w:t>
      </w:r>
      <w:r>
        <w:t xml:space="preserve"> </w:t>
      </w:r>
      <w:r>
        <w:t xml:space="preserve">statements made by the notifying parties instead of thoroughly questioning the notifying</w:t>
      </w:r>
      <w:r>
        <w:t xml:space="preserve"> </w:t>
      </w:r>
      <w:r>
        <w:t xml:space="preserve">parties’ views, would contribute to reduce the total number of requests for information</w:t>
      </w:r>
      <w:r>
        <w:t xml:space="preserve"> </w:t>
      </w:r>
      <w:r>
        <w:t xml:space="preserve">and questions sent to parties to a concentration. This would reduce the administrative</w:t>
      </w:r>
      <w:r>
        <w:t xml:space="preserve"> </w:t>
      </w:r>
      <w:r>
        <w:t xml:space="preserve">burden for the businesses involved (i.e. the notifying parties) and the Commission alike</w:t>
      </w:r>
      <w:r>
        <w:t xml:space="preserve"> </w:t>
      </w:r>
      <w:r>
        <w:t xml:space="preserve">and would also likely reduce the duration of the pre-notification contacts period.</w:t>
      </w:r>
    </w:p>
    <w:p>
      <w:pPr>
        <w:pStyle w:val="BodyText"/>
      </w:pPr>
      <w:r>
        <w:t xml:space="preserve">Regarding Option 3, the vast majority of respondents to the Public Consultation noted it</w:t>
      </w:r>
      <w:r>
        <w:t xml:space="preserve"> </w:t>
      </w:r>
      <w:r>
        <w:t xml:space="preserve">could lead to a “moderate” or “significant” reduction of the amount of information that</w:t>
      </w:r>
      <w:r>
        <w:t xml:space="preserve"> </w:t>
      </w:r>
      <w:r>
        <w:t xml:space="preserve">businesses have to submit with their notification. All of the respondents indicated that</w:t>
      </w:r>
      <w:r>
        <w:t xml:space="preserve"> </w:t>
      </w:r>
      <w:r>
        <w:t xml:space="preserve">Option 3 would result in a “moderate” or “significant” reduction of average time needed</w:t>
      </w:r>
      <w:r>
        <w:t xml:space="preserve"> </w:t>
      </w:r>
      <w:r>
        <w:t xml:space="preserve">to obtain a clearance decision in unproblematic cases. As one private stakeholder put it in</w:t>
      </w:r>
      <w:r>
        <w:t xml:space="preserve"> </w:t>
      </w:r>
      <w:r>
        <w:t xml:space="preserve">the Public Consultation, “a tick-the-box list for at least parts of the Short Form CO</w:t>
      </w:r>
      <w:r>
        <w:t xml:space="preserve"> </w:t>
      </w:r>
      <w:r>
        <w:t xml:space="preserve">would reduce the burden and time for the preparation on the parties’ side, but also</w:t>
      </w:r>
      <w:r>
        <w:t xml:space="preserve"> </w:t>
      </w:r>
      <w:r>
        <w:t xml:space="preserve">would be more efficient to handle for the EC. Such a streamlined approach should help</w:t>
      </w:r>
      <w:r>
        <w:t xml:space="preserve"> </w:t>
      </w:r>
      <w:r>
        <w:t xml:space="preserve">to overall speed up simplified procedures”. More recently, a competition law news</w:t>
      </w:r>
      <w:r>
        <w:t xml:space="preserve"> </w:t>
      </w:r>
      <w:r>
        <w:t xml:space="preserve">service estimated that Option 3 “could cut merger clearance timelines by more than half</w:t>
      </w:r>
      <w:r>
        <w:t xml:space="preserve"> </w:t>
      </w:r>
      <w:r>
        <w:t xml:space="preserve">on some deals” for simplified cases where the transaction does not give rise to horizontal</w:t>
      </w:r>
      <w:r>
        <w:t xml:space="preserve"> </w:t>
      </w:r>
      <w:r>
        <w:t xml:space="preserve">overlaps or vertical relationships.46 Public and private stakeholder respondents to the</w:t>
      </w:r>
      <w:r>
        <w:t xml:space="preserve"> </w:t>
      </w:r>
      <w:r>
        <w:t xml:space="preserve">Consultation of Stakeholders confirmed this. In particular, the super-simplified</w:t>
      </w:r>
      <w:r>
        <w:t xml:space="preserve"> </w:t>
      </w:r>
      <w:r>
        <w:t xml:space="preserve">procedure was welcomed as “a clear relief for companies” by one association of private</w:t>
      </w:r>
      <w:r>
        <w:t xml:space="preserve"> </w:t>
      </w:r>
      <w:r>
        <w:t xml:space="preserve">stakeholders.</w:t>
      </w:r>
    </w:p>
    <w:p>
      <w:pPr>
        <w:pStyle w:val="BodyText"/>
      </w:pPr>
      <w:r>
        <w:t xml:space="preserve">The Commission’s internal assessment goes in the same direction:</w:t>
      </w:r>
    </w:p>
    <w:p>
      <w:pPr>
        <w:numPr>
          <w:ilvl w:val="0"/>
          <w:numId w:val="1010"/>
        </w:numPr>
      </w:pPr>
      <w:r>
        <w:t xml:space="preserve">In simplified cases where the transaction does not give rise to horizontal overlaps</w:t>
      </w:r>
      <w:r>
        <w:t xml:space="preserve"> </w:t>
      </w:r>
      <w:r>
        <w:t xml:space="preserve">or vertical relationships between the activities of the parties, the notifying party</w:t>
      </w:r>
      <w:r>
        <w:t xml:space="preserve"> </w:t>
      </w:r>
      <w:r>
        <w:t xml:space="preserve">would have to tick the relevant box without submitting any further documentation</w:t>
      </w:r>
      <w:r>
        <w:t xml:space="preserve"> </w:t>
      </w:r>
      <w:r>
        <w:t xml:space="preserve">or evidence. Once this is done, the Commission would rely on the self-assessment</w:t>
      </w:r>
      <w:r>
        <w:t xml:space="preserve"> </w:t>
      </w:r>
      <w:r>
        <w:t xml:space="preserve">of the notifying party and not seek to double-check it against evidence. This</w:t>
      </w:r>
      <w:r>
        <w:t xml:space="preserve"> </w:t>
      </w:r>
      <w:r>
        <w:t xml:space="preserve">reduces the administrative burden for the Commission and the notifying parties and</w:t>
      </w:r>
      <w:r>
        <w:t xml:space="preserve"> </w:t>
      </w:r>
      <w:r>
        <w:t xml:space="preserve">also importantly, it eliminates the need for pre-notification contacts (which on</w:t>
      </w:r>
      <w:r>
        <w:t xml:space="preserve"> </w:t>
      </w:r>
      <w:r>
        <w:t xml:space="preserve">average lasted 33 working days for simplified cases);47</w:t>
      </w:r>
    </w:p>
    <w:p>
      <w:pPr>
        <w:numPr>
          <w:ilvl w:val="0"/>
          <w:numId w:val="1010"/>
        </w:numPr>
      </w:pPr>
      <w:r>
        <w:t xml:space="preserve">For all other simplified cases, Option 3 reduces the administrative burden for the</w:t>
      </w:r>
      <w:r>
        <w:t xml:space="preserve"> </w:t>
      </w:r>
      <w:r>
        <w:t xml:space="preserve">notifying parties and for the Commission because it requires information on the</w:t>
      </w:r>
      <w:r>
        <w:t xml:space="preserve"> </w:t>
      </w:r>
      <w:r>
        <w:t xml:space="preserve">horizontal overlaps and vertical relationships between the activities of the parties</w:t>
      </w:r>
    </w:p>
    <w:p>
      <w:pPr>
        <w:pStyle w:val="FirstParagraph"/>
      </w:pPr>
      <w:r>
        <w:t xml:space="preserve">46</w:t>
      </w:r>
      <w:r>
        <w:br/>
      </w:r>
      <w:r>
        <w:t xml:space="preserve">PaRR, “EC ‘super-simplified’ proposal could cut merger clearance timelines by more than half on</w:t>
      </w:r>
      <w:r>
        <w:t xml:space="preserve"> </w:t>
      </w:r>
      <w:r>
        <w:t xml:space="preserve">some deals”, 17 May 2022.</w:t>
      </w:r>
      <w:r>
        <w:br/>
      </w:r>
      <w:r>
        <w:t xml:space="preserve">47</w:t>
      </w:r>
      <w:r>
        <w:br/>
      </w:r>
      <w:r>
        <w:t xml:space="preserve">Based on data from the period 2012-2021 and taking into account the period between the case team</w:t>
      </w:r>
      <w:r>
        <w:t xml:space="preserve"> </w:t>
      </w:r>
      <w:r>
        <w:t xml:space="preserve">allocation form and the notification.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but in predetermined, tabular format which is consistent across cases. For notifying</w:t>
      </w:r>
      <w:r>
        <w:t xml:space="preserve"> </w:t>
      </w:r>
      <w:r>
        <w:t xml:space="preserve">parties, providing data in tabular format helps compile the information early on.</w:t>
      </w:r>
      <w:r>
        <w:t xml:space="preserve"> </w:t>
      </w:r>
      <w:r>
        <w:t xml:space="preserve">For the Commission , having this information in tabular format will allow (i) to</w:t>
      </w:r>
      <w:r>
        <w:t xml:space="preserve"> </w:t>
      </w:r>
      <w:r>
        <w:t xml:space="preserve">verify faster whether the case should be reviewed under the simplified procedure</w:t>
      </w:r>
      <w:r>
        <w:t xml:space="preserve"> </w:t>
      </w:r>
      <w:r>
        <w:t xml:space="preserve">and (ii) to process more easily the relevant data when they report internally on the</w:t>
      </w:r>
      <w:r>
        <w:t xml:space="preserve"> </w:t>
      </w:r>
      <w:r>
        <w:t xml:space="preserve">case.</w:t>
      </w:r>
    </w:p>
    <w:p>
      <w:pPr>
        <w:pStyle w:val="BodyText"/>
      </w:pPr>
      <w:r>
        <w:t xml:space="preserve">6.2.3. Impact on digitalisation</w:t>
      </w:r>
      <w:r>
        <w:t xml:space="preserve"> </w:t>
      </w:r>
      <w:r>
        <w:t xml:space="preserve">Options 1, 2 and 3 do not have any impact on digitalisation.</w:t>
      </w:r>
      <w:r>
        <w:t xml:space="preserve"> </w:t>
      </w:r>
      <w:r>
        <w:t xml:space="preserve">6.2.4. Environmental impact</w:t>
      </w:r>
      <w:r>
        <w:t xml:space="preserve"> </w:t>
      </w:r>
      <w:r>
        <w:t xml:space="preserve">Options 1, 2 and 3 do not have any environmental impact.</w:t>
      </w:r>
      <w:r>
        <w:t xml:space="preserve"> </w:t>
      </w:r>
      <w:r>
        <w:t xml:space="preserve">6.3.</w:t>
      </w:r>
      <w:r>
        <w:t xml:space="preserve"> </w:t>
      </w:r>
      <w:r>
        <w:t xml:space="preserve">Streamlining the review of cases treated under the normal procedure</w:t>
      </w:r>
      <w:r>
        <w:br/>
      </w:r>
      <w:r>
        <w:t xml:space="preserve">6.3.1. Impact on the internal market</w:t>
      </w:r>
      <w:r>
        <w:t xml:space="preserve"> </w:t>
      </w:r>
      <w:r>
        <w:t xml:space="preserve">The impact assessment shows that Options 1 and 2 would have a neutral impact on the</w:t>
      </w:r>
      <w:r>
        <w:t xml:space="preserve"> </w:t>
      </w:r>
      <w:r>
        <w:t xml:space="preserve">internal market.</w:t>
      </w:r>
      <w:r>
        <w:t xml:space="preserve"> </w:t>
      </w:r>
      <w:r>
        <w:t xml:space="preserve">Option 1 proposes changes of the structure of the Form CO, which aim to reduce</w:t>
      </w:r>
      <w:r>
        <w:t xml:space="preserve"> </w:t>
      </w:r>
      <w:r>
        <w:t xml:space="preserve">information requirements by introducing the flexibility clause for simplified cases into</w:t>
      </w:r>
      <w:r>
        <w:t xml:space="preserve"> </w:t>
      </w:r>
      <w:r>
        <w:t xml:space="preserve">the Form CO, by removing several requirements in current section 8 and by introducing a</w:t>
      </w:r>
      <w:r>
        <w:t xml:space="preserve"> </w:t>
      </w:r>
      <w:r>
        <w:t xml:space="preserve">new table format for cases in which potential competition plays a decisive role. These</w:t>
      </w:r>
      <w:r>
        <w:t xml:space="preserve"> </w:t>
      </w:r>
      <w:r>
        <w:t xml:space="preserve">proposals would entail only a minimal risk for enforcement because the Commission</w:t>
      </w:r>
      <w:r>
        <w:t xml:space="preserve"> </w:t>
      </w:r>
      <w:r>
        <w:t xml:space="preserve">would still receive the relevant information and be able to carry out the same type of</w:t>
      </w:r>
      <w:r>
        <w:t xml:space="preserve"> </w:t>
      </w:r>
      <w:r>
        <w:t xml:space="preserve">review as before. .</w:t>
      </w:r>
      <w:r>
        <w:br/>
      </w:r>
      <w:r>
        <w:t xml:space="preserve">Option 2 is about making waivers for certain parts of the draft revised Form CO easier</w:t>
      </w:r>
      <w:r>
        <w:t xml:space="preserve"> </w:t>
      </w:r>
      <w:r>
        <w:t xml:space="preserve">for notifying parties. It is expected that increased use of such waivers will be made which</w:t>
      </w:r>
      <w:r>
        <w:t xml:space="preserve"> </w:t>
      </w:r>
      <w:r>
        <w:t xml:space="preserve">would further reduce the amount of information required in normal cases considerably.</w:t>
      </w:r>
      <w:r>
        <w:t xml:space="preserve"> </w:t>
      </w:r>
      <w:r>
        <w:t xml:space="preserve">As granting waivers are a decision by the Commission on a case-by-case basis, Option 2</w:t>
      </w:r>
      <w:r>
        <w:t xml:space="preserve"> </w:t>
      </w:r>
      <w:r>
        <w:t xml:space="preserve">would not entail any risk for the effective enforcement of EU merger control rules.</w:t>
      </w:r>
      <w:r>
        <w:t xml:space="preserve"> </w:t>
      </w:r>
      <w:r>
        <w:t xml:space="preserve">Private stakeholders and the public authorities that replied expressed support for the</w:t>
      </w:r>
      <w:r>
        <w:t xml:space="preserve"> </w:t>
      </w:r>
      <w:r>
        <w:t xml:space="preserve">proposals made under these two options, as they would reduce information requests</w:t>
      </w:r>
      <w:r>
        <w:t xml:space="preserve"> </w:t>
      </w:r>
      <w:r>
        <w:t xml:space="preserve">without risking negative effects on market dynamics in the internal market.</w:t>
      </w:r>
      <w:r>
        <w:t xml:space="preserve"> </w:t>
      </w:r>
      <w:r>
        <w:t xml:space="preserve">6.3.2. Impact on businesses and enforcement authorities</w:t>
      </w:r>
      <w:r>
        <w:t xml:space="preserve"> </w:t>
      </w:r>
      <w:r>
        <w:t xml:space="preserve">Companies have voiced concerns about what they perceive as excessive information</w:t>
      </w:r>
      <w:r>
        <w:t xml:space="preserve"> </w:t>
      </w:r>
      <w:r>
        <w:t xml:space="preserve">requirements of the Form CO, in particular for those cases, which do not meet the criteria</w:t>
      </w:r>
      <w:r>
        <w:t xml:space="preserve"> </w:t>
      </w:r>
      <w:r>
        <w:t xml:space="preserve">of the simplified procedure but are unlikely to cause competition problems. These non-</w:t>
      </w:r>
      <w:r>
        <w:t xml:space="preserve"> </w:t>
      </w:r>
      <w:r>
        <w:t xml:space="preserve">intervention normal cases account for 16% of all decisions taken by the Commission</w:t>
      </w:r>
      <w:r>
        <w:t xml:space="preserve"> </w:t>
      </w:r>
      <w:r>
        <w:t xml:space="preserve">during the period 2015-2020. These stakeholders consider that the current information</w:t>
      </w:r>
      <w:r>
        <w:t xml:space="preserve"> </w:t>
      </w:r>
      <w:r>
        <w:t xml:space="preserve">requirements are not proportionate in the vast majority of these cases. Furthermore, also</w:t>
      </w:r>
      <w:r>
        <w:t xml:space="preserve"> </w:t>
      </w:r>
      <w:r>
        <w:t xml:space="preserve">in cases requiring intervention, there are often technically affected but unproblematic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markets for which the information requirements should be different from the main</w:t>
      </w:r>
      <w:r>
        <w:t xml:space="preserve"> </w:t>
      </w:r>
      <w:r>
        <w:t xml:space="preserve">markets where the transaction may give rise to competition concerns.</w:t>
      </w:r>
      <w:r>
        <w:t xml:space="preserve"> </w:t>
      </w:r>
      <w:r>
        <w:t xml:space="preserve">The two options proposed aim at making notifications of cases falling under the normal</w:t>
      </w:r>
      <w:r>
        <w:t xml:space="preserve"> </w:t>
      </w:r>
      <w:r>
        <w:t xml:space="preserve">procedure less burdensome for notifying parties. Under the first option, the impact of</w:t>
      </w:r>
      <w:r>
        <w:t xml:space="preserve"> </w:t>
      </w:r>
      <w:r>
        <w:t xml:space="preserve">limiting the information requirements for markets that benefit from the flexibility clauses</w:t>
      </w:r>
      <w:r>
        <w:t xml:space="preserve"> </w:t>
      </w:r>
      <w:r>
        <w:t xml:space="preserve">in point 8 of the draft revised Notice on Simplified Procedure would be very much the</w:t>
      </w:r>
      <w:r>
        <w:t xml:space="preserve"> </w:t>
      </w:r>
      <w:r>
        <w:t xml:space="preserve">same as in the case of simplified cases as this measure does nothing but importing the</w:t>
      </w:r>
      <w:r>
        <w:t xml:space="preserve"> </w:t>
      </w:r>
      <w:r>
        <w:t xml:space="preserve">new flexibility clause for hitherto technically affected markets into the standard Form</w:t>
      </w:r>
      <w:r>
        <w:t xml:space="preserve"> </w:t>
      </w:r>
      <w:r>
        <w:t xml:space="preserve">CO. Eliminating altogether certain information requirements in Section 8 of the current</w:t>
      </w:r>
      <w:r>
        <w:t xml:space="preserve"> </w:t>
      </w:r>
      <w:r>
        <w:t xml:space="preserve">Form CO would directly reduce the regulatory burden on notifying parties.</w:t>
      </w:r>
      <w:r>
        <w:br/>
      </w:r>
      <w:r>
        <w:t xml:space="preserve">The introduction of tables in cases where innovation and pipeline products play a key</w:t>
      </w:r>
      <w:r>
        <w:t xml:space="preserve"> </w:t>
      </w:r>
      <w:r>
        <w:t xml:space="preserve">role does not limit the amount of information required but would help to collect it in a</w:t>
      </w:r>
      <w:r>
        <w:t xml:space="preserve"> </w:t>
      </w:r>
      <w:r>
        <w:t xml:space="preserve">more focused way, thereby reducing the time needed to discuss with the Commission the</w:t>
      </w:r>
      <w:r>
        <w:t xml:space="preserve"> </w:t>
      </w:r>
      <w:r>
        <w:t xml:space="preserve">scope and scale of the information required. Private respondents to the Consultation of</w:t>
      </w:r>
      <w:r>
        <w:t xml:space="preserve"> </w:t>
      </w:r>
      <w:r>
        <w:t xml:space="preserve">Stakeholders welcomed the table format, but a few of these respondents voiced concerns</w:t>
      </w:r>
      <w:r>
        <w:t xml:space="preserve"> </w:t>
      </w:r>
      <w:r>
        <w:t xml:space="preserve">that this would in effect mean an increase in the information required. However, the table</w:t>
      </w:r>
      <w:r>
        <w:t xml:space="preserve"> </w:t>
      </w:r>
      <w:r>
        <w:t xml:space="preserve">rather codifies in this new format the information, which was requested in the</w:t>
      </w:r>
      <w:r>
        <w:t xml:space="preserve"> </w:t>
      </w:r>
      <w:r>
        <w:t xml:space="preserve">Commission’s practice of the last years in all cases involving innovation and nascent</w:t>
      </w:r>
      <w:r>
        <w:t xml:space="preserve"> </w:t>
      </w:r>
      <w:r>
        <w:t xml:space="preserve">markets. Effectively there should therefore not be an increase in information</w:t>
      </w:r>
      <w:r>
        <w:t xml:space="preserve"> </w:t>
      </w:r>
      <w:r>
        <w:t xml:space="preserve">requirements. Instead, the inclusion of this requirement already in the Form CO should</w:t>
      </w:r>
      <w:r>
        <w:t xml:space="preserve"> </w:t>
      </w:r>
      <w:r>
        <w:t xml:space="preserve">allow notifying parties to frontload and thereby speed up the information gathering, thus</w:t>
      </w:r>
      <w:r>
        <w:t xml:space="preserve"> </w:t>
      </w:r>
      <w:r>
        <w:t xml:space="preserve">potentially shortening the pre-notification period.</w:t>
      </w:r>
      <w:r>
        <w:br/>
      </w:r>
      <w:r>
        <w:t xml:space="preserve">Option 2 would make it easier for notifying parties to request waivers for certain parts of</w:t>
      </w:r>
      <w:r>
        <w:t xml:space="preserve"> </w:t>
      </w:r>
      <w:r>
        <w:t xml:space="preserve">the draft revised Form CO. It is expected that increased use of such waivers will be made</w:t>
      </w:r>
      <w:r>
        <w:t xml:space="preserve"> </w:t>
      </w:r>
      <w:r>
        <w:t xml:space="preserve">which would further reduce the amount of information required in normal cases</w:t>
      </w:r>
      <w:r>
        <w:t xml:space="preserve"> </w:t>
      </w:r>
      <w:r>
        <w:t xml:space="preserve">considerably, thereby addressing the criticism voiced by certain private stakeholders. All</w:t>
      </w:r>
      <w:r>
        <w:t xml:space="preserve"> </w:t>
      </w:r>
      <w:r>
        <w:t xml:space="preserve">private and public respondents to the Consultation of Stakeholders expressed support for</w:t>
      </w:r>
      <w:r>
        <w:t xml:space="preserve"> </w:t>
      </w:r>
      <w:r>
        <w:t xml:space="preserve">this option.</w:t>
      </w:r>
      <w:r>
        <w:br/>
      </w:r>
      <w:r>
        <w:t xml:space="preserve">It has throughout the impact assessment process proven impossible to quantify the</w:t>
      </w:r>
      <w:r>
        <w:t xml:space="preserve"> </w:t>
      </w:r>
      <w:r>
        <w:t xml:space="preserve">reduction of costs and burden that would result from simplifying EU merger procedures.</w:t>
      </w:r>
      <w:r>
        <w:t xml:space="preserve"> </w:t>
      </w:r>
      <w:r>
        <w:t xml:space="preserve">Nevertheless, it is clear that simplification of EU merger procedures in line with the two</w:t>
      </w:r>
      <w:r>
        <w:t xml:space="preserve"> </w:t>
      </w:r>
      <w:r>
        <w:t xml:space="preserve">options discussed above will overall result in more limited information requirements and</w:t>
      </w:r>
      <w:r>
        <w:t xml:space="preserve"> </w:t>
      </w:r>
      <w:r>
        <w:t xml:space="preserve">easier submission of that information. Logically, this means that notifying parties’ costs</w:t>
      </w:r>
      <w:r>
        <w:t xml:space="preserve"> </w:t>
      </w:r>
      <w:r>
        <w:t xml:space="preserve">in gathering this information, both in terms of time and in monetary terms, will be</w:t>
      </w:r>
      <w:r>
        <w:t xml:space="preserve"> </w:t>
      </w:r>
      <w:r>
        <w:t xml:space="preserve">reduced. This is confirmed by respondents in the Public Consultations, who have overall</w:t>
      </w:r>
      <w:r>
        <w:t xml:space="preserve"> </w:t>
      </w:r>
      <w:r>
        <w:t xml:space="preserve">been positive about the initiative. Similarly, the Commission will have to digest in these</w:t>
      </w:r>
      <w:r>
        <w:t xml:space="preserve"> </w:t>
      </w:r>
      <w:r>
        <w:t xml:space="preserve">cases less information in these non-problematic cases. Therefore, it is expected that all</w:t>
      </w:r>
      <w:r>
        <w:t xml:space="preserve"> </w:t>
      </w:r>
      <w:r>
        <w:t xml:space="preserve">options will necessarily have a positive impact, both for notifying parties as well as for</w:t>
      </w:r>
      <w:r>
        <w:t xml:space="preserve"> </w:t>
      </w:r>
      <w:r>
        <w:t xml:space="preserve">the Commission.</w:t>
      </w:r>
      <w:r>
        <w:t xml:space="preserve"> </w:t>
      </w:r>
      <w:r>
        <w:t xml:space="preserve">6.3.3. Impact on digitalisation</w:t>
      </w:r>
      <w:r>
        <w:t xml:space="preserve"> </w:t>
      </w:r>
      <w:r>
        <w:t xml:space="preserve">Options 1, 2, 3 and 4 do not have any impact on digitalisation.</w:t>
      </w:r>
      <w:r>
        <w:t xml:space="preserve"> </w:t>
      </w:r>
      <w:r>
        <w:t xml:space="preserve">6.3.4. Environmental impact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Options 1, 2, 3 and 4 do not have any environmental impacts.</w:t>
      </w:r>
      <w:r>
        <w:t xml:space="preserve"> </w:t>
      </w:r>
      <w:r>
        <w:t xml:space="preserve">6.4.</w:t>
      </w:r>
      <w:r>
        <w:t xml:space="preserve"> </w:t>
      </w:r>
      <w:r>
        <w:t xml:space="preserve">Electronic transmissions of documents</w:t>
      </w:r>
      <w:r>
        <w:t xml:space="preserve"> </w:t>
      </w:r>
      <w:r>
        <w:t xml:space="preserve">6.4.1. Impact on the internal market</w:t>
      </w:r>
      <w:r>
        <w:t xml:space="preserve"> </w:t>
      </w:r>
      <w:r>
        <w:t xml:space="preserve">Options 1 and 2 do not have any direct impact on the internal market. Indirectly,</w:t>
      </w:r>
      <w:r>
        <w:t xml:space="preserve"> </w:t>
      </w:r>
      <w:r>
        <w:t xml:space="preserve">electronic notifications would enable parties to a concentration to reduce any delays</w:t>
      </w:r>
      <w:r>
        <w:t xml:space="preserve"> </w:t>
      </w:r>
      <w:r>
        <w:t xml:space="preserve">before a notification can be submitted, reducing this way the overall period from pre-</w:t>
      </w:r>
      <w:r>
        <w:t xml:space="preserve"> </w:t>
      </w:r>
      <w:r>
        <w:t xml:space="preserve">notification to Commission decision.</w:t>
      </w:r>
      <w:r>
        <w:t xml:space="preserve"> </w:t>
      </w:r>
      <w:r>
        <w:t xml:space="preserve">6.4.2. Impact on businesses and enforcement authorities</w:t>
      </w:r>
      <w:r>
        <w:t xml:space="preserve"> </w:t>
      </w:r>
      <w:r>
        <w:t xml:space="preserve">In relation to Option 1, the majority of the respondents to the Public Consultation</w:t>
      </w:r>
      <w:r>
        <w:t xml:space="preserve"> </w:t>
      </w:r>
      <w:r>
        <w:t xml:space="preserve">assumed that the Commission would accept the electronic notification as the legally</w:t>
      </w:r>
      <w:r>
        <w:t xml:space="preserve"> </w:t>
      </w:r>
      <w:r>
        <w:t xml:space="preserve">binding one, as opposed to the paper originals to be submitted at a later stage. The</w:t>
      </w:r>
      <w:r>
        <w:t xml:space="preserve"> </w:t>
      </w:r>
      <w:r>
        <w:t xml:space="preserve">opposite scenario, whereby the Commission would accept the paper originals that would</w:t>
      </w:r>
      <w:r>
        <w:t xml:space="preserve"> </w:t>
      </w:r>
      <w:r>
        <w:t xml:space="preserve">follow the electronic copy as the legally binding notification, would be of limited or no</w:t>
      </w:r>
      <w:r>
        <w:t xml:space="preserve"> </w:t>
      </w:r>
      <w:r>
        <w:t xml:space="preserve">added value compared to the baseline scenario.</w:t>
      </w:r>
      <w:r>
        <w:t xml:space="preserve"> </w:t>
      </w:r>
      <w:r>
        <w:t xml:space="preserve">Option 1 would enable parties to a concentration to notify earlier, without having to</w:t>
      </w:r>
      <w:r>
        <w:t xml:space="preserve"> </w:t>
      </w:r>
      <w:r>
        <w:t xml:space="preserve">produce and submit to the Commission any hand-signed paper copies for the notification</w:t>
      </w:r>
      <w:r>
        <w:t xml:space="preserve"> </w:t>
      </w:r>
      <w:r>
        <w:t xml:space="preserve">to become effective. Parties to a concentration would still, however, be required to</w:t>
      </w:r>
      <w:r>
        <w:t xml:space="preserve"> </w:t>
      </w:r>
      <w:r>
        <w:t xml:space="preserve">produce and submit to the Commission large amounts of paper via post or hand delivery</w:t>
      </w:r>
      <w:r>
        <w:t xml:space="preserve"> </w:t>
      </w:r>
      <w:r>
        <w:t xml:space="preserve">as soon as possible following the electronic notification. This multiplication of efforts</w:t>
      </w:r>
      <w:r>
        <w:t xml:space="preserve"> </w:t>
      </w:r>
      <w:r>
        <w:t xml:space="preserve">would create unnecessary burden, costs and delays.</w:t>
      </w:r>
      <w:r>
        <w:br/>
      </w:r>
      <w:r>
        <w:t xml:space="preserve">Under Option 2, there would be only one copy of the notification and all transmissions of</w:t>
      </w:r>
      <w:r>
        <w:t xml:space="preserve"> </w:t>
      </w:r>
      <w:r>
        <w:t xml:space="preserve">documents to and from the Commission would take place in principle electronically.</w:t>
      </w:r>
      <w:r>
        <w:t xml:space="preserve"> </w:t>
      </w:r>
      <w:r>
        <w:t xml:space="preserve">There would be no need to print large amounts of documents and submit them to the</w:t>
      </w:r>
      <w:r>
        <w:t xml:space="preserve"> </w:t>
      </w:r>
      <w:r>
        <w:t xml:space="preserve">Commission. Not having to produce and submit large amounts of paper would make the</w:t>
      </w:r>
      <w:r>
        <w:t xml:space="preserve"> </w:t>
      </w:r>
      <w:r>
        <w:t xml:space="preserve">notification process much more efficient and produce time savings for the businesses</w:t>
      </w:r>
      <w:r>
        <w:t xml:space="preserve"> </w:t>
      </w:r>
      <w:r>
        <w:t xml:space="preserve">involved (i.e. the notifying parties) since the legal notification can take place earlier.</w:t>
      </w:r>
      <w:r>
        <w:t xml:space="preserve"> </w:t>
      </w:r>
      <w:r>
        <w:t xml:space="preserve">In the legal texts on which the Commission consulted in the Consultation of</w:t>
      </w:r>
      <w:r>
        <w:t xml:space="preserve"> </w:t>
      </w:r>
      <w:r>
        <w:t xml:space="preserve">Stakeholders, the Commission, as a compliment to Option 2, introduced fallback</w:t>
      </w:r>
      <w:r>
        <w:t xml:space="preserve"> </w:t>
      </w:r>
      <w:r>
        <w:t xml:space="preserve">solutions in case transmissions are voluminous in size or where signing documents with</w:t>
      </w:r>
      <w:r>
        <w:t xml:space="preserve"> </w:t>
      </w:r>
      <w:r>
        <w:t xml:space="preserve">an electronic signature is not feasible. In the former case, submissions may be hand</w:t>
      </w:r>
      <w:r>
        <w:t xml:space="preserve"> </w:t>
      </w:r>
      <w:r>
        <w:t xml:space="preserve">delivered to the Commission using external storage devices, and in the latter case, a hand</w:t>
      </w:r>
      <w:r>
        <w:t xml:space="preserve"> </w:t>
      </w:r>
      <w:r>
        <w:t xml:space="preserve">singed paper copy of the submission may be hand delivered or sent by registered post to</w:t>
      </w:r>
      <w:r>
        <w:t xml:space="preserve"> </w:t>
      </w:r>
      <w:r>
        <w:t xml:space="preserve">the Commission.</w:t>
      </w:r>
      <w:r>
        <w:t xml:space="preserve"> </w:t>
      </w:r>
      <w:r>
        <w:t xml:space="preserve">The feedback from stakeholders received in response to the Public Consultation</w:t>
      </w:r>
      <w:r>
        <w:t xml:space="preserve"> </w:t>
      </w:r>
      <w:r>
        <w:t xml:space="preserve">regarding the impact on businesses and enforcement authorities was also confirmed by</w:t>
      </w:r>
      <w:r>
        <w:t xml:space="preserve"> </w:t>
      </w:r>
      <w:r>
        <w:t xml:space="preserve">the responses to the Consultation of Stakeholders. Both private and public respondents</w:t>
      </w:r>
      <w:r>
        <w:t xml:space="preserve"> </w:t>
      </w:r>
      <w:r>
        <w:t xml:space="preserve">expressed unanimous support for the introduction of electronic transmission of</w:t>
      </w:r>
      <w:r>
        <w:t xml:space="preserve"> </w:t>
      </w:r>
      <w:r>
        <w:t xml:space="preserve">documents. A national competition authority confirmed that it already accepts electronic</w:t>
      </w:r>
      <w:r>
        <w:t xml:space="preserve"> </w:t>
      </w:r>
      <w:r>
        <w:t xml:space="preserve">transmission of documents, including merger notifications, without the need for physical</w:t>
      </w:r>
      <w:r>
        <w:t xml:space="preserve"> </w:t>
      </w:r>
      <w:r>
        <w:t xml:space="preserve">copies. Private stakeholders also welcomed the initiative pointing to the positive impact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of Option 2, such as time savings in relation to merger notifications. One stakeholder</w:t>
      </w:r>
      <w:r>
        <w:t xml:space="preserve"> </w:t>
      </w:r>
      <w:r>
        <w:t xml:space="preserve">even encouraged the Commission to consider implementing electronic notification forms</w:t>
      </w:r>
      <w:r>
        <w:t xml:space="preserve"> </w:t>
      </w:r>
      <w:r>
        <w:t xml:space="preserve">in the future.</w:t>
      </w:r>
      <w:r>
        <w:t xml:space="preserve"> </w:t>
      </w:r>
      <w:r>
        <w:t xml:space="preserve">6.4.3. Impact on digitalisation</w:t>
      </w:r>
      <w:r>
        <w:t xml:space="preserve"> </w:t>
      </w:r>
      <w:r>
        <w:t xml:space="preserve">The current sub-section applies to both options 1 and 2 since both entail electronic</w:t>
      </w:r>
      <w:r>
        <w:t xml:space="preserve"> </w:t>
      </w:r>
      <w:r>
        <w:t xml:space="preserve">transmission of documents.</w:t>
      </w:r>
      <w:r>
        <w:t xml:space="preserve"> </w:t>
      </w:r>
      <w:r>
        <w:t xml:space="preserve">One respondent to the Public Consultation expressed the need of maintaining paper</w:t>
      </w:r>
      <w:r>
        <w:t xml:space="preserve"> </w:t>
      </w:r>
      <w:r>
        <w:t xml:space="preserve">copies as the most reliable way to guarantee ex post the integrity of the information</w:t>
      </w:r>
      <w:r>
        <w:t xml:space="preserve"> </w:t>
      </w:r>
      <w:r>
        <w:t xml:space="preserve">exchanged electronically. However, the eIDAS Regulation48 adopted by the Commission</w:t>
      </w:r>
      <w:r>
        <w:t xml:space="preserve"> </w:t>
      </w:r>
      <w:r>
        <w:t xml:space="preserve">provides proper safeguards and equalises the legal effect of qualified electronic</w:t>
      </w:r>
      <w:r>
        <w:t xml:space="preserve"> </w:t>
      </w:r>
      <w:r>
        <w:t xml:space="preserve">signatures to that of handwritten ones.</w:t>
      </w:r>
      <w:r>
        <w:t xml:space="preserve"> </w:t>
      </w:r>
      <w:r>
        <w:t xml:space="preserve">In addition, the majority of private stakeholders who responded to the Public</w:t>
      </w:r>
      <w:r>
        <w:t xml:space="preserve"> </w:t>
      </w:r>
      <w:r>
        <w:t xml:space="preserve">Consultation highlighted that digital signatures are nowadays widely used and trusted.</w:t>
      </w:r>
      <w:r>
        <w:t xml:space="preserve"> </w:t>
      </w:r>
      <w:r>
        <w:t xml:space="preserve">Both Options 1 and 2 will therefore further promote the Commission’s digital</w:t>
      </w:r>
      <w:r>
        <w:t xml:space="preserve"> </w:t>
      </w:r>
      <w:r>
        <w:t xml:space="preserve">transformation, making it digital-ready, by simplifying the notification process for the</w:t>
      </w:r>
      <w:r>
        <w:t xml:space="preserve"> </w:t>
      </w:r>
      <w:r>
        <w:t xml:space="preserve">notifying parties and the general exchange of case-related documents between the</w:t>
      </w:r>
      <w:r>
        <w:t xml:space="preserve"> </w:t>
      </w:r>
      <w:r>
        <w:t xml:space="preserve">Commission and external stakeholders though Option 2 will do so to a more significant</w:t>
      </w:r>
      <w:r>
        <w:t xml:space="preserve"> </w:t>
      </w:r>
      <w:r>
        <w:t xml:space="preserve">extent than Option 1.</w:t>
      </w:r>
      <w:r>
        <w:t xml:space="preserve"> </w:t>
      </w:r>
      <w:r>
        <w:t xml:space="preserve">In response to the Consultation of Stakeholders implementing Option 2, both private and</w:t>
      </w:r>
      <w:r>
        <w:t xml:space="preserve"> </w:t>
      </w:r>
      <w:r>
        <w:t xml:space="preserve">public respondents unanimously welcomed the introduction of the electronic</w:t>
      </w:r>
      <w:r>
        <w:t xml:space="preserve"> </w:t>
      </w:r>
      <w:r>
        <w:t xml:space="preserve">transmission of documents and generally took the view that this envisaged change should</w:t>
      </w:r>
      <w:r>
        <w:t xml:space="preserve"> </w:t>
      </w:r>
      <w:r>
        <w:t xml:space="preserve">be uncontroversial. One respondent requested greater flexibility so that companies can</w:t>
      </w:r>
      <w:r>
        <w:t xml:space="preserve"> </w:t>
      </w:r>
      <w:r>
        <w:t xml:space="preserve">use alternative transmission methods such as hand delivery of electronically signed</w:t>
      </w:r>
      <w:r>
        <w:t xml:space="preserve"> </w:t>
      </w:r>
      <w:r>
        <w:t xml:space="preserve">documents in case of large volumes of documents, or hand signed paper copies in case of</w:t>
      </w:r>
      <w:r>
        <w:t xml:space="preserve"> </w:t>
      </w:r>
      <w:r>
        <w:t xml:space="preserve">encountering difficulties with electronic signatures, without the need for the</w:t>
      </w:r>
      <w:r>
        <w:t xml:space="preserve"> </w:t>
      </w:r>
      <w:r>
        <w:t xml:space="preserve">Commission’s express agreement. This feedback was taken into account and is reflected</w:t>
      </w:r>
      <w:r>
        <w:t xml:space="preserve"> </w:t>
      </w:r>
      <w:r>
        <w:t xml:space="preserve">in the modified legal texts which now allow greater flexibility regarding the use of the</w:t>
      </w:r>
      <w:r>
        <w:t xml:space="preserve"> </w:t>
      </w:r>
      <w:r>
        <w:t xml:space="preserve">fall-back mechanisms.</w:t>
      </w:r>
      <w:r>
        <w:t xml:space="preserve"> </w:t>
      </w:r>
      <w:r>
        <w:t xml:space="preserve">6.4.4. Environmental impact</w:t>
      </w:r>
      <w:r>
        <w:t xml:space="preserve"> </w:t>
      </w:r>
      <w:r>
        <w:t xml:space="preserve">There will be only one copy of the notification and all transmissions of documents to and</w:t>
      </w:r>
      <w:r>
        <w:t xml:space="preserve"> </w:t>
      </w:r>
      <w:r>
        <w:t xml:space="preserve">from the Commission would take place in principle electronically. There would be no</w:t>
      </w:r>
      <w:r>
        <w:t xml:space="preserve"> </w:t>
      </w:r>
      <w:r>
        <w:t xml:space="preserve">need to print large amounts of documents and submit them to the Commission.</w:t>
      </w:r>
    </w:p>
    <w:p>
      <w:pPr>
        <w:pStyle w:val="BodyText"/>
      </w:pPr>
      <w:r>
        <w:t xml:space="preserve">48</w:t>
      </w:r>
      <w:r>
        <w:br/>
      </w:r>
      <w:r>
        <w:t xml:space="preserve">Regulation (EU) No 910/2014 of the European Parliament and of the Council of 23 July 2014 on</w:t>
      </w:r>
      <w:r>
        <w:t xml:space="preserve"> </w:t>
      </w:r>
      <w:r>
        <w:t xml:space="preserve">electronic identification and trust services for electronic transactions in the internal market and</w:t>
      </w:r>
      <w:r>
        <w:t xml:space="preserve"> </w:t>
      </w:r>
      <w:r>
        <w:t xml:space="preserve">repealing</w:t>
      </w:r>
      <w:r>
        <w:t xml:space="preserve"> </w:t>
      </w:r>
      <w:r>
        <w:t xml:space="preserve">Directive</w:t>
      </w:r>
      <w:r>
        <w:t xml:space="preserve"> </w:t>
      </w:r>
      <w:r>
        <w:t xml:space="preserve">1999/93/EC,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content/EN/TXT/?uri=uriserv%3AOJ.L_.2014.257.01.0073.01.ENG.</w:t>
      </w:r>
    </w:p>
    <w:p>
      <w:pPr>
        <w:pStyle w:val="BodyText"/>
      </w:pPr>
      <w:r>
        <w:t xml:space="preserve">46</w:t>
      </w:r>
    </w:p>
    <w:p>
      <w:pPr>
        <w:pStyle w:val="Compact"/>
        <w:numPr>
          <w:ilvl w:val="0"/>
          <w:numId w:val="1011"/>
        </w:numPr>
      </w:pPr>
      <w:r>
        <w:t xml:space="preserve">HOW DO THE OPTIONS COMPARE?</w:t>
      </w:r>
      <w:r>
        <w:t xml:space="preserve"> </w:t>
      </w:r>
      <w:r>
        <w:t xml:space="preserve">This section compares the different policy options and sub-options between themselves</w:t>
      </w:r>
      <w:r>
        <w:t xml:space="preserve"> </w:t>
      </w:r>
      <w:r>
        <w:t xml:space="preserve">where relevant and against the baseline scenario as regards their effectiveness, efficiency</w:t>
      </w:r>
      <w:r>
        <w:t xml:space="preserve"> </w:t>
      </w:r>
      <w:r>
        <w:t xml:space="preserve">and coherence, and concludes on the preferred option for each area of</w:t>
      </w:r>
      <w:r>
        <w:t xml:space="preserve"> </w:t>
      </w:r>
      <w:r>
        <w:t xml:space="preserve">simplification/streamlining. This comparison takes into account the impact of each option</w:t>
      </w:r>
      <w:r>
        <w:t xml:space="preserve"> </w:t>
      </w:r>
      <w:r>
        <w:t xml:space="preserve">on the internal market; on businesses and enforcement agencies; and on digitalisation as</w:t>
      </w:r>
      <w:r>
        <w:t xml:space="preserve"> </w:t>
      </w:r>
      <w:r>
        <w:t xml:space="preserve">explained in section 6 above.</w:t>
      </w:r>
      <w:r>
        <w:t xml:space="preserve"> </w:t>
      </w:r>
      <w:r>
        <w:t xml:space="preserve">In order to compare the effectiveness of the different policy options, their ability to</w:t>
      </w:r>
      <w:r>
        <w:t xml:space="preserve"> </w:t>
      </w:r>
      <w:r>
        <w:t xml:space="preserve">achieve the specific objectives of this initiative are assessed, i.e., to: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better target the merger review process, allowing the Commission to focus its</w:t>
      </w:r>
      <w:r>
        <w:t xml:space="preserve"> </w:t>
      </w:r>
      <w:r>
        <w:t xml:space="preserve">investigations on the cases that merit a more detailed review and</w:t>
      </w:r>
    </w:p>
    <w:p>
      <w:pPr>
        <w:pStyle w:val="Compact"/>
        <w:numPr>
          <w:ilvl w:val="0"/>
          <w:numId w:val="1012"/>
        </w:numPr>
      </w:pPr>
      <w:r>
        <w:t xml:space="preserve">reduce the administrative costs and burdens of the merger review process (for</w:t>
      </w:r>
      <w:r>
        <w:t xml:space="preserve"> </w:t>
      </w:r>
      <w:r>
        <w:t xml:space="preserve">businesses and for the Commission).</w:t>
      </w:r>
    </w:p>
    <w:p>
      <w:pPr>
        <w:pStyle w:val="FirstParagraph"/>
      </w:pPr>
      <w:r>
        <w:t xml:space="preserve">The assessment of efficiency takes into account how the policy options will affect the</w:t>
      </w:r>
      <w:r>
        <w:t xml:space="preserve"> </w:t>
      </w:r>
      <w:r>
        <w:t xml:space="preserve">costs that businesses incur in order to notify a transaction. For this initiative, considering</w:t>
      </w:r>
      <w:r>
        <w:t xml:space="preserve"> </w:t>
      </w:r>
      <w:r>
        <w:t xml:space="preserve">that one of its objectives is to reduce administrative costs for businesses, there is an</w:t>
      </w:r>
      <w:r>
        <w:t xml:space="preserve"> </w:t>
      </w:r>
      <w:r>
        <w:t xml:space="preserve">overlap between the assessment of effectiveness and efficiency. Therefore, the</w:t>
      </w:r>
      <w:r>
        <w:t xml:space="preserve"> </w:t>
      </w:r>
      <w:r>
        <w:t xml:space="preserve">assessment of effectiveness and efficiency will be presented together in the remainder of</w:t>
      </w:r>
      <w:r>
        <w:t xml:space="preserve"> </w:t>
      </w:r>
      <w:r>
        <w:t xml:space="preserve">this section.</w:t>
      </w:r>
      <w:r>
        <w:t xml:space="preserve"> </w:t>
      </w:r>
      <w:r>
        <w:t xml:space="preserve">As regards coherence, the policy options need to be assessed in light of other EU</w:t>
      </w:r>
      <w:r>
        <w:t xml:space="preserve"> </w:t>
      </w:r>
      <w:r>
        <w:t xml:space="preserve">legislation with relevance for the merger review process.</w:t>
      </w:r>
      <w:r>
        <w:t xml:space="preserve"> </w:t>
      </w:r>
      <w:r>
        <w:t xml:space="preserve">7.1.</w:t>
      </w:r>
      <w:r>
        <w:t xml:space="preserve"> </w:t>
      </w:r>
      <w:r>
        <w:t xml:space="preserve">Expanding and clarifying the categories of cases falling under the</w:t>
      </w:r>
      <w:r>
        <w:t xml:space="preserve"> </w:t>
      </w:r>
      <w:r>
        <w:t xml:space="preserve">simplified procedure</w:t>
      </w:r>
      <w:r>
        <w:t xml:space="preserve"> </w:t>
      </w:r>
      <w:r>
        <w:t xml:space="preserve">Options 1, 2 and 3 are not mutually exclusive and could be introduced cumulatively.</w:t>
      </w:r>
      <w:r>
        <w:t xml:space="preserve"> </w:t>
      </w:r>
      <w:r>
        <w:t xml:space="preserve">Therefore, it is not necessary to compare these options with each other. The same applies</w:t>
      </w:r>
      <w:r>
        <w:t xml:space="preserve"> </w:t>
      </w:r>
      <w:r>
        <w:t xml:space="preserve">to sub-options 1a, 1b and 1c and sub-options 2a, 2b and 2c respectively.</w:t>
      </w:r>
      <w:r>
        <w:t xml:space="preserve"> </w:t>
      </w:r>
      <w:r>
        <w:t xml:space="preserve">7.1.1. Effectiveness and efficiency</w:t>
      </w:r>
      <w:r>
        <w:t xml:space="preserve"> </w:t>
      </w:r>
      <w:r>
        <w:t xml:space="preserve">Compared with the baseline, Option 1a, as explained in section 6.1.2 above, would bring</w:t>
      </w:r>
      <w:r>
        <w:t xml:space="preserve"> </w:t>
      </w:r>
      <w:r>
        <w:t xml:space="preserve">a significant reduction of burden for normal cases, as approximately 14% of the</w:t>
      </w:r>
      <w:r>
        <w:t xml:space="preserve"> </w:t>
      </w:r>
      <w:r>
        <w:t xml:space="preserve">horizontal markets/segments assessed under the normal procedure from 1 January 2020</w:t>
      </w:r>
      <w:r>
        <w:t xml:space="preserve"> </w:t>
      </w:r>
      <w:r>
        <w:t xml:space="preserve">to 30 June 2021 could have benefitted from this option. Thus, a detailed assessment and</w:t>
      </w:r>
      <w:r>
        <w:t xml:space="preserve"> </w:t>
      </w:r>
      <w:r>
        <w:t xml:space="preserve">market investigation would not have been required for these markets. Therefore, Option</w:t>
      </w:r>
      <w:r>
        <w:t xml:space="preserve"> </w:t>
      </w:r>
      <w:r>
        <w:t xml:space="preserve">1a compared with the baseline would significantly reduce administrative costs and</w:t>
      </w:r>
      <w:r>
        <w:t xml:space="preserve"> </w:t>
      </w:r>
      <w:r>
        <w:t xml:space="preserve">burdens of the merger review process. Moreover, as concluded in section 6.1.1 above,</w:t>
      </w:r>
      <w:r>
        <w:t xml:space="preserve"> </w:t>
      </w:r>
      <w:r>
        <w:t xml:space="preserve">Option 1a does not meaningfully increase the risk that any of the intervention cases</w:t>
      </w:r>
      <w:r>
        <w:t xml:space="preserve"> </w:t>
      </w:r>
      <w:r>
        <w:t xml:space="preserve">would have been treated under the simplified procedure or any problematic market would</w:t>
      </w:r>
      <w:r>
        <w:t xml:space="preserve"> </w:t>
      </w:r>
      <w:r>
        <w:t xml:space="preserve">have escaped an in-depth review by the Commission. Thus, there is no negative impact</w:t>
      </w:r>
      <w:r>
        <w:t xml:space="preserve"> </w:t>
      </w:r>
      <w:r>
        <w:t xml:space="preserve">on the internal market. At the same time, given that the Commission will free up</w:t>
      </w:r>
      <w:r>
        <w:t xml:space="preserve"> </w:t>
      </w:r>
      <w:r>
        <w:t xml:space="preserve">resources from the assessment of clearly non-problematic cases and/or markets, it will be</w:t>
      </w:r>
      <w:r>
        <w:t xml:space="preserve"> </w:t>
      </w:r>
      <w:r>
        <w:t xml:space="preserve">able to dedicate such resources to the assessment of cases and/or markets that merit a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more detailed assessment. Therefore, this option compared with the baseline would make</w:t>
      </w:r>
      <w:r>
        <w:t xml:space="preserve"> </w:t>
      </w:r>
      <w:r>
        <w:t xml:space="preserve">it possible to better target the merger review process, allowing the Commission to focus</w:t>
      </w:r>
      <w:r>
        <w:t xml:space="preserve"> </w:t>
      </w:r>
      <w:r>
        <w:t xml:space="preserve">its investigations on the cases that merit a more detailed review.</w:t>
      </w:r>
      <w:r>
        <w:t xml:space="preserve"> </w:t>
      </w:r>
      <w:r>
        <w:t xml:space="preserve">With regard to the exact threshold for Option 1a, the Commission considered two</w:t>
      </w:r>
      <w:r>
        <w:t xml:space="preserve"> </w:t>
      </w:r>
      <w:r>
        <w:t xml:space="preserve">possibilities: i) to increase the combined market shares by 1 percentage point (i.e., up to</w:t>
      </w:r>
      <w:r>
        <w:t xml:space="preserve"> </w:t>
      </w:r>
      <w:r>
        <w:t xml:space="preserve">21%) (“Option 1a.i”) or by 5 percentage points (i.e., up to 25%) (“Option 1a.ii”).</w:t>
      </w:r>
      <w:r>
        <w:t xml:space="preserve"> </w:t>
      </w:r>
      <w:r>
        <w:t xml:space="preserve">Increasing the threshold by only 1 percentage point would limit significantly the benefits</w:t>
      </w:r>
      <w:r>
        <w:t xml:space="preserve"> </w:t>
      </w:r>
      <w:r>
        <w:t xml:space="preserve">of the flexibility clause and the number of cases and markets/segments captured by it</w:t>
      </w:r>
      <w:r>
        <w:t xml:space="preserve"> </w:t>
      </w:r>
      <w:r>
        <w:t xml:space="preserve">would be lower. This was confirmed by the view of stakeholders responding to the</w:t>
      </w:r>
      <w:r>
        <w:t xml:space="preserve"> </w:t>
      </w:r>
      <w:r>
        <w:t xml:space="preserve">Public Consultation and Consultation of Stakeholders that expressed unanimous support</w:t>
      </w:r>
      <w:r>
        <w:t xml:space="preserve"> </w:t>
      </w:r>
      <w:r>
        <w:t xml:space="preserve">for the introduction of a flexibility clause for cases in which the current market share</w:t>
      </w:r>
      <w:r>
        <w:t xml:space="preserve"> </w:t>
      </w:r>
      <w:r>
        <w:t xml:space="preserve">thresholds of the Notice on Simplified Procedure are slightly exceeded by up to 5</w:t>
      </w:r>
      <w:r>
        <w:t xml:space="preserve"> </w:t>
      </w:r>
      <w:r>
        <w:t xml:space="preserve">percentage points. At the same time, increasing the threshold to 25% would not entail</w:t>
      </w:r>
      <w:r>
        <w:t xml:space="preserve"> </w:t>
      </w:r>
      <w:r>
        <w:t xml:space="preserve">any significant risk of missing relevant cases. Therefore, Option 1a.i is less efficient and</w:t>
      </w:r>
      <w:r>
        <w:t xml:space="preserve"> </w:t>
      </w:r>
      <w:r>
        <w:t xml:space="preserve">effective than Option 1a.ii.</w:t>
      </w:r>
      <w:r>
        <w:br/>
      </w:r>
      <w:r>
        <w:t xml:space="preserve">Compared with the baseline, Option 1b, as explained in section 6.1.2 above, would result</w:t>
      </w:r>
      <w:r>
        <w:t xml:space="preserve"> </w:t>
      </w:r>
      <w:r>
        <w:t xml:space="preserve">in three cases being treated under the simplified procedure from 1 January 2020 to 30</w:t>
      </w:r>
      <w:r>
        <w:t xml:space="preserve"> </w:t>
      </w:r>
      <w:r>
        <w:t xml:space="preserve">June 2021. Moreover, this option would also bring a significant reduction of burden for</w:t>
      </w:r>
      <w:r>
        <w:t xml:space="preserve"> </w:t>
      </w:r>
      <w:r>
        <w:t xml:space="preserve">normal cases, as 13% of the vertically affected markets/segments assessed under the</w:t>
      </w:r>
      <w:r>
        <w:t xml:space="preserve"> </w:t>
      </w:r>
      <w:r>
        <w:t xml:space="preserve">normal procedure from 1 January 2020 to 30 June 2021 could have benefitted from this</w:t>
      </w:r>
      <w:r>
        <w:t xml:space="preserve"> </w:t>
      </w:r>
      <w:r>
        <w:t xml:space="preserve">option. Thus, a detailed assessment and market investigation would not have been</w:t>
      </w:r>
      <w:r>
        <w:t xml:space="preserve"> </w:t>
      </w:r>
      <w:r>
        <w:t xml:space="preserve">required for these markets. Therefore, Option 1b compared with the baseline would</w:t>
      </w:r>
      <w:r>
        <w:t xml:space="preserve"> </w:t>
      </w:r>
      <w:r>
        <w:t xml:space="preserve">significantly reduce administrative costs and burdens of the merger review process.</w:t>
      </w:r>
      <w:r>
        <w:br/>
      </w:r>
      <w:r>
        <w:t xml:space="preserve">Moreover, as concluded in section 6.1.1 above, Option 1b does not meaningfully increase</w:t>
      </w:r>
      <w:r>
        <w:t xml:space="preserve"> </w:t>
      </w:r>
      <w:r>
        <w:t xml:space="preserve">the risk that any of the intervention cases would have been treated under the simplified</w:t>
      </w:r>
      <w:r>
        <w:t xml:space="preserve"> </w:t>
      </w:r>
      <w:r>
        <w:t xml:space="preserve">procedure or any problematic market would have escaped an in-depth review by the</w:t>
      </w:r>
      <w:r>
        <w:t xml:space="preserve"> </w:t>
      </w:r>
      <w:r>
        <w:t xml:space="preserve">Commission. Thus, there is no negative impact on the internal market. At the same time,</w:t>
      </w:r>
      <w:r>
        <w:t xml:space="preserve"> </w:t>
      </w:r>
      <w:r>
        <w:t xml:space="preserve">given that the Commission will free up resources from the assessment of clearly non-</w:t>
      </w:r>
      <w:r>
        <w:t xml:space="preserve"> </w:t>
      </w:r>
      <w:r>
        <w:t xml:space="preserve">problematic cases and/or markets, it will be able to dedicate such resources to the</w:t>
      </w:r>
      <w:r>
        <w:t xml:space="preserve"> </w:t>
      </w:r>
      <w:r>
        <w:t xml:space="preserve">assessment of cases and/or markets that merit a more detailed assessment. Therefore, this</w:t>
      </w:r>
      <w:r>
        <w:t xml:space="preserve"> </w:t>
      </w:r>
      <w:r>
        <w:t xml:space="preserve">option compared with the baseline would make it possible to better target the merger</w:t>
      </w:r>
      <w:r>
        <w:t xml:space="preserve"> </w:t>
      </w:r>
      <w:r>
        <w:t xml:space="preserve">review process, allowing the Commission to focus its investigations on the cases that</w:t>
      </w:r>
      <w:r>
        <w:t xml:space="preserve"> </w:t>
      </w:r>
      <w:r>
        <w:t xml:space="preserve">merit a more detailed review.</w:t>
      </w:r>
      <w:r>
        <w:t xml:space="preserve"> </w:t>
      </w:r>
      <w:r>
        <w:t xml:space="preserve">With regard to the exact threshold for Option 1b, the Commission considered two</w:t>
      </w:r>
      <w:r>
        <w:t xml:space="preserve"> </w:t>
      </w:r>
      <w:r>
        <w:t xml:space="preserve">possibilities: i) to increase the combined market shares by 1 percentage point (i.e., up to</w:t>
      </w:r>
      <w:r>
        <w:t xml:space="preserve"> </w:t>
      </w:r>
      <w:r>
        <w:t xml:space="preserve">31%) (“Option 1b.i”) or by 5 percentage points (i.e., up to 35%) (“Option 1b.ii”). The</w:t>
      </w:r>
      <w:r>
        <w:t xml:space="preserve"> </w:t>
      </w:r>
      <w:r>
        <w:t xml:space="preserve">Commission concluded that Option 1b.i is less efficient and effective than Option 1b.ii</w:t>
      </w:r>
      <w:r>
        <w:t xml:space="preserve"> </w:t>
      </w:r>
      <w:r>
        <w:t xml:space="preserve">on the same grounds explained above for Options 1a.i and 1a.ii.</w:t>
      </w:r>
      <w:r>
        <w:br/>
      </w:r>
      <w:r>
        <w:t xml:space="preserve">Compared with the baseline, Option 1c, as described in section 5.2.2 above, would result</w:t>
      </w:r>
      <w:r>
        <w:t xml:space="preserve"> </w:t>
      </w:r>
      <w:r>
        <w:t xml:space="preserve">in approximately 25 additional cases being treated under the simplified procedure in</w:t>
      </w:r>
      <w:r>
        <w:t xml:space="preserve"> </w:t>
      </w:r>
      <w:r>
        <w:t xml:space="preserve">2011-2021. Thus, a detailed assessment and market investigation would not have been</w:t>
      </w:r>
      <w:r>
        <w:t xml:space="preserve"> </w:t>
      </w:r>
      <w:r>
        <w:t xml:space="preserve">required for these cases. Therefore, Option 1c compared with the baseline would reduce</w:t>
      </w:r>
      <w:r>
        <w:t xml:space="preserve"> </w:t>
      </w:r>
      <w:r>
        <w:t xml:space="preserve">administrative costs and burdens of the merger review process. Moreover, as concluded</w:t>
      </w:r>
      <w:r>
        <w:t xml:space="preserve"> </w:t>
      </w:r>
      <w:r>
        <w:t xml:space="preserve">in section 6.1.1 above, Option 1c does not meaningfully increase the risk that any of the</w:t>
      </w:r>
      <w:r>
        <w:t xml:space="preserve"> </w:t>
      </w:r>
      <w:r>
        <w:t xml:space="preserve">intervention cases would have been treated under the simplified procedure. Thus, there is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no negative impact on the internal market. At the same time, given that the Commission</w:t>
      </w:r>
      <w:r>
        <w:t xml:space="preserve"> </w:t>
      </w:r>
      <w:r>
        <w:t xml:space="preserve">will free up resources from the assessment of clearly non-problematic cases, it will be</w:t>
      </w:r>
      <w:r>
        <w:t xml:space="preserve"> </w:t>
      </w:r>
      <w:r>
        <w:t xml:space="preserve">able to dedicate such resources to the assessment of cases that merit a more detailed</w:t>
      </w:r>
      <w:r>
        <w:t xml:space="preserve"> </w:t>
      </w:r>
      <w:r>
        <w:t xml:space="preserve">assessment. Therefore, this option compared with the baseline would make it possible to</w:t>
      </w:r>
      <w:r>
        <w:t xml:space="preserve"> </w:t>
      </w:r>
      <w:r>
        <w:t xml:space="preserve">better target the merger review process, allowing the Commission to focus its</w:t>
      </w:r>
      <w:r>
        <w:t xml:space="preserve"> </w:t>
      </w:r>
      <w:r>
        <w:t xml:space="preserve">investigations on the cases that merit a more detailed review.</w:t>
      </w:r>
      <w:r>
        <w:t xml:space="preserve"> </w:t>
      </w:r>
      <w:r>
        <w:t xml:space="preserve">With regard to the exact threshold for Option 1c, the Commission considered increasing</w:t>
      </w:r>
      <w:r>
        <w:t xml:space="preserve"> </w:t>
      </w:r>
      <w:r>
        <w:t xml:space="preserve">the yearly current turnover of the joint venture in the EEA or the value of the assets</w:t>
      </w:r>
      <w:r>
        <w:t xml:space="preserve"> </w:t>
      </w:r>
      <w:r>
        <w:t xml:space="preserve">transferred to the joint venture in the EEA to EUR 150 million. The vast majority of</w:t>
      </w:r>
      <w:r>
        <w:t xml:space="preserve"> </w:t>
      </w:r>
      <w:r>
        <w:t xml:space="preserve">respondents to the Public Consultation expressed support for this threshold (which</w:t>
      </w:r>
      <w:r>
        <w:t xml:space="preserve"> </w:t>
      </w:r>
      <w:r>
        <w:t xml:space="preserve">increases the existing threshold of EUR 100 million by 50%). This threshold ensures a</w:t>
      </w:r>
      <w:r>
        <w:t xml:space="preserve"> </w:t>
      </w:r>
      <w:r>
        <w:t xml:space="preserve">meaningful reduction of administrative costs and burdens for the merger review process,</w:t>
      </w:r>
      <w:r>
        <w:t xml:space="preserve"> </w:t>
      </w:r>
      <w:r>
        <w:t xml:space="preserve">without any significant risk of missing relevant cases. In the Public Consultation,</w:t>
      </w:r>
      <w:r>
        <w:t xml:space="preserve"> </w:t>
      </w:r>
      <w:r>
        <w:t xml:space="preserve">stakeholders proposed alternative (higher) thresholds (e.g., EUR 250 million or 400</w:t>
      </w:r>
      <w:r>
        <w:t xml:space="preserve"> </w:t>
      </w:r>
      <w:r>
        <w:t xml:space="preserve">million) but they did not provide evidence why these thresholds would be best suited to</w:t>
      </w:r>
      <w:r>
        <w:t xml:space="preserve"> </w:t>
      </w:r>
      <w:r>
        <w:t xml:space="preserve">Option 1c.</w:t>
      </w:r>
      <w:r>
        <w:br/>
      </w:r>
      <w:r>
        <w:t xml:space="preserve">Compared with the baseline, Option 2a, as described in section 6.1.2 above, would have</w:t>
      </w:r>
      <w:r>
        <w:t xml:space="preserve"> </w:t>
      </w:r>
      <w:r>
        <w:t xml:space="preserve">captured four additional cases under the simplified procedure from 1 January 2020 to 30</w:t>
      </w:r>
      <w:r>
        <w:t xml:space="preserve"> </w:t>
      </w:r>
      <w:r>
        <w:t xml:space="preserve">June 2021. Moreover, it would also bring a significant reduction of burden for normal</w:t>
      </w:r>
      <w:r>
        <w:t xml:space="preserve"> </w:t>
      </w:r>
      <w:r>
        <w:t xml:space="preserve">cases, as approximately 2% of the vertically related markets/segments assessed under the</w:t>
      </w:r>
      <w:r>
        <w:t xml:space="preserve"> </w:t>
      </w:r>
      <w:r>
        <w:t xml:space="preserve">normal procedure from 1 January 2020 to 30 June 2021 could have benefitted from this</w:t>
      </w:r>
      <w:r>
        <w:t xml:space="preserve"> </w:t>
      </w:r>
      <w:r>
        <w:t xml:space="preserve">Option. Thus, a detailed assessment and market investigation would not have been</w:t>
      </w:r>
      <w:r>
        <w:t xml:space="preserve"> </w:t>
      </w:r>
      <w:r>
        <w:t xml:space="preserve">required for these markets. Therefore, Option 2a compared with the baseline would</w:t>
      </w:r>
      <w:r>
        <w:t xml:space="preserve"> </w:t>
      </w:r>
      <w:r>
        <w:t xml:space="preserve">significantly reduce administrative costs and burdens of the merger review process.</w:t>
      </w:r>
      <w:r>
        <w:br/>
      </w:r>
      <w:r>
        <w:t xml:space="preserve">Moreover, as concluded in section 6.1.1 above, Option 2a does not significantly increase</w:t>
      </w:r>
      <w:r>
        <w:t xml:space="preserve"> </w:t>
      </w:r>
      <w:r>
        <w:t xml:space="preserve">the risk that any of the intervention cases would have been treated under the simplified</w:t>
      </w:r>
      <w:r>
        <w:t xml:space="preserve"> </w:t>
      </w:r>
      <w:r>
        <w:t xml:space="preserve">procedure or any problematic market would have escaped an in-depth review by the</w:t>
      </w:r>
      <w:r>
        <w:t xml:space="preserve"> </w:t>
      </w:r>
      <w:r>
        <w:t xml:space="preserve">Commission. Thus, there is no negative impact on the internal market. At the same time,</w:t>
      </w:r>
      <w:r>
        <w:t xml:space="preserve"> </w:t>
      </w:r>
      <w:r>
        <w:t xml:space="preserve">given that the Commission will free up resources from the assessment of clearly non-</w:t>
      </w:r>
      <w:r>
        <w:t xml:space="preserve"> </w:t>
      </w:r>
      <w:r>
        <w:t xml:space="preserve">problematic cases and/or markets, it will be able to dedicate such resources to the</w:t>
      </w:r>
      <w:r>
        <w:t xml:space="preserve"> </w:t>
      </w:r>
      <w:r>
        <w:t xml:space="preserve">assessment of cases and/or markets that merit a more detailed assessment. Therefore, this</w:t>
      </w:r>
      <w:r>
        <w:t xml:space="preserve"> </w:t>
      </w:r>
      <w:r>
        <w:t xml:space="preserve">option compared with the baseline would make it possible to better target the merger</w:t>
      </w:r>
      <w:r>
        <w:t xml:space="preserve"> </w:t>
      </w:r>
      <w:r>
        <w:t xml:space="preserve">review process, allowing the Commission to focus its investigations on the cases that</w:t>
      </w:r>
      <w:r>
        <w:t xml:space="preserve"> </w:t>
      </w:r>
      <w:r>
        <w:t xml:space="preserve">merit a more detailed review.</w:t>
      </w:r>
      <w:r>
        <w:t xml:space="preserve"> </w:t>
      </w:r>
      <w:r>
        <w:t xml:space="preserve">With regard to the exact threshold for Option 2a, the Commission considered four</w:t>
      </w:r>
      <w:r>
        <w:t xml:space="preserve"> </w:t>
      </w:r>
      <w:r>
        <w:t xml:space="preserve">possibilities: i) a maximum individual or combined market share of 5% in one market</w:t>
      </w:r>
      <w:r>
        <w:t xml:space="preserve"> </w:t>
      </w:r>
      <w:r>
        <w:t xml:space="preserve">and a maximum individual or combined market share of 40% in a vertically related</w:t>
      </w:r>
      <w:r>
        <w:t xml:space="preserve"> </w:t>
      </w:r>
      <w:r>
        <w:t xml:space="preserve">market; ii) a maximum individual or combined market share of 10% in one market and a</w:t>
      </w:r>
      <w:r>
        <w:t xml:space="preserve"> </w:t>
      </w:r>
      <w:r>
        <w:t xml:space="preserve">maximum individual or combined market share of 40% in a vertically related market; iii)</w:t>
      </w:r>
      <w:r>
        <w:t xml:space="preserve"> </w:t>
      </w:r>
      <w:r>
        <w:t xml:space="preserve">a maximum individual or combined market share of 5% in one market and a maximum</w:t>
      </w:r>
      <w:r>
        <w:t xml:space="preserve"> </w:t>
      </w:r>
      <w:r>
        <w:t xml:space="preserve">individual or combined market share of 50% in a vertically related market; iv) a</w:t>
      </w:r>
      <w:r>
        <w:t xml:space="preserve"> </w:t>
      </w:r>
      <w:r>
        <w:t xml:space="preserve">maximum individual or combined market share of 10% in one market and a maximum</w:t>
      </w:r>
      <w:r>
        <w:t xml:space="preserve"> </w:t>
      </w:r>
      <w:r>
        <w:t xml:space="preserve">individual or combined market share of 5% in a vertically related market. Options 2a.i,</w:t>
      </w:r>
      <w:r>
        <w:t xml:space="preserve"> </w:t>
      </w:r>
      <w:r>
        <w:t xml:space="preserve">2a.ii and 2a.iii would limit the benefits of the flexibility clause for this category and the</w:t>
      </w:r>
      <w:r>
        <w:t xml:space="preserve"> </w:t>
      </w:r>
      <w:r>
        <w:t xml:space="preserve">number of cases and markets/segments captured would be lower than with Option 2a.iv.</w:t>
      </w:r>
      <w:r>
        <w:t xml:space="preserve"> </w:t>
      </w:r>
      <w:r>
        <w:t xml:space="preserve">This was confirmed by stakeholders responding to the Public Consultation and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Consultation of Stakeholders. At the same time, introducing Option 2a.iv under the</w:t>
      </w:r>
      <w:r>
        <w:t xml:space="preserve"> </w:t>
      </w:r>
      <w:r>
        <w:t xml:space="preserve">flexibility clause would not entail any significant risk of missing relevant cases, in</w:t>
      </w:r>
      <w:r>
        <w:t xml:space="preserve"> </w:t>
      </w:r>
      <w:r>
        <w:t xml:space="preserve">particular if included under the flexibility clause. Therefore, Options 2a.i, 2a.ii and 2a.iii</w:t>
      </w:r>
      <w:r>
        <w:t xml:space="preserve"> </w:t>
      </w:r>
      <w:r>
        <w:t xml:space="preserve">are less efficient and effective than Option 2a.iv.</w:t>
      </w:r>
      <w:r>
        <w:br/>
      </w:r>
      <w:r>
        <w:t xml:space="preserve">Compared with the baseline, Option 2b, as described in section 6.1.2 above, would have</w:t>
      </w:r>
      <w:r>
        <w:t xml:space="preserve"> </w:t>
      </w:r>
      <w:r>
        <w:t xml:space="preserve">captured two additional cases under the simplified procedure from 1 January 2020 to 30</w:t>
      </w:r>
      <w:r>
        <w:t xml:space="preserve"> </w:t>
      </w:r>
      <w:r>
        <w:t xml:space="preserve">June 2021. Moreover, it would also bring a significant reduction of burden for normal</w:t>
      </w:r>
      <w:r>
        <w:t xml:space="preserve"> </w:t>
      </w:r>
      <w:r>
        <w:t xml:space="preserve">cases, as approximately 3% of the vertically related markets/segments assessed under the</w:t>
      </w:r>
      <w:r>
        <w:t xml:space="preserve"> </w:t>
      </w:r>
      <w:r>
        <w:t xml:space="preserve">normal procedure from 1 January 2020 to 30 June 2021 could have benefitted from this</w:t>
      </w:r>
      <w:r>
        <w:t xml:space="preserve"> </w:t>
      </w:r>
      <w:r>
        <w:t xml:space="preserve">option. Thus, a detailed assessment and market investigation would not have been</w:t>
      </w:r>
      <w:r>
        <w:t xml:space="preserve"> </w:t>
      </w:r>
      <w:r>
        <w:t xml:space="preserve">required for these markets. Therefore, Option 2b compared with the baseline would</w:t>
      </w:r>
      <w:r>
        <w:t xml:space="preserve"> </w:t>
      </w:r>
      <w:r>
        <w:t xml:space="preserve">significantly reduce administrative costs and burdens of the merger review process.</w:t>
      </w:r>
      <w:r>
        <w:br/>
      </w:r>
      <w:r>
        <w:t xml:space="preserve">Moreover, as concluded in in section 6.1.1 above, Option 2b does not meaningfully</w:t>
      </w:r>
      <w:r>
        <w:t xml:space="preserve"> </w:t>
      </w:r>
      <w:r>
        <w:t xml:space="preserve">increase the risk that any of the intervention cases would have been treated under the</w:t>
      </w:r>
      <w:r>
        <w:t xml:space="preserve"> </w:t>
      </w:r>
      <w:r>
        <w:t xml:space="preserve">simplified procedure or any problematic market would have escaped an in-depth review</w:t>
      </w:r>
      <w:r>
        <w:t xml:space="preserve"> </w:t>
      </w:r>
      <w:r>
        <w:t xml:space="preserve">by the Commission. Thus, there is no negative impact on the internal market. At the same</w:t>
      </w:r>
      <w:r>
        <w:t xml:space="preserve"> </w:t>
      </w:r>
      <w:r>
        <w:t xml:space="preserve">time, given that the Commission will free up resources from the assessment of clearly</w:t>
      </w:r>
      <w:r>
        <w:t xml:space="preserve"> </w:t>
      </w:r>
      <w:r>
        <w:t xml:space="preserve">non-problematic cases and/or markets, it will be able to dedicate such resources to the</w:t>
      </w:r>
      <w:r>
        <w:t xml:space="preserve"> </w:t>
      </w:r>
      <w:r>
        <w:t xml:space="preserve">assessment of cases and/or markets that merit a more detailed assessment. Therefore, this</w:t>
      </w:r>
      <w:r>
        <w:t xml:space="preserve"> </w:t>
      </w:r>
      <w:r>
        <w:t xml:space="preserve">option compared with the baseline would make it possible to better target the merger</w:t>
      </w:r>
      <w:r>
        <w:t xml:space="preserve"> </w:t>
      </w:r>
      <w:r>
        <w:t xml:space="preserve">review process, allowing the Commission to focus its investigations on the cases that</w:t>
      </w:r>
      <w:r>
        <w:t xml:space="preserve"> </w:t>
      </w:r>
      <w:r>
        <w:t xml:space="preserve">merit a more detailed review.</w:t>
      </w:r>
      <w:r>
        <w:t xml:space="preserve"> </w:t>
      </w:r>
      <w:r>
        <w:t xml:space="preserve">With regard to the exact threshold for Option 2b, several possibilities were considered: i)</w:t>
      </w:r>
      <w:r>
        <w:t xml:space="preserve"> </w:t>
      </w:r>
      <w:r>
        <w:t xml:space="preserve">a maximum purchasing share of 5% and a maximum downstream combined market share</w:t>
      </w:r>
      <w:r>
        <w:t xml:space="preserve"> </w:t>
      </w:r>
      <w:r>
        <w:t xml:space="preserve">of 50%; ii) a maximum purchasing share of 10% and a maximum downstream combined</w:t>
      </w:r>
      <w:r>
        <w:t xml:space="preserve"> </w:t>
      </w:r>
      <w:r>
        <w:t xml:space="preserve">market share of 50%; iii) a maximum purchasing share of 5% without limit downstream;</w:t>
      </w:r>
      <w:r>
        <w:t xml:space="preserve"> </w:t>
      </w:r>
      <w:r>
        <w:t xml:space="preserve">iv) a maximum purchasing share of 10% without limit downstream; and v) a maximum</w:t>
      </w:r>
      <w:r>
        <w:t xml:space="preserve"> </w:t>
      </w:r>
      <w:r>
        <w:t xml:space="preserve">purchasing share of 30% without limit downstream. Options 2b.i, 2b.ii, 2b.iii and 2b.iv</w:t>
      </w:r>
      <w:r>
        <w:t xml:space="preserve"> </w:t>
      </w:r>
      <w:r>
        <w:t xml:space="preserve">would limit the benefits of introducing this category and the number of cases and</w:t>
      </w:r>
      <w:r>
        <w:t xml:space="preserve"> </w:t>
      </w:r>
      <w:r>
        <w:t xml:space="preserve">markets/segments captured would be lower than with Option 2b.v. This was confirmed</w:t>
      </w:r>
      <w:r>
        <w:t xml:space="preserve"> </w:t>
      </w:r>
      <w:r>
        <w:t xml:space="preserve">by the view of stakeholders responding to the Public Consultation and Consultation of</w:t>
      </w:r>
      <w:r>
        <w:t xml:space="preserve"> </w:t>
      </w:r>
      <w:r>
        <w:t xml:space="preserve">Stakeholders. At the same time, Option 2b.v would not entail any significant risk of</w:t>
      </w:r>
      <w:r>
        <w:t xml:space="preserve"> </w:t>
      </w:r>
      <w:r>
        <w:t xml:space="preserve">missing relevant cases. Therefore, Options 2b.i, 2b.ii, 2b.iii and 2b.iv are less efficient</w:t>
      </w:r>
      <w:r>
        <w:t xml:space="preserve"> </w:t>
      </w:r>
      <w:r>
        <w:t xml:space="preserve">and effective than Option 2b.v.</w:t>
      </w:r>
      <w:r>
        <w:br/>
      </w:r>
      <w:r>
        <w:t xml:space="preserve">Compared with the baseline, Option 2c, as described in section 6.1.2 above, would have</w:t>
      </w:r>
      <w:r>
        <w:t xml:space="preserve"> </w:t>
      </w:r>
      <w:r>
        <w:t xml:space="preserve">captured two additional cases under the simplified procedure from 1 January 2020 to 30</w:t>
      </w:r>
      <w:r>
        <w:t xml:space="preserve"> </w:t>
      </w:r>
      <w:r>
        <w:t xml:space="preserve">June 2021. Moreover, it would also bring a moderate reduction of burden for normal</w:t>
      </w:r>
      <w:r>
        <w:t xml:space="preserve"> </w:t>
      </w:r>
      <w:r>
        <w:t xml:space="preserve">cases, as approximately 0.4% of the vertically related markets/segments assessed under</w:t>
      </w:r>
      <w:r>
        <w:t xml:space="preserve"> </w:t>
      </w:r>
      <w:r>
        <w:t xml:space="preserve">the normal procedure from 1 January 2020 to 30 June 2021 could have benefitted from</w:t>
      </w:r>
      <w:r>
        <w:t xml:space="preserve"> </w:t>
      </w:r>
      <w:r>
        <w:t xml:space="preserve">this option. Thus, a detailed assessment and market investigation would not have been</w:t>
      </w:r>
      <w:r>
        <w:t xml:space="preserve"> </w:t>
      </w:r>
      <w:r>
        <w:t xml:space="preserve">required for these markets. Therefore, Option 2c compared with the baseline would</w:t>
      </w:r>
      <w:r>
        <w:t xml:space="preserve"> </w:t>
      </w:r>
      <w:r>
        <w:t xml:space="preserve">significantly reduce administrative costs and burdens of the merger review process.</w:t>
      </w:r>
      <w:r>
        <w:br/>
      </w:r>
      <w:r>
        <w:t xml:space="preserve">Moreover, as concluded in section 6.1.1 above, Option 2c does not meaningfully increase</w:t>
      </w:r>
      <w:r>
        <w:t xml:space="preserve"> </w:t>
      </w:r>
      <w:r>
        <w:t xml:space="preserve">the risk that any of the intervention cases would have been treated under the simplified</w:t>
      </w:r>
      <w:r>
        <w:t xml:space="preserve"> </w:t>
      </w:r>
      <w:r>
        <w:t xml:space="preserve">procedure or any problematic market would have escaped an in-depth review by the</w:t>
      </w:r>
      <w:r>
        <w:t xml:space="preserve"> </w:t>
      </w:r>
      <w:r>
        <w:t xml:space="preserve">Commission. Thus, there is no negative impact on the internal market. At the same time,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given that the Commission will free up resources from the assessment of clearly non-</w:t>
      </w:r>
      <w:r>
        <w:t xml:space="preserve"> </w:t>
      </w:r>
      <w:r>
        <w:t xml:space="preserve">problematic cases and/or markets, it will be able to dedicate such resources to the</w:t>
      </w:r>
      <w:r>
        <w:t xml:space="preserve"> </w:t>
      </w:r>
      <w:r>
        <w:t xml:space="preserve">assessment of cases and/or markets that merit a more detailed assessment. Therefore, this</w:t>
      </w:r>
      <w:r>
        <w:t xml:space="preserve"> </w:t>
      </w:r>
      <w:r>
        <w:t xml:space="preserve">option compared with the baseline would make it possible to better target the merger</w:t>
      </w:r>
      <w:r>
        <w:t xml:space="preserve"> </w:t>
      </w:r>
      <w:r>
        <w:t xml:space="preserve">review process, allowing the Commission to focus its investigations on the cases that</w:t>
      </w:r>
      <w:r>
        <w:t xml:space="preserve"> </w:t>
      </w:r>
      <w:r>
        <w:t xml:space="preserve">merit a more detailed review.</w:t>
      </w:r>
      <w:r>
        <w:t xml:space="preserve"> </w:t>
      </w:r>
      <w:r>
        <w:t xml:space="preserve">Turning to Option 3, as explained in section 6.1.2 above, its impact in terms of burden</w:t>
      </w:r>
      <w:r>
        <w:t xml:space="preserve"> </w:t>
      </w:r>
      <w:r>
        <w:t xml:space="preserve">and costs for companies and the Commission is expected to be very limited given that the</w:t>
      </w:r>
      <w:r>
        <w:t xml:space="preserve"> </w:t>
      </w:r>
      <w:r>
        <w:t xml:space="preserve">number of cases that will have to be reverted to the normal procedure is expected to be</w:t>
      </w:r>
      <w:r>
        <w:t xml:space="preserve"> </w:t>
      </w:r>
      <w:r>
        <w:t xml:space="preserve">very low, although it is not possible to quantify the exact number of cases. In any event,</w:t>
      </w:r>
      <w:r>
        <w:t xml:space="preserve"> </w:t>
      </w:r>
      <w:r>
        <w:t xml:space="preserve">the Commission will have discretion to revert a case to the normal procedure and it will</w:t>
      </w:r>
      <w:r>
        <w:t xml:space="preserve"> </w:t>
      </w:r>
      <w:r>
        <w:t xml:space="preserve">not be an automatic process.</w:t>
      </w:r>
    </w:p>
    <w:p>
      <w:pPr>
        <w:pStyle w:val="BodyText"/>
      </w:pPr>
      <w:r>
        <w:t xml:space="preserve">Moreover, as described in section 6.1.1 above, the Commission’s internal research on</w:t>
      </w:r>
      <w:r>
        <w:t xml:space="preserve"> </w:t>
      </w:r>
      <w:r>
        <w:t xml:space="preserve">intervention cases showed that in 2015-2021, the Commission did intervene in markets</w:t>
      </w:r>
      <w:r>
        <w:t xml:space="preserve"> </w:t>
      </w:r>
      <w:r>
        <w:t xml:space="preserve">potentially falling under certain new categories of cases proposed for simplified</w:t>
      </w:r>
      <w:r>
        <w:t xml:space="preserve"> </w:t>
      </w:r>
      <w:r>
        <w:t xml:space="preserve">treatment or even under the existing categories of simplified cases.49 Many of these</w:t>
      </w:r>
      <w:r>
        <w:t xml:space="preserve"> </w:t>
      </w:r>
      <w:r>
        <w:t xml:space="preserve">circumstances are not systematically checked currently, but to limit any risk that</w:t>
      </w:r>
      <w:r>
        <w:t xml:space="preserve"> </w:t>
      </w:r>
      <w:r>
        <w:t xml:space="preserve">potentially problematic cases are handled under the simplified procedure they should be</w:t>
      </w:r>
      <w:r>
        <w:t xml:space="preserve"> </w:t>
      </w:r>
      <w:r>
        <w:t xml:space="preserve">checked systematically in the notification forms. Therefore, Option 3 compared with the</w:t>
      </w:r>
      <w:r>
        <w:t xml:space="preserve"> </w:t>
      </w:r>
      <w:r>
        <w:t xml:space="preserve">baseline would allow the Commission to focus its investigations on the cases that merit a</w:t>
      </w:r>
      <w:r>
        <w:t xml:space="preserve"> </w:t>
      </w:r>
      <w:r>
        <w:t xml:space="preserve">more detailed review.</w:t>
      </w:r>
    </w:p>
    <w:p>
      <w:pPr>
        <w:pStyle w:val="BodyText"/>
      </w:pPr>
      <w:r>
        <w:t xml:space="preserve">With regard to introducing Options 1a, 1b, 1c 2a, 2b, 2c and 3 cumulatively, as explained</w:t>
      </w:r>
      <w:r>
        <w:t xml:space="preserve"> </w:t>
      </w:r>
      <w:r>
        <w:t xml:space="preserve">in section 6.1.2, compared with the baseline this combination of Options would capture</w:t>
      </w:r>
      <w:r>
        <w:t xml:space="preserve"> </w:t>
      </w:r>
      <w:r>
        <w:t xml:space="preserve">approximately 11 additional cases under the simplified procedure, which is 9.5% of the</w:t>
      </w:r>
      <w:r>
        <w:t xml:space="preserve"> </w:t>
      </w:r>
      <w:r>
        <w:t xml:space="preserve">non-simplified cases and 2 percentage points of the overall number of cases treated under</w:t>
      </w:r>
      <w:r>
        <w:t xml:space="preserve"> </w:t>
      </w:r>
      <w:r>
        <w:t xml:space="preserve">the simplified procedure. Furthermore, for non-simplified case it would capture a very</w:t>
      </w:r>
      <w:r>
        <w:t xml:space="preserve"> </w:t>
      </w:r>
      <w:r>
        <w:t xml:space="preserve">significant number of markets/segments that would not need to be assessed in-depth. In</w:t>
      </w:r>
      <w:r>
        <w:t xml:space="preserve"> </w:t>
      </w:r>
      <w:r>
        <w:t xml:space="preserve">particular, approximately 14% of the all horizontal overlaps and up to 19% of all vertical</w:t>
      </w:r>
      <w:r>
        <w:t xml:space="preserve"> </w:t>
      </w:r>
      <w:r>
        <w:t xml:space="preserve">relationships assessed under the normal procedure in the period assessed could have</w:t>
      </w:r>
      <w:r>
        <w:t xml:space="preserve"> </w:t>
      </w:r>
      <w:r>
        <w:t xml:space="preserve">benefitted from the different options, and thus a detailed assessment and market</w:t>
      </w:r>
      <w:r>
        <w:t xml:space="preserve"> </w:t>
      </w:r>
      <w:r>
        <w:t xml:space="preserve">investigation would not have been required for these markets. The cost savings would be</w:t>
      </w:r>
      <w:r>
        <w:t xml:space="preserve"> </w:t>
      </w:r>
      <w:r>
        <w:t xml:space="preserve">bigger than introducing only a subset of the options. Therefore, introducing all options</w:t>
      </w:r>
      <w:r>
        <w:t xml:space="preserve"> </w:t>
      </w:r>
      <w:r>
        <w:t xml:space="preserve">cumulatively compared with the baseline or with introducing only a sub-set of the</w:t>
      </w:r>
      <w:r>
        <w:t xml:space="preserve"> </w:t>
      </w:r>
      <w:r>
        <w:t xml:space="preserve">options would significantly reduce administrative costs and burdens of the merger review</w:t>
      </w:r>
      <w:r>
        <w:t xml:space="preserve"> </w:t>
      </w:r>
      <w:r>
        <w:t xml:space="preserve">process.</w:t>
      </w:r>
    </w:p>
    <w:p>
      <w:pPr>
        <w:pStyle w:val="BodyText"/>
      </w:pPr>
      <w:r>
        <w:t xml:space="preserve">As described in section 6.1.1 above, introducing Options 1a, 1b, 2a, 2b, 2c and 3 would</w:t>
      </w:r>
      <w:r>
        <w:t xml:space="preserve"> </w:t>
      </w:r>
      <w:r>
        <w:t xml:space="preserve">have a neutral impact on the internal market; the risks of introducing all the options</w:t>
      </w:r>
    </w:p>
    <w:p>
      <w:pPr>
        <w:pStyle w:val="BodyText"/>
      </w:pPr>
      <w:r>
        <w:t xml:space="preserve">49</w:t>
      </w:r>
      <w:r>
        <w:br/>
      </w:r>
      <w:r>
        <w:t xml:space="preserve">Concretely, the research showed that the Commission intervened in cases where (a) Less than three</w:t>
      </w:r>
      <w:r>
        <w:t xml:space="preserve"> </w:t>
      </w:r>
      <w:r>
        <w:t xml:space="preserve">significant competitors remained post-merger; (b) There were pipeline to pipeline or pipeline to</w:t>
      </w:r>
      <w:r>
        <w:t xml:space="preserve"> </w:t>
      </w:r>
      <w:r>
        <w:t xml:space="preserve">marketed products overlaps; (c) Market share thresholds were exceeded significantly in certain</w:t>
      </w:r>
      <w:r>
        <w:t xml:space="preserve"> </w:t>
      </w:r>
      <w:r>
        <w:t xml:space="preserve">segments and/or Member States; (d) Market share thresholds were exceeded in previous years; (e)</w:t>
      </w:r>
      <w:r>
        <w:t xml:space="preserve"> </w:t>
      </w:r>
      <w:r>
        <w:t xml:space="preserve">Market shares were difficult to calculate / unreliable; and/or (f) At least one of the Parties was a</w:t>
      </w:r>
      <w:r>
        <w:t xml:space="preserve"> </w:t>
      </w:r>
      <w:r>
        <w:t xml:space="preserve">recent entrant.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assessed is very limited. Moreover, it will have a positive impact, as it will help to</w:t>
      </w:r>
      <w:r>
        <w:t xml:space="preserve"> </w:t>
      </w:r>
      <w:r>
        <w:t xml:space="preserve">identify cases falling a priori under the simplified procedure but that may require a more</w:t>
      </w:r>
      <w:r>
        <w:t xml:space="preserve"> </w:t>
      </w:r>
      <w:r>
        <w:t xml:space="preserve">detailed assessment, and thus allow the Commission to focus its investigations on the</w:t>
      </w:r>
      <w:r>
        <w:t xml:space="preserve"> </w:t>
      </w:r>
      <w:r>
        <w:t xml:space="preserve">cases that merit a more detailed review. At the same time, given that the Commission</w:t>
      </w:r>
      <w:r>
        <w:t xml:space="preserve"> </w:t>
      </w:r>
      <w:r>
        <w:t xml:space="preserve">will free up resources from the assessment of clearly non-problematic cases and/or</w:t>
      </w:r>
      <w:r>
        <w:t xml:space="preserve"> </w:t>
      </w:r>
      <w:r>
        <w:t xml:space="preserve">markets, it will be able to dedicate such resources to the assessment of cases and/or</w:t>
      </w:r>
      <w:r>
        <w:t xml:space="preserve"> </w:t>
      </w:r>
      <w:r>
        <w:t xml:space="preserve">markets that merit a more detailed assessment. Therefore, introducing Options 1a, 1b, 2a,</w:t>
      </w:r>
      <w:r>
        <w:t xml:space="preserve"> </w:t>
      </w:r>
      <w:r>
        <w:t xml:space="preserve">2b, 2c and 3 would make it possible to better target the merger review process, allowing</w:t>
      </w:r>
      <w:r>
        <w:t xml:space="preserve"> </w:t>
      </w:r>
      <w:r>
        <w:t xml:space="preserve">the Commission to focus its investigations on the cases that merit a more detailed review.</w:t>
      </w:r>
    </w:p>
    <w:p>
      <w:pPr>
        <w:pStyle w:val="BodyText"/>
      </w:pPr>
      <w:r>
        <w:t xml:space="preserve">Therefore, the baseline or introducing a subset of options is less efficient and effective</w:t>
      </w:r>
      <w:r>
        <w:t xml:space="preserve"> </w:t>
      </w:r>
      <w:r>
        <w:t xml:space="preserve">than introducing Options 1a, 1b, 2a, 2b, 2c and 3 cumulatively.</w:t>
      </w:r>
    </w:p>
    <w:p>
      <w:pPr>
        <w:pStyle w:val="BodyText"/>
      </w:pPr>
      <w:r>
        <w:t xml:space="preserve">7.1.2. Coherence</w:t>
      </w:r>
      <w:r>
        <w:t xml:space="preserve"> </w:t>
      </w:r>
      <w:r>
        <w:t xml:space="preserve">Overall, Options 1a, 1b, 1c, 2a, 2b, 2c and 3 would not negatively affect the coherence of</w:t>
      </w:r>
      <w:r>
        <w:t xml:space="preserve"> </w:t>
      </w:r>
      <w:r>
        <w:t xml:space="preserve">the Notice on Simplified Procedure and the Implementing Regulation with EU legislation</w:t>
      </w:r>
      <w:r>
        <w:t xml:space="preserve"> </w:t>
      </w:r>
      <w:r>
        <w:t xml:space="preserve">with relevance for the merger review process, as they do not propose changes that would</w:t>
      </w:r>
      <w:r>
        <w:t xml:space="preserve"> </w:t>
      </w:r>
      <w:r>
        <w:t xml:space="preserve">conflict with such legislation. Rather, Option 3 increases the coherence between the</w:t>
      </w:r>
      <w:r>
        <w:t xml:space="preserve"> </w:t>
      </w:r>
      <w:r>
        <w:t xml:space="preserve">Notice on Simplified Procedure and the Implementing Regulation (especially, Annex II</w:t>
      </w:r>
      <w:r>
        <w:t xml:space="preserve"> </w:t>
      </w:r>
      <w:r>
        <w:t xml:space="preserve">thereof which includes the Short Form CO). This is because Option 3 proposes to use</w:t>
      </w:r>
      <w:r>
        <w:t xml:space="preserve"> </w:t>
      </w:r>
      <w:r>
        <w:t xml:space="preserve">the Short Form CO to check the presence of safeguards from the Notice on Simplified</w:t>
      </w:r>
      <w:r>
        <w:t xml:space="preserve"> </w:t>
      </w:r>
      <w:r>
        <w:t xml:space="preserve">Procedure. Option 3 also increases the coherence between the Notice on Simplified</w:t>
      </w:r>
      <w:r>
        <w:t xml:space="preserve"> </w:t>
      </w:r>
      <w:r>
        <w:t xml:space="preserve">Procedure, the Implementing Regulation, and the Horizontal and non-Horizontal Merger</w:t>
      </w:r>
      <w:r>
        <w:t xml:space="preserve"> </w:t>
      </w:r>
      <w:r>
        <w:t xml:space="preserve">Guidelines. Many of the safeguards proposed in Option 3 are based on the Horizontal</w:t>
      </w:r>
      <w:r>
        <w:t xml:space="preserve"> </w:t>
      </w:r>
      <w:r>
        <w:t xml:space="preserve">and the Non-Horizontal Merger Guidelines.</w:t>
      </w:r>
    </w:p>
    <w:p>
      <w:pPr>
        <w:pStyle w:val="BodyText"/>
      </w:pPr>
      <w:r>
        <w:t xml:space="preserve">7.2.</w:t>
      </w:r>
      <w:r>
        <w:t xml:space="preserve"> </w:t>
      </w:r>
      <w:r>
        <w:t xml:space="preserve">Streamlining the review of cases treated under the simplified procedure</w:t>
      </w:r>
      <w:r>
        <w:t xml:space="preserve"> </w:t>
      </w:r>
      <w:r>
        <w:t xml:space="preserve">Options 2 and 3 would entail limiting certain information requirements and therefore,</w:t>
      </w:r>
      <w:r>
        <w:t xml:space="preserve"> </w:t>
      </w:r>
      <w:r>
        <w:t xml:space="preserve">they each constitute an alternative to Option 1 for certain parts of the Short Form CO.</w:t>
      </w:r>
      <w:r>
        <w:t xml:space="preserve"> </w:t>
      </w:r>
      <w:r>
        <w:t xml:space="preserve">Option 1 could be implemented cumulatively with Option 2. Option 1 could also be</w:t>
      </w:r>
      <w:r>
        <w:t xml:space="preserve"> </w:t>
      </w:r>
      <w:r>
        <w:t xml:space="preserve">implemented cumulatively with Option 3. Option 2 could be implemented cumulatively</w:t>
      </w:r>
      <w:r>
        <w:t xml:space="preserve"> </w:t>
      </w:r>
      <w:r>
        <w:t xml:space="preserve">with Option 3 (in which case Option 1 becomes superfluous).</w:t>
      </w:r>
      <w:r>
        <w:br/>
      </w:r>
      <w:r>
        <w:t xml:space="preserve">7.2.1. Effectiveness and efficiency</w:t>
      </w:r>
      <w:r>
        <w:t xml:space="preserve"> </w:t>
      </w:r>
      <w:r>
        <w:t xml:space="preserve">Compared with the baseline, Option 1 could be considered to better target the merger</w:t>
      </w:r>
      <w:r>
        <w:t xml:space="preserve"> </w:t>
      </w:r>
      <w:r>
        <w:t xml:space="preserve">review process and reduce the administrative costs and burdens of the merger review</w:t>
      </w:r>
      <w:r>
        <w:t xml:space="preserve"> </w:t>
      </w:r>
      <w:r>
        <w:t xml:space="preserve">process for cases falling under the simplified procedure. However, Option 1 is not</w:t>
      </w:r>
      <w:r>
        <w:t xml:space="preserve"> </w:t>
      </w:r>
      <w:r>
        <w:t xml:space="preserve">particularly effective or efficient in this respect. The amount of information is not</w:t>
      </w:r>
      <w:r>
        <w:t xml:space="preserve"> </w:t>
      </w:r>
      <w:r>
        <w:t xml:space="preserve">meaningfully reduced for the notifying parties. Only the format of the Short Form CO</w:t>
      </w:r>
      <w:r>
        <w:t xml:space="preserve"> </w:t>
      </w:r>
      <w:r>
        <w:t xml:space="preserve">becomes more user-friendly. Option 1 would entail minimum risk given that the</w:t>
      </w:r>
      <w:r>
        <w:t xml:space="preserve"> </w:t>
      </w:r>
      <w:r>
        <w:t xml:space="preserve">Commission would still receive the same information and carry out the same type of</w:t>
      </w:r>
      <w:r>
        <w:t xml:space="preserve"> </w:t>
      </w:r>
      <w:r>
        <w:t xml:space="preserve">review, would have no negative impact on the internal market. Also, the streamlined</w:t>
      </w:r>
      <w:r>
        <w:t xml:space="preserve"> </w:t>
      </w:r>
      <w:r>
        <w:t xml:space="preserve">formatting would – albeit limitedly – make it possible to better target the merger review</w:t>
      </w:r>
      <w:r>
        <w:t xml:space="preserve"> </w:t>
      </w:r>
      <w:r>
        <w:t xml:space="preserve">process, allowing the Commission to focus its investigations on the cases that merit a</w:t>
      </w:r>
      <w:r>
        <w:t xml:space="preserve"> </w:t>
      </w:r>
      <w:r>
        <w:t xml:space="preserve">more detailed review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Compared with the baseline, Option 2 is effective to better target the merger review</w:t>
      </w:r>
      <w:r>
        <w:t xml:space="preserve"> </w:t>
      </w:r>
      <w:r>
        <w:t xml:space="preserve">process, and thereby on the one hand would aid to reduce the administrative costs and</w:t>
      </w:r>
      <w:r>
        <w:t xml:space="preserve"> </w:t>
      </w:r>
      <w:r>
        <w:t xml:space="preserve">burdens for cases falling under the simplified procedure, and on the other it would enable</w:t>
      </w:r>
      <w:r>
        <w:t xml:space="preserve"> </w:t>
      </w:r>
      <w:r>
        <w:t xml:space="preserve">the allocation of such freed up resources to the assessment of cases and/or markets that</w:t>
      </w:r>
      <w:r>
        <w:t xml:space="preserve"> </w:t>
      </w:r>
      <w:r>
        <w:t xml:space="preserve">merit a more detailed assessment. This benefits both notifying parties and the</w:t>
      </w:r>
      <w:r>
        <w:t xml:space="preserve"> </w:t>
      </w:r>
      <w:r>
        <w:t xml:space="preserve">Commission. In more detail:</w:t>
      </w:r>
      <w:r>
        <w:br/>
      </w:r>
      <w:r>
        <w:t xml:space="preserve">(a)</w:t>
      </w:r>
      <w:r>
        <w:t xml:space="preserve"> </w:t>
      </w:r>
      <w:r>
        <w:t xml:space="preserve">Notifying parties will provide less information on the jurisdictional aspects of their</w:t>
      </w:r>
      <w:r>
        <w:t xml:space="preserve"> </w:t>
      </w:r>
      <w:r>
        <w:t xml:space="preserve">concentration. This means that they can notify faster their concentration and in</w:t>
      </w:r>
      <w:r>
        <w:t xml:space="preserve"> </w:t>
      </w:r>
      <w:r>
        <w:t xml:space="preserve">most cases receive faster unconditional clearance.</w:t>
      </w:r>
      <w:r>
        <w:br/>
      </w:r>
      <w:r>
        <w:t xml:space="preserve">(b)</w:t>
      </w:r>
      <w:r>
        <w:t xml:space="preserve"> </w:t>
      </w:r>
      <w:r>
        <w:t xml:space="preserve">The Commission will also be able to devote less time assessing jurisdictional issues</w:t>
      </w:r>
      <w:r>
        <w:t xml:space="preserve"> </w:t>
      </w:r>
      <w:r>
        <w:t xml:space="preserve">for cases falling under the simplified procedure.</w:t>
      </w:r>
    </w:p>
    <w:p>
      <w:pPr>
        <w:pStyle w:val="BodyText"/>
      </w:pPr>
      <w:r>
        <w:t xml:space="preserve">For the same reasons, Option 2 is also more efficient when compared with the baseline.</w:t>
      </w:r>
      <w:r>
        <w:br/>
      </w:r>
      <w:r>
        <w:t xml:space="preserve">For the reasons explained in Section 6.2.1, Option 2 does not meaningfully increase the</w:t>
      </w:r>
      <w:r>
        <w:t xml:space="preserve"> </w:t>
      </w:r>
      <w:r>
        <w:t xml:space="preserve">risk that a problematic case would escape a detailed review by the Commission or the</w:t>
      </w:r>
      <w:r>
        <w:t xml:space="preserve"> </w:t>
      </w:r>
      <w:r>
        <w:t xml:space="preserve">NCAs (under merger control or antitrust rules).</w:t>
      </w:r>
      <w:r>
        <w:br/>
      </w:r>
      <w:r>
        <w:t xml:space="preserve">Compared with the baseline, Option 3 is effective to better target the merger review</w:t>
      </w:r>
      <w:r>
        <w:t xml:space="preserve"> </w:t>
      </w:r>
      <w:r>
        <w:t xml:space="preserve">process, and thereby, on the one hand, would aid to reduce the administrative costs and</w:t>
      </w:r>
      <w:r>
        <w:t xml:space="preserve"> </w:t>
      </w:r>
      <w:r>
        <w:t xml:space="preserve">burdens for cases falling under the simplified procedure, and on the other, would enable</w:t>
      </w:r>
      <w:r>
        <w:t xml:space="preserve"> </w:t>
      </w:r>
      <w:r>
        <w:t xml:space="preserve">the allocation of such freed up resources to the assessment of cases and/or markets that</w:t>
      </w:r>
      <w:r>
        <w:t xml:space="preserve"> </w:t>
      </w:r>
      <w:r>
        <w:t xml:space="preserve">merit a more detailed assessment. This benefits both notifying parties and the</w:t>
      </w:r>
      <w:r>
        <w:t xml:space="preserve"> </w:t>
      </w:r>
      <w:r>
        <w:t xml:space="preserve">Commission. In more detail:</w:t>
      </w:r>
      <w:r>
        <w:br/>
      </w:r>
      <w:r>
        <w:t xml:space="preserve">(a)</w:t>
      </w:r>
      <w:r>
        <w:t xml:space="preserve"> </w:t>
      </w:r>
      <w:r>
        <w:t xml:space="preserve">Notifying parties will provide no or less information on the activities of the parties</w:t>
      </w:r>
      <w:r>
        <w:t xml:space="preserve"> </w:t>
      </w:r>
      <w:r>
        <w:t xml:space="preserve">(depending on whether there is a horizontal overlap/vertical relationship or not).</w:t>
      </w:r>
      <w:r>
        <w:br/>
      </w:r>
      <w:r>
        <w:t xml:space="preserve">This means that they can notify faster their concentration and in most cases receive</w:t>
      </w:r>
      <w:r>
        <w:t xml:space="preserve"> </w:t>
      </w:r>
      <w:r>
        <w:t xml:space="preserve">faster unconditional clearance (with the exception of cases which are reverted from</w:t>
      </w:r>
      <w:r>
        <w:t xml:space="preserve"> </w:t>
      </w:r>
      <w:r>
        <w:t xml:space="preserve">simplified to normal procedure following notification).</w:t>
      </w:r>
      <w:r>
        <w:br/>
      </w:r>
      <w:r>
        <w:t xml:space="preserve">(b)</w:t>
      </w:r>
      <w:r>
        <w:t xml:space="preserve"> </w:t>
      </w:r>
      <w:r>
        <w:t xml:space="preserve">The Commission will also be able to devote less time assessing cases falling under</w:t>
      </w:r>
      <w:r>
        <w:t xml:space="preserve"> </w:t>
      </w:r>
      <w:r>
        <w:t xml:space="preserve">the simplified procedure when these do not give rise to horizontal overlaps or</w:t>
      </w:r>
      <w:r>
        <w:t xml:space="preserve"> </w:t>
      </w:r>
      <w:r>
        <w:t xml:space="preserve">vertical relationships. For cases where horizontal overlaps or vertical relationships</w:t>
      </w:r>
      <w:r>
        <w:t xml:space="preserve"> </w:t>
      </w:r>
      <w:r>
        <w:t xml:space="preserve">exist between the activities of the parties, the relevant information will have to be</w:t>
      </w:r>
      <w:r>
        <w:t xml:space="preserve"> </w:t>
      </w:r>
      <w:r>
        <w:t xml:space="preserve">given in tabular format, which allows the Commission to process it faster.</w:t>
      </w:r>
    </w:p>
    <w:p>
      <w:pPr>
        <w:pStyle w:val="BodyText"/>
      </w:pPr>
      <w:r>
        <w:t xml:space="preserve">For the same reasons, Option 3 is also more efficient when compared with the baseline.</w:t>
      </w:r>
      <w:r>
        <w:t xml:space="preserve"> </w:t>
      </w:r>
      <w:r>
        <w:t xml:space="preserve">For the reasons explained in Section 6.2.1, Option 3 does not meaningfully increase the</w:t>
      </w:r>
      <w:r>
        <w:t xml:space="preserve"> </w:t>
      </w:r>
      <w:r>
        <w:t xml:space="preserve">risk that a problematic case would escape a detailed review by the Commission.</w:t>
      </w:r>
      <w:r>
        <w:br/>
      </w:r>
      <w:r>
        <w:t xml:space="preserve">7.2.2. Coherence</w:t>
      </w:r>
      <w:r>
        <w:br/>
      </w:r>
      <w:r>
        <w:t xml:space="preserve">Overall, Options 1, 2, and 3 would not negatively affect the coherence of Annex II of the</w:t>
      </w:r>
      <w:r>
        <w:t xml:space="preserve"> </w:t>
      </w:r>
      <w:r>
        <w:t xml:space="preserve">Implementing Regulation with the Notice on Simplified Procedure and with EU</w:t>
      </w:r>
      <w:r>
        <w:t xml:space="preserve"> </w:t>
      </w:r>
      <w:r>
        <w:t xml:space="preserve">legislation with relevance for the merger review process, as they do not propose changes</w:t>
      </w:r>
      <w:r>
        <w:t xml:space="preserve"> </w:t>
      </w:r>
      <w:r>
        <w:t xml:space="preserve">that would conflict with such legislation. Rather, Option 3 increases the coherence</w:t>
      </w:r>
      <w:r>
        <w:t xml:space="preserve"> </w:t>
      </w:r>
      <w:r>
        <w:t xml:space="preserve">between Annex II of the Implementing Regulation (which contains the Short Form CO)</w:t>
      </w:r>
      <w:r>
        <w:t xml:space="preserve"> </w:t>
      </w:r>
      <w:r>
        <w:t xml:space="preserve">and the Notice on Simplified Procedure. This is because Option 3 proposes to include a</w:t>
      </w:r>
      <w:r>
        <w:t xml:space="preserve"> </w:t>
      </w:r>
      <w:r>
        <w:t xml:space="preserve">list of safeguards in the Short Form CO, which are also explained in the draft revised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Notice on Simplified Procedure. Option 3 also increases the coherence between Annex</w:t>
      </w:r>
      <w:r>
        <w:t xml:space="preserve"> </w:t>
      </w:r>
      <w:r>
        <w:t xml:space="preserve">II of the Implementing Regulation and the Horizontal and Non-Horizontal Merger</w:t>
      </w:r>
      <w:r>
        <w:t xml:space="preserve"> </w:t>
      </w:r>
      <w:r>
        <w:t xml:space="preserve">Guidelines. Many of the safeguards included in the draft revised Short Form CO in the</w:t>
      </w:r>
      <w:r>
        <w:t xml:space="preserve"> </w:t>
      </w:r>
      <w:r>
        <w:t xml:space="preserve">context of Option 3 are based on the guidance provided in the Horizontal and Non-</w:t>
      </w:r>
      <w:r>
        <w:t xml:space="preserve"> </w:t>
      </w:r>
      <w:r>
        <w:t xml:space="preserve">Horizontal Merger Guidelines.</w:t>
      </w:r>
      <w:r>
        <w:t xml:space="preserve"> </w:t>
      </w:r>
      <w:r>
        <w:t xml:space="preserve">7.3.</w:t>
      </w:r>
      <w:r>
        <w:t xml:space="preserve"> </w:t>
      </w:r>
      <w:r>
        <w:t xml:space="preserve">Streamlining the review of cases treated under the normal procedure</w:t>
      </w:r>
      <w:r>
        <w:br/>
      </w:r>
      <w:r>
        <w:t xml:space="preserve">Options 1 and 2 are not mutually exclusive and could thus be introduced cumulatively.</w:t>
      </w:r>
      <w:r>
        <w:t xml:space="preserve"> </w:t>
      </w:r>
      <w:r>
        <w:t xml:space="preserve">Therefore, there is no necessity to compare these two options with each other.</w:t>
      </w:r>
      <w:r>
        <w:t xml:space="preserve"> </w:t>
      </w:r>
      <w:r>
        <w:t xml:space="preserve">Consequently, only a comparison with the baseline scenario of leaving the Form CO as is</w:t>
      </w:r>
      <w:r>
        <w:t xml:space="preserve"> </w:t>
      </w:r>
      <w:r>
        <w:t xml:space="preserve">will be made in this section.</w:t>
      </w:r>
      <w:r>
        <w:br/>
      </w:r>
      <w:r>
        <w:t xml:space="preserve">7.3.1. Effectiveness and efficiency</w:t>
      </w:r>
      <w:r>
        <w:t xml:space="preserve"> </w:t>
      </w:r>
      <w:r>
        <w:t xml:space="preserve">Compared with the baseline, Option 1, as explained in section 6.3.2 above, would bring a</w:t>
      </w:r>
      <w:r>
        <w:t xml:space="preserve"> </w:t>
      </w:r>
      <w:r>
        <w:t xml:space="preserve">significant reduction of burden for normal cases. Option 1 comprises four modifications</w:t>
      </w:r>
      <w:r>
        <w:t xml:space="preserve"> </w:t>
      </w:r>
      <w:r>
        <w:t xml:space="preserve">of Form CO. The first one is importing into the normal procedure the new flexibility</w:t>
      </w:r>
      <w:r>
        <w:t xml:space="preserve"> </w:t>
      </w:r>
      <w:r>
        <w:t xml:space="preserve">clause from the Notice on Simplified Procedure means that markets, which benefit from</w:t>
      </w:r>
      <w:r>
        <w:t xml:space="preserve"> </w:t>
      </w:r>
      <w:r>
        <w:t xml:space="preserve">this clause are no longer treated as affected markets. This amounts to less information to</w:t>
      </w:r>
      <w:r>
        <w:t xml:space="preserve"> </w:t>
      </w:r>
      <w:r>
        <w:t xml:space="preserve">be provided by the notifying parties and lower administrative burden for the</w:t>
      </w:r>
      <w:r>
        <w:t xml:space="preserve"> </w:t>
      </w:r>
      <w:r>
        <w:t xml:space="preserve">Commission. At the same time, it does not meaningfully increase the risk that any of the</w:t>
      </w:r>
      <w:r>
        <w:t xml:space="preserve"> </w:t>
      </w:r>
      <w:r>
        <w:t xml:space="preserve">intervention cases would have been treated under the simplified procedure or any</w:t>
      </w:r>
      <w:r>
        <w:t xml:space="preserve"> </w:t>
      </w:r>
      <w:r>
        <w:t xml:space="preserve">problematic market would have escaped an in-depth review by the Commission, as stated</w:t>
      </w:r>
      <w:r>
        <w:t xml:space="preserve"> </w:t>
      </w:r>
      <w:r>
        <w:t xml:space="preserve">in section 7.1.1.</w:t>
      </w:r>
      <w:r>
        <w:t xml:space="preserve"> </w:t>
      </w:r>
      <w:r>
        <w:t xml:space="preserve">The case is even more obvious regarding certain information requirements in Section 8 of</w:t>
      </w:r>
      <w:r>
        <w:t xml:space="preserve"> </w:t>
      </w:r>
      <w:r>
        <w:t xml:space="preserve">the current Form CO, namely “Cooperative Agreements”, “Trade between Member</w:t>
      </w:r>
      <w:r>
        <w:t xml:space="preserve"> </w:t>
      </w:r>
      <w:r>
        <w:t xml:space="preserve">States and imports from outside the EEA”, and “Trade associations” which will be</w:t>
      </w:r>
      <w:r>
        <w:t xml:space="preserve"> </w:t>
      </w:r>
      <w:r>
        <w:t xml:space="preserve">eliminated entirely. Experience has shown that this data is relevant in only a very limited</w:t>
      </w:r>
      <w:r>
        <w:t xml:space="preserve"> </w:t>
      </w:r>
      <w:r>
        <w:t xml:space="preserve">number of cases and can be requested ad hoc for these cases through a request for</w:t>
      </w:r>
      <w:r>
        <w:t xml:space="preserve"> </w:t>
      </w:r>
      <w:r>
        <w:t xml:space="preserve">information, should the need for obtaining this information arise.</w:t>
      </w:r>
      <w:r>
        <w:t xml:space="preserve"> </w:t>
      </w:r>
      <w:r>
        <w:t xml:space="preserve">Lastly, the new tables requesting information on potential horizontal overlaps involving</w:t>
      </w:r>
      <w:r>
        <w:t xml:space="preserve"> </w:t>
      </w:r>
      <w:r>
        <w:t xml:space="preserve">pipeline products make it easier for notifying parties in cases involving innovation as a</w:t>
      </w:r>
      <w:r>
        <w:t xml:space="preserve"> </w:t>
      </w:r>
      <w:r>
        <w:t xml:space="preserve">key parameter of competition and pipeline products to understand immediately what</w:t>
      </w:r>
      <w:r>
        <w:t xml:space="preserve"> </w:t>
      </w:r>
      <w:r>
        <w:t xml:space="preserve">information is required. Compared to the baseline scenario the tables increase the</w:t>
      </w:r>
      <w:r>
        <w:t xml:space="preserve"> </w:t>
      </w:r>
      <w:r>
        <w:t xml:space="preserve">efficiency of the notification process.</w:t>
      </w:r>
      <w:r>
        <w:br/>
      </w:r>
      <w:r>
        <w:t xml:space="preserve">Thus, Option 1 would bring about no negative impact on the internal market. At the same</w:t>
      </w:r>
      <w:r>
        <w:t xml:space="preserve"> </w:t>
      </w:r>
      <w:r>
        <w:t xml:space="preserve">time, given that the Commission will free up resources from the assessment of clearly</w:t>
      </w:r>
      <w:r>
        <w:t xml:space="preserve"> </w:t>
      </w:r>
      <w:r>
        <w:t xml:space="preserve">non-problematic cases and/or markets, it will be able to dedicate such resources to the</w:t>
      </w:r>
      <w:r>
        <w:t xml:space="preserve"> </w:t>
      </w:r>
      <w:r>
        <w:t xml:space="preserve">assessment of cases and/or markets that merit a more detailed assessment. Therefore,</w:t>
      </w:r>
      <w:r>
        <w:t xml:space="preserve"> </w:t>
      </w:r>
      <w:r>
        <w:t xml:space="preserve">when compared with the baseline scenario, this Option would allow to better target the</w:t>
      </w:r>
      <w:r>
        <w:t xml:space="preserve"> </w:t>
      </w:r>
      <w:r>
        <w:t xml:space="preserve">merger review process, allowing the Commission to focus its investigations on the cases</w:t>
      </w:r>
      <w:r>
        <w:t xml:space="preserve"> </w:t>
      </w:r>
      <w:r>
        <w:t xml:space="preserve">that merit a more detailed review.</w:t>
      </w:r>
      <w:r>
        <w:t xml:space="preserve"> </w:t>
      </w:r>
      <w:r>
        <w:t xml:space="preserve">Similar arguments can be made for Option 2, which aims to facilitate waivers. Granting</w:t>
      </w:r>
      <w:r>
        <w:t xml:space="preserve"> </w:t>
      </w:r>
      <w:r>
        <w:t xml:space="preserve">waivers is not automatic, but in the hands of the Commission and depends very much on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the case. Given the Commission will be able to decide on a case by cases basis, it will not</w:t>
      </w:r>
      <w:r>
        <w:t xml:space="preserve"> </w:t>
      </w:r>
      <w:r>
        <w:t xml:space="preserve">become a means for notifying parties to withhold information crucial for the assessment</w:t>
      </w:r>
      <w:r>
        <w:t xml:space="preserve"> </w:t>
      </w:r>
      <w:r>
        <w:t xml:space="preserve">of a case, but to ease the burden of collecting and assessing information, which is not</w:t>
      </w:r>
      <w:r>
        <w:t xml:space="preserve"> </w:t>
      </w:r>
      <w:r>
        <w:t xml:space="preserve">required. Therefore, compared to the baseline, Option 2 would enable parties to a</w:t>
      </w:r>
      <w:r>
        <w:t xml:space="preserve"> </w:t>
      </w:r>
      <w:r>
        <w:t xml:space="preserve">concentration to notify without spending time and resources on collecting information</w:t>
      </w:r>
      <w:r>
        <w:t xml:space="preserve"> </w:t>
      </w:r>
      <w:r>
        <w:t xml:space="preserve">that is not necessary for the assessment of the concentration, and at the same time allow</w:t>
      </w:r>
      <w:r>
        <w:t xml:space="preserve"> </w:t>
      </w:r>
      <w:r>
        <w:t xml:space="preserve">the Commission to focus its resources on those markets that merit a closer review.</w:t>
      </w:r>
      <w:r>
        <w:br/>
      </w:r>
      <w:r>
        <w:t xml:space="preserve">The overall effectiveness and efficiency of these Options of reducing work for a</w:t>
      </w:r>
      <w:r>
        <w:t xml:space="preserve"> </w:t>
      </w:r>
      <w:r>
        <w:t xml:space="preserve">notification under the EU Merger Regulation was recognised by all private and public</w:t>
      </w:r>
      <w:r>
        <w:t xml:space="preserve"> </w:t>
      </w:r>
      <w:r>
        <w:t xml:space="preserve">stakeholders that responded to our public consultations.</w:t>
      </w:r>
      <w:r>
        <w:br/>
      </w:r>
      <w:r>
        <w:t xml:space="preserve">7.3.2. Coherence</w:t>
      </w:r>
      <w:r>
        <w:t xml:space="preserve"> </w:t>
      </w:r>
      <w:r>
        <w:t xml:space="preserve">Overall, Options 1 and 2 would not negatively affect the coherence of Annex I of the</w:t>
      </w:r>
      <w:r>
        <w:t xml:space="preserve"> </w:t>
      </w:r>
      <w:r>
        <w:t xml:space="preserve">Implementing Regulation with EU legislation with relevance for the merger review</w:t>
      </w:r>
      <w:r>
        <w:t xml:space="preserve"> </w:t>
      </w:r>
      <w:r>
        <w:t xml:space="preserve">process, as they do not propose changes that would conflict with such legislation. Rather,</w:t>
      </w:r>
      <w:r>
        <w:t xml:space="preserve"> </w:t>
      </w:r>
      <w:r>
        <w:t xml:space="preserve">in particular Option 1 increases the coherence between Annex I of the Implementing</w:t>
      </w:r>
      <w:r>
        <w:t xml:space="preserve"> </w:t>
      </w:r>
      <w:r>
        <w:t xml:space="preserve">Regulation (which contains the Form CO) and the Notice on Simplified Procedure</w:t>
      </w:r>
      <w:r>
        <w:t xml:space="preserve"> </w:t>
      </w:r>
      <w:r>
        <w:t xml:space="preserve">(which refers to flexibility clauses).</w:t>
      </w:r>
      <w:r>
        <w:br/>
      </w:r>
      <w:r>
        <w:t xml:space="preserve">If a transaction is not notifiable because it is not a concentration within the meaning of</w:t>
      </w:r>
      <w:r>
        <w:t xml:space="preserve"> </w:t>
      </w:r>
      <w:r>
        <w:t xml:space="preserve">the EUMR, the transaction would be subject to Regulation 1/2003. Given that the</w:t>
      </w:r>
      <w:r>
        <w:t xml:space="preserve"> </w:t>
      </w:r>
      <w:r>
        <w:t xml:space="preserve">streamlined revision of jurisdiction only concerns cases that do not raise competition</w:t>
      </w:r>
      <w:r>
        <w:t xml:space="preserve"> </w:t>
      </w:r>
      <w:r>
        <w:t xml:space="preserve">concerns, it is extremely unlikely that these transactions are of any interest under</w:t>
      </w:r>
      <w:r>
        <w:t xml:space="preserve"> </w:t>
      </w:r>
      <w:r>
        <w:t xml:space="preserve">Regulation 1/2003. Stakeholders, including National Competition Authorities from</w:t>
      </w:r>
      <w:r>
        <w:t xml:space="preserve"> </w:t>
      </w:r>
      <w:r>
        <w:t xml:space="preserve">Member States did not identify any significant risk in this regard, confirming that the</w:t>
      </w:r>
      <w:r>
        <w:t xml:space="preserve"> </w:t>
      </w:r>
      <w:r>
        <w:t xml:space="preserve">concerned cases are typically those that raise no competition concerns under either EU or</w:t>
      </w:r>
      <w:r>
        <w:t xml:space="preserve"> </w:t>
      </w:r>
      <w:r>
        <w:t xml:space="preserve">national merger control or EU antitrust rules.</w:t>
      </w:r>
      <w:r>
        <w:t xml:space="preserve"> </w:t>
      </w:r>
      <w:r>
        <w:t xml:space="preserve">7.4.</w:t>
      </w:r>
      <w:r>
        <w:t xml:space="preserve"> </w:t>
      </w:r>
      <w:r>
        <w:t xml:space="preserve">Electronic transmissions of documents</w:t>
      </w:r>
      <w:r>
        <w:t xml:space="preserve"> </w:t>
      </w:r>
      <w:r>
        <w:t xml:space="preserve">7.4.1. Effectiveness and efficiency</w:t>
      </w:r>
      <w:r>
        <w:t xml:space="preserve"> </w:t>
      </w:r>
      <w:r>
        <w:t xml:space="preserve">Compared with the baseline, Option 1, as explained in section 6.4.2 above, would enable</w:t>
      </w:r>
      <w:r>
        <w:t xml:space="preserve"> </w:t>
      </w:r>
      <w:r>
        <w:t xml:space="preserve">parties to a concentration to notify faster, without having to submit hand-signed paper</w:t>
      </w:r>
      <w:r>
        <w:t xml:space="preserve"> </w:t>
      </w:r>
      <w:r>
        <w:t xml:space="preserve">copies. Parties to a concentration would still, however, be required to produce and submit</w:t>
      </w:r>
      <w:r>
        <w:t xml:space="preserve"> </w:t>
      </w:r>
      <w:r>
        <w:t xml:space="preserve">to the Commission large amounts of paper via post or hand delivery as soon as possible</w:t>
      </w:r>
      <w:r>
        <w:t xml:space="preserve"> </w:t>
      </w:r>
      <w:r>
        <w:t xml:space="preserve">following the electronic notification.</w:t>
      </w:r>
      <w:r>
        <w:br/>
      </w:r>
      <w:r>
        <w:t xml:space="preserve">Under Option 2, there would be only one copy of the notification and all transmissions of</w:t>
      </w:r>
      <w:r>
        <w:t xml:space="preserve"> </w:t>
      </w:r>
      <w:r>
        <w:t xml:space="preserve">documents to and from the Commission would take place in principle electronically.</w:t>
      </w:r>
      <w:r>
        <w:t xml:space="preserve"> </w:t>
      </w:r>
      <w:r>
        <w:t xml:space="preserve">There would be no need to print large amounts of documents and submit them to the</w:t>
      </w:r>
      <w:r>
        <w:t xml:space="preserve"> </w:t>
      </w:r>
      <w:r>
        <w:t xml:space="preserve">Commission. Not having to produce and submit large amounts of paper would make the</w:t>
      </w:r>
      <w:r>
        <w:t xml:space="preserve"> </w:t>
      </w:r>
      <w:r>
        <w:t xml:space="preserve">notification process much more efficient and produce time savings since the notification</w:t>
      </w:r>
      <w:r>
        <w:t xml:space="preserve"> </w:t>
      </w:r>
      <w:r>
        <w:t xml:space="preserve">can take place earlier.</w:t>
      </w:r>
      <w:r>
        <w:t xml:space="preserve"> </w:t>
      </w:r>
      <w:r>
        <w:t xml:space="preserve">During the Public Consultation, stakeholders expressed their strong preference for a</w:t>
      </w:r>
      <w:r>
        <w:t xml:space="preserve"> </w:t>
      </w:r>
      <w:r>
        <w:t xml:space="preserve">system of fully electronic notifications and transmission of documents (Option 2), and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expressed concerns about a system whereby electronic notifications would need to be</w:t>
      </w:r>
      <w:r>
        <w:t xml:space="preserve"> </w:t>
      </w:r>
      <w:r>
        <w:t xml:space="preserve">followed by paper originals. During the Consultation of Stakeholders, the support for</w:t>
      </w:r>
      <w:r>
        <w:t xml:space="preserve"> </w:t>
      </w:r>
      <w:r>
        <w:t xml:space="preserve">Option 2 (which was reflected in the draft revised legal texts) was confirmed.</w:t>
      </w:r>
      <w:r>
        <w:br/>
      </w:r>
      <w:r>
        <w:t xml:space="preserve">7.4.2. Coherence</w:t>
      </w:r>
      <w:r>
        <w:br/>
      </w:r>
      <w:r>
        <w:t xml:space="preserve">Overall, Options 1 and 2 would not negatively affect the coherence of the Implementing</w:t>
      </w:r>
      <w:r>
        <w:t xml:space="preserve"> </w:t>
      </w:r>
      <w:r>
        <w:t xml:space="preserve">Regulation with EU legislation with relevance for the merger review process, as they do</w:t>
      </w:r>
      <w:r>
        <w:t xml:space="preserve"> </w:t>
      </w:r>
      <w:r>
        <w:t xml:space="preserve">not propose changes that would conflict with such legislation. To the contrary, both</w:t>
      </w:r>
      <w:r>
        <w:t xml:space="preserve"> </w:t>
      </w:r>
      <w:r>
        <w:t xml:space="preserve">options give effect to the eIDAS Regulation for the purposes of EU merger control</w:t>
      </w:r>
      <w:r>
        <w:t xml:space="preserve"> </w:t>
      </w:r>
      <w:r>
        <w:t xml:space="preserve">procedures as far as electronic signatures are concerned, thereby increasing the coherence</w:t>
      </w:r>
      <w:r>
        <w:t xml:space="preserve"> </w:t>
      </w:r>
      <w:r>
        <w:t xml:space="preserve">with EU legislation.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OPTIONS</w:t>
      </w:r>
      <w:r>
        <w:t xml:space="preserve"> </w:t>
      </w:r>
      <w:r>
        <w:t xml:space="preserve">8.1.</w:t>
      </w:r>
      <w:r>
        <w:t xml:space="preserve"> </w:t>
      </w:r>
      <w:r>
        <w:t xml:space="preserve">Preferred options</w:t>
      </w:r>
      <w:r>
        <w:t xml:space="preserve"> </w:t>
      </w:r>
      <w:r>
        <w:t xml:space="preserve">8.1.1. Expanding and clarifying the categories of cases falling under the</w:t>
      </w:r>
      <w:r>
        <w:t xml:space="preserve"> </w:t>
      </w:r>
      <w:r>
        <w:t xml:space="preserve">simplified procedure</w:t>
      </w:r>
      <w:r>
        <w:t xml:space="preserve"> </w:t>
      </w:r>
      <w:r>
        <w:t xml:space="preserve">In view of the above, the preferred option as regards expanding and clarifying the</w:t>
      </w:r>
      <w:r>
        <w:t xml:space="preserve"> </w:t>
      </w:r>
      <w:r>
        <w:t xml:space="preserve">categories of simplified cases falling under the simplified procedure is the cumulative</w:t>
      </w:r>
      <w:r>
        <w:t xml:space="preserve"> </w:t>
      </w:r>
      <w:r>
        <w:t xml:space="preserve">introduction of Options 1a, 1b, 1c, 2a, 2b, 2c and 3. The combination of these Options is</w:t>
      </w:r>
      <w:r>
        <w:t xml:space="preserve"> </w:t>
      </w:r>
      <w:r>
        <w:t xml:space="preserve">the most effective in better targeting the merger review process and reducing costs for</w:t>
      </w:r>
      <w:r>
        <w:t xml:space="preserve"> </w:t>
      </w:r>
      <w:r>
        <w:t xml:space="preserve">businesses and the Commission. Therefore, this combination is also the most efficient. It</w:t>
      </w:r>
      <w:r>
        <w:t xml:space="preserve"> </w:t>
      </w:r>
      <w:r>
        <w:t xml:space="preserve">is also coherent with other EU merger control rules. This combination would have a</w:t>
      </w:r>
      <w:r>
        <w:t xml:space="preserve"> </w:t>
      </w:r>
      <w:r>
        <w:t xml:space="preserve">neutral or limited positive impact on the internal market and a significant positive impact</w:t>
      </w:r>
      <w:r>
        <w:t xml:space="preserve"> </w:t>
      </w:r>
      <w:r>
        <w:t xml:space="preserve">on reducing costs and burdens for businesses and the Commission.</w:t>
      </w:r>
      <w:r>
        <w:t xml:space="preserve"> </w:t>
      </w:r>
      <w:r>
        <w:t xml:space="preserve">Expanding and clarifying the categories of cases falling under the simplified procedure</w:t>
      </w:r>
      <w:r>
        <w:t xml:space="preserve"> </w:t>
      </w:r>
      <w:r>
        <w:t xml:space="preserve">Baseline and Options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Better target the</w:t>
      </w:r>
      <w:r>
        <w:t xml:space="preserve"> </w:t>
      </w:r>
      <w:r>
        <w:t xml:space="preserve">merger review</w:t>
      </w:r>
      <w:r>
        <w:t xml:space="preserve"> </w:t>
      </w:r>
      <w:r>
        <w:t xml:space="preserve">process</w:t>
      </w:r>
      <w:r>
        <w:t xml:space="preserve"> </w:t>
      </w:r>
      <w:r>
        <w:t xml:space="preserve">Reduce the administrative</w:t>
      </w:r>
      <w:r>
        <w:t xml:space="preserve"> </w:t>
      </w:r>
      <w:r>
        <w:t xml:space="preserve">costs and burdens of the</w:t>
      </w:r>
      <w:r>
        <w:t xml:space="preserve"> </w:t>
      </w:r>
      <w:r>
        <w:t xml:space="preserve">merger review process</w:t>
      </w:r>
      <w:r>
        <w:t xml:space="preserve"> </w:t>
      </w:r>
      <w:r>
        <w:t xml:space="preserve">Baseline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1(a)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Option 1(b)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Option 1(c)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Option 2(a)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Option 2(b)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Option 2(c)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Option 3</w:t>
      </w:r>
      <w:r>
        <w:t xml:space="preserve"> </w:t>
      </w:r>
      <w:r>
        <w:t xml:space="preserve">++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++</w:t>
      </w:r>
      <w:r>
        <w:t xml:space="preserve"> </w:t>
      </w:r>
      <w:r>
        <w:t xml:space="preserve">Combination of</w:t>
      </w:r>
      <w:r>
        <w:t xml:space="preserve"> </w:t>
      </w:r>
      <w:r>
        <w:t xml:space="preserve">options 1(a) 1(b), 1(c),</w:t>
      </w:r>
      <w:r>
        <w:t xml:space="preserve"> </w:t>
      </w:r>
      <w:r>
        <w:t xml:space="preserve">2(a),2(b),2(c) and 3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8.1.2. Streamlining the review of cases treated under the simplified</w:t>
      </w:r>
      <w:r>
        <w:t xml:space="preserve"> </w:t>
      </w:r>
      <w:r>
        <w:t xml:space="preserve">procedure</w:t>
      </w:r>
      <w:r>
        <w:t xml:space="preserve"> </w:t>
      </w:r>
      <w:r>
        <w:t xml:space="preserve">In view of the above, the preferred option as regards streamlining the review of cases</w:t>
      </w:r>
      <w:r>
        <w:t xml:space="preserve"> </w:t>
      </w:r>
      <w:r>
        <w:t xml:space="preserve">treated under the simplified procedure is the cumulative introduction of Options 2 and 3.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The combination of these Options is more effective in better targeting the merger review</w:t>
      </w:r>
      <w:r>
        <w:t xml:space="preserve"> </w:t>
      </w:r>
      <w:r>
        <w:t xml:space="preserve">process and reducing costs for businesses and the Commission than a possible</w:t>
      </w:r>
      <w:r>
        <w:t xml:space="preserve"> </w:t>
      </w:r>
      <w:r>
        <w:t xml:space="preserve">combination of Options 1 and 2 or 1 and 3. Therefore, the combination of Options 2 and</w:t>
      </w:r>
      <w:r>
        <w:t xml:space="preserve"> </w:t>
      </w:r>
      <w:r>
        <w:t xml:space="preserve">3 is also the most efficient. It is also coherent with other EU merger control rules. This</w:t>
      </w:r>
      <w:r>
        <w:t xml:space="preserve"> </w:t>
      </w:r>
      <w:r>
        <w:t xml:space="preserve">combination (like each of Options 1, 2, and 3 standalone) would have a neutral impact on</w:t>
      </w:r>
      <w:r>
        <w:t xml:space="preserve"> </w:t>
      </w:r>
      <w:r>
        <w:t xml:space="preserve">the internal market and a significant positive impact on reducing costs and burdens for</w:t>
      </w:r>
      <w:r>
        <w:t xml:space="preserve"> </w:t>
      </w:r>
      <w:r>
        <w:t xml:space="preserve">businesses and the Commission.</w:t>
      </w:r>
      <w:r>
        <w:t xml:space="preserve"> </w:t>
      </w:r>
      <w:r>
        <w:t xml:space="preserve">Streamlining the review of cases treated under the simplified procedure</w:t>
      </w:r>
      <w:r>
        <w:t xml:space="preserve"> </w:t>
      </w:r>
      <w:r>
        <w:t xml:space="preserve">Baseline and</w:t>
      </w:r>
      <w:r>
        <w:t xml:space="preserve"> </w:t>
      </w:r>
      <w:r>
        <w:t xml:space="preserve">Options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Better target the</w:t>
      </w:r>
      <w:r>
        <w:t xml:space="preserve"> </w:t>
      </w:r>
      <w:r>
        <w:t xml:space="preserve">merger review</w:t>
      </w:r>
      <w:r>
        <w:t xml:space="preserve"> </w:t>
      </w:r>
      <w:r>
        <w:t xml:space="preserve">process</w:t>
      </w:r>
      <w:r>
        <w:t xml:space="preserve"> </w:t>
      </w:r>
      <w:r>
        <w:t xml:space="preserve">Reduce the administrative</w:t>
      </w:r>
      <w:r>
        <w:t xml:space="preserve"> </w:t>
      </w:r>
      <w:r>
        <w:t xml:space="preserve">costs and burdens of the</w:t>
      </w:r>
      <w:r>
        <w:t xml:space="preserve"> </w:t>
      </w:r>
      <w:r>
        <w:t xml:space="preserve">merger review process</w:t>
      </w:r>
      <w:r>
        <w:t xml:space="preserve"> </w:t>
      </w:r>
      <w:r>
        <w:t xml:space="preserve">Baseline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1</w:t>
      </w:r>
      <w:r>
        <w:br/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Option 2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Option 3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Combination of</w:t>
      </w:r>
      <w:r>
        <w:t xml:space="preserve"> </w:t>
      </w:r>
      <w:r>
        <w:t xml:space="preserve">Options 1 and 2 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0</w:t>
      </w:r>
      <w:r>
        <w:t xml:space="preserve"> </w:t>
      </w:r>
      <w:r>
        <w:t xml:space="preserve">Combination of</w:t>
      </w:r>
      <w:r>
        <w:t xml:space="preserve"> </w:t>
      </w:r>
      <w:r>
        <w:t xml:space="preserve">Options 1 and 3 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0</w:t>
      </w:r>
      <w:r>
        <w:t xml:space="preserve"> </w:t>
      </w:r>
      <w:r>
        <w:t xml:space="preserve">Combination of</w:t>
      </w:r>
      <w:r>
        <w:t xml:space="preserve"> </w:t>
      </w:r>
      <w:r>
        <w:t xml:space="preserve">Options 2 and 3</w:t>
      </w:r>
      <w:r>
        <w:t xml:space="preserve"> </w:t>
      </w:r>
      <w:r>
        <w:t xml:space="preserve">++</w:t>
      </w:r>
      <w:r>
        <w:t xml:space="preserve"> </w:t>
      </w:r>
      <w:r>
        <w:t xml:space="preserve">++++</w:t>
      </w:r>
      <w:r>
        <w:t xml:space="preserve"> </w:t>
      </w:r>
      <w:r>
        <w:t xml:space="preserve">++++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8.1.3. Streamlining the review of cases treated under the normal procedure</w:t>
      </w:r>
      <w:r>
        <w:t xml:space="preserve"> </w:t>
      </w:r>
      <w:r>
        <w:t xml:space="preserve">In view of the above, the preferred option as regards streamlining the review of cases</w:t>
      </w:r>
      <w:r>
        <w:t xml:space="preserve"> </w:t>
      </w:r>
      <w:r>
        <w:t xml:space="preserve">treated under the normal procedure is the cumulative introduction of Options 1 and 2.</w:t>
      </w:r>
      <w:r>
        <w:t xml:space="preserve"> </w:t>
      </w:r>
      <w:r>
        <w:t xml:space="preserve">Expanding and clarifying the categories of cases falling under the normal procedure</w:t>
      </w:r>
      <w:r>
        <w:t xml:space="preserve"> </w:t>
      </w:r>
      <w:r>
        <w:t xml:space="preserve">Baseline and</w:t>
      </w:r>
      <w:r>
        <w:t xml:space="preserve"> </w:t>
      </w:r>
      <w:r>
        <w:t xml:space="preserve">Options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Better target the</w:t>
      </w:r>
      <w:r>
        <w:t xml:space="preserve"> </w:t>
      </w:r>
      <w:r>
        <w:t xml:space="preserve">merger review</w:t>
      </w:r>
      <w:r>
        <w:t xml:space="preserve"> </w:t>
      </w:r>
      <w:r>
        <w:t xml:space="preserve">process</w:t>
      </w:r>
      <w:r>
        <w:t xml:space="preserve"> </w:t>
      </w:r>
      <w:r>
        <w:t xml:space="preserve">Reduce the administrative costs</w:t>
      </w:r>
      <w:r>
        <w:t xml:space="preserve"> </w:t>
      </w:r>
      <w:r>
        <w:t xml:space="preserve">and burdens of the merger</w:t>
      </w:r>
      <w:r>
        <w:t xml:space="preserve"> </w:t>
      </w:r>
      <w:r>
        <w:t xml:space="preserve">review process</w:t>
      </w:r>
      <w:r>
        <w:t xml:space="preserve"> </w:t>
      </w:r>
      <w:r>
        <w:t xml:space="preserve">Baseline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1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Option 2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Combination of</w:t>
      </w:r>
      <w:r>
        <w:t xml:space="preserve"> </w:t>
      </w:r>
      <w:r>
        <w:t xml:space="preserve">options 1 and 2</w:t>
      </w:r>
      <w:r>
        <w:t xml:space="preserve"> </w:t>
      </w:r>
      <w:r>
        <w:t xml:space="preserve">++++</w:t>
      </w:r>
      <w:r>
        <w:t xml:space="preserve"> </w:t>
      </w:r>
      <w:r>
        <w:t xml:space="preserve">++++</w:t>
      </w:r>
      <w:r>
        <w:t xml:space="preserve"> </w:t>
      </w:r>
      <w:r>
        <w:t xml:space="preserve">+++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8.1.4. Electronic transmission of documents</w:t>
      </w:r>
      <w:r>
        <w:t xml:space="preserve"> </w:t>
      </w:r>
      <w:r>
        <w:t xml:space="preserve">In view of the above, the preferred option as regards electronic transmission of</w:t>
      </w:r>
      <w:r>
        <w:t xml:space="preserve"> </w:t>
      </w:r>
      <w:r>
        <w:t xml:space="preserve">documents is Option 2.50 Option 2 provides flexibility and time savings by enabling</w:t>
      </w:r>
      <w:r>
        <w:t xml:space="preserve"> </w:t>
      </w:r>
      <w:r>
        <w:t xml:space="preserve">notifying parties to notify a merger sooner, without the need to print and post to the</w:t>
      </w:r>
    </w:p>
    <w:p>
      <w:pPr>
        <w:pStyle w:val="BodyText"/>
      </w:pPr>
      <w:r>
        <w:t xml:space="preserve">50</w:t>
      </w:r>
      <w:r>
        <w:br/>
      </w:r>
      <w:r>
        <w:t xml:space="preserve">While not tested per se in this impact assessment process, Option 2 is also clearly preferable from a</w:t>
      </w:r>
      <w:r>
        <w:t xml:space="preserve"> </w:t>
      </w:r>
      <w:r>
        <w:t xml:space="preserve">sustainability perspective. Whereas Option 1 would still require paper copies, Option 2 provides for a</w:t>
      </w:r>
      <w:r>
        <w:t xml:space="preserve"> </w:t>
      </w:r>
      <w:r>
        <w:t xml:space="preserve">paperless notification system. As such, the process would naturally become more environmentally</w:t>
      </w:r>
      <w:r>
        <w:t xml:space="preserve"> </w:t>
      </w:r>
      <w:r>
        <w:t xml:space="preserve">friendly.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Commission large amounts of paper. At the same time, by abolishing the need for a paper</w:t>
      </w:r>
      <w:r>
        <w:t xml:space="preserve"> </w:t>
      </w:r>
      <w:r>
        <w:t xml:space="preserve">copy, there is no multiplication of efforts as there is only one notification, the electronic</w:t>
      </w:r>
      <w:r>
        <w:t xml:space="preserve"> </w:t>
      </w:r>
      <w:r>
        <w:t xml:space="preserve">one, and the costs of printing and posting are abolished. Option 2 would have a neutral</w:t>
      </w:r>
      <w:r>
        <w:t xml:space="preserve"> </w:t>
      </w:r>
      <w:r>
        <w:t xml:space="preserve">impact on the internal market and a significant impact on reducing costs and burdens for</w:t>
      </w:r>
      <w:r>
        <w:t xml:space="preserve"> </w:t>
      </w:r>
      <w:r>
        <w:t xml:space="preserve">businesses and the Commission.</w:t>
      </w:r>
      <w:r>
        <w:t xml:space="preserve"> </w:t>
      </w:r>
      <w:r>
        <w:t xml:space="preserve">Streamlining the review of cases treated under the simplified procedure</w:t>
      </w:r>
      <w:r>
        <w:t xml:space="preserve"> </w:t>
      </w:r>
      <w:r>
        <w:t xml:space="preserve">Baseline and</w:t>
      </w:r>
      <w:r>
        <w:t xml:space="preserve"> </w:t>
      </w:r>
      <w:r>
        <w:t xml:space="preserve">Options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Better target the merger</w:t>
      </w:r>
      <w:r>
        <w:t xml:space="preserve"> </w:t>
      </w:r>
      <w:r>
        <w:t xml:space="preserve">review process</w:t>
      </w:r>
      <w:r>
        <w:t xml:space="preserve"> </w:t>
      </w:r>
      <w:r>
        <w:t xml:space="preserve">Reduce the administrative</w:t>
      </w:r>
      <w:r>
        <w:t xml:space="preserve"> </w:t>
      </w:r>
      <w:r>
        <w:t xml:space="preserve">costs and burdens of the</w:t>
      </w:r>
      <w:r>
        <w:t xml:space="preserve"> </w:t>
      </w:r>
      <w:r>
        <w:t xml:space="preserve">merger review process</w:t>
      </w:r>
      <w:r>
        <w:t xml:space="preserve"> </w:t>
      </w:r>
      <w:r>
        <w:t xml:space="preserve">Baseline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1</w:t>
      </w:r>
      <w:r>
        <w:br/>
      </w:r>
      <w:r>
        <w:t xml:space="preserve">+/-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Option 2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8.2.</w:t>
      </w:r>
      <w:r>
        <w:t xml:space="preserve"> </w:t>
      </w:r>
      <w:r>
        <w:t xml:space="preserve">Refit and Attempt to quantify cost saving (one in, one out approach)</w:t>
      </w:r>
      <w:r>
        <w:t xml:space="preserve"> </w:t>
      </w:r>
      <w:r>
        <w:t xml:space="preserve">Compared to the currently applicable Notice on a Simplified Procedure and</w:t>
      </w:r>
      <w:r>
        <w:t xml:space="preserve"> </w:t>
      </w:r>
      <w:r>
        <w:t xml:space="preserve">Implementing Regulation including its annexes, the above-mentioned preferred policy</w:t>
      </w:r>
      <w:r>
        <w:t xml:space="preserve"> </w:t>
      </w:r>
      <w:r>
        <w:t xml:space="preserve">options do not impose any new burden on businesses. To the contrary, as detailed in</w:t>
      </w:r>
      <w:r>
        <w:t xml:space="preserve"> </w:t>
      </w:r>
      <w:r>
        <w:t xml:space="preserve">sections 6 and 7, the preferred options will streamline the merger review process by</w:t>
      </w:r>
      <w:r>
        <w:t xml:space="preserve"> </w:t>
      </w:r>
      <w:r>
        <w:t xml:space="preserve">increasing the number of cases and markets falling under the simplified procedure,</w:t>
      </w:r>
      <w:r>
        <w:t xml:space="preserve"> </w:t>
      </w:r>
      <w:r>
        <w:t xml:space="preserve">streamlining information requirements for simplified and non-simplified cases and</w:t>
      </w:r>
      <w:r>
        <w:t xml:space="preserve"> </w:t>
      </w:r>
      <w:r>
        <w:t xml:space="preserve">allowing electronic transmission of documents.</w:t>
      </w:r>
      <w:r>
        <w:t xml:space="preserve"> </w:t>
      </w:r>
      <w:r>
        <w:t xml:space="preserve">This section focuses on cost savings stemming from expanding and clarifying the scope</w:t>
      </w:r>
      <w:r>
        <w:t xml:space="preserve"> </w:t>
      </w:r>
      <w:r>
        <w:t xml:space="preserve">of the simplified procedure and streamlining the review of simplified cases, as these are</w:t>
      </w:r>
      <w:r>
        <w:t xml:space="preserve"> </w:t>
      </w:r>
      <w:r>
        <w:t xml:space="preserve">the options with greater impact on cost savings for businesses. It should be noted from</w:t>
      </w:r>
      <w:r>
        <w:t xml:space="preserve"> </w:t>
      </w:r>
      <w:r>
        <w:t xml:space="preserve">the outset that while savings for businesses involved in a notification (notifying parties)</w:t>
      </w:r>
      <w:r>
        <w:t xml:space="preserve"> </w:t>
      </w:r>
      <w:r>
        <w:t xml:space="preserve">are significant, the aggregate impact of this initiative on businesses is limited, given the</w:t>
      </w:r>
      <w:r>
        <w:t xml:space="preserve"> </w:t>
      </w:r>
      <w:r>
        <w:t xml:space="preserve">relatively small number of companies compared to the number of overall existing</w:t>
      </w:r>
      <w:r>
        <w:t xml:space="preserve"> </w:t>
      </w:r>
      <w:r>
        <w:t xml:space="preserve">companies that notify a transaction to the Commission every year in the last 5 years,</w:t>
      </w:r>
      <w:r>
        <w:t xml:space="preserve"> </w:t>
      </w:r>
      <w:r>
        <w:t xml:space="preserve">there have been less than 400 notifications per year, which include most often only one</w:t>
      </w:r>
      <w:r>
        <w:t xml:space="preserve"> </w:t>
      </w:r>
      <w:r>
        <w:t xml:space="preserve">notifying party. Moreover, the additional number of cases captured by the simplified</w:t>
      </w:r>
      <w:r>
        <w:t xml:space="preserve"> </w:t>
      </w:r>
      <w:r>
        <w:t xml:space="preserve">procedure will be limited.</w:t>
      </w:r>
      <w:r>
        <w:t xml:space="preserve"> </w:t>
      </w:r>
      <w:r>
        <w:t xml:space="preserve">The Commission has attempted to quantify in monetary terms the cost savings for</w:t>
      </w:r>
      <w:r>
        <w:t xml:space="preserve"> </w:t>
      </w:r>
      <w:r>
        <w:t xml:space="preserve">businesses, asking stakeholders on several occasions to quantify these benefits and cost</w:t>
      </w:r>
      <w:r>
        <w:t xml:space="preserve"> </w:t>
      </w:r>
      <w:r>
        <w:t xml:space="preserve">reductions. However, it proved impossible to collect sufficient quantitative evidence on</w:t>
      </w:r>
      <w:r>
        <w:t xml:space="preserve"> </w:t>
      </w:r>
      <w:r>
        <w:t xml:space="preserve">the costs and benefits of the identified policy options. The fact that it was not possible to</w:t>
      </w:r>
      <w:r>
        <w:t xml:space="preserve"> </w:t>
      </w:r>
      <w:r>
        <w:t xml:space="preserve">quantify this type of costs and benefits had already become apparent during the</w:t>
      </w:r>
      <w:r>
        <w:t xml:space="preserve"> </w:t>
      </w:r>
      <w:r>
        <w:t xml:space="preserve">Evaluation of procedural and jurisdictional aspects of EU merger control which preceded</w:t>
      </w:r>
      <w:r>
        <w:t xml:space="preserve"> </w:t>
      </w:r>
      <w:r>
        <w:t xml:space="preserve">this impact assessment.51 During the impact assessment, several stakeholders identified</w:t>
      </w:r>
    </w:p>
    <w:p>
      <w:pPr>
        <w:pStyle w:val="BodyText"/>
      </w:pPr>
      <w:r>
        <w:t xml:space="preserve">51</w:t>
      </w:r>
      <w:r>
        <w:br/>
      </w:r>
      <w:r>
        <w:t xml:space="preserve">See Commission Staff Working Document – Evaluation of procedural and jurisdictional aspects of</w:t>
      </w:r>
      <w:r>
        <w:t xml:space="preserve"> </w:t>
      </w:r>
      <w:r>
        <w:t xml:space="preserve">EU</w:t>
      </w:r>
      <w:r>
        <w:t xml:space="preserve"> </w:t>
      </w:r>
      <w:r>
        <w:t xml:space="preserve">merger</w:t>
      </w:r>
      <w:r>
        <w:t xml:space="preserve"> </w:t>
      </w:r>
      <w:r>
        <w:t xml:space="preserve">control,</w:t>
      </w:r>
      <w:r>
        <w:t xml:space="preserve"> </w:t>
      </w:r>
      <w:r>
        <w:t xml:space="preserve">para.</w:t>
      </w:r>
      <w:r>
        <w:t xml:space="preserve"> </w:t>
      </w:r>
      <w:r>
        <w:t xml:space="preserve">75</w:t>
      </w:r>
      <w:r>
        <w:t xml:space="preserve"> </w:t>
      </w:r>
      <w:r>
        <w:t xml:space="preserve">(available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https://ec.europa.eu/competition/consultations/2021_merger_control/SWD_findings_of_evaluation.</w:t>
      </w:r>
      <w:r>
        <w:t xml:space="preserve"> </w:t>
      </w:r>
      <w:r>
        <w:t xml:space="preserve">pdf).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the benefits and cost reductions resulting from the simplification/streamlining of merger</w:t>
      </w:r>
      <w:r>
        <w:t xml:space="preserve"> </w:t>
      </w:r>
      <w:r>
        <w:t xml:space="preserve">procedural rules. As explained in section 6, the Commission asked stakeholders on</w:t>
      </w:r>
      <w:r>
        <w:t xml:space="preserve"> </w:t>
      </w:r>
      <w:r>
        <w:t xml:space="preserve">several iterations to quantify these benefits and cost reductions, but the data received did</w:t>
      </w:r>
      <w:r>
        <w:br/>
      </w:r>
      <w:r>
        <w:t xml:space="preserve">not include sufficient information or data to accurately estimate costs savings in terms of</w:t>
      </w:r>
      <w:r>
        <w:t xml:space="preserve"> </w:t>
      </w:r>
      <w:r>
        <w:t xml:space="preserve">time or money.</w:t>
      </w:r>
      <w:r>
        <w:br/>
      </w:r>
      <w:r>
        <w:t xml:space="preserve">As explained in more detail in section 6, while it is clear that it is impossible to quantify</w:t>
      </w:r>
      <w:r>
        <w:t xml:space="preserve"> </w:t>
      </w:r>
      <w:r>
        <w:t xml:space="preserve">costs savings precisely, it can be concluded that as a result of the simplification and</w:t>
      </w:r>
      <w:r>
        <w:t xml:space="preserve"> </w:t>
      </w:r>
      <w:r>
        <w:t xml:space="preserve">streamlining of merger control procedures, for each case that would fall under the</w:t>
      </w:r>
      <w:r>
        <w:t xml:space="preserve"> </w:t>
      </w:r>
      <w:r>
        <w:t xml:space="preserve">simplified procedure, and possibly also the non-simplified procedure, the notifying</w:t>
      </w:r>
      <w:r>
        <w:t xml:space="preserve"> </w:t>
      </w:r>
      <w:r>
        <w:t xml:space="preserve">parties could save several hundreds of thousands of euros.</w:t>
      </w:r>
      <w:r>
        <w:br/>
      </w:r>
      <w:r>
        <w:t xml:space="preserve">With regard to expanding and clarifying the scope of the simplified procedure, the</w:t>
      </w:r>
      <w:r>
        <w:t xml:space="preserve"> </w:t>
      </w:r>
      <w:r>
        <w:t xml:space="preserve">preferred option would capture approximately 11 additional cases under the simplified</w:t>
      </w:r>
      <w:r>
        <w:t xml:space="preserve"> </w:t>
      </w:r>
      <w:r>
        <w:t xml:space="preserve">procedure, which is 9.5% of the non-simplified cases and 2 percentage points of the</w:t>
      </w:r>
      <w:r>
        <w:t xml:space="preserve"> </w:t>
      </w:r>
      <w:r>
        <w:t xml:space="preserve">overall number of cases treated under the simplified procedure. Furthermore, for non-</w:t>
      </w:r>
      <w:r>
        <w:t xml:space="preserve"> </w:t>
      </w:r>
      <w:r>
        <w:t xml:space="preserve">simplified cases it would capture a very significant number of markets/segments that</w:t>
      </w:r>
      <w:r>
        <w:t xml:space="preserve"> </w:t>
      </w:r>
      <w:r>
        <w:t xml:space="preserve">would not need to be assessed in-depth. In particular, approximately 14% of all</w:t>
      </w:r>
      <w:r>
        <w:t xml:space="preserve"> </w:t>
      </w:r>
      <w:r>
        <w:t xml:space="preserve">horizontal overlaps and up to 19% of all vertical relationships assessed under the normal</w:t>
      </w:r>
      <w:r>
        <w:t xml:space="preserve"> </w:t>
      </w:r>
      <w:r>
        <w:t xml:space="preserve">procedure in the period assessed could have benefitted from the different options, and</w:t>
      </w:r>
      <w:r>
        <w:t xml:space="preserve"> </w:t>
      </w:r>
      <w:r>
        <w:t xml:space="preserve">thus a detailed assessment and market investigation would not have been required for</w:t>
      </w:r>
      <w:r>
        <w:t xml:space="preserve"> </w:t>
      </w:r>
      <w:r>
        <w:t xml:space="preserve">these markets.</w:t>
      </w:r>
      <w:r>
        <w:br/>
      </w:r>
      <w:r>
        <w:t xml:space="preserve">In terms of costs, as concluded in the Evaluation, increasing the number of simplified</w:t>
      </w:r>
      <w:r>
        <w:t xml:space="preserve"> </w:t>
      </w:r>
      <w:r>
        <w:t xml:space="preserve">cases reduces costs for businesses and the Commission alike. The Commission estimates</w:t>
      </w:r>
      <w:r>
        <w:t xml:space="preserve"> </w:t>
      </w:r>
      <w:r>
        <w:t xml:space="preserve">that, for the Commission, introducing the preferred option could save more than 700</w:t>
      </w:r>
      <w:r>
        <w:t xml:space="preserve"> </w:t>
      </w:r>
      <w:r>
        <w:t xml:space="preserve">additional working days for the period 2023-2029.52</w:t>
      </w:r>
      <w:r>
        <w:br/>
      </w:r>
      <w:r>
        <w:t xml:space="preserve">With regard to savings for the parties to a concentration, the costs of an EU merger</w:t>
      </w:r>
      <w:r>
        <w:t xml:space="preserve"> </w:t>
      </w:r>
      <w:r>
        <w:t xml:space="preserve">notification include notably those resulting from preparing, drafting and submitting an</w:t>
      </w:r>
      <w:r>
        <w:t xml:space="preserve"> </w:t>
      </w:r>
      <w:r>
        <w:t xml:space="preserve">EU merger notification and from waiting for approval before implementing the</w:t>
      </w:r>
      <w:r>
        <w:t xml:space="preserve"> </w:t>
      </w:r>
      <w:r>
        <w:t xml:space="preserve">transaction. These costs may vary significantly depending on the scope and size of the</w:t>
      </w:r>
      <w:r>
        <w:t xml:space="preserve"> </w:t>
      </w:r>
      <w:r>
        <w:t xml:space="preserve">transaction, the number of markets involved or the complexity of the case. Due to those</w:t>
      </w:r>
      <w:r>
        <w:t xml:space="preserve"> </w:t>
      </w:r>
      <w:r>
        <w:t xml:space="preserve">complexities, the Commission was only able to use two rough proxies for the cost</w:t>
      </w:r>
      <w:r>
        <w:t xml:space="preserve"> </w:t>
      </w:r>
      <w:r>
        <w:t xml:space="preserve">reductions in the evaluation and therefore it is not possible to quantify in monetary terms:</w:t>
      </w:r>
      <w:r>
        <w:t xml:space="preserve"> </w:t>
      </w:r>
      <w:r>
        <w:t xml:space="preserve">(i) the average length of the notification documents: the information required to submit a</w:t>
      </w:r>
      <w:r>
        <w:t xml:space="preserve"> </w:t>
      </w:r>
      <w:r>
        <w:t xml:space="preserve">notification under the simplified procedure is significantly less than that required</w:t>
      </w:r>
      <w:r>
        <w:t xml:space="preserve"> </w:t>
      </w:r>
      <w:r>
        <w:t xml:space="preserve">under the normal procedure and less burdensome to collect for the Parties;</w:t>
      </w:r>
      <w:r>
        <w:br/>
      </w:r>
      <w:r>
        <w:t xml:space="preserve">(ii) the average time needed to obtain a clearance decision: the waiting period until</w:t>
      </w:r>
      <w:r>
        <w:t xml:space="preserve"> </w:t>
      </w:r>
      <w:r>
        <w:t xml:space="preserve">clearance entails costs for firms, notably in terms of financing costs and in terms of</w:t>
      </w:r>
      <w:r>
        <w:t xml:space="preserve"> </w:t>
      </w:r>
      <w:r>
        <w:t xml:space="preserve">delaying the realisation of any benefits resulting from the operation. The evaluation</w:t>
      </w:r>
      <w:r>
        <w:t xml:space="preserve"> </w:t>
      </w:r>
      <w:r>
        <w:t xml:space="preserve">concluded that parties to concentration saved on average more than 25 working days</w:t>
      </w:r>
    </w:p>
    <w:p>
      <w:pPr>
        <w:pStyle w:val="BodyText"/>
      </w:pPr>
      <w:r>
        <w:t xml:space="preserve">52</w:t>
      </w:r>
      <w:r>
        <w:br/>
      </w:r>
      <w:r>
        <w:t xml:space="preserve">This would be an estimation of cost saving based only on the additional number of simplified cases.</w:t>
      </w:r>
      <w:r>
        <w:t xml:space="preserve"> </w:t>
      </w:r>
      <w:r>
        <w:t xml:space="preserve">This would be a very conservative estimate, as it does not include the savings resulting from the</w:t>
      </w:r>
      <w:r>
        <w:t xml:space="preserve"> </w:t>
      </w:r>
      <w:r>
        <w:t xml:space="preserve">number of markets which the Commission would not assess in non-simplified cases.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(that is to say more than 5 calendar weeks) overall (including pre-notification and</w:t>
      </w:r>
      <w:r>
        <w:t xml:space="preserve"> </w:t>
      </w:r>
      <w:r>
        <w:t xml:space="preserve">notification) in cases treated under the simplified procedure.</w:t>
      </w:r>
      <w:r>
        <w:t xml:space="preserve"> </w:t>
      </w:r>
      <w:r>
        <w:t xml:space="preserve">Therefore, increasing the number of cases that will be reviewed under the simplified</w:t>
      </w:r>
      <w:r>
        <w:t xml:space="preserve"> </w:t>
      </w:r>
      <w:r>
        <w:t xml:space="preserve">procedure has a significant positive impact in terms of administrative cost reductions for</w:t>
      </w:r>
      <w:r>
        <w:t xml:space="preserve"> </w:t>
      </w:r>
      <w:r>
        <w:t xml:space="preserve">the parties to concentration. This was confirmed by the large majority of private</w:t>
      </w:r>
      <w:r>
        <w:t xml:space="preserve"> </w:t>
      </w:r>
      <w:r>
        <w:t xml:space="preserve">stakeholders that considered that the introduction of the preferred option would be</w:t>
      </w:r>
      <w:r>
        <w:t xml:space="preserve"> </w:t>
      </w:r>
      <w:r>
        <w:t xml:space="preserve">beneficial and consider that it would bring a moderate to significant reduction of</w:t>
      </w:r>
      <w:r>
        <w:t xml:space="preserve"> </w:t>
      </w:r>
      <w:r>
        <w:t xml:space="preserve">administrative burden and costs for businesses in response to the Public Consultation.</w:t>
      </w:r>
      <w:r>
        <w:br/>
      </w:r>
      <w:r>
        <w:t xml:space="preserve">With regard to streamlining the review of simplified cases, the preferred option will</w:t>
      </w:r>
      <w:r>
        <w:t xml:space="preserve"> </w:t>
      </w:r>
      <w:r>
        <w:t xml:space="preserve">allow notifying parties to provide less information on the jurisdictional aspects of their</w:t>
      </w:r>
      <w:r>
        <w:t xml:space="preserve"> </w:t>
      </w:r>
      <w:r>
        <w:t xml:space="preserve">concentration. This means that they can notify faster their concentration and in most</w:t>
      </w:r>
      <w:r>
        <w:t xml:space="preserve"> </w:t>
      </w:r>
      <w:r>
        <w:t xml:space="preserve">cases receive faster unconditional clearance. Moreover, notifying parties will provide no</w:t>
      </w:r>
      <w:r>
        <w:t xml:space="preserve"> </w:t>
      </w:r>
      <w:r>
        <w:t xml:space="preserve">or less information on the activities of the parties (depending on whether there is a</w:t>
      </w:r>
      <w:r>
        <w:t xml:space="preserve"> </w:t>
      </w:r>
      <w:r>
        <w:t xml:space="preserve">horizontal overlap/vertical relationship or not). This means that they can notify faster</w:t>
      </w:r>
      <w:r>
        <w:t xml:space="preserve"> </w:t>
      </w:r>
      <w:r>
        <w:t xml:space="preserve">their concentration and in most cases receive faster unconditional clearance.</w:t>
      </w:r>
      <w:r>
        <w:br/>
      </w:r>
      <w:r>
        <w:t xml:space="preserve">The vast majority of respondents to the Public Consultation stated that the preferred</w:t>
      </w:r>
      <w:r>
        <w:t xml:space="preserve"> </w:t>
      </w:r>
      <w:r>
        <w:t xml:space="preserve">option could lead to a “moderate” or “significant” reduction in the amount of information</w:t>
      </w:r>
      <w:r>
        <w:t xml:space="preserve"> </w:t>
      </w:r>
      <w:r>
        <w:t xml:space="preserve">that the businesses concerned have to submit with their notification and would also result</w:t>
      </w:r>
      <w:r>
        <w:t xml:space="preserve"> </w:t>
      </w:r>
      <w:r>
        <w:t xml:space="preserve">in a “moderate” or “significant” reduction of average time needed to obtain a clearance</w:t>
      </w:r>
      <w:r>
        <w:t xml:space="preserve"> </w:t>
      </w:r>
      <w:r>
        <w:t xml:space="preserve">decision in unproblematic cases. More recently, a competition law news service</w:t>
      </w:r>
      <w:r>
        <w:t xml:space="preserve"> </w:t>
      </w:r>
      <w:r>
        <w:t xml:space="preserve">estimated that the preferred option “could cut merger clearance timelines by more than</w:t>
      </w:r>
      <w:r>
        <w:t xml:space="preserve"> </w:t>
      </w:r>
      <w:r>
        <w:t xml:space="preserve">half on some deals” for simplified cases where the transaction does not give rise to</w:t>
      </w:r>
      <w:r>
        <w:t xml:space="preserve"> </w:t>
      </w:r>
      <w:r>
        <w:t xml:space="preserve">horizontal overlaps or vertical relationships.53 Public and private stakeholder respondents</w:t>
      </w:r>
      <w:r>
        <w:t xml:space="preserve"> </w:t>
      </w:r>
      <w:r>
        <w:t xml:space="preserve">to the Consultation of Stakeholders confirmed this. In particular, the super-simplified</w:t>
      </w:r>
      <w:r>
        <w:t xml:space="preserve"> </w:t>
      </w:r>
      <w:r>
        <w:t xml:space="preserve">procedure was welcomed as “a clear relief for companies” by one association of private</w:t>
      </w:r>
      <w:r>
        <w:t xml:space="preserve"> </w:t>
      </w:r>
      <w:r>
        <w:t xml:space="preserve">stakeholders.</w:t>
      </w:r>
    </w:p>
    <w:p>
      <w:pPr>
        <w:pStyle w:val="BodyText"/>
      </w:pPr>
      <w:r>
        <w:t xml:space="preserve">In the same vein, the Commission’s internal research54 suggests that the preferred option</w:t>
      </w:r>
      <w:r>
        <w:t xml:space="preserve"> </w:t>
      </w:r>
      <w:r>
        <w:t xml:space="preserve">would allow to significantly reduce the duration of pre-notification contacts in simplified</w:t>
      </w:r>
      <w:r>
        <w:t xml:space="preserve"> </w:t>
      </w:r>
      <w:r>
        <w:t xml:space="preserve">cases. In more than 65% of the simplified cases notified between June 2021 and May</w:t>
      </w:r>
      <w:r>
        <w:t xml:space="preserve"> </w:t>
      </w:r>
      <w:r>
        <w:t xml:space="preserve">202255, the Commission asked pre-notification questions to the parties on the</w:t>
      </w:r>
      <w:r>
        <w:t xml:space="preserve"> </w:t>
      </w:r>
      <w:r>
        <w:t xml:space="preserve">jurisdictional aspects of the case. In a significant part of those cases (46/134 – 34%), the</w:t>
      </w:r>
      <w:r>
        <w:t xml:space="preserve"> </w:t>
      </w:r>
      <w:r>
        <w:t xml:space="preserve">questions on jurisdiction represented half or more of the total number of questions sent,</w:t>
      </w:r>
      <w:r>
        <w:t xml:space="preserve"> </w:t>
      </w:r>
      <w:r>
        <w:t xml:space="preserve">including eight cases of extra-EEA joint ventures (with no activities and no impact in the</w:t>
      </w:r>
    </w:p>
    <w:p>
      <w:pPr>
        <w:pStyle w:val="BodyText"/>
      </w:pPr>
      <w:r>
        <w:t xml:space="preserve">53</w:t>
      </w:r>
      <w:r>
        <w:br/>
      </w:r>
      <w:r>
        <w:t xml:space="preserve">PaRR, “EC ‘super-simplified’ proposal could cut merger clearance timelines by more than half on</w:t>
      </w:r>
      <w:r>
        <w:t xml:space="preserve"> </w:t>
      </w:r>
      <w:r>
        <w:t xml:space="preserve">some deals”, 17 May 2022.</w:t>
      </w:r>
      <w:r>
        <w:br/>
      </w:r>
      <w:r>
        <w:t xml:space="preserve">54 In order to gather relevant data on impacts resulting from the preferred option at the level of the</w:t>
      </w:r>
      <w:r>
        <w:t xml:space="preserve"> </w:t>
      </w:r>
      <w:r>
        <w:t xml:space="preserve">Commission, the Commission modified the internal data collection.. New data was collected in order</w:t>
      </w:r>
      <w:r>
        <w:t xml:space="preserve"> </w:t>
      </w:r>
      <w:r>
        <w:t xml:space="preserve">to verify the total number of questions on jurisdictional aspects that Commission case teams were</w:t>
      </w:r>
      <w:r>
        <w:t xml:space="preserve"> </w:t>
      </w:r>
      <w:r>
        <w:t xml:space="preserve">sending to the parties in pre-notification, in cases handled under the simplified procedure. The aim</w:t>
      </w:r>
      <w:r>
        <w:t xml:space="preserve"> </w:t>
      </w:r>
      <w:r>
        <w:t xml:space="preserve">was to measure, between June 2021 and May 2022, the percentage that questions on jurisdictional</w:t>
      </w:r>
      <w:r>
        <w:t xml:space="preserve"> </w:t>
      </w:r>
      <w:r>
        <w:t xml:space="preserve">aspects accounted for in the overall number of questions asked by Commission case teams in pre-</w:t>
      </w:r>
      <w:r>
        <w:t xml:space="preserve"> </w:t>
      </w:r>
      <w:r>
        <w:t xml:space="preserve">notification in simplified cases.</w:t>
      </w:r>
      <w:r>
        <w:br/>
      </w:r>
      <w:r>
        <w:t xml:space="preserve">55</w:t>
      </w:r>
      <w:r>
        <w:br/>
      </w:r>
      <w:r>
        <w:t xml:space="preserve">Based on information from to internal data collection.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EEA) where all the questions asked concerned the jurisdictional assessment. In</w:t>
      </w:r>
      <w:r>
        <w:t xml:space="preserve"> </w:t>
      </w:r>
      <w:r>
        <w:t xml:space="preserve">simplified cases where the transaction does not give rise to horizontal overlaps or vertical</w:t>
      </w:r>
      <w:r>
        <w:t xml:space="preserve"> </w:t>
      </w:r>
      <w:r>
        <w:t xml:space="preserve">relationships between the activities of the parties, the notifying party would have to tick</w:t>
      </w:r>
      <w:r>
        <w:t xml:space="preserve"> </w:t>
      </w:r>
      <w:r>
        <w:t xml:space="preserve">the relevant box without submitting any further documentation or evidence. This</w:t>
      </w:r>
      <w:r>
        <w:t xml:space="preserve"> </w:t>
      </w:r>
      <w:r>
        <w:t xml:space="preserve">significantly reduces the administrative burden for the notifying parties and, also</w:t>
      </w:r>
      <w:r>
        <w:t xml:space="preserve"> </w:t>
      </w:r>
      <w:r>
        <w:t xml:space="preserve">important, it eliminates the need for pre-notification contacts (which on average lasted 33</w:t>
      </w:r>
      <w:r>
        <w:t xml:space="preserve"> </w:t>
      </w:r>
      <w:r>
        <w:t xml:space="preserve">working days for simplified cases)56.</w:t>
      </w:r>
    </w:p>
    <w:p>
      <w:pPr>
        <w:pStyle w:val="BodyText"/>
      </w:pPr>
      <w:r>
        <w:t xml:space="preserve">With regard to streamlining the review of non-simplified cases, the notifying parties will</w:t>
      </w:r>
      <w:r>
        <w:t xml:space="preserve"> </w:t>
      </w:r>
      <w:r>
        <w:t xml:space="preserve">provide less information, as some sections have been deleted from the notification forms</w:t>
      </w:r>
      <w:r>
        <w:t xml:space="preserve"> </w:t>
      </w:r>
      <w:r>
        <w:t xml:space="preserve">and the use of waivers for certain section has been facilitated. Moreover, the notifying</w:t>
      </w:r>
      <w:r>
        <w:t xml:space="preserve"> </w:t>
      </w:r>
      <w:r>
        <w:t xml:space="preserve">parties will have to provide less information for markets falling under the flexibility</w:t>
      </w:r>
      <w:r>
        <w:t xml:space="preserve"> </w:t>
      </w:r>
      <w:r>
        <w:t xml:space="preserve">clauses. This positive effect is reflected in the reaction of private actors: In response to</w:t>
      </w:r>
      <w:r>
        <w:t xml:space="preserve"> </w:t>
      </w:r>
      <w:r>
        <w:t xml:space="preserve">the Public Consultation, the large majority of the respondents ticked moderate to</w:t>
      </w:r>
      <w:r>
        <w:t xml:space="preserve"> </w:t>
      </w:r>
      <w:r>
        <w:t xml:space="preserve">significant savings if these two options were introduced.</w:t>
      </w:r>
      <w:r>
        <w:br/>
      </w:r>
      <w:r>
        <w:t xml:space="preserve">With regard to the electronic transmission of documents, there will be only one copy of</w:t>
      </w:r>
      <w:r>
        <w:t xml:space="preserve"> </w:t>
      </w:r>
      <w:r>
        <w:t xml:space="preserve">the notification and all transmissions of documents to and from the Commission would</w:t>
      </w:r>
      <w:r>
        <w:t xml:space="preserve"> </w:t>
      </w:r>
      <w:r>
        <w:t xml:space="preserve">take place in principle electronically. There would be no need to print large amounts of</w:t>
      </w:r>
      <w:r>
        <w:t xml:space="preserve"> </w:t>
      </w:r>
      <w:r>
        <w:t xml:space="preserve">documents and submit them to the Commission. Not having to produce and submit large</w:t>
      </w:r>
      <w:r>
        <w:t xml:space="preserve"> </w:t>
      </w:r>
      <w:r>
        <w:t xml:space="preserve">amounts of paper would make the notification process much more efficient and produce</w:t>
      </w:r>
      <w:r>
        <w:t xml:space="preserve"> </w:t>
      </w:r>
      <w:r>
        <w:t xml:space="preserve">time savings since the legal notification can take place earlier. The feedback from</w:t>
      </w:r>
      <w:r>
        <w:t xml:space="preserve"> </w:t>
      </w:r>
      <w:r>
        <w:t xml:space="preserve">stakeholders received in response to the Public Consultation regarding the impact on</w:t>
      </w:r>
      <w:r>
        <w:t xml:space="preserve"> </w:t>
      </w:r>
      <w:r>
        <w:t xml:space="preserve">businesses and enforcement authorities was also confirmed by the responses to the</w:t>
      </w:r>
      <w:r>
        <w:t xml:space="preserve"> </w:t>
      </w:r>
      <w:r>
        <w:t xml:space="preserve">Consultation of Stakeholders. Both private and public respondents expressed unanimous</w:t>
      </w:r>
      <w:r>
        <w:t xml:space="preserve"> </w:t>
      </w:r>
      <w:r>
        <w:t xml:space="preserve">support for the introduction of electronic transmission of documents. In addition,</w:t>
      </w:r>
      <w:r>
        <w:t xml:space="preserve"> </w:t>
      </w:r>
      <w:r>
        <w:t xml:space="preserve">companies will benefit from additional cost savings, as the printed notifications will not</w:t>
      </w:r>
      <w:r>
        <w:t xml:space="preserve"> </w:t>
      </w:r>
      <w:r>
        <w:t xml:space="preserve">need to be posted to Brussels, although these savings are impossible to quantify based on</w:t>
      </w:r>
      <w:r>
        <w:t xml:space="preserve"> </w:t>
      </w:r>
      <w:r>
        <w:t xml:space="preserve">the information available.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In terms of monitoring and evaluation, as a preliminary note it should be mentioned that</w:t>
      </w:r>
      <w:r>
        <w:t xml:space="preserve"> </w:t>
      </w:r>
      <w:r>
        <w:t xml:space="preserve">throughout the evaluation and impact assessment process, while the Commission was</w:t>
      </w:r>
      <w:r>
        <w:t xml:space="preserve"> </w:t>
      </w:r>
      <w:r>
        <w:t xml:space="preserve">able to collect some qualitative elements pointing to the benefits of this initiative (that</w:t>
      </w:r>
      <w:r>
        <w:t xml:space="preserve"> </w:t>
      </w:r>
      <w:r>
        <w:t xml:space="preserve">have been included in this report), it has overall proved impossible to quantify the</w:t>
      </w:r>
      <w:r>
        <w:t xml:space="preserve"> </w:t>
      </w:r>
      <w:r>
        <w:t xml:space="preserve">benefits that businesses derive from being able to use the simplified procedure for more</w:t>
      </w:r>
      <w:r>
        <w:t xml:space="preserve"> </w:t>
      </w:r>
      <w:r>
        <w:t xml:space="preserve">cases, and to quantify the costs that would be saved. Similarly, it is also impossible to</w:t>
      </w:r>
      <w:r>
        <w:t xml:space="preserve"> </w:t>
      </w:r>
      <w:r>
        <w:t xml:space="preserve">quantify how the rules facilitate the enforcement work of the Commission. As a result, it</w:t>
      </w:r>
      <w:r>
        <w:t xml:space="preserve"> </w:t>
      </w:r>
      <w:r>
        <w:t xml:space="preserve">is not possible to provide quantitative monitoring indicators that would allow the</w:t>
      </w:r>
      <w:r>
        <w:t xml:space="preserve"> </w:t>
      </w:r>
      <w:r>
        <w:t xml:space="preserve">Commission to evaluate how these benefits and costs are affected by the revised rules.</w:t>
      </w:r>
      <w:r>
        <w:t xml:space="preserve"> </w:t>
      </w:r>
      <w:r>
        <w:t xml:space="preserve">Nevertheless, the Commission considers that certain metrics could be employed to</w:t>
      </w:r>
      <w:r>
        <w:t xml:space="preserve"> </w:t>
      </w:r>
      <w:r>
        <w:t xml:space="preserve">measure success of this initiative. With this initiative, the Commission aims at increasing</w:t>
      </w:r>
    </w:p>
    <w:p>
      <w:pPr>
        <w:pStyle w:val="BodyText"/>
      </w:pPr>
      <w:r>
        <w:t xml:space="preserve">56</w:t>
      </w:r>
      <w:r>
        <w:br/>
      </w:r>
      <w:r>
        <w:t xml:space="preserve">Based on data from the period 2012-2021 and taking into account the period between the case team</w:t>
      </w:r>
      <w:r>
        <w:t xml:space="preserve"> </w:t>
      </w:r>
      <w:r>
        <w:t xml:space="preserve">allocation form and the notification.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the number of cases treated under the simplified procedure by at least 2 percentage points</w:t>
      </w:r>
      <w:r>
        <w:t xml:space="preserve"> </w:t>
      </w:r>
      <w:r>
        <w:t xml:space="preserve">on average in the next years, reaching at least 80% of all cases notified. With regard to</w:t>
      </w:r>
      <w:r>
        <w:t xml:space="preserve"> </w:t>
      </w:r>
      <w:r>
        <w:t xml:space="preserve">the normal procedure, up to approximately 14% of all horizontal overlaps and up to 19%</w:t>
      </w:r>
      <w:r>
        <w:t xml:space="preserve"> </w:t>
      </w:r>
      <w:r>
        <w:t xml:space="preserve">of all vertical relationships assessed under the normal procedure could benefit from the</w:t>
      </w:r>
      <w:r>
        <w:t xml:space="preserve"> </w:t>
      </w:r>
      <w:r>
        <w:t xml:space="preserve">different new categories of cases falling under the simplified procedure, and thus a</w:t>
      </w:r>
      <w:r>
        <w:t xml:space="preserve"> </w:t>
      </w:r>
      <w:r>
        <w:t xml:space="preserve">detailed assessment and market investigation would not be required for these markets.</w:t>
      </w:r>
      <w:r>
        <w:br/>
      </w:r>
      <w:r>
        <w:t xml:space="preserve">The Commission plans to continuously monitor how the revised rules are functioning and</w:t>
      </w:r>
      <w:r>
        <w:t xml:space="preserve"> </w:t>
      </w:r>
      <w:r>
        <w:t xml:space="preserve">whether they achieve the policy objectives identified in this Impact Assessment.</w:t>
      </w:r>
      <w:r>
        <w:t xml:space="preserve"> </w:t>
      </w:r>
      <w:r>
        <w:t xml:space="preserve">Monitoring will be done through analysing, most likely on an annual basis (as is</w:t>
      </w:r>
      <w:r>
        <w:t xml:space="preserve"> </w:t>
      </w:r>
      <w:r>
        <w:t xml:space="preserve">currently done), the cases received and dealt with within the EU merger control</w:t>
      </w:r>
      <w:r>
        <w:t xml:space="preserve"> </w:t>
      </w:r>
      <w:r>
        <w:t xml:space="preserve">framework, collecting inter alia information on the number of simplified cases,</w:t>
      </w:r>
      <w:r>
        <w:t xml:space="preserve"> </w:t>
      </w:r>
      <w:r>
        <w:t xml:space="preserve">interventions, and overall working time on all cases.</w:t>
      </w:r>
      <w:r>
        <w:br/>
      </w:r>
      <w:r>
        <w:t xml:space="preserve">In order to measure this, the Commission is in the process of procuring a new database</w:t>
      </w:r>
      <w:r>
        <w:t xml:space="preserve"> </w:t>
      </w:r>
      <w:r>
        <w:t xml:space="preserve">containing quantitative and qualitative information on the Commission’s past merger</w:t>
      </w:r>
      <w:r>
        <w:t xml:space="preserve"> </w:t>
      </w:r>
      <w:r>
        <w:t xml:space="preserve">decisions. In addition, the Commission will revise its internal data collection to gather</w:t>
      </w:r>
      <w:r>
        <w:t xml:space="preserve"> </w:t>
      </w:r>
      <w:r>
        <w:t xml:space="preserve">relevant information on the different categories of simplified cases and the application of</w:t>
      </w:r>
      <w:r>
        <w:t xml:space="preserve"> </w:t>
      </w:r>
      <w:r>
        <w:t xml:space="preserve">the flexibility clause, for cases falling under the simplified and normal procedure. With</w:t>
      </w:r>
      <w:r>
        <w:t xml:space="preserve"> </w:t>
      </w:r>
      <w:r>
        <w:t xml:space="preserve">these two tools, it will be possible to monitor the effectiveness of the revised procedural</w:t>
      </w:r>
      <w:r>
        <w:t xml:space="preserve"> </w:t>
      </w:r>
      <w:r>
        <w:t xml:space="preserve">rules on a yearly basis.</w:t>
      </w:r>
      <w:r>
        <w:br/>
      </w:r>
      <w:r>
        <w:t xml:space="preserve">In particular, these new tools will allow the Commission to identify the number of</w:t>
      </w:r>
      <w:r>
        <w:t xml:space="preserve"> </w:t>
      </w:r>
      <w:r>
        <w:t xml:space="preserve">simplified cases in which the decision of the Commission is based on one of the new or</w:t>
      </w:r>
      <w:r>
        <w:t xml:space="preserve"> </w:t>
      </w:r>
      <w:r>
        <w:t xml:space="preserve">modified categories, as well as the number of markets in normal cases benefitting from</w:t>
      </w:r>
      <w:r>
        <w:t xml:space="preserve"> </w:t>
      </w:r>
      <w:r>
        <w:t xml:space="preserve">the introduction of the flexibility clause into the Form CO.</w:t>
      </w:r>
      <w:r>
        <w:br/>
      </w:r>
      <w:r>
        <w:t xml:space="preserve">A comparison of the results pre- and post-simplification could demonstrate benefits such</w:t>
      </w:r>
      <w:r>
        <w:t xml:space="preserve"> </w:t>
      </w:r>
      <w:r>
        <w:t xml:space="preserve">as a decrease in normal cases (mirrored by an increase in simplified cases), an overall</w:t>
      </w:r>
      <w:r>
        <w:t xml:space="preserve"> </w:t>
      </w:r>
      <w:r>
        <w:t xml:space="preserve">decrease in working hours on non-intervention cases (showing that proportionally more</w:t>
      </w:r>
      <w:r>
        <w:t xml:space="preserve"> </w:t>
      </w:r>
      <w:r>
        <w:t xml:space="preserve">resources are available for complex cases) as well as the overall easiness of working</w:t>
      </w:r>
      <w:r>
        <w:t xml:space="preserve"> </w:t>
      </w:r>
      <w:r>
        <w:t xml:space="preserve">electronically and the significantly reduced paperwork flow in that regard.</w:t>
      </w:r>
      <w:r>
        <w:t xml:space="preserve"> </w:t>
      </w:r>
      <w:r>
        <w:t xml:space="preserve">As regards administrative costs savings for businesses, the Commission will continue</w:t>
      </w:r>
      <w:r>
        <w:t xml:space="preserve"> </w:t>
      </w:r>
      <w:r>
        <w:t xml:space="preserve">monitoring the two proxies used in this IA report to approximate costs savings for</w:t>
      </w:r>
      <w:r>
        <w:t xml:space="preserve"> </w:t>
      </w:r>
      <w:r>
        <w:t xml:space="preserve">businesses, namely, the average length of pre-notification and the average time needed to</w:t>
      </w:r>
      <w:r>
        <w:t xml:space="preserve"> </w:t>
      </w:r>
      <w:r>
        <w:t xml:space="preserve">obtain a clearance decision.</w:t>
      </w:r>
      <w:r>
        <w:t xml:space="preserve"> </w:t>
      </w:r>
      <w:r>
        <w:t xml:space="preserve">With regard to electronic notifications, the Commission expects to receive all</w:t>
      </w:r>
      <w:r>
        <w:t xml:space="preserve"> </w:t>
      </w:r>
      <w:r>
        <w:t xml:space="preserve">notifications electronically with very few exceptions. DG Competition will closely</w:t>
      </w:r>
      <w:r>
        <w:t xml:space="preserve"> </w:t>
      </w:r>
      <w:r>
        <w:t xml:space="preserve">monitor the number and size of notifications and other submissions that make use of the</w:t>
      </w:r>
      <w:r>
        <w:t xml:space="preserve"> </w:t>
      </w:r>
      <w:r>
        <w:t xml:space="preserve">back-up mechanism. In addition, DG Competition will monitor through statistics how</w:t>
      </w:r>
      <w:r>
        <w:t xml:space="preserve"> </w:t>
      </w:r>
      <w:r>
        <w:t xml:space="preserve">easy or difficult it is for notifying parties to sign using a Qualified Electronic Signature</w:t>
      </w:r>
      <w:r>
        <w:t xml:space="preserve"> </w:t>
      </w:r>
      <w:r>
        <w:t xml:space="preserve">(“QES”) as required by the eIDAS Regulation, and how easy or difficult it is for DG</w:t>
      </w:r>
      <w:r>
        <w:t xml:space="preserve"> </w:t>
      </w:r>
      <w:r>
        <w:t xml:space="preserve">Competition to validate a QES in order to formally accept a given submission or</w:t>
      </w:r>
      <w:r>
        <w:t xml:space="preserve"> </w:t>
      </w:r>
      <w:r>
        <w:t xml:space="preserve">notification of a merger transaction.</w:t>
      </w:r>
      <w:r>
        <w:t xml:space="preserve"> </w:t>
      </w:r>
      <w:r>
        <w:t xml:space="preserve">Finally, the Commission will also continue to engage directly with stakeholders, e.g. via</w:t>
      </w:r>
      <w:r>
        <w:t xml:space="preserve"> </w:t>
      </w:r>
      <w:r>
        <w:t xml:space="preserve">informal discussions, in order to understand any difficulties encountered by businesses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when applying the revised rules and to assess whether these rules provide an appropriate</w:t>
      </w:r>
      <w:r>
        <w:t xml:space="preserve"> </w:t>
      </w:r>
      <w:r>
        <w:t xml:space="preserve">level of legal certainty. In this context, the number of consultations on the one hand, and</w:t>
      </w:r>
      <w:r>
        <w:t xml:space="preserve"> </w:t>
      </w:r>
      <w:r>
        <w:t xml:space="preserve">the amount of necessary requests for information to parties for further information on the</w:t>
      </w:r>
      <w:r>
        <w:t xml:space="preserve"> </w:t>
      </w:r>
      <w:r>
        <w:t xml:space="preserve">other, will also be an indication of the appropriateness of the new system.</w:t>
      </w:r>
      <w:r>
        <w:t xml:space="preserve"> </w:t>
      </w:r>
      <w:r>
        <w:t xml:space="preserve">After sufficient implementation data is available and if the monitoring points to</w:t>
      </w:r>
      <w:r>
        <w:t xml:space="preserve"> </w:t>
      </w:r>
      <w:r>
        <w:t xml:space="preserve">significant shortcomings, an evaluation would be carried out.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ANNEX 1 - PROCEDURAL INFORMATION</w:t>
      </w:r>
      <w:r>
        <w:t xml:space="preserve"> </w:t>
      </w:r>
      <w:r>
        <w:t xml:space="preserve">1. LEAD DG, AGENDA PLANNING/WORK PROGRAMME REFERENCES</w:t>
      </w:r>
      <w:r>
        <w:t xml:space="preserve"> </w:t>
      </w:r>
      <w:r>
        <w:t xml:space="preserve">The Directorate-General for Competition of the European Commission (“DG</w:t>
      </w:r>
      <w:r>
        <w:t xml:space="preserve"> </w:t>
      </w:r>
      <w:r>
        <w:t xml:space="preserve">Competition”) is the lead DG for the initiative to further simplify and streamline</w:t>
      </w:r>
      <w:r>
        <w:t xml:space="preserve"> </w:t>
      </w:r>
      <w:r>
        <w:t xml:space="preserve">EU merger control procedures, and the review of Commission Notice on a</w:t>
      </w:r>
      <w:r>
        <w:t xml:space="preserve"> </w:t>
      </w:r>
      <w:r>
        <w:t xml:space="preserve">simplified procedure for treatment of certain concentrations under Council</w:t>
      </w:r>
      <w:r>
        <w:t xml:space="preserve"> </w:t>
      </w:r>
      <w:r>
        <w:t xml:space="preserve">Regulation (EC) No 139/2004, 14.12.2013 (OJ C366/5) (the ‘Notice on</w:t>
      </w:r>
      <w:r>
        <w:t xml:space="preserve"> </w:t>
      </w:r>
      <w:r>
        <w:t xml:space="preserve">Simplified Procedure’), Commission Regulation (EC) No 802/2004 of 21 April</w:t>
      </w:r>
      <w:r>
        <w:t xml:space="preserve"> </w:t>
      </w:r>
      <w:r>
        <w:t xml:space="preserve">2004 implementing Council Regulation (EC) No 139/2004 on the control of</w:t>
      </w:r>
      <w:r>
        <w:t xml:space="preserve"> </w:t>
      </w:r>
      <w:r>
        <w:t xml:space="preserve">concentrations between undertakings (OJ L 133, 30.04.2004, p.1) as amended</w:t>
      </w:r>
      <w:r>
        <w:t xml:space="preserve"> </w:t>
      </w:r>
      <w:r>
        <w:t xml:space="preserve">(the</w:t>
      </w:r>
      <w:r>
        <w:t xml:space="preserve"> </w:t>
      </w:r>
      <w:r>
        <w:t xml:space="preserve">“Implementing Regulation”</w:t>
      </w:r>
      <w:r>
        <w:t xml:space="preserve">) and its annexes comprising the various</w:t>
      </w:r>
      <w:r>
        <w:t xml:space="preserve"> </w:t>
      </w:r>
      <w:r>
        <w:t xml:space="preserve">notification forms (Form CO, Short Form CO, Form RS and Form RM, together</w:t>
      </w:r>
      <w:r>
        <w:t xml:space="preserve"> </w:t>
      </w:r>
      <w:r>
        <w:t xml:space="preserve">“the Annexes”) in that context.</w:t>
      </w:r>
      <w:r>
        <w:t xml:space="preserve"> </w:t>
      </w:r>
      <w:r>
        <w:t xml:space="preserve">The initiative was registered in the Decide Planning with the reference</w:t>
      </w:r>
      <w:r>
        <w:t xml:space="preserve"> </w:t>
      </w:r>
      <w:r>
        <w:t xml:space="preserve">PLAN/2021/10594.</w:t>
      </w:r>
      <w:r>
        <w:t xml:space="preserve"> </w:t>
      </w:r>
      <w:r>
        <w:t xml:space="preserve">2. ORGANISATION AND TIMING</w:t>
      </w:r>
      <w:r>
        <w:t xml:space="preserve"> </w:t>
      </w:r>
      <w:r>
        <w:t xml:space="preserve">In March 2021, DG Competition finished its evaluation of procedural and</w:t>
      </w:r>
      <w:r>
        <w:t xml:space="preserve"> </w:t>
      </w:r>
      <w:r>
        <w:t xml:space="preserve">jurisdictional aspects of EU merger control, covering among other matters also</w:t>
      </w:r>
      <w:r>
        <w:t xml:space="preserve"> </w:t>
      </w:r>
      <w:r>
        <w:t xml:space="preserve">the simplification and streamlining of EU merger control procedures.</w:t>
      </w:r>
      <w:r>
        <w:t xml:space="preserve"> </w:t>
      </w:r>
      <w:r>
        <w:t xml:space="preserve">On 26 March 2021, the Inception Impact Assessment (“IIA”) was published. It</w:t>
      </w:r>
      <w:r>
        <w:t xml:space="preserve"> </w:t>
      </w:r>
      <w:r>
        <w:t xml:space="preserve">presented the consultation activities that would be conducted by DG Competition,</w:t>
      </w:r>
      <w:r>
        <w:t xml:space="preserve"> </w:t>
      </w:r>
      <w:r>
        <w:t xml:space="preserve">notably public consultations and discussions with stakeholders, which include</w:t>
      </w:r>
      <w:r>
        <w:t xml:space="preserve"> </w:t>
      </w:r>
      <w:r>
        <w:t xml:space="preserve">private and public bodies as well as the National Competition Authorities of the</w:t>
      </w:r>
      <w:r>
        <w:t xml:space="preserve"> </w:t>
      </w:r>
      <w:r>
        <w:t xml:space="preserve">European Economic Area (“NCAs”). As regards the consultations specifically, a</w:t>
      </w:r>
      <w:r>
        <w:t xml:space="preserve"> </w:t>
      </w:r>
      <w:r>
        <w:t xml:space="preserve">first public consultation took place from 26 March 2021 to 18 June 2021 to gather</w:t>
      </w:r>
      <w:r>
        <w:t xml:space="preserve"> </w:t>
      </w:r>
      <w:r>
        <w:t xml:space="preserve">feedback on the policy options considered, and a second consultation of</w:t>
      </w:r>
      <w:r>
        <w:t xml:space="preserve"> </w:t>
      </w:r>
      <w:r>
        <w:t xml:space="preserve">stakeholders was launched from 6 May 2022 to 3 June 2022 to allow stakeholders</w:t>
      </w:r>
      <w:r>
        <w:t xml:space="preserve"> </w:t>
      </w:r>
      <w:r>
        <w:t xml:space="preserve">to comment on the draft revised regulatory texts. A third targeted consultation of</w:t>
      </w:r>
      <w:r>
        <w:t xml:space="preserve"> </w:t>
      </w:r>
      <w:r>
        <w:t xml:space="preserve">stakeholders took place from 5 to 19 October 2022 on a proposed modification to</w:t>
      </w:r>
      <w:r>
        <w:t xml:space="preserve"> </w:t>
      </w:r>
      <w:r>
        <w:t xml:space="preserve">Article 9 of the Implementing Regulation.</w:t>
      </w:r>
      <w:r>
        <w:t xml:space="preserve"> </w:t>
      </w:r>
      <w:r>
        <w:t xml:space="preserve">The impact assessment of the Notice on Simplified Procedure, Implementing</w:t>
      </w:r>
      <w:r>
        <w:t xml:space="preserve"> </w:t>
      </w:r>
      <w:r>
        <w:t xml:space="preserve">Regulation and its Annexes was carried out in close cooperation with other</w:t>
      </w:r>
      <w:r>
        <w:t xml:space="preserve"> </w:t>
      </w:r>
      <w:r>
        <w:t xml:space="preserve">interested Commission services. The inter-service steering group (“ISSG”) set up</w:t>
      </w:r>
      <w:r>
        <w:t xml:space="preserve"> </w:t>
      </w:r>
      <w:r>
        <w:t xml:space="preserve">for that purpose comprised representatives of the Directorates-General CNECT,</w:t>
      </w:r>
      <w:r>
        <w:t xml:space="preserve"> </w:t>
      </w:r>
      <w:r>
        <w:t xml:space="preserve">DEFIS, DIGIT, ECFIN, ENER, ENV, GROW, HOME, JUST, MOVE, REGIO</w:t>
      </w:r>
      <w:r>
        <w:t xml:space="preserve"> </w:t>
      </w:r>
      <w:r>
        <w:t xml:space="preserve">and TRADE as well as the Secretariat-General and the Legal Service, which are</w:t>
      </w:r>
      <w:r>
        <w:t xml:space="preserve"> </w:t>
      </w:r>
      <w:r>
        <w:t xml:space="preserve">associated by default to any such initiative. In total, four ISSG meetings will have</w:t>
      </w:r>
      <w:r>
        <w:t xml:space="preserve"> </w:t>
      </w:r>
      <w:r>
        <w:t xml:space="preserve">taken place in the context of this initiative.</w:t>
      </w:r>
      <w:r>
        <w:t xml:space="preserve"> </w:t>
      </w:r>
      <w:r>
        <w:t xml:space="preserve">The impact assessment of the Notice on Simplified Procedure, Implementing</w:t>
      </w:r>
      <w:r>
        <w:t xml:space="preserve"> </w:t>
      </w:r>
      <w:r>
        <w:t xml:space="preserve">Regulation and its Annexes was also carried out in close cooperation with the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NCAs, which were consulted on the policy options as well as on the draft revised</w:t>
      </w:r>
      <w:r>
        <w:t xml:space="preserve"> </w:t>
      </w:r>
      <w:r>
        <w:t xml:space="preserve">rules.</w:t>
      </w:r>
      <w:r>
        <w:t xml:space="preserve"> </w:t>
      </w:r>
      <w:r>
        <w:t xml:space="preserve">The different milestones of the impact assessment phase are reflected in the table</w:t>
      </w:r>
      <w:r>
        <w:t xml:space="preserve"> </w:t>
      </w:r>
      <w:r>
        <w:t xml:space="preserve">below:</w:t>
      </w:r>
      <w:r>
        <w:t xml:space="preserve"> </w:t>
      </w:r>
      <w:r>
        <w:t xml:space="preserve">Timing</w:t>
      </w:r>
      <w:r>
        <w:t xml:space="preserve"> </w:t>
      </w:r>
      <w:r>
        <w:t xml:space="preserve">Step</w:t>
      </w:r>
      <w:r>
        <w:t xml:space="preserve"> </w:t>
      </w:r>
      <w:r>
        <w:t xml:space="preserve">9 March 2021</w:t>
      </w:r>
      <w:r>
        <w:t xml:space="preserve"> </w:t>
      </w:r>
      <w:r>
        <w:t xml:space="preserve">Launch of the evaluation in the Commission’s Decide</w:t>
      </w:r>
      <w:r>
        <w:t xml:space="preserve"> </w:t>
      </w:r>
      <w:r>
        <w:t xml:space="preserve">Planning</w:t>
      </w:r>
      <w:r>
        <w:t xml:space="preserve"> </w:t>
      </w:r>
      <w:r>
        <w:t xml:space="preserve">16 March 2021</w:t>
      </w:r>
      <w:r>
        <w:t xml:space="preserve"> </w:t>
      </w:r>
      <w:r>
        <w:t xml:space="preserve">First ISSG meeting with the following agenda items:</w:t>
      </w:r>
      <w:r>
        <w:t xml:space="preserve"> </w:t>
      </w:r>
      <w:r>
        <w:t xml:space="preserve">-</w:t>
      </w:r>
      <w:r>
        <w:t xml:space="preserve"> </w:t>
      </w:r>
      <w:r>
        <w:t xml:space="preserve">IIA</w:t>
      </w:r>
      <w:r>
        <w:t xml:space="preserve"> </w:t>
      </w:r>
      <w:r>
        <w:t xml:space="preserve">-</w:t>
      </w:r>
      <w:r>
        <w:t xml:space="preserve"> </w:t>
      </w:r>
      <w:r>
        <w:t xml:space="preserve">Questionnaires</w:t>
      </w:r>
      <w:r>
        <w:t xml:space="preserve"> </w:t>
      </w:r>
      <w:r>
        <w:t xml:space="preserve">-</w:t>
      </w:r>
      <w:r>
        <w:t xml:space="preserve"> </w:t>
      </w:r>
      <w:r>
        <w:t xml:space="preserve">Consultation strategy</w:t>
      </w:r>
      <w:r>
        <w:t xml:space="preserve"> </w:t>
      </w:r>
      <w:r>
        <w:t xml:space="preserve">26 March 2021</w:t>
      </w:r>
      <w:r>
        <w:t xml:space="preserve"> </w:t>
      </w:r>
      <w:r>
        <w:t xml:space="preserve">Publication of IIA and launch of 12 week public</w:t>
      </w:r>
      <w:r>
        <w:t xml:space="preserve"> </w:t>
      </w:r>
      <w:r>
        <w:t xml:space="preserve">consultation period</w:t>
      </w:r>
      <w:r>
        <w:t xml:space="preserve"> </w:t>
      </w:r>
      <w:r>
        <w:t xml:space="preserve">August / September</w:t>
      </w:r>
      <w:r>
        <w:t xml:space="preserve"> </w:t>
      </w:r>
      <w:r>
        <w:t xml:space="preserve">2021</w:t>
      </w:r>
      <w:r>
        <w:t xml:space="preserve"> </w:t>
      </w:r>
      <w:r>
        <w:t xml:space="preserve">Publication of summary of public consultation feedback</w:t>
      </w:r>
      <w:r>
        <w:t xml:space="preserve"> </w:t>
      </w:r>
      <w:r>
        <w:t xml:space="preserve">11 October 2021</w:t>
      </w:r>
      <w:r>
        <w:t xml:space="preserve"> </w:t>
      </w:r>
      <w:r>
        <w:t xml:space="preserve">RSB upstream meeting</w:t>
      </w:r>
      <w:r>
        <w:t xml:space="preserve"> </w:t>
      </w:r>
      <w:r>
        <w:t xml:space="preserve">20 October 2021</w:t>
      </w:r>
      <w:r>
        <w:t xml:space="preserve"> </w:t>
      </w:r>
      <w:r>
        <w:t xml:space="preserve">Second ISSG meeting with the following agenda items:</w:t>
      </w:r>
      <w:r>
        <w:t xml:space="preserve"> </w:t>
      </w:r>
      <w:r>
        <w:t xml:space="preserve">-</w:t>
      </w:r>
      <w:r>
        <w:t xml:space="preserve"> </w:t>
      </w:r>
      <w:r>
        <w:t xml:space="preserve">Update on public consultation summary</w:t>
      </w:r>
      <w:r>
        <w:t xml:space="preserve"> </w:t>
      </w:r>
      <w:r>
        <w:t xml:space="preserve">-</w:t>
      </w:r>
      <w:r>
        <w:t xml:space="preserve"> </w:t>
      </w:r>
      <w:r>
        <w:t xml:space="preserve">Presentation of revised laws for consultation of</w:t>
      </w:r>
      <w:r>
        <w:t xml:space="preserve"> </w:t>
      </w:r>
      <w:r>
        <w:t xml:space="preserve">stakeholders</w:t>
      </w:r>
      <w:r>
        <w:t xml:space="preserve"> </w:t>
      </w:r>
      <w:r>
        <w:t xml:space="preserve">6 May 2022</w:t>
      </w:r>
      <w:r>
        <w:t xml:space="preserve"> </w:t>
      </w:r>
      <w:r>
        <w:t xml:space="preserve">Publication of the revised draft Notice on Simplified</w:t>
      </w:r>
      <w:r>
        <w:t xml:space="preserve"> </w:t>
      </w:r>
      <w:r>
        <w:t xml:space="preserve">Procedure, Implementing Regulation and its Annexes and</w:t>
      </w:r>
      <w:r>
        <w:t xml:space="preserve"> </w:t>
      </w:r>
      <w:r>
        <w:t xml:space="preserve">launch of 4 week consultation of stakeholders</w:t>
      </w:r>
      <w:r>
        <w:t xml:space="preserve"> </w:t>
      </w:r>
      <w:r>
        <w:t xml:space="preserve">23 September 2022</w:t>
      </w:r>
      <w:r>
        <w:t xml:space="preserve"> </w:t>
      </w:r>
      <w:r>
        <w:t xml:space="preserve">Third ISSG meeting with the following agenda items:</w:t>
      </w:r>
      <w:r>
        <w:t xml:space="preserve"> </w:t>
      </w:r>
      <w:r>
        <w:t xml:space="preserve">-</w:t>
      </w:r>
      <w:r>
        <w:t xml:space="preserve"> </w:t>
      </w:r>
      <w:r>
        <w:t xml:space="preserve">Update on feedback consultation of stakeholders</w:t>
      </w:r>
      <w:r>
        <w:t xml:space="preserve"> </w:t>
      </w:r>
      <w:r>
        <w:t xml:space="preserve">-</w:t>
      </w:r>
      <w:r>
        <w:t xml:space="preserve"> </w:t>
      </w:r>
      <w:r>
        <w:t xml:space="preserve">Discussion on draft Impact Assessment Report</w:t>
      </w:r>
      <w:r>
        <w:t xml:space="preserve"> </w:t>
      </w:r>
      <w:r>
        <w:t xml:space="preserve">26 October 2022</w:t>
      </w:r>
      <w:r>
        <w:t xml:space="preserve"> </w:t>
      </w:r>
      <w:r>
        <w:t xml:space="preserve">Consultation of the Regulatory Scrutiny Board (“RSB”)</w:t>
      </w:r>
      <w:r>
        <w:t xml:space="preserve"> </w:t>
      </w:r>
      <w:r>
        <w:t xml:space="preserve">28 October 2022</w:t>
      </w:r>
      <w:r>
        <w:t xml:space="preserve"> </w:t>
      </w:r>
      <w:r>
        <w:t xml:space="preserve">Positive Opinion of the RSB</w:t>
      </w:r>
      <w:r>
        <w:t xml:space="preserve"> </w:t>
      </w:r>
      <w:r>
        <w:t xml:space="preserve">30 November 2022</w:t>
      </w:r>
      <w:r>
        <w:t xml:space="preserve"> </w:t>
      </w:r>
      <w:r>
        <w:t xml:space="preserve">Fourth ISSG meeting with the following agenda item:</w:t>
      </w:r>
      <w:r>
        <w:t xml:space="preserve"> </w:t>
      </w:r>
      <w:r>
        <w:t xml:space="preserve">-</w:t>
      </w:r>
      <w:r>
        <w:t xml:space="preserve"> </w:t>
      </w:r>
      <w:r>
        <w:t xml:space="preserve">Update on RSB meeting and explanation on follow-up</w:t>
      </w:r>
      <w:r>
        <w:t xml:space="preserve"> </w:t>
      </w:r>
      <w:r>
        <w:t xml:space="preserve">3. CONSULTATION OF THE REGULATORY SCRUTINY BOARD</w:t>
      </w:r>
      <w:r>
        <w:t xml:space="preserve"> </w:t>
      </w:r>
      <w:r>
        <w:t xml:space="preserve">The meeting with the RSB took place on 26 October 2022. The outcome was a</w:t>
      </w:r>
      <w:r>
        <w:t xml:space="preserve"> </w:t>
      </w:r>
      <w:r>
        <w:t xml:space="preserve">positive opinion, issued on 28 October 2022. The following table provides</w:t>
      </w:r>
      <w:r>
        <w:t xml:space="preserve"> </w:t>
      </w:r>
      <w:r>
        <w:t xml:space="preserve">information on how the comments made by the RSB were addressed:</w:t>
      </w:r>
      <w:r>
        <w:t xml:space="preserve"> </w:t>
      </w:r>
      <w:r>
        <w:t xml:space="preserve">RSB comments</w:t>
      </w:r>
      <w:r>
        <w:t xml:space="preserve"> </w:t>
      </w:r>
      <w:r>
        <w:t xml:space="preserve">Action taken</w:t>
      </w:r>
      <w:r>
        <w:t xml:space="preserve"> </w:t>
      </w:r>
      <w:r>
        <w:t xml:space="preserve">The report does not sufficiently explain</w:t>
      </w:r>
      <w:r>
        <w:t xml:space="preserve"> </w:t>
      </w:r>
      <w:r>
        <w:t xml:space="preserve">the need to still allow for paper format</w:t>
      </w:r>
      <w:r>
        <w:t xml:space="preserve"> </w:t>
      </w:r>
      <w:r>
        <w:t xml:space="preserve">notifications.</w:t>
      </w:r>
      <w:r>
        <w:t xml:space="preserve"> </w:t>
      </w:r>
      <w:r>
        <w:t xml:space="preserve">Additional explanations on why a</w:t>
      </w:r>
      <w:r>
        <w:t xml:space="preserve"> </w:t>
      </w:r>
      <w:r>
        <w:t xml:space="preserve">back-up mechanism in paper format is</w:t>
      </w:r>
      <w:r>
        <w:t xml:space="preserve"> </w:t>
      </w:r>
      <w:r>
        <w:t xml:space="preserve">needed have been included in section 5.</w:t>
      </w:r>
      <w:r>
        <w:t xml:space="preserve"> </w:t>
      </w:r>
      <w:r>
        <w:t xml:space="preserve">The report does not indicate when an</w:t>
      </w:r>
      <w:r>
        <w:t xml:space="preserve"> </w:t>
      </w:r>
      <w:r>
        <w:t xml:space="preserve">evaluation would be carried out.</w:t>
      </w:r>
      <w:r>
        <w:t xml:space="preserve"> </w:t>
      </w:r>
      <w:r>
        <w:t xml:space="preserve">The Report now clarifies that the</w:t>
      </w:r>
      <w:r>
        <w:t xml:space="preserve"> </w:t>
      </w:r>
      <w:r>
        <w:t xml:space="preserve">Commission plans to continuously</w:t>
      </w:r>
      <w:r>
        <w:t xml:space="preserve"> </w:t>
      </w:r>
      <w:r>
        <w:t xml:space="preserve">monitor how the revised rules are</w:t>
      </w:r>
      <w:r>
        <w:t xml:space="preserve"> </w:t>
      </w:r>
      <w:r>
        <w:t xml:space="preserve">functioning and whether they achieve</w:t>
      </w:r>
      <w:r>
        <w:t xml:space="preserve"> </w:t>
      </w:r>
      <w:r>
        <w:t xml:space="preserve">the policy objectives, with reporting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most likely done on an annual basis.</w:t>
      </w:r>
      <w:r>
        <w:t xml:space="preserve"> </w:t>
      </w:r>
      <w:r>
        <w:t xml:space="preserve">The report should better justify why it</w:t>
      </w:r>
      <w:r>
        <w:t xml:space="preserve"> </w:t>
      </w:r>
      <w:r>
        <w:t xml:space="preserve">retains the possibility of paper format</w:t>
      </w:r>
      <w:r>
        <w:t xml:space="preserve"> </w:t>
      </w:r>
      <w:r>
        <w:t xml:space="preserve">notifications and explain how this is</w:t>
      </w:r>
      <w:r>
        <w:t xml:space="preserve"> </w:t>
      </w:r>
      <w:r>
        <w:t xml:space="preserve">compatible with the ‘digital by default’</w:t>
      </w:r>
      <w:r>
        <w:t xml:space="preserve"> </w:t>
      </w:r>
      <w:r>
        <w:t xml:space="preserve">principle.</w:t>
      </w:r>
      <w:r>
        <w:t xml:space="preserve"> </w:t>
      </w:r>
      <w:r>
        <w:t xml:space="preserve">Additional explanations on why a</w:t>
      </w:r>
      <w:r>
        <w:t xml:space="preserve"> </w:t>
      </w:r>
      <w:r>
        <w:t xml:space="preserve">back-up mechanism of notifications in</w:t>
      </w:r>
      <w:r>
        <w:t xml:space="preserve"> </w:t>
      </w:r>
      <w:r>
        <w:t xml:space="preserve">paper format is needed have been</w:t>
      </w:r>
      <w:r>
        <w:t xml:space="preserve"> </w:t>
      </w:r>
      <w:r>
        <w:t xml:space="preserve">included in section 5.</w:t>
      </w:r>
      <w:r>
        <w:t xml:space="preserve"> </w:t>
      </w:r>
      <w:r>
        <w:t xml:space="preserve">The report should explain what success</w:t>
      </w:r>
      <w:r>
        <w:t xml:space="preserve"> </w:t>
      </w:r>
      <w:r>
        <w:t xml:space="preserve">of the initiative would look like and on</w:t>
      </w:r>
      <w:r>
        <w:t xml:space="preserve"> </w:t>
      </w:r>
      <w:r>
        <w:t xml:space="preserve">the</w:t>
      </w:r>
      <w:r>
        <w:t xml:space="preserve"> </w:t>
      </w:r>
      <w:r>
        <w:t xml:space="preserve">basis of which monitoring indicators</w:t>
      </w:r>
      <w:r>
        <w:t xml:space="preserve"> </w:t>
      </w:r>
      <w:r>
        <w:t xml:space="preserve">progress would be measured.</w:t>
      </w:r>
    </w:p>
    <w:p>
      <w:pPr>
        <w:pStyle w:val="BodyText"/>
      </w:pPr>
      <w:r>
        <w:t xml:space="preserve">Additional</w:t>
      </w:r>
      <w:r>
        <w:t xml:space="preserve"> </w:t>
      </w:r>
      <w:r>
        <w:t xml:space="preserve">explanations</w:t>
      </w:r>
      <w:r>
        <w:t xml:space="preserve"> </w:t>
      </w:r>
      <w:r>
        <w:t xml:space="preserve">on</w:t>
      </w:r>
      <w:r>
        <w:t xml:space="preserve"> </w:t>
      </w:r>
      <w:r>
        <w:t xml:space="preserve">what</w:t>
      </w:r>
      <w:r>
        <w:t xml:space="preserve"> </w:t>
      </w:r>
      <w:r>
        <w:t xml:space="preserve">success of the initiative would look like</w:t>
      </w:r>
      <w:r>
        <w:t xml:space="preserve"> </w:t>
      </w:r>
      <w:r>
        <w:t xml:space="preserve">and monitoring indicators have been</w:t>
      </w:r>
      <w:r>
        <w:t xml:space="preserve"> </w:t>
      </w:r>
      <w:r>
        <w:t xml:space="preserve">included in section 9.</w:t>
      </w:r>
      <w:r>
        <w:t xml:space="preserve"> </w:t>
      </w:r>
      <w:r>
        <w:t xml:space="preserve">It should indicate when an evaluation is</w:t>
      </w:r>
      <w:r>
        <w:t xml:space="preserve"> </w:t>
      </w:r>
      <w:r>
        <w:t xml:space="preserve">planned to determine to what extent the</w:t>
      </w:r>
      <w:r>
        <w:t xml:space="preserve"> </w:t>
      </w:r>
      <w:r>
        <w:t xml:space="preserve">objectives of the revision are being met.</w:t>
      </w:r>
      <w:r>
        <w:t xml:space="preserve"> </w:t>
      </w:r>
      <w:r>
        <w:t xml:space="preserve">Certain metrics have been inserted in</w:t>
      </w:r>
      <w:r>
        <w:t xml:space="preserve"> </w:t>
      </w:r>
      <w:r>
        <w:t xml:space="preserve">section 9, which will be used to</w:t>
      </w:r>
      <w:r>
        <w:t xml:space="preserve"> </w:t>
      </w:r>
      <w:r>
        <w:t xml:space="preserve">measure success of this initiative, as</w:t>
      </w:r>
      <w:r>
        <w:t xml:space="preserve"> </w:t>
      </w:r>
      <w:r>
        <w:t xml:space="preserve">well as the method to obtain the</w:t>
      </w:r>
      <w:r>
        <w:t xml:space="preserve"> </w:t>
      </w:r>
      <w:r>
        <w:t xml:space="preserve">necessary underlying data.</w:t>
      </w:r>
      <w:r>
        <w:t xml:space="preserve"> </w:t>
      </w:r>
      <w:r>
        <w:t xml:space="preserve">The</w:t>
      </w:r>
      <w:r>
        <w:t xml:space="preserve"> </w:t>
      </w:r>
      <w:r>
        <w:t xml:space="preserve">report</w:t>
      </w:r>
      <w:r>
        <w:t xml:space="preserve"> </w:t>
      </w:r>
      <w:r>
        <w:t xml:space="preserve">refers</w:t>
      </w:r>
      <w:r>
        <w:t xml:space="preserve"> </w:t>
      </w:r>
      <w:r>
        <w:t xml:space="preserve">to</w:t>
      </w:r>
      <w:r>
        <w:t xml:space="preserve"> </w:t>
      </w:r>
      <w:r>
        <w:t xml:space="preserve">significant</w:t>
      </w:r>
      <w:r>
        <w:t xml:space="preserve"> </w:t>
      </w:r>
      <w:r>
        <w:t xml:space="preserve">administrative burden reduction from</w:t>
      </w:r>
      <w:r>
        <w:t xml:space="preserve"> </w:t>
      </w:r>
      <w:r>
        <w:t xml:space="preserve">the</w:t>
      </w:r>
      <w:r>
        <w:t xml:space="preserve"> </w:t>
      </w:r>
      <w:r>
        <w:t xml:space="preserve">measures</w:t>
      </w:r>
      <w:r>
        <w:t xml:space="preserve"> </w:t>
      </w:r>
      <w:r>
        <w:t xml:space="preserve">under</w:t>
      </w:r>
      <w:r>
        <w:t xml:space="preserve"> </w:t>
      </w:r>
      <w:r>
        <w:t xml:space="preserve">consideration.</w:t>
      </w:r>
      <w:r>
        <w:t xml:space="preserve"> </w:t>
      </w:r>
      <w:r>
        <w:t xml:space="preserve">Since quantification was not possible,</w:t>
      </w:r>
      <w:r>
        <w:t xml:space="preserve"> </w:t>
      </w:r>
      <w:r>
        <w:t xml:space="preserve">the report should clarify what the</w:t>
      </w:r>
      <w:r>
        <w:t xml:space="preserve"> </w:t>
      </w:r>
      <w:r>
        <w:t xml:space="preserve">evidence basis is for describing the cost</w:t>
      </w:r>
      <w:r>
        <w:t xml:space="preserve"> </w:t>
      </w:r>
      <w:r>
        <w:t xml:space="preserve">savings as ‘significant’. It should</w:t>
      </w:r>
      <w:r>
        <w:t xml:space="preserve"> </w:t>
      </w:r>
      <w:r>
        <w:t xml:space="preserve">qualify this by better highlighting that</w:t>
      </w:r>
      <w:r>
        <w:t xml:space="preserve"> </w:t>
      </w:r>
      <w:r>
        <w:t xml:space="preserve">savings for individual cases may be</w:t>
      </w:r>
      <w:r>
        <w:t xml:space="preserve"> </w:t>
      </w:r>
      <w:r>
        <w:t xml:space="preserve">significant, but the aggregate impact of</w:t>
      </w:r>
      <w:r>
        <w:t xml:space="preserve"> </w:t>
      </w:r>
      <w:r>
        <w:t xml:space="preserve">the initiative is likely to be limited</w:t>
      </w:r>
      <w:r>
        <w:t xml:space="preserve"> </w:t>
      </w:r>
      <w:r>
        <w:t xml:space="preserve">given the small number of additional</w:t>
      </w:r>
      <w:r>
        <w:t xml:space="preserve"> </w:t>
      </w:r>
      <w:r>
        <w:t xml:space="preserve">cases that will be captured under the</w:t>
      </w:r>
      <w:r>
        <w:t xml:space="preserve"> </w:t>
      </w:r>
      <w:r>
        <w:t xml:space="preserve">simplified procedures.</w:t>
      </w:r>
      <w:r>
        <w:t xml:space="preserve"> </w:t>
      </w:r>
      <w:r>
        <w:t xml:space="preserve">It has been highlighted that aggregate</w:t>
      </w:r>
      <w:r>
        <w:t xml:space="preserve"> </w:t>
      </w:r>
      <w:r>
        <w:t xml:space="preserve">impact will be limited given the small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additional</w:t>
      </w:r>
      <w:r>
        <w:t xml:space="preserve"> </w:t>
      </w:r>
      <w:r>
        <w:t xml:space="preserve">cases</w:t>
      </w:r>
      <w:r>
        <w:t xml:space="preserve"> </w:t>
      </w:r>
      <w:r>
        <w:t xml:space="preserve">and</w:t>
      </w:r>
      <w:r>
        <w:t xml:space="preserve"> </w:t>
      </w:r>
      <w:r>
        <w:t xml:space="preserve">additional data on cost savings has</w:t>
      </w:r>
      <w:r>
        <w:t xml:space="preserve"> </w:t>
      </w:r>
      <w:r>
        <w:t xml:space="preserve">been included in the sections 6 and 8.</w:t>
      </w:r>
      <w:r>
        <w:t xml:space="preserve"> </w:t>
      </w:r>
      <w:r>
        <w:t xml:space="preserve">The report should better explain the</w:t>
      </w:r>
      <w:r>
        <w:t xml:space="preserve"> </w:t>
      </w:r>
      <w:r>
        <w:t xml:space="preserve">system current in place and clarify</w:t>
      </w:r>
      <w:r>
        <w:t xml:space="preserve"> </w:t>
      </w:r>
      <w:r>
        <w:t xml:space="preserve">some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more</w:t>
      </w:r>
      <w:r>
        <w:t xml:space="preserve"> </w:t>
      </w:r>
      <w:r>
        <w:t xml:space="preserve">technical</w:t>
      </w:r>
      <w:r>
        <w:t xml:space="preserve"> </w:t>
      </w:r>
      <w:r>
        <w:t xml:space="preserve">terms/aspects.</w:t>
      </w:r>
      <w:r>
        <w:t xml:space="preserve"> </w:t>
      </w:r>
      <w:r>
        <w:t xml:space="preserve">The introductory section 1 has been</w:t>
      </w:r>
      <w:r>
        <w:t xml:space="preserve"> </w:t>
      </w:r>
      <w:r>
        <w:t xml:space="preserve">expanded to explain better the current</w:t>
      </w:r>
      <w:r>
        <w:t xml:space="preserve"> </w:t>
      </w:r>
      <w:r>
        <w:t xml:space="preserve">merger</w:t>
      </w:r>
      <w:r>
        <w:t xml:space="preserve"> </w:t>
      </w:r>
      <w:r>
        <w:t xml:space="preserve">control</w:t>
      </w:r>
      <w:r>
        <w:t xml:space="preserve"> </w:t>
      </w:r>
      <w:r>
        <w:t xml:space="preserve">system</w:t>
      </w:r>
      <w:r>
        <w:t xml:space="preserve"> </w:t>
      </w:r>
      <w:r>
        <w:t xml:space="preserve">in</w:t>
      </w:r>
      <w:r>
        <w:t xml:space="preserve"> </w:t>
      </w:r>
      <w:r>
        <w:t xml:space="preserve">place.</w:t>
      </w:r>
      <w:r>
        <w:t xml:space="preserve"> </w:t>
      </w:r>
      <w:r>
        <w:t xml:space="preserve">Missing technical terms have been</w:t>
      </w:r>
      <w:r>
        <w:t xml:space="preserve"> </w:t>
      </w:r>
      <w:r>
        <w:t xml:space="preserve">added to the glossary.</w:t>
      </w:r>
      <w:r>
        <w:t xml:space="preserve"> </w:t>
      </w:r>
      <w:r>
        <w:t xml:space="preserve">4. EVIDENCE USED IN IMPACT ASSESSMENT</w:t>
      </w:r>
      <w:r>
        <w:t xml:space="preserve"> </w:t>
      </w:r>
      <w:r>
        <w:t xml:space="preserve">DG COMP’s impact assessment is based on a wide body of evidence, from</w:t>
      </w:r>
      <w:r>
        <w:t xml:space="preserve"> </w:t>
      </w:r>
      <w:r>
        <w:t xml:space="preserve">various sources including (i) evidence gathered previously, and mainly in the</w:t>
      </w:r>
      <w:r>
        <w:t xml:space="preserve"> </w:t>
      </w:r>
      <w:r>
        <w:t xml:space="preserve">context of the Commission’s evaluation of procedural and jurisdictional aspects</w:t>
      </w:r>
      <w:r>
        <w:t xml:space="preserve"> </w:t>
      </w:r>
      <w:r>
        <w:t xml:space="preserve">of EU merger control, (ii) the results of the three consultations DG COMP</w:t>
      </w:r>
      <w:r>
        <w:t xml:space="preserve"> </w:t>
      </w:r>
      <w:r>
        <w:t xml:space="preserve">launched in the context of this initiative, (iii) discussions with NCAs, and (iv) the</w:t>
      </w:r>
      <w:r>
        <w:t xml:space="preserve"> </w:t>
      </w:r>
      <w:r>
        <w:t xml:space="preserve">results of DG COMP’s internal research.</w:t>
      </w:r>
      <w:r>
        <w:t xml:space="preserve"> </w:t>
      </w:r>
      <w:r>
        <w:t xml:space="preserve">4.1. Evidence gathered in the context of the Commission’s evaluation of</w:t>
      </w:r>
      <w:r>
        <w:t xml:space="preserve"> </w:t>
      </w:r>
      <w:r>
        <w:t xml:space="preserve">procedural and jurisdictional aspects of EU merger control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The evidence gathered in the context of the Commission’s evaluation of</w:t>
      </w:r>
      <w:r>
        <w:t xml:space="preserve"> </w:t>
      </w:r>
      <w:r>
        <w:t xml:space="preserve">procedural and jurisdictional aspects of EU merger control indicates that the 2013</w:t>
      </w:r>
      <w:r>
        <w:t xml:space="preserve"> </w:t>
      </w:r>
      <w:r>
        <w:t xml:space="preserve">simplification package has met its objective of widening the scope of the</w:t>
      </w:r>
      <w:r>
        <w:t xml:space="preserve"> </w:t>
      </w:r>
      <w:r>
        <w:t xml:space="preserve">simplified procedure, as the number of cases treated under this procedure.</w:t>
      </w:r>
      <w:r>
        <w:t xml:space="preserve"> </w:t>
      </w:r>
      <w:r>
        <w:t xml:space="preserve">However, it also revealed that there is still some room to further streamline the</w:t>
      </w:r>
      <w:r>
        <w:t xml:space="preserve"> </w:t>
      </w:r>
      <w:r>
        <w:t xml:space="preserve">enforcement by the Commission of EU merger control, without introducing</w:t>
      </w:r>
      <w:r>
        <w:t xml:space="preserve"> </w:t>
      </w:r>
      <w:r>
        <w:t xml:space="preserve">legislative changes to the EU Merger Regulation (“EUMR”). More particularly,</w:t>
      </w:r>
      <w:r>
        <w:t xml:space="preserve"> </w:t>
      </w:r>
      <w:r>
        <w:t xml:space="preserve">the Evaluation showed that there may be some scope for further expansion of the</w:t>
      </w:r>
      <w:r>
        <w:t xml:space="preserve"> </w:t>
      </w:r>
      <w:r>
        <w:t xml:space="preserve">categories of simplified cases, or for introducing additional flexibility to the</w:t>
      </w:r>
      <w:r>
        <w:t xml:space="preserve"> </w:t>
      </w:r>
      <w:r>
        <w:t xml:space="preserve">review of cases under the simplified procedure. It also showed that the system</w:t>
      </w:r>
      <w:r>
        <w:t xml:space="preserve"> </w:t>
      </w:r>
      <w:r>
        <w:t xml:space="preserve">may also benefit from further clarifications and reductions of the information</w:t>
      </w:r>
      <w:r>
        <w:t xml:space="preserve"> </w:t>
      </w:r>
      <w:r>
        <w:t xml:space="preserve">requirements. Indeed, while the Commission has had overall positive experiences</w:t>
      </w:r>
      <w:r>
        <w:t xml:space="preserve"> </w:t>
      </w:r>
      <w:r>
        <w:t xml:space="preserve">with the updated notification forms in its case practice, some shortcomings were</w:t>
      </w:r>
      <w:r>
        <w:t xml:space="preserve"> </w:t>
      </w:r>
      <w:r>
        <w:t xml:space="preserve">identified relating to the notification forms themselves, as well as to the use of</w:t>
      </w:r>
      <w:r>
        <w:t xml:space="preserve"> </w:t>
      </w:r>
      <w:r>
        <w:t xml:space="preserve">information requests.</w:t>
      </w:r>
      <w:r>
        <w:br/>
      </w:r>
      <w:r>
        <w:t xml:space="preserve">4.2. Results of the consultations</w:t>
      </w:r>
      <w:r>
        <w:t xml:space="preserve"> </w:t>
      </w:r>
      <w:r>
        <w:t xml:space="preserve">In the context of the impact assessment, DG COMP launched three public</w:t>
      </w:r>
      <w:r>
        <w:t xml:space="preserve"> </w:t>
      </w:r>
      <w:r>
        <w:t xml:space="preserve">consultations. More concretely, the Commission launched a first public</w:t>
      </w:r>
      <w:r>
        <w:t xml:space="preserve"> </w:t>
      </w:r>
      <w:r>
        <w:t xml:space="preserve">consultation from 26 March 2021 to 18 June 2021 (the “Public Consultation”),</w:t>
      </w:r>
      <w:r>
        <w:t xml:space="preserve"> </w:t>
      </w:r>
      <w:r>
        <w:t xml:space="preserve">covering different options considered for further targeting and simplifying its</w:t>
      </w:r>
      <w:r>
        <w:t xml:space="preserve"> </w:t>
      </w:r>
      <w:r>
        <w:t xml:space="preserve">merger review, for both simplified and - where possible - non-simplified merger</w:t>
      </w:r>
      <w:r>
        <w:t xml:space="preserve"> </w:t>
      </w:r>
      <w:r>
        <w:t xml:space="preserve">cases, without compromising effective merger enforcement. Then, following the</w:t>
      </w:r>
      <w:r>
        <w:t xml:space="preserve"> </w:t>
      </w:r>
      <w:r>
        <w:t xml:space="preserve">assessment of the feedback received during the Public Consultation and further</w:t>
      </w:r>
      <w:r>
        <w:t xml:space="preserve"> </w:t>
      </w:r>
      <w:r>
        <w:t xml:space="preserve">internal research, the Commission reviewed the Implementing Regulation and the</w:t>
      </w:r>
      <w:r>
        <w:t xml:space="preserve"> </w:t>
      </w:r>
      <w:r>
        <w:t xml:space="preserve">Notice on Simplified Procedure and prepared revised draft legal texts on which it</w:t>
      </w:r>
      <w:r>
        <w:t xml:space="preserve"> </w:t>
      </w:r>
      <w:r>
        <w:t xml:space="preserve">launched a second consultation of stakeholders from 6 May 2022 to 3 June 2022</w:t>
      </w:r>
      <w:r>
        <w:t xml:space="preserve"> </w:t>
      </w:r>
      <w:r>
        <w:t xml:space="preserve">(the “Consultation of Stakeholders”). A third targeted public consultation took</w:t>
      </w:r>
      <w:r>
        <w:t xml:space="preserve"> </w:t>
      </w:r>
      <w:r>
        <w:t xml:space="preserve">place from 5 to 19 October 2022 on a proposed modification to Article 9 of the</w:t>
      </w:r>
      <w:r>
        <w:t xml:space="preserve"> </w:t>
      </w:r>
      <w:r>
        <w:t xml:space="preserve">Implementing Regulation.</w:t>
      </w:r>
      <w:r>
        <w:t xml:space="preserve"> </w:t>
      </w:r>
      <w:r>
        <w:t xml:space="preserve">The Commission analysed carefully but critically all stakeholder feedback,</w:t>
      </w:r>
      <w:r>
        <w:t xml:space="preserve"> </w:t>
      </w:r>
      <w:r>
        <w:t xml:space="preserve">recognising that not every view reflects the opinion of all stakeholders. The</w:t>
      </w:r>
      <w:r>
        <w:t xml:space="preserve"> </w:t>
      </w:r>
      <w:r>
        <w:t xml:space="preserve">Commission also sought to confirm whether a particular view was held by all or</w:t>
      </w:r>
      <w:r>
        <w:t xml:space="preserve"> </w:t>
      </w:r>
      <w:r>
        <w:t xml:space="preserve">by only specific categories of stakeholders. All results gathered in this exercise</w:t>
      </w:r>
      <w:r>
        <w:t xml:space="preserve"> </w:t>
      </w:r>
      <w:r>
        <w:t xml:space="preserve">were taken into account in the impact assessment.</w:t>
      </w:r>
      <w:r>
        <w:t xml:space="preserve"> </w:t>
      </w:r>
      <w:r>
        <w:t xml:space="preserve">4.3. Discussions with NCAs</w:t>
      </w:r>
      <w:r>
        <w:t xml:space="preserve"> </w:t>
      </w:r>
      <w:r>
        <w:t xml:space="preserve">The views of NCAs were sought in the context of the three consultations, and</w:t>
      </w:r>
      <w:r>
        <w:t xml:space="preserve"> </w:t>
      </w:r>
      <w:r>
        <w:t xml:space="preserve">NCAs were also frequently consulted in the context of Merger Working Group</w:t>
      </w:r>
      <w:r>
        <w:t xml:space="preserve"> </w:t>
      </w:r>
      <w:r>
        <w:t xml:space="preserve">meetings (i.e., regular meetings between the Commission and the NCAs) during</w:t>
      </w:r>
      <w:r>
        <w:t xml:space="preserve"> </w:t>
      </w:r>
      <w:r>
        <w:t xml:space="preserve">which they were invited to provide feedback on all aspects of the initiative. All</w:t>
      </w:r>
      <w:r>
        <w:t xml:space="preserve"> </w:t>
      </w:r>
      <w:r>
        <w:t xml:space="preserve">feedback received was taken into account in the impact assessment.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4.4. Results of DG COMP’s internal research</w:t>
      </w:r>
      <w:r>
        <w:t xml:space="preserve"> </w:t>
      </w:r>
      <w:r>
        <w:t xml:space="preserve">DG COMP carried out extensive internal research in order to assess the proposals</w:t>
      </w:r>
      <w:r>
        <w:t xml:space="preserve"> </w:t>
      </w:r>
      <w:r>
        <w:t xml:space="preserve">made. In particular, the Commission reviewed: (i) the intervention cases57 in</w:t>
      </w:r>
      <w:r>
        <w:t xml:space="preserve"> </w:t>
      </w:r>
      <w:r>
        <w:t xml:space="preserve">2015-2020 in order to assess the risks of introducing new categories of simplified</w:t>
      </w:r>
      <w:r>
        <w:t xml:space="preserve"> </w:t>
      </w:r>
      <w:r>
        <w:t xml:space="preserve">cases and (ii) all normal (non-simplified) cases in January 2020-June 2021 in</w:t>
      </w:r>
      <w:r>
        <w:t xml:space="preserve"> </w:t>
      </w:r>
      <w:r>
        <w:t xml:space="preserve">order to quantify the benefits of the introduction of new categories of simplified</w:t>
      </w:r>
      <w:r>
        <w:t xml:space="preserve"> </w:t>
      </w:r>
      <w:r>
        <w:t xml:space="preserve">cases.58</w:t>
      </w:r>
      <w:r>
        <w:br/>
      </w:r>
      <w:r>
        <w:t xml:space="preserve">Furthermore, the Commission modified the internal data collection used in</w:t>
      </w:r>
      <w:r>
        <w:t xml:space="preserve"> </w:t>
      </w:r>
      <w:r>
        <w:t xml:space="preserve">simplified and normal cases in order to gather relevant information on current</w:t>
      </w:r>
      <w:r>
        <w:t xml:space="preserve"> </w:t>
      </w:r>
      <w:r>
        <w:t xml:space="preserve">cases. For instance, the Commission calculated the total number of requests for</w:t>
      </w:r>
      <w:r>
        <w:t xml:space="preserve"> </w:t>
      </w:r>
      <w:r>
        <w:t xml:space="preserve">information sent in pre-notification in simplified cases and the number of</w:t>
      </w:r>
      <w:r>
        <w:t xml:space="preserve"> </w:t>
      </w:r>
      <w:r>
        <w:t xml:space="preserve">questions on jurisdictional issues and on substantive assessment.</w:t>
      </w:r>
      <w:r>
        <w:t xml:space="preserve"> </w:t>
      </w:r>
      <w:r>
        <w:t xml:space="preserve">The results of this internal research were fed into the impact assessment.</w:t>
      </w:r>
      <w:r>
        <w:t xml:space="preserve"> </w:t>
      </w:r>
      <w:r>
        <w:t xml:space="preserve">5. EXTERNAL EXPERTISE</w:t>
      </w:r>
      <w:r>
        <w:t xml:space="preserve"> </w:t>
      </w:r>
      <w:r>
        <w:t xml:space="preserve">DG COMP did not commission expert advice in the context of this initiative to</w:t>
      </w:r>
      <w:r>
        <w:t xml:space="preserve"> </w:t>
      </w:r>
      <w:r>
        <w:t xml:space="preserve">inform the impact assessment, as it was able to gather all required evidence</w:t>
      </w:r>
      <w:r>
        <w:t xml:space="preserve"> </w:t>
      </w:r>
      <w:r>
        <w:t xml:space="preserve">otherwise.</w:t>
      </w:r>
    </w:p>
    <w:p>
      <w:pPr>
        <w:pStyle w:val="BodyText"/>
      </w:pPr>
      <w:r>
        <w:t xml:space="preserve">57</w:t>
      </w:r>
      <w:r>
        <w:br/>
      </w:r>
      <w:r>
        <w:t xml:space="preserve">Namely, prohibitions and conditional approvals.</w:t>
      </w:r>
      <w:r>
        <w:t xml:space="preserve"> </w:t>
      </w:r>
      <w:r>
        <w:t xml:space="preserve">58</w:t>
      </w:r>
      <w:r>
        <w:br/>
      </w:r>
      <w:r>
        <w:t xml:space="preserve">The Commission used this research to estimate the number of unproblematic cases and/or markets</w:t>
      </w:r>
      <w:r>
        <w:t xml:space="preserve"> </w:t>
      </w:r>
      <w:r>
        <w:t xml:space="preserve">that would have benefitted from a simplified/streamlined review based on the new categories</w:t>
      </w:r>
      <w:r>
        <w:t xml:space="preserve"> </w:t>
      </w:r>
      <w:r>
        <w:t xml:space="preserve">proposed.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ANNEX 2 - STAKEHOLDER CONSULTATION</w:t>
      </w:r>
      <w:r>
        <w:t xml:space="preserve"> </w:t>
      </w:r>
      <w:r>
        <w:t xml:space="preserve">This annex presents the results of the consultation activities conducted in the context of the</w:t>
      </w:r>
      <w:r>
        <w:t xml:space="preserve"> </w:t>
      </w:r>
      <w:r>
        <w:t xml:space="preserve">impact assessment of the Commission’s initiative on simplifying and streamlining EU merger</w:t>
      </w:r>
      <w:r>
        <w:t xml:space="preserve"> </w:t>
      </w:r>
      <w:r>
        <w:t xml:space="preserve">procedural rules.</w:t>
      </w:r>
      <w:r>
        <w:br/>
      </w:r>
      <w:r>
        <w:t xml:space="preserve">As explained in the context of the First Public Consultation,59 the Commission mapped the target</w:t>
      </w:r>
      <w:r>
        <w:t xml:space="preserve"> </w:t>
      </w:r>
      <w:r>
        <w:t xml:space="preserve">audience for the different consultation activities similarly as for the consultations conducted</w:t>
      </w:r>
      <w:r>
        <w:t xml:space="preserve"> </w:t>
      </w:r>
      <w:r>
        <w:t xml:space="preserve">during the evaluation. The Commission thus identified the following stakeholder groups as being</w:t>
      </w:r>
      <w:r>
        <w:t xml:space="preserve"> </w:t>
      </w:r>
      <w:r>
        <w:t xml:space="preserve">similarly interested in (and also similarly affected by) the impact assessment of the merger</w:t>
      </w:r>
      <w:r>
        <w:t xml:space="preserve"> </w:t>
      </w:r>
      <w:r>
        <w:t xml:space="preserve">simplification/streamlining initiative:</w:t>
      </w:r>
      <w:r>
        <w:br/>
      </w:r>
      <w:r>
        <w:t xml:space="preserve"></w:t>
      </w:r>
      <w:r>
        <w:t xml:space="preserve"> </w:t>
      </w:r>
      <w:r>
        <w:t xml:space="preserve">Public stakeholders (including national competition authorities (“NCAs”) or government</w:t>
      </w:r>
      <w:r>
        <w:t xml:space="preserve"> </w:t>
      </w:r>
      <w:r>
        <w:t xml:space="preserve">bodies);</w:t>
      </w:r>
      <w:r>
        <w:br/>
      </w:r>
      <w:r>
        <w:t xml:space="preserve"></w:t>
      </w:r>
      <w:r>
        <w:t xml:space="preserve"> </w:t>
      </w:r>
      <w:r>
        <w:t xml:space="preserve">Law firms;</w:t>
      </w:r>
      <w:r>
        <w:t xml:space="preserve"> </w:t>
      </w:r>
      <w:r>
        <w:t xml:space="preserve"></w:t>
      </w:r>
      <w:r>
        <w:t xml:space="preserve"> </w:t>
      </w:r>
      <w:r>
        <w:t xml:space="preserve">Companies; and</w:t>
      </w:r>
      <w:r>
        <w:br/>
      </w:r>
      <w:r>
        <w:t xml:space="preserve"></w:t>
      </w:r>
      <w:r>
        <w:t xml:space="preserve"> </w:t>
      </w:r>
      <w:r>
        <w:t xml:space="preserve">Other private stakeholders (including business associations, consumer associations, and other</w:t>
      </w:r>
      <w:r>
        <w:t xml:space="preserve"> </w:t>
      </w:r>
      <w:r>
        <w:t xml:space="preserve">private stakeholders).60</w:t>
      </w:r>
      <w:r>
        <w:br/>
      </w:r>
      <w:r>
        <w:t xml:space="preserve">The various consultation activities that the Commission conducted in the context of the impact</w:t>
      </w:r>
      <w:r>
        <w:t xml:space="preserve"> </w:t>
      </w:r>
      <w:r>
        <w:t xml:space="preserve">assessment of the Commission’s initiative on simplifying and streamlining EU merger procedural</w:t>
      </w:r>
      <w:r>
        <w:t xml:space="preserve"> </w:t>
      </w:r>
      <w:r>
        <w:t xml:space="preserve">rules are the following:</w:t>
      </w:r>
      <w:r>
        <w:br/>
      </w:r>
      <w:r>
        <w:t xml:space="preserve"></w:t>
      </w:r>
      <w:r>
        <w:t xml:space="preserve"> </w:t>
      </w:r>
      <w:r>
        <w:t xml:space="preserve">a consultation on the inception impact assessment (“IIA”);</w:t>
      </w:r>
      <w:r>
        <w:t xml:space="preserve"> </w:t>
      </w:r>
      <w:r>
        <w:t xml:space="preserve"></w:t>
      </w:r>
      <w:r>
        <w:t xml:space="preserve"> </w:t>
      </w:r>
      <w:r>
        <w:t xml:space="preserve">an open public consultation based on an online questionnaire (the “First Public</w:t>
      </w:r>
      <w:r>
        <w:t xml:space="preserve"> </w:t>
      </w:r>
      <w:r>
        <w:t xml:space="preserve">Consultation”);</w:t>
      </w:r>
      <w:r>
        <w:br/>
      </w:r>
      <w:r>
        <w:t xml:space="preserve"></w:t>
      </w:r>
      <w:r>
        <w:t xml:space="preserve"> </w:t>
      </w:r>
      <w:r>
        <w:t xml:space="preserve">an open public consultation based on a draft revised Implementing Regulation (and its</w:t>
      </w:r>
      <w:r>
        <w:t xml:space="preserve"> </w:t>
      </w:r>
      <w:r>
        <w:t xml:space="preserve">Annexes and accompanying document) and a draft revised Notice on Simplified Procedure</w:t>
      </w:r>
      <w:r>
        <w:t xml:space="preserve"> </w:t>
      </w:r>
      <w:r>
        <w:t xml:space="preserve">(together, the “draft revised legal documents”) (the “Second Public Consultation”).</w:t>
      </w:r>
      <w:r>
        <w:br/>
      </w:r>
      <w:r>
        <w:t xml:space="preserve">The different consultation activities mentioned in this annex aimed to gather input from</w:t>
      </w:r>
      <w:r>
        <w:t xml:space="preserve"> </w:t>
      </w:r>
      <w:r>
        <w:t xml:space="preserve">stakeholders on policy options proposed for the simplification/streamlining of EU merger</w:t>
      </w:r>
      <w:r>
        <w:t xml:space="preserve"> </w:t>
      </w:r>
      <w:r>
        <w:t xml:space="preserve">procedural rules and also on possible combinations of these policy options.</w:t>
      </w:r>
      <w:r>
        <w:br/>
      </w:r>
      <w:r>
        <w:t xml:space="preserve">2.1.</w:t>
      </w:r>
      <w:r>
        <w:t xml:space="preserve"> </w:t>
      </w:r>
      <w:r>
        <w:t xml:space="preserve">Consultation on the Inception Impact Assessment</w:t>
      </w:r>
      <w:r>
        <w:t xml:space="preserve"> </w:t>
      </w:r>
      <w:r>
        <w:t xml:space="preserve">The Commission published the IIA on the Commission’s initiative on simplifying and</w:t>
      </w:r>
      <w:r>
        <w:t xml:space="preserve"> </w:t>
      </w:r>
      <w:r>
        <w:t xml:space="preserve">streamlining EU merger procedural rules on 26 March 2021. The Commission received 5</w:t>
      </w:r>
      <w:r>
        <w:t xml:space="preserve"> </w:t>
      </w:r>
      <w:r>
        <w:t xml:space="preserve">submissions as feedback to the IIA: 1 from a public stakeholder; 2 from companies; and 2 from</w:t>
      </w:r>
      <w:r>
        <w:t xml:space="preserve"> </w:t>
      </w:r>
      <w:r>
        <w:t xml:space="preserve">other private stakeholders (business associations), who welcomed the proposals made and</w:t>
      </w:r>
      <w:r>
        <w:t xml:space="preserve"> </w:t>
      </w:r>
      <w:r>
        <w:t xml:space="preserve">supported the initiative. Moreover, some stakeholders referred to other topics outside the scope of</w:t>
      </w:r>
      <w:r>
        <w:t xml:space="preserve"> </w:t>
      </w:r>
      <w:r>
        <w:t xml:space="preserve">the IIA, such as the new Guidance on Article 22 referrals published by the Commission on 26</w:t>
      </w:r>
      <w:r>
        <w:t xml:space="preserve"> </w:t>
      </w:r>
      <w:r>
        <w:t xml:space="preserve">March 2021 and substantive topics such as the challenges of globalisation or digitalisation for EU</w:t>
      </w:r>
      <w:r>
        <w:t xml:space="preserve"> </w:t>
      </w:r>
      <w:r>
        <w:t xml:space="preserve">merger control.</w:t>
      </w:r>
    </w:p>
    <w:p>
      <w:pPr>
        <w:pStyle w:val="BodyText"/>
      </w:pPr>
      <w:r>
        <w:t xml:space="preserve">59</w:t>
      </w:r>
      <w:r>
        <w:br/>
      </w:r>
      <w:r>
        <w:t xml:space="preserve">See Commission Staff Working Document – Evaluation of procedural and jurisdictional aspects of</w:t>
      </w:r>
      <w:r>
        <w:t xml:space="preserve"> </w:t>
      </w:r>
      <w:r>
        <w:t xml:space="preserve">EU</w:t>
      </w:r>
      <w:r>
        <w:t xml:space="preserve"> </w:t>
      </w:r>
      <w:r>
        <w:t xml:space="preserve">merger</w:t>
      </w:r>
      <w:r>
        <w:t xml:space="preserve"> </w:t>
      </w:r>
      <w:r>
        <w:t xml:space="preserve">control,</w:t>
      </w:r>
      <w:r>
        <w:t xml:space="preserve"> </w:t>
      </w:r>
      <w:r>
        <w:t xml:space="preserve">Annex</w:t>
      </w:r>
      <w:r>
        <w:t xml:space="preserve"> </w:t>
      </w:r>
      <w:r>
        <w:t xml:space="preserve">4</w:t>
      </w:r>
      <w:r>
        <w:t xml:space="preserve"> </w:t>
      </w:r>
      <w:r>
        <w:t xml:space="preserve">(available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https://ec.europa.eu/competition/consultations/2021_merger_control/SWD_findings_of_evaluation.</w:t>
      </w:r>
      <w:r>
        <w:t xml:space="preserve"> </w:t>
      </w:r>
      <w:r>
        <w:t xml:space="preserve">pdf).</w:t>
      </w:r>
      <w:r>
        <w:br/>
      </w:r>
      <w:r>
        <w:t xml:space="preserve">60</w:t>
      </w:r>
      <w:r>
        <w:br/>
      </w:r>
      <w:r>
        <w:t xml:space="preserve">See Summary of Replies to the Public Consultation on Further Simplification of Procedures,</w:t>
      </w:r>
      <w:r>
        <w:t xml:space="preserve"> </w:t>
      </w:r>
      <w:r>
        <w:t xml:space="preserve">paragraph 3 and fn. 2, Ares(2021)7473298.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2.2.</w:t>
      </w:r>
      <w:r>
        <w:t xml:space="preserve"> </w:t>
      </w:r>
      <w:r>
        <w:t xml:space="preserve">First Public Consultation on the basis of an online questionnaire</w:t>
      </w:r>
      <w:r>
        <w:br/>
      </w:r>
      <w:r>
        <w:t xml:space="preserve">A summary report of this open public consultation was published on December 2021.61</w:t>
      </w:r>
      <w:r>
        <w:br/>
      </w:r>
      <w:r>
        <w:t xml:space="preserve">i.</w:t>
      </w:r>
      <w:r>
        <w:t xml:space="preserve"> </w:t>
      </w:r>
      <w:r>
        <w:t xml:space="preserve">Introduction</w:t>
      </w:r>
    </w:p>
    <w:p>
      <w:pPr>
        <w:pStyle w:val="BodyText"/>
      </w:pPr>
      <w:r>
        <w:t xml:space="preserve">On 26 March 2021, the Commission launched a 12-week public consultation to gather</w:t>
      </w:r>
      <w:r>
        <w:t xml:space="preserve"> </w:t>
      </w:r>
      <w:r>
        <w:t xml:space="preserve">stakeholders’ views on the different policy options considered for the simplification/streamlining</w:t>
      </w:r>
      <w:r>
        <w:t xml:space="preserve"> </w:t>
      </w:r>
      <w:r>
        <w:t xml:space="preserve">of EU merger procedural rules.</w:t>
      </w:r>
    </w:p>
    <w:p>
      <w:pPr>
        <w:pStyle w:val="BodyText"/>
      </w:pPr>
      <w:r>
        <w:t xml:space="preserve">The public consultation was based on a detailed online questionnaire with 57 questions, many of</w:t>
      </w:r>
      <w:r>
        <w:t xml:space="preserve"> </w:t>
      </w:r>
      <w:r>
        <w:t xml:space="preserve">them included sub-questions and multiple choice answers. The online questionnaires aimed to</w:t>
      </w:r>
      <w:r>
        <w:t xml:space="preserve"> </w:t>
      </w:r>
      <w:r>
        <w:t xml:space="preserve">glean the view of stakeholders on the options considered by the Commission in its IIA published</w:t>
      </w:r>
      <w:r>
        <w:t xml:space="preserve"> </w:t>
      </w:r>
      <w:r>
        <w:t xml:space="preserve">on 26 March 2021.</w:t>
      </w:r>
    </w:p>
    <w:p>
      <w:pPr>
        <w:pStyle w:val="BodyText"/>
      </w:pPr>
      <w:r>
        <w:t xml:space="preserve">To gather the widest possible range of comments, the public consultation was open for all</w:t>
      </w:r>
      <w:r>
        <w:t xml:space="preserve"> </w:t>
      </w:r>
      <w:r>
        <w:t xml:space="preserve">stakeholders interested in providing their views on the different areas covered by the online</w:t>
      </w:r>
      <w:r>
        <w:t xml:space="preserve"> </w:t>
      </w:r>
      <w:r>
        <w:t xml:space="preserve">questionnaire. While the online questionnaire was published in English, French and German,</w:t>
      </w:r>
      <w:r>
        <w:t xml:space="preserve"> </w:t>
      </w:r>
      <w:r>
        <w:t xml:space="preserve">participants could reply in any of the official languages of the EU.</w:t>
      </w:r>
    </w:p>
    <w:p>
      <w:pPr>
        <w:pStyle w:val="Compact"/>
        <w:numPr>
          <w:ilvl w:val="0"/>
          <w:numId w:val="1013"/>
        </w:numPr>
      </w:pPr>
      <w:r>
        <w:t xml:space="preserve">Profile of respondents</w:t>
      </w:r>
      <w:r>
        <w:br/>
      </w:r>
      <w:r>
        <w:t xml:space="preserve">The Commission received 42 replies to the online questionnaire; 8 contributions from law firms,</w:t>
      </w:r>
      <w:r>
        <w:t xml:space="preserve"> </w:t>
      </w:r>
      <w:r>
        <w:t xml:space="preserve">12 from companies and 18 from other private stakeholders (including business associations and</w:t>
      </w:r>
      <w:r>
        <w:t xml:space="preserve"> </w:t>
      </w:r>
      <w:r>
        <w:t xml:space="preserve">consumer associations). Two contributions were received from NCAs and two from a</w:t>
      </w:r>
      <w:r>
        <w:t xml:space="preserve"> </w:t>
      </w:r>
      <w:r>
        <w:t xml:space="preserve">government bodies. Figure 1 shows the breakdown of these replies by type of stakeholder. The</w:t>
      </w:r>
      <w:r>
        <w:t xml:space="preserve"> </w:t>
      </w:r>
      <w:r>
        <w:t xml:space="preserve">vast majority of the contributions were submitted in English, French or German.</w:t>
      </w:r>
      <w:r>
        <w:br/>
      </w:r>
      <w:r>
        <w:t xml:space="preserve">Figure 1 – First Public Consultation Respondents Breakdown</w:t>
      </w:r>
    </w:p>
    <w:p>
      <w:pPr>
        <w:pStyle w:val="FirstParagraph"/>
      </w:pPr>
      <w:r>
        <w:t xml:space="preserve">61</w:t>
      </w:r>
      <w:r>
        <w:br/>
      </w:r>
      <w:r>
        <w:t xml:space="preserve">Available at https://ec.europa.eu/info/law/better-regulation/have-your-say/initiatives/12957-Merger-</w:t>
      </w:r>
      <w:r>
        <w:t xml:space="preserve"> </w:t>
      </w:r>
      <w:r>
        <w:t xml:space="preserve">control-in-the-EU-further-simplification-of-procedures/public-consultation_en.</w:t>
      </w:r>
      <w:r>
        <w:br/>
      </w:r>
      <w:r>
        <w:t xml:space="preserve">Public stakeholders</w:t>
      </w:r>
      <w:r>
        <w:t xml:space="preserve"> </w:t>
      </w:r>
      <w:r>
        <w:t xml:space="preserve">Law firms</w:t>
      </w:r>
      <w:r>
        <w:t xml:space="preserve"> </w:t>
      </w:r>
      <w:r>
        <w:t xml:space="preserve">Other private stakeholders</w:t>
      </w:r>
      <w:r>
        <w:t xml:space="preserve"> </w:t>
      </w:r>
      <w:r>
        <w:t xml:space="preserve">Companies</w:t>
      </w:r>
    </w:p>
    <w:p>
      <w:pPr>
        <w:pStyle w:val="BodyText"/>
      </w:pPr>
      <w:r>
        <w:t xml:space="preserve">70</w:t>
      </w:r>
    </w:p>
    <w:p>
      <w:pPr>
        <w:pStyle w:val="Compact"/>
        <w:numPr>
          <w:ilvl w:val="0"/>
          <w:numId w:val="1014"/>
        </w:numPr>
      </w:pPr>
      <w:r>
        <w:t xml:space="preserve">Contributions</w:t>
      </w:r>
    </w:p>
    <w:p>
      <w:pPr>
        <w:pStyle w:val="Compact"/>
        <w:numPr>
          <w:ilvl w:val="0"/>
          <w:numId w:val="1015"/>
        </w:numPr>
      </w:pPr>
      <w:r>
        <w:t xml:space="preserve">Expanding and clarifying the categories of simplified cases</w:t>
      </w:r>
      <w:r>
        <w:br/>
      </w:r>
      <w:r>
        <w:t xml:space="preserve">The public consultation asked for feedback on different options to expand the categories of</w:t>
      </w:r>
      <w:r>
        <w:t xml:space="preserve"> </w:t>
      </w:r>
      <w:r>
        <w:t xml:space="preserve">simplified cases (as set out in Section 6 of this report).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Flexibility clause</w:t>
      </w:r>
      <w:r>
        <w:t xml:space="preserve"> </w:t>
      </w:r>
      <w:r>
        <w:t xml:space="preserve">The First Public Consultation explored the possibility to introduce a flexibility clause in certain</w:t>
      </w:r>
      <w:r>
        <w:t xml:space="preserve"> </w:t>
      </w:r>
      <w:r>
        <w:t xml:space="preserve">cases, for instance if the current market share thresholds of the Simplified Notice are exceeded</w:t>
      </w:r>
      <w:r>
        <w:t xml:space="preserve"> </w:t>
      </w:r>
      <w:r>
        <w:t xml:space="preserve">only slightly or in cases of joint ventures with turnover or assets value slightly exceeding EUR</w:t>
      </w:r>
      <w:r>
        <w:t xml:space="preserve"> </w:t>
      </w:r>
      <w:r>
        <w:t xml:space="preserve">100 million but that raise no competition concerns.</w:t>
      </w:r>
      <w:r>
        <w:t xml:space="preserve"> </w:t>
      </w:r>
      <w:r>
        <w:t xml:space="preserve">In response to the First Public Consultation, both private and public respondents expressed</w:t>
      </w:r>
      <w:r>
        <w:t xml:space="preserve"> </w:t>
      </w:r>
      <w:r>
        <w:t xml:space="preserve">unanimous support for the introduction of a flexibility clause for these types of cases as they are</w:t>
      </w:r>
      <w:r>
        <w:t xml:space="preserve"> </w:t>
      </w:r>
      <w:r>
        <w:t xml:space="preserve">perceived as generally unproblematic.</w:t>
      </w:r>
      <w:r>
        <w:t xml:space="preserve"> </w:t>
      </w:r>
      <w:r>
        <w:t xml:space="preserve">Moreover, a few law firms and other private stakeholders called for even greater flexibility for</w:t>
      </w:r>
      <w:r>
        <w:t xml:space="preserve"> </w:t>
      </w:r>
      <w:r>
        <w:t xml:space="preserve">case teams in these situations. As regards overlap cases, some stakeholders proposed to increase</w:t>
      </w:r>
      <w:r>
        <w:t xml:space="preserve"> </w:t>
      </w:r>
      <w:r>
        <w:t xml:space="preserve">the flexibility thresholds further (e.g. up to 30% for horizontal overlaps) or even to give the</w:t>
      </w:r>
      <w:r>
        <w:t xml:space="preserve"> </w:t>
      </w:r>
      <w:r>
        <w:t xml:space="preserve">Commission discretion to treat under the simplified procedure cases where the thresholds are</w:t>
      </w:r>
      <w:r>
        <w:t xml:space="preserve"> </w:t>
      </w:r>
      <w:r>
        <w:t xml:space="preserve">exceeded without any market share limit, where it is clear that the transaction will not have any</w:t>
      </w:r>
      <w:r>
        <w:t xml:space="preserve"> </w:t>
      </w:r>
      <w:r>
        <w:t xml:space="preserve">appreciable effect on competition. Other stakeholders pointed out that sometimes the</w:t>
      </w:r>
      <w:r>
        <w:t xml:space="preserve"> </w:t>
      </w:r>
      <w:r>
        <w:t xml:space="preserve">Commission excluded a treatment under the simplified procedure for cases where market shares</w:t>
      </w:r>
      <w:r>
        <w:t xml:space="preserve"> </w:t>
      </w:r>
      <w:r>
        <w:t xml:space="preserve">exceeded the thresholds on very narrow alternative and purely hypothetical market segments and</w:t>
      </w:r>
      <w:r>
        <w:t xml:space="preserve"> </w:t>
      </w:r>
      <w:r>
        <w:t xml:space="preserve">definitions, both from a product and geographic perspective. A few private stakeholders also</w:t>
      </w:r>
      <w:r>
        <w:t xml:space="preserve"> </w:t>
      </w:r>
      <w:r>
        <w:t xml:space="preserve">called for greater flexibility when dealing with small joint ventures by increasing the turnover</w:t>
      </w:r>
      <w:r>
        <w:t xml:space="preserve"> </w:t>
      </w:r>
      <w:r>
        <w:t xml:space="preserve">and assets thresholds further (e.g. up to EUR 250 million in alignment with Article 1(2)(a)</w:t>
      </w:r>
      <w:r>
        <w:t xml:space="preserve"> </w:t>
      </w:r>
      <w:r>
        <w:t xml:space="preserve">EUMR, or up to EUR 400 million).</w:t>
      </w:r>
      <w:r>
        <w:t xml:space="preserve"> </w:t>
      </w:r>
      <w:r>
        <w:t xml:space="preserve">The large majority of private respondents considered that the introduction of the flexibility clause</w:t>
      </w:r>
      <w:r>
        <w:t xml:space="preserve"> </w:t>
      </w:r>
      <w:r>
        <w:t xml:space="preserve">for these transactions would be beneficial and considered that it would bring a moderate to</w:t>
      </w:r>
      <w:r>
        <w:t xml:space="preserve"> </w:t>
      </w:r>
      <w:r>
        <w:t xml:space="preserve">significant reduction of burden and costs for businesses (with only a few stakeholders indicating</w:t>
      </w:r>
      <w:r>
        <w:t xml:space="preserve"> </w:t>
      </w:r>
      <w:r>
        <w:t xml:space="preserve">that it would only bring a negligible reduction). The only public authority that replied to this</w:t>
      </w:r>
      <w:r>
        <w:t xml:space="preserve"> </w:t>
      </w:r>
      <w:r>
        <w:t xml:space="preserve">question considered that it would bring a significant reduction of the burden and costs for</w:t>
      </w:r>
      <w:r>
        <w:t xml:space="preserve"> </w:t>
      </w:r>
      <w:r>
        <w:t xml:space="preserve">companies and the Commission.</w:t>
      </w:r>
    </w:p>
    <w:p>
      <w:pPr>
        <w:pStyle w:val="Compact"/>
        <w:numPr>
          <w:ilvl w:val="0"/>
          <w:numId w:val="1016"/>
        </w:numPr>
      </w:pPr>
      <w:r>
        <w:t xml:space="preserve">New vertical categories</w:t>
      </w:r>
      <w:r>
        <w:t xml:space="preserve"> </w:t>
      </w:r>
      <w:r>
        <w:t xml:space="preserve">II.1. Highly</w:t>
      </w:r>
      <w:r>
        <w:t xml:space="preserve"> </w:t>
      </w:r>
      <w:r>
        <w:t xml:space="preserve">asymmetric</w:t>
      </w:r>
      <w:r>
        <w:t xml:space="preserve"> </w:t>
      </w:r>
      <w:r>
        <w:t xml:space="preserve">market</w:t>
      </w:r>
      <w:r>
        <w:t xml:space="preserve"> </w:t>
      </w:r>
      <w:r>
        <w:t xml:space="preserve">position</w:t>
      </w:r>
      <w:r>
        <w:t xml:space="preserve"> </w:t>
      </w:r>
      <w:r>
        <w:t xml:space="preserve">upstream</w:t>
      </w:r>
      <w:r>
        <w:t xml:space="preserve"> </w:t>
      </w:r>
      <w:r>
        <w:t xml:space="preserve">and</w:t>
      </w:r>
      <w:r>
        <w:t xml:space="preserve"> </w:t>
      </w:r>
      <w:r>
        <w:t xml:space="preserve">downstream</w:t>
      </w:r>
      <w:r>
        <w:t xml:space="preserve"> </w:t>
      </w:r>
      <w:r>
        <w:t xml:space="preserve">The private and public stakeholders that responded to the First Public Consultation expressed</w:t>
      </w:r>
      <w:r>
        <w:t xml:space="preserve"> </w:t>
      </w:r>
      <w:r>
        <w:t xml:space="preserve">quasi-unanimous support to the introduction of this category, as they consider these cases are</w:t>
      </w:r>
      <w:r>
        <w:t xml:space="preserve"> </w:t>
      </w:r>
      <w:r>
        <w:t xml:space="preserve">generally unproblematic and advocated for the introduction of the highest thresholds proposed</w:t>
      </w:r>
      <w:r>
        <w:t xml:space="preserve"> </w:t>
      </w:r>
      <w:r>
        <w:t xml:space="preserve">(i.e. 50% upstream or downstream and 10% in the other vertically related market).62 However,</w:t>
      </w:r>
    </w:p>
    <w:p>
      <w:pPr>
        <w:pStyle w:val="FirstParagraph"/>
      </w:pPr>
      <w:r>
        <w:t xml:space="preserve">62</w:t>
      </w:r>
      <w:r>
        <w:br/>
      </w:r>
      <w:r>
        <w:t xml:space="preserve">In the IIA, the Commission proposed four options: 1.- 50% upstream and 10% downstream or vice</w:t>
      </w:r>
      <w:r>
        <w:t xml:space="preserve"> </w:t>
      </w:r>
      <w:r>
        <w:t xml:space="preserve">versa (i.e. 10% upstream and 50% downstream); 2.- 50% upstream and 5% downstream or vice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one public stakeholder considered that it is not possible to conclude that a foreclosure strategy is</w:t>
      </w:r>
      <w:r>
        <w:t xml:space="preserve"> </w:t>
      </w:r>
      <w:r>
        <w:t xml:space="preserve">not feasible because market shares in the upstream or downstream market are low, as this is a</w:t>
      </w:r>
      <w:r>
        <w:t xml:space="preserve"> </w:t>
      </w:r>
      <w:r>
        <w:t xml:space="preserve">complex analysis in which several factors should be considered. In a similar vein, another private</w:t>
      </w:r>
      <w:r>
        <w:t xml:space="preserve"> </w:t>
      </w:r>
      <w:r>
        <w:t xml:space="preserve">stakeholder considered that an important input on the upstream market can be used to grow the</w:t>
      </w:r>
      <w:r>
        <w:t xml:space="preserve"> </w:t>
      </w:r>
      <w:r>
        <w:t xml:space="preserve">position on the downstream market.</w:t>
      </w:r>
      <w:r>
        <w:br/>
      </w:r>
      <w:r>
        <w:t xml:space="preserve">The large majority of private respondents considered that the introduction of the category of</w:t>
      </w:r>
      <w:r>
        <w:t xml:space="preserve"> </w:t>
      </w:r>
      <w:r>
        <w:t xml:space="preserve">highly asymmetric positions upstream and downstream would be beneficial and consider that it</w:t>
      </w:r>
      <w:r>
        <w:t xml:space="preserve"> </w:t>
      </w:r>
      <w:r>
        <w:t xml:space="preserve">would bring a moderate to significant reduction of burden and costs for businesses (with only a</w:t>
      </w:r>
      <w:r>
        <w:t xml:space="preserve"> </w:t>
      </w:r>
      <w:r>
        <w:t xml:space="preserve">few stakeholders indicating that it would only bring a negligible reduction). The public authority</w:t>
      </w:r>
      <w:r>
        <w:t xml:space="preserve"> </w:t>
      </w:r>
      <w:r>
        <w:t xml:space="preserve">that replied to this question considered that it would bring a significant reduction of the burden</w:t>
      </w:r>
      <w:r>
        <w:t xml:space="preserve"> </w:t>
      </w:r>
      <w:r>
        <w:t xml:space="preserve">and costs for companies and the Commission.</w:t>
      </w:r>
      <w:r>
        <w:t xml:space="preserve"> </w:t>
      </w:r>
      <w:r>
        <w:t xml:space="preserve">II.2. Low purchasing market share</w:t>
      </w:r>
      <w:r>
        <w:t xml:space="preserve"> </w:t>
      </w:r>
      <w:r>
        <w:t xml:space="preserve">Private and public stakeholders responding to the First Public Consultation expressed unanimous</w:t>
      </w:r>
      <w:r>
        <w:t xml:space="preserve"> </w:t>
      </w:r>
      <w:r>
        <w:t xml:space="preserve">support to the introduction of this category, as they consider that these cases are generally</w:t>
      </w:r>
      <w:r>
        <w:t xml:space="preserve"> </w:t>
      </w:r>
      <w:r>
        <w:t xml:space="preserve">unproblematic. As regards the specific thresholds, a law firm advocated for the introduction of a</w:t>
      </w:r>
      <w:r>
        <w:t xml:space="preserve"> </w:t>
      </w:r>
      <w:r>
        <w:t xml:space="preserve">higher threshold for the purchasing share, as 10% was perceived as too low.63 This stakeholder</w:t>
      </w:r>
      <w:r>
        <w:t xml:space="preserve"> </w:t>
      </w:r>
      <w:r>
        <w:t xml:space="preserve">further explained that for customer foreclosure concerns only the purchasing share is relevant, as</w:t>
      </w:r>
      <w:r>
        <w:t xml:space="preserve"> </w:t>
      </w:r>
      <w:r>
        <w:t xml:space="preserve">the market shares in the downstream market are not an indicator of the importance of a company</w:t>
      </w:r>
      <w:r>
        <w:t xml:space="preserve"> </w:t>
      </w:r>
      <w:r>
        <w:t xml:space="preserve">as a customer. Following this reasoning, the stakeholder suggested that no upper limit should be</w:t>
      </w:r>
      <w:r>
        <w:t xml:space="preserve"> </w:t>
      </w:r>
      <w:r>
        <w:t xml:space="preserve">introduced for the market shares in the downstream market and that the purchasing share be</w:t>
      </w:r>
      <w:r>
        <w:t xml:space="preserve"> </w:t>
      </w:r>
      <w:r>
        <w:t xml:space="preserve">increased to 30%. It should be noted that, in the same vein, the majority of respondents</w:t>
      </w:r>
      <w:r>
        <w:t xml:space="preserve"> </w:t>
      </w:r>
      <w:r>
        <w:t xml:space="preserve">considered that this category is unproblematic regardless of the market share downstream.</w:t>
      </w:r>
      <w:r>
        <w:t xml:space="preserve"> </w:t>
      </w:r>
      <w:r>
        <w:t xml:space="preserve">Most private respondents considered that the introduction of the category of low purchasing share</w:t>
      </w:r>
      <w:r>
        <w:t xml:space="preserve"> </w:t>
      </w:r>
      <w:r>
        <w:t xml:space="preserve">would be beneficial and consider that it would bring a moderate to significant reduction of</w:t>
      </w:r>
      <w:r>
        <w:t xml:space="preserve"> </w:t>
      </w:r>
      <w:r>
        <w:t xml:space="preserve">burden and costs for businesses (with only a few stakeholders indicating that it would only bring</w:t>
      </w:r>
      <w:r>
        <w:t xml:space="preserve"> </w:t>
      </w:r>
      <w:r>
        <w:t xml:space="preserve">a negligible reduction). The public authority that replied to this question considers that it would</w:t>
      </w:r>
      <w:r>
        <w:t xml:space="preserve"> </w:t>
      </w:r>
      <w:r>
        <w:t xml:space="preserve">bring a moderate reduction of the burden and costs for companies and the Commission.</w:t>
      </w:r>
      <w:r>
        <w:t xml:space="preserve"> </w:t>
      </w:r>
      <w:r>
        <w:t xml:space="preserve">II.3. Limited increment to pre-existing vertical integration</w:t>
      </w:r>
      <w:r>
        <w:t xml:space="preserve"> </w:t>
      </w:r>
      <w:r>
        <w:t xml:space="preserve">In the First Public Consultation, private stakeholders and public authorities that responded</w:t>
      </w:r>
      <w:r>
        <w:t xml:space="preserve"> </w:t>
      </w:r>
      <w:r>
        <w:t xml:space="preserve">expressed unanimous support for the introduction of this category, as they consider that these</w:t>
      </w:r>
      <w:r>
        <w:t xml:space="preserve"> </w:t>
      </w:r>
      <w:r>
        <w:t xml:space="preserve">cases are generally unproblematic. In fact, some stakeholders advocated for introducing a higher</w:t>
      </w:r>
      <w:r>
        <w:t xml:space="preserve"> </w:t>
      </w:r>
      <w:r>
        <w:t xml:space="preserve">threshold for the HHI increment or suggested to use marker shares ranges instead of an HHI</w:t>
      </w:r>
      <w:r>
        <w:t xml:space="preserve"> </w:t>
      </w:r>
      <w:r>
        <w:t xml:space="preserve">increment.</w:t>
      </w:r>
      <w:r>
        <w:t xml:space="preserve"> </w:t>
      </w:r>
      <w:r>
        <w:t xml:space="preserve">Most private respondents considered that the introduction of the category of limited increment to</w:t>
      </w:r>
      <w:r>
        <w:t xml:space="preserve"> </w:t>
      </w:r>
      <w:r>
        <w:t xml:space="preserve">pre-existing vertical integration would be beneficial and considered that it would bring a</w:t>
      </w:r>
      <w:r>
        <w:t xml:space="preserve"> </w:t>
      </w:r>
      <w:r>
        <w:t xml:space="preserve">moderate to significant reduction of burden and costs for the businesses (with only a few</w:t>
      </w:r>
      <w:r>
        <w:t xml:space="preserve"> </w:t>
      </w:r>
      <w:r>
        <w:t xml:space="preserve">stakeholders indicating that it would only bring a negligible reduction). The public authority that</w:t>
      </w:r>
    </w:p>
    <w:p>
      <w:pPr>
        <w:pStyle w:val="BodyText"/>
      </w:pPr>
      <w:r>
        <w:t xml:space="preserve">versa; 3.- 40% upstream and 10% downstream or vice versa; 4.- 40% upstream and 5% downstream</w:t>
      </w:r>
      <w:r>
        <w:t xml:space="preserve"> </w:t>
      </w:r>
      <w:r>
        <w:t xml:space="preserve">or vice versa.</w:t>
      </w:r>
      <w:r>
        <w:t xml:space="preserve"> </w:t>
      </w:r>
      <w:r>
        <w:t xml:space="preserve">63</w:t>
      </w:r>
      <w:r>
        <w:br/>
      </w:r>
      <w:r>
        <w:t xml:space="preserve">The IIA consulted on several options: in all the proposed options the combined market share in the</w:t>
      </w:r>
      <w:r>
        <w:t xml:space="preserve"> </w:t>
      </w:r>
      <w:r>
        <w:t xml:space="preserve">upstream market cannot exceed 30%. The maximum combined market shares for the downstream</w:t>
      </w:r>
      <w:r>
        <w:t xml:space="preserve"> </w:t>
      </w:r>
      <w:r>
        <w:t xml:space="preserve">market could be either 50% or 100% and the purchasing share could be either up to 5% or 10%.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replied to this question considered that it would bring a significant reduction of the burden and</w:t>
      </w:r>
      <w:r>
        <w:t xml:space="preserve"> </w:t>
      </w:r>
      <w:r>
        <w:t xml:space="preserve">costs for companies and the Commission.</w:t>
      </w:r>
      <w:r>
        <w:t xml:space="preserve"> </w:t>
      </w:r>
      <w:r>
        <w:t xml:space="preserve">III.</w:t>
      </w:r>
      <w:r>
        <w:t xml:space="preserve"> </w:t>
      </w:r>
      <w:r>
        <w:t xml:space="preserve">Additional safeguards</w:t>
      </w:r>
      <w:r>
        <w:t xml:space="preserve"> </w:t>
      </w:r>
      <w:r>
        <w:t xml:space="preserve">Paragraphs 8 et seq of the existing Notice on Simplified Procedure describe “safeguards and</w:t>
      </w:r>
      <w:r>
        <w:t xml:space="preserve"> </w:t>
      </w:r>
      <w:r>
        <w:t xml:space="preserve">exclusions” from the simplified procedure. These are factors or circumstances which, if present,</w:t>
      </w:r>
      <w:r>
        <w:t xml:space="preserve"> </w:t>
      </w:r>
      <w:r>
        <w:t xml:space="preserve">may prompt the case team to assess under the normal procedure a concentration which a priori</w:t>
      </w:r>
      <w:r>
        <w:t xml:space="preserve"> </w:t>
      </w:r>
      <w:r>
        <w:t xml:space="preserve">fell under a simplified case category.</w:t>
      </w:r>
      <w:r>
        <w:br/>
      </w:r>
      <w:r>
        <w:t xml:space="preserve">The First Public Consultation explored whether additional safeguards would be required to</w:t>
      </w:r>
      <w:r>
        <w:t xml:space="preserve"> </w:t>
      </w:r>
      <w:r>
        <w:t xml:space="preserve">ensure that cases that would merit a closer examination are not dealt with under the simplified</w:t>
      </w:r>
      <w:r>
        <w:t xml:space="preserve"> </w:t>
      </w:r>
      <w:r>
        <w:t xml:space="preserve">procedure, but more in detail in a normal procedure.</w:t>
      </w:r>
      <w:r>
        <w:br/>
      </w:r>
      <w:r>
        <w:t xml:space="preserve">During this public consultation, in particular questions have been asked about the potential</w:t>
      </w:r>
      <w:r>
        <w:t xml:space="preserve"> </w:t>
      </w:r>
      <w:r>
        <w:t xml:space="preserve">impact on competition of the following factors:</w:t>
      </w:r>
      <w:r>
        <w:t xml:space="preserve"> </w:t>
      </w:r>
      <w:r>
        <w:t xml:space="preserve">a. Number of competitors remaining in each market.</w:t>
      </w:r>
      <w:r>
        <w:t xml:space="preserve"> </w:t>
      </w:r>
      <w:r>
        <w:t xml:space="preserve">b. Strength of the competitors remaining, including whether their market share exceeds the</w:t>
      </w:r>
      <w:r>
        <w:t xml:space="preserve"> </w:t>
      </w:r>
      <w:r>
        <w:t xml:space="preserve">increment brought about by the transaction.</w:t>
      </w:r>
      <w:r>
        <w:t xml:space="preserve"> </w:t>
      </w:r>
      <w:r>
        <w:t xml:space="preserve">c. The relevant thresholds are exceeded in terms of capacity shares or production shares.</w:t>
      </w:r>
      <w:r>
        <w:t xml:space="preserve"> </w:t>
      </w:r>
      <w:r>
        <w:t xml:space="preserve">d. One of the parties to a concentration is a recent entrant (entered the market in the last three</w:t>
      </w:r>
      <w:r>
        <w:t xml:space="preserve"> </w:t>
      </w:r>
      <w:r>
        <w:t xml:space="preserve">years).</w:t>
      </w:r>
      <w:r>
        <w:t xml:space="preserve"> </w:t>
      </w:r>
      <w:r>
        <w:t xml:space="preserve">e. One of the parties to a concentration is an important innovator in the overlapping markets.</w:t>
      </w:r>
      <w:r>
        <w:t xml:space="preserve"> </w:t>
      </w:r>
      <w:r>
        <w:t xml:space="preserve">f. The transaction gives rise to pipeline-to-pipeline or pipeline-to-marketed products.</w:t>
      </w:r>
      <w:r>
        <w:t xml:space="preserve"> </w:t>
      </w:r>
      <w:r>
        <w:t xml:space="preserve">g. Vertical overlaps exceed thresholds in distant levels of the value chain.</w:t>
      </w:r>
      <w:r>
        <w:t xml:space="preserve"> </w:t>
      </w:r>
      <w:r>
        <w:t xml:space="preserve">h. The activities of the parties to a concentration overlap in highly differentiated products.</w:t>
      </w:r>
      <w:r>
        <w:t xml:space="preserve"> </w:t>
      </w:r>
      <w:r>
        <w:t xml:space="preserve">The majority of public and private stakeholders responding to this question considered that all</w:t>
      </w:r>
      <w:r>
        <w:t xml:space="preserve"> </w:t>
      </w:r>
      <w:r>
        <w:t xml:space="preserve">these factors64 can have a potential or likely impact on competition in certain cases.</w:t>
      </w:r>
      <w:r>
        <w:t xml:space="preserve"> </w:t>
      </w:r>
      <w:r>
        <w:t xml:space="preserve">However, some stakeholders consider that none of the factors taken in isolation could have an</w:t>
      </w:r>
      <w:r>
        <w:t xml:space="preserve"> </w:t>
      </w:r>
      <w:r>
        <w:t xml:space="preserve">impact on competition and/or that the mere fact that a case falls below the market share</w:t>
      </w:r>
      <w:r>
        <w:t xml:space="preserve"> </w:t>
      </w:r>
      <w:r>
        <w:t xml:space="preserve">thresholds foreseen in the Notice on Simplified Procedure suffices to conclude that it is not</w:t>
      </w:r>
      <w:r>
        <w:t xml:space="preserve"> </w:t>
      </w:r>
      <w:r>
        <w:t xml:space="preserve">problematic in the vast majority of cases.</w:t>
      </w:r>
      <w:r>
        <w:t xml:space="preserve"> </w:t>
      </w:r>
      <w:r>
        <w:t xml:space="preserve">Conversely, a few stakeholders considered that additional safeguards should be included for the</w:t>
      </w:r>
      <w:r>
        <w:t xml:space="preserve"> </w:t>
      </w:r>
      <w:r>
        <w:t xml:space="preserve">digital economy, where dynamic aspects and potential competition play a bigger role than just</w:t>
      </w:r>
      <w:r>
        <w:t xml:space="preserve"> </w:t>
      </w:r>
      <w:r>
        <w:t xml:space="preserve">looking at static market shares. Other stakeholders mentioned that additional safeguards could be</w:t>
      </w:r>
      <w:r>
        <w:t xml:space="preserve"> </w:t>
      </w:r>
      <w:r>
        <w:t xml:space="preserve">introduced for vertical transactions involving nascent competitors or transactions which would</w:t>
      </w:r>
      <w:r>
        <w:t xml:space="preserve"> </w:t>
      </w:r>
      <w:r>
        <w:t xml:space="preserve">allow to leverage on data.</w:t>
      </w:r>
      <w:r>
        <w:t xml:space="preserve"> </w:t>
      </w:r>
      <w:r>
        <w:t xml:space="preserve">b. Streamlining review of simplified cases</w:t>
      </w:r>
      <w:r>
        <w:t xml:space="preserve"> </w:t>
      </w:r>
      <w:r>
        <w:t xml:space="preserve">The First Public Consultation asked for feedback on three policy options to further streamline the</w:t>
      </w:r>
      <w:r>
        <w:t xml:space="preserve"> </w:t>
      </w:r>
      <w:r>
        <w:t xml:space="preserve">review of simplified cases (as set out in Section 6 of this report).</w:t>
      </w:r>
    </w:p>
    <w:p>
      <w:pPr>
        <w:pStyle w:val="BodyText"/>
      </w:pPr>
      <w:r>
        <w:t xml:space="preserve">64</w:t>
      </w:r>
      <w:r>
        <w:br/>
      </w:r>
      <w:r>
        <w:t xml:space="preserve">With regard to the factor that the activities of the merging parties overlap in highly differentiated</w:t>
      </w:r>
      <w:r>
        <w:t xml:space="preserve"> </w:t>
      </w:r>
      <w:r>
        <w:t xml:space="preserve">products, half of the respondent consider that this factor will have an unlikely impact on</w:t>
      </w:r>
      <w:r>
        <w:t xml:space="preserve"> </w:t>
      </w:r>
      <w:r>
        <w:t xml:space="preserve">competition in all cases, while the other half consider it may have a potential or likely impact in</w:t>
      </w:r>
      <w:r>
        <w:t xml:space="preserve"> </w:t>
      </w:r>
      <w:r>
        <w:t xml:space="preserve">certain cases.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Only three public stakeholders commented on these options but without expressing strong</w:t>
      </w:r>
      <w:r>
        <w:t xml:space="preserve"> </w:t>
      </w:r>
      <w:r>
        <w:t xml:space="preserve">opinions. As a result, this section will focus on the feedback provided by private stakeholders.</w:t>
      </w:r>
      <w:r>
        <w:br/>
      </w:r>
      <w:r>
        <w:t xml:space="preserve">Private stakeholders generally welcomed the proposals to further streamline the review of</w:t>
      </w:r>
      <w:r>
        <w:t xml:space="preserve"> </w:t>
      </w:r>
      <w:r>
        <w:t xml:space="preserve">simplified cases. A majority of private respondents considered that the current information</w:t>
      </w:r>
      <w:r>
        <w:t xml:space="preserve"> </w:t>
      </w:r>
      <w:r>
        <w:t xml:space="preserve">requirements in simplified cases are disproportionate and that the Short Form CO is not easy to</w:t>
      </w:r>
      <w:r>
        <w:t xml:space="preserve"> </w:t>
      </w:r>
      <w:r>
        <w:t xml:space="preserve">fill in. As a result, most respondents welcomed the proposal to replace the Short Form CO by a</w:t>
      </w:r>
      <w:r>
        <w:t xml:space="preserve"> </w:t>
      </w:r>
      <w:r>
        <w:t xml:space="preserve">tick the box form, either for some parts or in full. Respondents expressed a clear preference for</w:t>
      </w:r>
      <w:r>
        <w:t xml:space="preserve"> </w:t>
      </w:r>
      <w:r>
        <w:t xml:space="preserve">options 2 and 3 which combine a tick the box form with a streamlined review of the</w:t>
      </w:r>
      <w:r>
        <w:t xml:space="preserve"> </w:t>
      </w:r>
      <w:r>
        <w:t xml:space="preserve">Commission’s jurisdiction (Option 2) and of the competitive assessment for certain categories of</w:t>
      </w:r>
      <w:r>
        <w:t xml:space="preserve"> </w:t>
      </w:r>
      <w:r>
        <w:t xml:space="preserve">simplified cases (Option 3). Most respondents considered that Option 1 would bring no or only a</w:t>
      </w:r>
      <w:r>
        <w:t xml:space="preserve"> </w:t>
      </w:r>
      <w:r>
        <w:t xml:space="preserve">moderate burden reduction at best.</w:t>
      </w:r>
      <w:r>
        <w:br/>
      </w:r>
      <w:r>
        <w:t xml:space="preserve">Stakeholders responding to the consultation generally considered that sections 1-4 of the Short</w:t>
      </w:r>
      <w:r>
        <w:t xml:space="preserve"> </w:t>
      </w:r>
      <w:r>
        <w:t xml:space="preserve">Form CO65 could mostly benefit from a streamlined tick the box form. One stakeholder indicated</w:t>
      </w:r>
      <w:r>
        <w:t xml:space="preserve"> </w:t>
      </w:r>
      <w:r>
        <w:t xml:space="preserve">that “descriptive text addressing information relevant for jurisdictional assessment supplemented</w:t>
      </w:r>
      <w:r>
        <w:t xml:space="preserve"> </w:t>
      </w:r>
      <w:r>
        <w:t xml:space="preserve">by underlying evidence isn’t necessary and could easily be replaced with a tick-the-box list of</w:t>
      </w:r>
      <w:r>
        <w:t xml:space="preserve"> </w:t>
      </w:r>
      <w:r>
        <w:t xml:space="preserve">statements of basic relevant facts.” As regards the substantive assessment sections, several</w:t>
      </w:r>
      <w:r>
        <w:t xml:space="preserve"> </w:t>
      </w:r>
      <w:r>
        <w:t xml:space="preserve">stakeholders generally commented that the readability and structure of the Short Form CO would</w:t>
      </w:r>
      <w:r>
        <w:t xml:space="preserve"> </w:t>
      </w:r>
      <w:r>
        <w:t xml:space="preserve">improve if there were only one section on market information including market definitions, and</w:t>
      </w:r>
      <w:r>
        <w:t xml:space="preserve"> </w:t>
      </w:r>
      <w:r>
        <w:t xml:space="preserve">market share information.</w:t>
      </w:r>
      <w:r>
        <w:br/>
      </w:r>
      <w:r>
        <w:t xml:space="preserve">Stakeholders took the opportunity to comment on other aspects of the simplified review beyond</w:t>
      </w:r>
      <w:r>
        <w:t xml:space="preserve"> </w:t>
      </w:r>
      <w:r>
        <w:t xml:space="preserve">the options proposed. In particular, many stakeholders voiced their concerns about the burden</w:t>
      </w:r>
      <w:r>
        <w:t xml:space="preserve"> </w:t>
      </w:r>
      <w:r>
        <w:t xml:space="preserve">imposed by the obligation to provide certain internal documents in simplified cases where the</w:t>
      </w:r>
      <w:r>
        <w:t xml:space="preserve"> </w:t>
      </w:r>
      <w:r>
        <w:t xml:space="preserve">parties’ activities overlap and the obligation to provide market data under all plausible market</w:t>
      </w:r>
      <w:r>
        <w:t xml:space="preserve"> </w:t>
      </w:r>
      <w:r>
        <w:t xml:space="preserve">definitions.</w:t>
      </w:r>
      <w:r>
        <w:br/>
      </w:r>
      <w:r>
        <w:t xml:space="preserve">c. Streamlining review of non-simplified cases</w:t>
      </w:r>
      <w:r>
        <w:t xml:space="preserve"> </w:t>
      </w:r>
      <w:r>
        <w:t xml:space="preserve">The premise for the First Public Consultation on the streamlining of the review of normal cases</w:t>
      </w:r>
      <w:r>
        <w:t xml:space="preserve"> </w:t>
      </w:r>
      <w:r>
        <w:t xml:space="preserve">were two options, namely (i) a modification of the structure of the Form CO in order to have</w:t>
      </w:r>
      <w:r>
        <w:t xml:space="preserve"> </w:t>
      </w:r>
      <w:r>
        <w:t xml:space="preserve">separate sections for factual information and for advocacy (Option 1); and (ii) the identification</w:t>
      </w:r>
      <w:r>
        <w:t xml:space="preserve"> </w:t>
      </w:r>
      <w:r>
        <w:t xml:space="preserve">of opt-out sections in section 8 of the Form CO (structure of supply in affected markets) to be</w:t>
      </w:r>
      <w:r>
        <w:t xml:space="preserve"> </w:t>
      </w:r>
      <w:r>
        <w:t xml:space="preserve">waived at the request of the Parties if appropriate, on a case-by-case basis (Option 2).</w:t>
      </w:r>
      <w:r>
        <w:br/>
      </w:r>
      <w:r>
        <w:t xml:space="preserve">Respondents to the First Public Consultation voiced generalised concerns about the excessive</w:t>
      </w:r>
      <w:r>
        <w:t xml:space="preserve"> </w:t>
      </w:r>
      <w:r>
        <w:t xml:space="preserve">information requirements of the current Form CO, in particular for the majority of “simpler”</w:t>
      </w:r>
      <w:r>
        <w:t xml:space="preserve"> </w:t>
      </w:r>
      <w:r>
        <w:t xml:space="preserve">(non-intervention) normal cases. Stakeholders did not support Option 1 but expressed generalised</w:t>
      </w:r>
      <w:r>
        <w:t xml:space="preserve"> </w:t>
      </w:r>
      <w:r>
        <w:t xml:space="preserve">support for Option 2, either as a formalised waiver system with clearly identified “opt-out”</w:t>
      </w:r>
      <w:r>
        <w:t xml:space="preserve"> </w:t>
      </w:r>
      <w:r>
        <w:t xml:space="preserve">categories of information and clear guidance on waiver requests or identifying “opt-in”</w:t>
      </w:r>
      <w:r>
        <w:t xml:space="preserve"> </w:t>
      </w:r>
      <w:r>
        <w:t xml:space="preserve">information to be included in the Form CO only at the request of the case team.</w:t>
      </w:r>
      <w:r>
        <w:t xml:space="preserve"> </w:t>
      </w:r>
      <w:r>
        <w:t xml:space="preserve">A few stakeholders indicated that all the information requirements in Section 8 could potentially</w:t>
      </w:r>
      <w:r>
        <w:t xml:space="preserve"> </w:t>
      </w:r>
      <w:r>
        <w:t xml:space="preserve">be removed in full and requested only when necessary in specific cases. Moreover, several</w:t>
      </w:r>
      <w:r>
        <w:t xml:space="preserve"> </w:t>
      </w:r>
      <w:r>
        <w:t xml:space="preserve">stakeholders flagged repetitions in sections 6, 7 and 8 of the Form CO and asked for a more</w:t>
      </w:r>
      <w:r>
        <w:t xml:space="preserve"> </w:t>
      </w:r>
      <w:r>
        <w:t xml:space="preserve">general streamlining of the Form CO.</w:t>
      </w:r>
    </w:p>
    <w:p>
      <w:pPr>
        <w:pStyle w:val="BodyText"/>
      </w:pPr>
      <w:r>
        <w:t xml:space="preserve">65</w:t>
      </w:r>
      <w:r>
        <w:br/>
      </w:r>
      <w:r>
        <w:t xml:space="preserve">Description of the concentration, Information about the parties, Details of the concentration,</w:t>
      </w:r>
      <w:r>
        <w:t xml:space="preserve"> </w:t>
      </w:r>
      <w:r>
        <w:t xml:space="preserve">ownership and control and Turnover.</w:t>
      </w:r>
    </w:p>
    <w:p>
      <w:pPr>
        <w:pStyle w:val="BodyText"/>
      </w:pPr>
      <w:r>
        <w:t xml:space="preserve">74</w:t>
      </w:r>
    </w:p>
    <w:p>
      <w:pPr>
        <w:pStyle w:val="Compact"/>
        <w:numPr>
          <w:ilvl w:val="0"/>
          <w:numId w:val="1017"/>
        </w:numPr>
      </w:pPr>
      <w:r>
        <w:t xml:space="preserve">Introducing electronic notifications</w:t>
      </w:r>
      <w:r>
        <w:t xml:space="preserve"> </w:t>
      </w:r>
      <w:r>
        <w:t xml:space="preserve">The First Public Consultation asked for feedback on two policy options to introduce electronic</w:t>
      </w:r>
      <w:r>
        <w:t xml:space="preserve"> </w:t>
      </w:r>
      <w:r>
        <w:t xml:space="preserve">notifications (as set out in Section 6 of this report).</w:t>
      </w:r>
      <w:r>
        <w:br/>
      </w:r>
      <w:r>
        <w:t xml:space="preserve">In relation to Option 1 for electronic notifications, some respondents assumed that the</w:t>
      </w:r>
      <w:r>
        <w:t xml:space="preserve"> </w:t>
      </w:r>
      <w:r>
        <w:t xml:space="preserve">Commission would accept the electronic notification as the legally binding one, as opposed to the</w:t>
      </w:r>
      <w:r>
        <w:t xml:space="preserve"> </w:t>
      </w:r>
      <w:r>
        <w:t xml:space="preserve">paper originals to be submitted at a later stage. Compared to the prepandemic situation whereby</w:t>
      </w:r>
      <w:r>
        <w:t xml:space="preserve"> </w:t>
      </w:r>
      <w:r>
        <w:t xml:space="preserve">several paper copies of the notification had to be submitted, the vast majority of the respondents</w:t>
      </w:r>
      <w:r>
        <w:t xml:space="preserve"> </w:t>
      </w:r>
      <w:r>
        <w:t xml:space="preserve">to the public consultation fully embrace a system of electronic notifications. A few stakeholders</w:t>
      </w:r>
      <w:r>
        <w:t xml:space="preserve"> </w:t>
      </w:r>
      <w:r>
        <w:t xml:space="preserve">did not express an opinion.</w:t>
      </w:r>
      <w:r>
        <w:t xml:space="preserve"> </w:t>
      </w:r>
      <w:r>
        <w:t xml:space="preserve">However, stakeholders expressed their strong preference for a system of fully electronic</w:t>
      </w:r>
      <w:r>
        <w:t xml:space="preserve"> </w:t>
      </w:r>
      <w:r>
        <w:t xml:space="preserve">notifications (Option 2 for electronic notifications), and expressed concerns about a system</w:t>
      </w:r>
      <w:r>
        <w:t xml:space="preserve"> </w:t>
      </w:r>
      <w:r>
        <w:t xml:space="preserve">whereby electronic notifications would still need to be followed by paper originals.</w:t>
      </w:r>
      <w:r>
        <w:t xml:space="preserve"> </w:t>
      </w:r>
      <w:r>
        <w:t xml:space="preserve">2.3.</w:t>
      </w:r>
      <w:r>
        <w:t xml:space="preserve"> </w:t>
      </w:r>
      <w:r>
        <w:t xml:space="preserve">Open Public Consultation on the basis of the draft revised legal texts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Introduction</w:t>
      </w:r>
    </w:p>
    <w:p>
      <w:pPr>
        <w:pStyle w:val="FirstParagraph"/>
      </w:pPr>
      <w:r>
        <w:t xml:space="preserve">On 6 May 2022, the Commission launched a 4-week Second Public Consultation to gather</w:t>
      </w:r>
      <w:r>
        <w:t xml:space="preserve"> </w:t>
      </w:r>
      <w:r>
        <w:t xml:space="preserve">stakeholders’ views on the draft legal texts which had been revised based on the preferred options</w:t>
      </w:r>
      <w:r>
        <w:t xml:space="preserve"> </w:t>
      </w:r>
      <w:r>
        <w:t xml:space="preserve">identified in the course of the impact assessment procedure.</w:t>
      </w:r>
    </w:p>
    <w:p>
      <w:pPr>
        <w:pStyle w:val="BodyText"/>
      </w:pPr>
      <w:r>
        <w:t xml:space="preserve">The Second Public Consultation was based on the draft revised legal texts which were made</w:t>
      </w:r>
      <w:r>
        <w:t xml:space="preserve"> </w:t>
      </w:r>
      <w:r>
        <w:t xml:space="preserve">available on the Commission’s website together with an Explanatory Note, describing the main</w:t>
      </w:r>
      <w:r>
        <w:t xml:space="preserve"> </w:t>
      </w:r>
      <w:r>
        <w:t xml:space="preserve">changes that the Commission made. The draft revised legal texts and the Explanatory Note were</w:t>
      </w:r>
      <w:r>
        <w:t xml:space="preserve"> </w:t>
      </w:r>
      <w:r>
        <w:t xml:space="preserve">made available in all the official languages of the EU.</w:t>
      </w:r>
    </w:p>
    <w:p>
      <w:pPr>
        <w:pStyle w:val="BodyText"/>
      </w:pPr>
      <w:r>
        <w:t xml:space="preserve">To gather the widest possible range of comments, the Second Public Consultation was open for</w:t>
      </w:r>
      <w:r>
        <w:t xml:space="preserve"> </w:t>
      </w:r>
      <w:r>
        <w:t xml:space="preserve">all stakeholders interested in providing their views on the draft legal texts. Participants could</w:t>
      </w:r>
      <w:r>
        <w:t xml:space="preserve"> </w:t>
      </w:r>
      <w:r>
        <w:t xml:space="preserve">reply in any of the official languages of the EU.</w:t>
      </w:r>
    </w:p>
    <w:p>
      <w:pPr>
        <w:pStyle w:val="BodyText"/>
      </w:pPr>
      <w:r>
        <w:t xml:space="preserve">75</w:t>
      </w:r>
    </w:p>
    <w:p>
      <w:pPr>
        <w:numPr>
          <w:ilvl w:val="0"/>
          <w:numId w:val="1018"/>
        </w:numPr>
      </w:pPr>
      <w:r>
        <w:t xml:space="preserve">Profile of respondents</w:t>
      </w:r>
      <w:r>
        <w:br/>
      </w:r>
      <w:r>
        <w:t xml:space="preserve">The Commission received 37 replies regarding the draft revised legal texts. Figure 2 shows the</w:t>
      </w:r>
      <w:r>
        <w:t xml:space="preserve"> </w:t>
      </w:r>
      <w:r>
        <w:t xml:space="preserve">breakdown of these replies by type of stakeholder. Concretely, 8 replies emanated from public</w:t>
      </w:r>
      <w:r>
        <w:t xml:space="preserve"> </w:t>
      </w:r>
      <w:r>
        <w:t xml:space="preserve">stakeholders; 9 from law firms; 5 from companies; and 15 from other private stakeholders. The</w:t>
      </w:r>
      <w:r>
        <w:t xml:space="preserve"> </w:t>
      </w:r>
      <w:r>
        <w:t xml:space="preserve">vast majority of the contributions were submitted in English, French, or German.</w:t>
      </w:r>
      <w:r>
        <w:br/>
      </w:r>
      <w:r>
        <w:t xml:space="preserve">Figure 2 – Second Open Public Consultation Respondents Breakdown</w:t>
      </w:r>
    </w:p>
    <w:p>
      <w:pPr>
        <w:numPr>
          <w:ilvl w:val="0"/>
          <w:numId w:val="1018"/>
        </w:numPr>
      </w:pPr>
      <w:r>
        <w:t xml:space="preserve">Contributions</w:t>
      </w:r>
    </w:p>
    <w:p>
      <w:pPr>
        <w:pStyle w:val="Compact"/>
        <w:numPr>
          <w:ilvl w:val="0"/>
          <w:numId w:val="1019"/>
        </w:numPr>
      </w:pPr>
      <w:r>
        <w:t xml:space="preserve">Expanding and clarifying the categories of simplified cases</w:t>
      </w:r>
    </w:p>
    <w:p>
      <w:pPr>
        <w:pStyle w:val="Compact"/>
        <w:numPr>
          <w:ilvl w:val="0"/>
          <w:numId w:val="1020"/>
        </w:numPr>
      </w:pPr>
      <w:r>
        <w:t xml:space="preserve">Flexibility Clause</w:t>
      </w:r>
    </w:p>
    <w:p>
      <w:pPr>
        <w:pStyle w:val="FirstParagraph"/>
      </w:pPr>
      <w:r>
        <w:t xml:space="preserve">I.1.</w:t>
      </w:r>
      <w:r>
        <w:t xml:space="preserve"> </w:t>
      </w:r>
      <w:r>
        <w:t xml:space="preserve">Horizontal and vertical overlaps</w:t>
      </w:r>
      <w:r>
        <w:t xml:space="preserve"> </w:t>
      </w:r>
      <w:r>
        <w:t xml:space="preserve">Both private and public respondents expressed unanimous support for the introduction of a</w:t>
      </w:r>
      <w:r>
        <w:t xml:space="preserve"> </w:t>
      </w:r>
      <w:r>
        <w:t xml:space="preserve">flexibility clause for horizontal overlaps with combined market shares between 20 and 25% and</w:t>
      </w:r>
      <w:r>
        <w:t xml:space="preserve"> </w:t>
      </w:r>
      <w:r>
        <w:t xml:space="preserve">vertical relationships with combined market shares between 30 and 35%, as proposed in the draft</w:t>
      </w:r>
      <w:r>
        <w:t xml:space="preserve"> </w:t>
      </w:r>
      <w:r>
        <w:t xml:space="preserve">revised legal texts.</w:t>
      </w:r>
      <w:r>
        <w:br/>
      </w:r>
      <w:r>
        <w:t xml:space="preserve">Moreover, similarly to the First Public Consultation, a few private stakeholders called for even</w:t>
      </w:r>
      <w:r>
        <w:t xml:space="preserve"> </w:t>
      </w:r>
      <w:r>
        <w:t xml:space="preserve">greater flexibility for case teams, by increasing the flexibility thresholds further (e.g. up to 30%</w:t>
      </w:r>
      <w:r>
        <w:t xml:space="preserve"> </w:t>
      </w:r>
      <w:r>
        <w:t xml:space="preserve">for horizontal overlaps) or even to give the Commission discretion to treat under the simplified</w:t>
      </w:r>
      <w:r>
        <w:t xml:space="preserve"> </w:t>
      </w:r>
      <w:r>
        <w:t xml:space="preserve">procedure any case in which it is clear that the transaction will not have any appreciable effect on</w:t>
      </w:r>
      <w:r>
        <w:t xml:space="preserve"> </w:t>
      </w:r>
      <w:r>
        <w:t xml:space="preserve">competition. A significant number of private stakeholders and law firms pointed out that</w:t>
      </w:r>
      <w:r>
        <w:t xml:space="preserve"> </w:t>
      </w:r>
      <w:r>
        <w:t xml:space="preserve">sometimes the Commission excluded a treatment under the simplified procedure for cases where</w:t>
      </w:r>
      <w:r>
        <w:t xml:space="preserve"> </w:t>
      </w:r>
      <w:r>
        <w:t xml:space="preserve">market shares exceeded the thresholds on very narrow alternative and purely hypothetical market</w:t>
      </w:r>
      <w:r>
        <w:t xml:space="preserve"> </w:t>
      </w:r>
      <w:r>
        <w:t xml:space="preserve">segments and definitions, both from a product and geographic perspective. Moreover, providing</w:t>
      </w:r>
      <w:r>
        <w:t xml:space="preserve"> </w:t>
      </w:r>
      <w:r>
        <w:t xml:space="preserve">all this information is burdensome and sometimes unnecessary, as the cases are clearly</w:t>
      </w:r>
      <w:r>
        <w:t xml:space="preserve"> </w:t>
      </w:r>
      <w:r>
        <w:t xml:space="preserve">unproblematic. Another point raised by a significant number of private stakeholders and law</w:t>
      </w:r>
      <w:r>
        <w:t xml:space="preserve"> </w:t>
      </w:r>
      <w:r>
        <w:t xml:space="preserve">firms is that the case team should take a position regarding the applicability of the flexibility</w:t>
      </w:r>
      <w:r>
        <w:t xml:space="preserve"> </w:t>
      </w:r>
      <w:r>
        <w:t xml:space="preserve">clause early in the process and avoid a late stage turn to the normal procedure. Some of them</w:t>
      </w:r>
      <w:r>
        <w:t xml:space="preserve"> </w:t>
      </w:r>
      <w:r>
        <w:t xml:space="preserve">suggested to include a time limit by which the Commission would have to decide whether the</w:t>
      </w:r>
      <w:r>
        <w:t xml:space="preserve"> </w:t>
      </w:r>
      <w:r>
        <w:t xml:space="preserve">simplified procedure applies. Finally, a few law firms and a private stakeholder considered that</w:t>
      </w:r>
      <w:r>
        <w:t xml:space="preserve"> </w:t>
      </w:r>
      <w:r>
        <w:t xml:space="preserve">Public stakeholders</w:t>
      </w:r>
      <w:r>
        <w:t xml:space="preserve"> </w:t>
      </w:r>
      <w:r>
        <w:t xml:space="preserve">Law firms</w:t>
      </w:r>
      <w:r>
        <w:t xml:space="preserve"> </w:t>
      </w:r>
      <w:r>
        <w:t xml:space="preserve">Other private stakeholders</w:t>
      </w:r>
      <w:r>
        <w:t xml:space="preserve"> </w:t>
      </w:r>
      <w:r>
        <w:t xml:space="preserve">Companies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further clarity on when the Commission will apply the flexibility clause would be beneficial. On</w:t>
      </w:r>
      <w:r>
        <w:t xml:space="preserve"> </w:t>
      </w:r>
      <w:r>
        <w:t xml:space="preserve">the other hand, another private stakeholder considered it is clear.</w:t>
      </w:r>
      <w:r>
        <w:t xml:space="preserve"> </w:t>
      </w:r>
      <w:r>
        <w:t xml:space="preserve">I.2.</w:t>
      </w:r>
      <w:r>
        <w:t xml:space="preserve"> </w:t>
      </w:r>
      <w:r>
        <w:t xml:space="preserve">JVs with limited turnover</w:t>
      </w:r>
      <w:r>
        <w:t xml:space="preserve"> </w:t>
      </w:r>
      <w:r>
        <w:t xml:space="preserve">With regard to the proposed flexibility clause for JVs with turnover and assets in the EEA</w:t>
      </w:r>
      <w:r>
        <w:t xml:space="preserve"> </w:t>
      </w:r>
      <w:r>
        <w:t xml:space="preserve">between EUR 100 and EUR 150 million, both private and public respondents expressed</w:t>
      </w:r>
      <w:r>
        <w:t xml:space="preserve"> </w:t>
      </w:r>
      <w:r>
        <w:t xml:space="preserve">unanimous support. A few law firms also called for greater flexibility by increasing the turnover</w:t>
      </w:r>
      <w:r>
        <w:t xml:space="preserve"> </w:t>
      </w:r>
      <w:r>
        <w:t xml:space="preserve">and assets thresholds further to e.g. EUR 400 millions.</w:t>
      </w:r>
      <w:r>
        <w:br/>
      </w:r>
      <w:r>
        <w:t xml:space="preserve">I.3.</w:t>
      </w:r>
      <w:r>
        <w:t xml:space="preserve"> </w:t>
      </w:r>
      <w:r>
        <w:t xml:space="preserve">Highly asymmetric market positions</w:t>
      </w:r>
      <w:r>
        <w:t xml:space="preserve"> </w:t>
      </w:r>
      <w:r>
        <w:t xml:space="preserve">The private and public stakeholders that responded to the public consultation expressed</w:t>
      </w:r>
      <w:r>
        <w:t xml:space="preserve"> </w:t>
      </w:r>
      <w:r>
        <w:t xml:space="preserve">unanimous support to the introduction of this category under the flexibility clause. A few private</w:t>
      </w:r>
      <w:r>
        <w:t xml:space="preserve"> </w:t>
      </w:r>
      <w:r>
        <w:t xml:space="preserve">stakeholders pleaded for the inclusion of these types of cases as a default category rather than</w:t>
      </w:r>
      <w:r>
        <w:t xml:space="preserve"> </w:t>
      </w:r>
      <w:r>
        <w:t xml:space="preserve">under the flexibility clause. On the other hand, a few public stakeholders welcomed the</w:t>
      </w:r>
      <w:r>
        <w:t xml:space="preserve"> </w:t>
      </w:r>
      <w:r>
        <w:t xml:space="preserve">introduction of these cases under the flexibility clause and not as a default category, as a strong</w:t>
      </w:r>
      <w:r>
        <w:t xml:space="preserve"> </w:t>
      </w:r>
      <w:r>
        <w:t xml:space="preserve">position upstream or downstream can be leveraged to grow quickly on the other market and the</w:t>
      </w:r>
      <w:r>
        <w:t xml:space="preserve"> </w:t>
      </w:r>
      <w:r>
        <w:t xml:space="preserve">risk of foreclosure is a complex analysis in which several factors should be considered.</w:t>
      </w:r>
      <w:r>
        <w:t xml:space="preserve"> </w:t>
      </w:r>
      <w:r>
        <w:t xml:space="preserve">Therefore, the Commission should retain sufficient flexibility to assess these cases under the</w:t>
      </w:r>
      <w:r>
        <w:t xml:space="preserve"> </w:t>
      </w:r>
      <w:r>
        <w:t xml:space="preserve">normal procedure, in particular if some of the safeguards or exclusions apply.</w:t>
      </w:r>
      <w:r>
        <w:t xml:space="preserve"> </w:t>
      </w:r>
      <w:r>
        <w:t xml:space="preserve">II.</w:t>
      </w:r>
      <w:r>
        <w:t xml:space="preserve"> </w:t>
      </w:r>
      <w:r>
        <w:t xml:space="preserve">New Vertical Categories</w:t>
      </w:r>
      <w:r>
        <w:t xml:space="preserve"> </w:t>
      </w:r>
      <w:r>
        <w:t xml:space="preserve">II.1.</w:t>
      </w:r>
      <w:r>
        <w:t xml:space="preserve"> </w:t>
      </w:r>
      <w:r>
        <w:t xml:space="preserve">Low purchasing share</w:t>
      </w:r>
      <w:r>
        <w:t xml:space="preserve"> </w:t>
      </w:r>
      <w:r>
        <w:t xml:space="preserve">Private and public stakeholders responding to the public consultation expressed unanimous</w:t>
      </w:r>
      <w:r>
        <w:t xml:space="preserve"> </w:t>
      </w:r>
      <w:r>
        <w:t xml:space="preserve">support to the introduction of this category.</w:t>
      </w:r>
      <w:r>
        <w:t xml:space="preserve"> </w:t>
      </w:r>
      <w:r>
        <w:t xml:space="preserve">II.2.</w:t>
      </w:r>
      <w:r>
        <w:t xml:space="preserve"> </w:t>
      </w:r>
      <w:r>
        <w:t xml:space="preserve">Limited increment to pre-existing vertical integration</w:t>
      </w:r>
      <w:r>
        <w:t xml:space="preserve"> </w:t>
      </w:r>
      <w:r>
        <w:t xml:space="preserve">Private and public stakeholders responding to the public consultation expressed unanimous</w:t>
      </w:r>
      <w:r>
        <w:t xml:space="preserve"> </w:t>
      </w:r>
      <w:r>
        <w:t xml:space="preserve">support to the introduction of this category.</w:t>
      </w:r>
      <w:r>
        <w:br/>
      </w:r>
      <w:r>
        <w:t xml:space="preserve">A few private stakeholders considered that using a fixed market share increment (e.g. 3%) rather</w:t>
      </w:r>
      <w:r>
        <w:t xml:space="preserve"> </w:t>
      </w:r>
      <w:r>
        <w:t xml:space="preserve">than HHI delta would bring more clarity. A law firm and a private stakeholder pleaded for a</w:t>
      </w:r>
      <w:r>
        <w:t xml:space="preserve"> </w:t>
      </w:r>
      <w:r>
        <w:t xml:space="preserve">higher threshold (e.g. HHI delta of 200 or 250) by creating an additional flexibility category for</w:t>
      </w:r>
      <w:r>
        <w:t xml:space="preserve"> </w:t>
      </w:r>
      <w:r>
        <w:t xml:space="preserve">cases with HHI delta between 150 and 250 or combined market shares between 50 and 55% for</w:t>
      </w:r>
      <w:r>
        <w:t xml:space="preserve"> </w:t>
      </w:r>
      <w:r>
        <w:t xml:space="preserve">both vertical relationships and horizontal overlaps.</w:t>
      </w:r>
      <w:r>
        <w:t xml:space="preserve"> </w:t>
      </w:r>
      <w:r>
        <w:t xml:space="preserve">III.</w:t>
      </w:r>
      <w:r>
        <w:t xml:space="preserve"> </w:t>
      </w:r>
      <w:r>
        <w:t xml:space="preserve">Other clarifications</w:t>
      </w:r>
      <w:r>
        <w:t xml:space="preserve"> </w:t>
      </w:r>
      <w:r>
        <w:t xml:space="preserve">A few private stakeholders and few law firms pleaded for the exclusion from the notification</w:t>
      </w:r>
      <w:r>
        <w:t xml:space="preserve"> </w:t>
      </w:r>
      <w:r>
        <w:t xml:space="preserve">obligation for extra-EEA JV. A law firm considered that JVs with turnover below EUR 1 million</w:t>
      </w:r>
      <w:r>
        <w:t xml:space="preserve"> </w:t>
      </w:r>
      <w:r>
        <w:t xml:space="preserve">should also be exempted. Another private stakeholder considered that JVs with turnover below</w:t>
      </w:r>
      <w:r>
        <w:t xml:space="preserve"> </w:t>
      </w:r>
      <w:r>
        <w:t xml:space="preserve">EUR 150 million could be exempted from notification. A private stakeholder also pleaded for the</w:t>
      </w:r>
      <w:r>
        <w:t xml:space="preserve"> </w:t>
      </w:r>
      <w:r>
        <w:t xml:space="preserve">exclusion from notification of non-overlap cases.</w:t>
      </w:r>
      <w:r>
        <w:t xml:space="preserve"> </w:t>
      </w:r>
      <w:r>
        <w:t xml:space="preserve">A law firm considered that the forecast for expected turnover should be limited to 1 year or</w:t>
      </w:r>
      <w:r>
        <w:t xml:space="preserve"> </w:t>
      </w:r>
      <w:r>
        <w:t xml:space="preserve">remove it. In the same vein, a law firm considered that currently only expected turnover that</w:t>
      </w:r>
      <w:r>
        <w:t xml:space="preserve"> </w:t>
      </w:r>
      <w:r>
        <w:t xml:space="preserve">would</w:t>
      </w:r>
      <w:r>
        <w:t xml:space="preserve"> </w:t>
      </w:r>
      <w:r>
        <w:t xml:space="preserve">“significantly surpass”</w:t>
      </w:r>
      <w:r>
        <w:t xml:space="preserve"> </w:t>
      </w:r>
      <w:r>
        <w:t xml:space="preserve">the threshold for simplified procedure is taken into account and it is</w:t>
      </w:r>
      <w:r>
        <w:t xml:space="preserve"> </w:t>
      </w:r>
      <w:r>
        <w:t xml:space="preserve">only a possible cause of exclusion by the Commission from the simplified procedure not part of</w:t>
      </w:r>
      <w:r>
        <w:t xml:space="preserve"> </w:t>
      </w:r>
      <w:r>
        <w:t xml:space="preserve">the threshold requirement itself.</w:t>
      </w:r>
      <w:r>
        <w:br/>
      </w:r>
      <w:r>
        <w:t xml:space="preserve">IV.</w:t>
      </w:r>
      <w:r>
        <w:t xml:space="preserve"> </w:t>
      </w:r>
      <w:r>
        <w:t xml:space="preserve">Safeguards and exclusions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Following the First Public Consultation, the Commission compiled a new list of safeguards in</w:t>
      </w:r>
      <w:r>
        <w:t xml:space="preserve"> </w:t>
      </w:r>
      <w:r>
        <w:t xml:space="preserve">Section II.C. of the draft revised Notice on Simplified Procedure, in Section 11 of the draft</w:t>
      </w:r>
      <w:r>
        <w:t xml:space="preserve"> </w:t>
      </w:r>
      <w:r>
        <w:t xml:space="preserve">revised Short Form CO and Section 7.4 of the draft revised Form CO, that were shared for</w:t>
      </w:r>
      <w:r>
        <w:t xml:space="preserve"> </w:t>
      </w:r>
      <w:r>
        <w:t xml:space="preserve">feedback during the Second Public Consultation.</w:t>
      </w:r>
      <w:r>
        <w:t xml:space="preserve"> </w:t>
      </w:r>
      <w:r>
        <w:t xml:space="preserve">In the context of the Second Public Consultation, a number of private stakeholders and a few law</w:t>
      </w:r>
      <w:r>
        <w:t xml:space="preserve"> </w:t>
      </w:r>
      <w:r>
        <w:t xml:space="preserve">firms - while overall supporting the proposed new approach on safeguards and exclusions -</w:t>
      </w:r>
      <w:r>
        <w:t xml:space="preserve"> </w:t>
      </w:r>
      <w:r>
        <w:t xml:space="preserve">considered that the safeguards introduced are too broad and would imply additional and</w:t>
      </w:r>
      <w:r>
        <w:t xml:space="preserve"> </w:t>
      </w:r>
      <w:r>
        <w:t xml:space="preserve">unnecessary burdens to the parties.</w:t>
      </w:r>
      <w:r>
        <w:br/>
      </w:r>
      <w:r>
        <w:t xml:space="preserve">Similarly, a few private stakeholders and law firms, as well as a public authority, considered that</w:t>
      </w:r>
      <w:r>
        <w:t xml:space="preserve"> </w:t>
      </w:r>
      <w:r>
        <w:t xml:space="preserve">it is not always straightforward for the parties to a transaction to be able to answer the questions</w:t>
      </w:r>
      <w:r>
        <w:t xml:space="preserve"> </w:t>
      </w:r>
      <w:r>
        <w:t xml:space="preserve">listed in Section 11 of the Short Form CO with a simple ticked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, in particular when a</w:t>
      </w:r>
      <w:r>
        <w:t xml:space="preserve"> </w:t>
      </w:r>
      <w:r>
        <w:t xml:space="preserve">substantive assessment is required. They also considered that a textual response would be</w:t>
      </w:r>
      <w:r>
        <w:t xml:space="preserve"> </w:t>
      </w:r>
      <w:r>
        <w:t xml:space="preserve">required for some of them, increasing the burden on the notifying parties.</w:t>
      </w:r>
      <w:r>
        <w:br/>
      </w:r>
      <w:r>
        <w:t xml:space="preserve">Overall, stakeholders considered that the Commission should retain only exclusion criteria (i)</w:t>
      </w:r>
      <w:r>
        <w:t xml:space="preserve"> </w:t>
      </w:r>
      <w:r>
        <w:t xml:space="preserve">that are objective; (ii) that do not require disproportionate data gathering or otherwise impose an</w:t>
      </w:r>
      <w:r>
        <w:t xml:space="preserve"> </w:t>
      </w:r>
      <w:r>
        <w:t xml:space="preserve">excessive burden on the parties to establish.</w:t>
      </w:r>
      <w:r>
        <w:t xml:space="preserve"> </w:t>
      </w:r>
      <w:r>
        <w:t xml:space="preserve">b. Streamlining review of simplified cases</w:t>
      </w:r>
      <w:r>
        <w:t xml:space="preserve"> </w:t>
      </w:r>
      <w:r>
        <w:t xml:space="preserve">The Second Public Consultation asked for feedback on the Commission’s changes to the draft</w:t>
      </w:r>
      <w:r>
        <w:t xml:space="preserve"> </w:t>
      </w:r>
      <w:r>
        <w:t xml:space="preserve">revised Short Form CO (Annex II to the draft revised Implementing Regulation).</w:t>
      </w:r>
      <w:r>
        <w:br/>
      </w:r>
      <w:r>
        <w:t xml:space="preserve">Stakeholders generally welcomed the Commission’s modifications in the Short Form CO.</w:t>
      </w:r>
      <w:r>
        <w:t xml:space="preserve"> </w:t>
      </w:r>
      <w:r>
        <w:t xml:space="preserve">Positive feedback was received from stakeholders of all categories. Many stakeholders</w:t>
      </w:r>
      <w:r>
        <w:t xml:space="preserve"> </w:t>
      </w:r>
      <w:r>
        <w:t xml:space="preserve">acknowledged the use of multiple choice questions in the draft revised Short Form CO, which</w:t>
      </w:r>
      <w:r>
        <w:t xml:space="preserve"> </w:t>
      </w:r>
      <w:r>
        <w:t xml:space="preserve">make the notification format more manageable and less burdensome for parties to the</w:t>
      </w:r>
      <w:r>
        <w:t xml:space="preserve"> </w:t>
      </w:r>
      <w:r>
        <w:t xml:space="preserve">concentration. Stakeholders also highlighted that in addition to the changes in the format and the</w:t>
      </w:r>
      <w:r>
        <w:t xml:space="preserve"> </w:t>
      </w:r>
      <w:r>
        <w:t xml:space="preserve">content of the Short Form CO, the success of any simplification/streamlining initiative depends</w:t>
      </w:r>
      <w:r>
        <w:t xml:space="preserve"> </w:t>
      </w:r>
      <w:r>
        <w:t xml:space="preserve">on the way the Commission applies the new rules. Several stakeholders added that the</w:t>
      </w:r>
      <w:r>
        <w:t xml:space="preserve"> </w:t>
      </w:r>
      <w:r>
        <w:t xml:space="preserve">streamlined format of the Short Form CO should not prevent notifying parties from providing</w:t>
      </w:r>
      <w:r>
        <w:t xml:space="preserve"> </w:t>
      </w:r>
      <w:r>
        <w:t xml:space="preserve">clarifications and explanations to the boxes they tick.</w:t>
      </w:r>
    </w:p>
    <w:p>
      <w:pPr>
        <w:pStyle w:val="BodyText"/>
      </w:pPr>
      <w:r>
        <w:t xml:space="preserve">Stakeholders also took the opportunity to make comments regarding the Commission’s existing</w:t>
      </w:r>
      <w:r>
        <w:t xml:space="preserve"> </w:t>
      </w:r>
      <w:r>
        <w:t xml:space="preserve">procedural merger control rules (i.e., including points which did not change in the draft revised</w:t>
      </w:r>
      <w:r>
        <w:t xml:space="preserve"> </w:t>
      </w:r>
      <w:r>
        <w:t xml:space="preserve">legal texts). For example, stakeholders noted that:</w:t>
      </w:r>
      <w:r>
        <w:br/>
      </w:r>
      <w:r>
        <w:t xml:space="preserve"></w:t>
      </w:r>
      <w:r>
        <w:t xml:space="preserve"> </w:t>
      </w:r>
      <w:r>
        <w:t xml:space="preserve">The Commission should set a stricter time limit for reversion of simplified cases to the non-</w:t>
      </w:r>
      <w:r>
        <w:t xml:space="preserve"> </w:t>
      </w:r>
      <w:r>
        <w:t xml:space="preserve">simplified procedure;</w:t>
      </w:r>
      <w:r>
        <w:br/>
      </w:r>
      <w:r>
        <w:t xml:space="preserve"></w:t>
      </w:r>
      <w:r>
        <w:t xml:space="preserve"> </w:t>
      </w:r>
      <w:r>
        <w:t xml:space="preserve">The duration of pre-notification should be minimised;</w:t>
      </w:r>
      <w:r>
        <w:br/>
      </w:r>
      <w:r>
        <w:t xml:space="preserve"></w:t>
      </w:r>
      <w:r>
        <w:t xml:space="preserve"> </w:t>
      </w:r>
      <w:r>
        <w:t xml:space="preserve">Clearance decisions on simplified cases should be adopted in a deadline shorter than the</w:t>
      </w:r>
      <w:r>
        <w:t xml:space="preserve"> </w:t>
      </w:r>
      <w:r>
        <w:t xml:space="preserve">statutory deadline of 25 working days; and</w:t>
      </w:r>
      <w:r>
        <w:t xml:space="preserve"> </w:t>
      </w:r>
      <w:r>
        <w:t xml:space="preserve"></w:t>
      </w:r>
      <w:r>
        <w:t xml:space="preserve"> </w:t>
      </w:r>
      <w:r>
        <w:t xml:space="preserve">The Short Form CO should not require detailed information on “all plausible market</w:t>
      </w:r>
      <w:r>
        <w:t xml:space="preserve"> </w:t>
      </w:r>
      <w:r>
        <w:t xml:space="preserve">definitions” and internal documents of the parties for simplified cases.</w:t>
      </w:r>
    </w:p>
    <w:p>
      <w:pPr>
        <w:pStyle w:val="Compact"/>
        <w:numPr>
          <w:ilvl w:val="0"/>
          <w:numId w:val="1021"/>
        </w:numPr>
      </w:pPr>
      <w:r>
        <w:t xml:space="preserve">Streamlining review of non-simplified cases</w:t>
      </w:r>
      <w:r>
        <w:t xml:space="preserve"> </w:t>
      </w:r>
      <w:r>
        <w:t xml:space="preserve">The Second Public Consultation also asked for feedback on the Commission’s changes to the</w:t>
      </w:r>
      <w:r>
        <w:t xml:space="preserve"> </w:t>
      </w:r>
      <w:r>
        <w:t xml:space="preserve">draft revised Form CO (Annex I to the draft revised Implementing Regulation).</w:t>
      </w:r>
    </w:p>
    <w:p>
      <w:pPr>
        <w:pStyle w:val="FirstParagraph"/>
      </w:pPr>
      <w:r>
        <w:t xml:space="preserve">78</w:t>
      </w:r>
    </w:p>
    <w:p>
      <w:pPr>
        <w:pStyle w:val="BodyText"/>
      </w:pPr>
      <w:r>
        <w:t xml:space="preserve">Stakeholders generally welcomed the Commission’s modifications in the Form CO. Positive</w:t>
      </w:r>
      <w:r>
        <w:t xml:space="preserve"> </w:t>
      </w:r>
      <w:r>
        <w:t xml:space="preserve">feedback was received from stakeholders of all categories.</w:t>
      </w:r>
      <w:r>
        <w:t xml:space="preserve"> </w:t>
      </w:r>
      <w:r>
        <w:t xml:space="preserve">Negative comments were received with regard to the following 2 points. A few private</w:t>
      </w:r>
      <w:r>
        <w:t xml:space="preserve"> </w:t>
      </w:r>
      <w:r>
        <w:t xml:space="preserve">stakeholders took issue with the proposed modification to make the description of “data that each</w:t>
      </w:r>
      <w:r>
        <w:t xml:space="preserve"> </w:t>
      </w:r>
      <w:r>
        <w:t xml:space="preserve">of the undertakings concerned collects and stores in the ordinary course of its business” a pre-</w:t>
      </w:r>
      <w:r>
        <w:t xml:space="preserve"> </w:t>
      </w:r>
      <w:r>
        <w:t xml:space="preserve">requisite for the Form CO to be considered complete. These stakeholders found the information</w:t>
      </w:r>
      <w:r>
        <w:t xml:space="preserve"> </w:t>
      </w:r>
      <w:r>
        <w:t xml:space="preserve">requirement burdensome for the notifying party and proposed to revert to the existing Form CO</w:t>
      </w:r>
      <w:r>
        <w:t xml:space="preserve"> </w:t>
      </w:r>
      <w:r>
        <w:t xml:space="preserve">on this point.</w:t>
      </w:r>
      <w:r>
        <w:t xml:space="preserve"> </w:t>
      </w:r>
      <w:r>
        <w:t xml:space="preserve">A few private stakeholders were opposed to the lowering of a threshold above which information</w:t>
      </w:r>
      <w:r>
        <w:t xml:space="preserve"> </w:t>
      </w:r>
      <w:r>
        <w:t xml:space="preserve">is required involving cases of potential competition with pipeline products. In the current Form</w:t>
      </w:r>
      <w:r>
        <w:t xml:space="preserve"> </w:t>
      </w:r>
      <w:r>
        <w:t xml:space="preserve">CO, this concerns cases where any of the parties to the concentration has a market share larger</w:t>
      </w:r>
      <w:r>
        <w:t xml:space="preserve"> </w:t>
      </w:r>
      <w:r>
        <w:t xml:space="preserve">than 30% and any other party to the concentration is a potential competitor in that market. The</w:t>
      </w:r>
      <w:r>
        <w:t xml:space="preserve"> </w:t>
      </w:r>
      <w:r>
        <w:t xml:space="preserve">draft Form CO on which the second public consultation was launched proposed 20%, reflecting</w:t>
      </w:r>
      <w:r>
        <w:t xml:space="preserve"> </w:t>
      </w:r>
      <w:r>
        <w:t xml:space="preserve">the increased importance of innovation in the assessment of mergers. Those stakeholders opposed</w:t>
      </w:r>
      <w:r>
        <w:t xml:space="preserve"> </w:t>
      </w:r>
      <w:r>
        <w:t xml:space="preserve">noted that the relevant market share threshold should remain at 30% because concentrations that</w:t>
      </w:r>
      <w:r>
        <w:t xml:space="preserve"> </w:t>
      </w:r>
      <w:r>
        <w:t xml:space="preserve">raise concerns around potential competition typically involve a dominant or near-dominant</w:t>
      </w:r>
      <w:r>
        <w:t xml:space="preserve"> </w:t>
      </w:r>
      <w:r>
        <w:t xml:space="preserve">acquirer.</w:t>
      </w:r>
      <w:r>
        <w:t xml:space="preserve"> </w:t>
      </w:r>
      <w:r>
        <w:t xml:space="preserve">d. Introducing electronic notifications</w:t>
      </w:r>
    </w:p>
    <w:p>
      <w:pPr>
        <w:pStyle w:val="BodyText"/>
      </w:pPr>
      <w:r>
        <w:t xml:space="preserve">The Second Public Consultation asked for feedback on the draft revised Implementing</w:t>
      </w:r>
      <w:r>
        <w:t xml:space="preserve"> </w:t>
      </w:r>
      <w:r>
        <w:t xml:space="preserve">Regulation (which includes provisions on the digital transmission of documents) and the OJ</w:t>
      </w:r>
      <w:r>
        <w:t xml:space="preserve"> </w:t>
      </w:r>
      <w:r>
        <w:t xml:space="preserve">Notice that will accompany the Regulation.</w:t>
      </w:r>
    </w:p>
    <w:p>
      <w:pPr>
        <w:pStyle w:val="BodyText"/>
      </w:pPr>
      <w:r>
        <w:t xml:space="preserve">Both private and public stakeholders generally welcomed the initiatives regarding digital</w:t>
      </w:r>
      <w:r>
        <w:t xml:space="preserve"> </w:t>
      </w:r>
      <w:r>
        <w:t xml:space="preserve">transmission and electronic signature of documents sent to the Commission. Stakeholders also</w:t>
      </w:r>
      <w:r>
        <w:t xml:space="preserve"> </w:t>
      </w:r>
      <w:r>
        <w:t xml:space="preserve">praised the Commission’s practice during the Covid-19 pandemic, which provided inspiration for</w:t>
      </w:r>
      <w:r>
        <w:t xml:space="preserve"> </w:t>
      </w:r>
      <w:r>
        <w:t xml:space="preserve">the changes to the Implementing Regulation and for the OJ Notice.</w:t>
      </w:r>
    </w:p>
    <w:p>
      <w:pPr>
        <w:pStyle w:val="BodyText"/>
      </w:pPr>
      <w:r>
        <w:t xml:space="preserve">A few stakeholders highlighted that there should still be a possibility to transmit documents to the</w:t>
      </w:r>
      <w:r>
        <w:t xml:space="preserve"> </w:t>
      </w:r>
      <w:r>
        <w:t xml:space="preserve">Commission in hard copy (and with wet-ink signature) under exceptional circumstances. This</w:t>
      </w:r>
      <w:r>
        <w:t xml:space="preserve"> </w:t>
      </w:r>
      <w:r>
        <w:t xml:space="preserve">exceptional possibility is indeed reflected in Article 22 of the draft revised Implementing</w:t>
      </w:r>
      <w:r>
        <w:t xml:space="preserve"> </w:t>
      </w:r>
      <w:r>
        <w:t xml:space="preserve">Regulation and in an initial draft OJ Notice that was included in the Second Public Consultation</w:t>
      </w:r>
      <w:r>
        <w:t xml:space="preserve"> </w:t>
      </w:r>
      <w:r>
        <w:t xml:space="preserve">for information purposes.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ANNEX 3 - WHO IS AFFECTED AND HOW?</w:t>
      </w:r>
      <w:r>
        <w:t xml:space="preserve"> </w:t>
      </w:r>
      <w:r>
        <w:t xml:space="preserve">1. Practical Implications of the Initiative</w:t>
      </w:r>
    </w:p>
    <w:p>
      <w:pPr>
        <w:pStyle w:val="BodyText"/>
      </w:pPr>
      <w:r>
        <w:t xml:space="preserve">The initiative consists in revising the existing EU merger procedural rules, namely the</w:t>
      </w:r>
      <w:r>
        <w:t xml:space="preserve"> </w:t>
      </w:r>
      <w:r>
        <w:t xml:space="preserve">Implementing Regulation (with its Annexes and accompanying documents) and the</w:t>
      </w:r>
      <w:r>
        <w:t xml:space="preserve"> </w:t>
      </w:r>
      <w:r>
        <w:t xml:space="preserve">Notice on Simplified Procedure (together, the “legal texts”). As such, the initiative is</w:t>
      </w:r>
      <w:r>
        <w:t xml:space="preserve"> </w:t>
      </w:r>
      <w:r>
        <w:t xml:space="preserve">largely a continuation of the existing rules, which the Evaluation fundamentally</w:t>
      </w:r>
      <w:r>
        <w:t xml:space="preserve"> </w:t>
      </w:r>
      <w:r>
        <w:t xml:space="preserve">confirmed to be useful and relevant for stakeholders.</w:t>
      </w:r>
    </w:p>
    <w:p>
      <w:pPr>
        <w:pStyle w:val="BodyText"/>
      </w:pPr>
      <w:r>
        <w:t xml:space="preserve">In the assessment of the practical implications of the initiative, it is important to recall</w:t>
      </w:r>
      <w:r>
        <w:t xml:space="preserve"> </w:t>
      </w:r>
      <w:r>
        <w:t xml:space="preserve">that the legal texts do not impose any additional compliance obligations on businesses</w:t>
      </w:r>
      <w:r>
        <w:t xml:space="preserve"> </w:t>
      </w:r>
      <w:r>
        <w:t xml:space="preserve">beyond those reflected in the EU Merger Regulation. On the contrary, the rules aim to</w:t>
      </w:r>
      <w:r>
        <w:t xml:space="preserve"> </w:t>
      </w:r>
      <w:r>
        <w:t xml:space="preserve">facilitate the work of businesses that have to apply the EU Merger Regulation and notify</w:t>
      </w:r>
      <w:r>
        <w:t xml:space="preserve"> </w:t>
      </w:r>
      <w:r>
        <w:t xml:space="preserve">their concentrations prior to implementation.</w:t>
      </w:r>
    </w:p>
    <w:p>
      <w:pPr>
        <w:pStyle w:val="BodyText"/>
      </w:pPr>
      <w:r>
        <w:t xml:space="preserve">The revised legal texts will primarily have practical implications for businesses and,</w:t>
      </w:r>
      <w:r>
        <w:t xml:space="preserve"> </w:t>
      </w:r>
      <w:r>
        <w:t xml:space="preserve">indirectly, the law firms and other professionals advising businesses on compliance with</w:t>
      </w:r>
      <w:r>
        <w:t xml:space="preserve"> </w:t>
      </w:r>
      <w:r>
        <w:t xml:space="preserve">the EU Merger Regulation. The revised legal texts will also have implications for the</w:t>
      </w:r>
      <w:r>
        <w:t xml:space="preserve"> </w:t>
      </w:r>
      <w:r>
        <w:t xml:space="preserve">NCAs and national courts. Indirectly, the revised legal texts will also affect consumers,</w:t>
      </w:r>
      <w:r>
        <w:t xml:space="preserve"> </w:t>
      </w:r>
      <w:r>
        <w:t xml:space="preserve">but the initiative has no practical implications for them.</w:t>
      </w:r>
    </w:p>
    <w:p>
      <w:pPr>
        <w:pStyle w:val="BodyText"/>
      </w:pPr>
      <w:r>
        <w:t xml:space="preserve">1.1. Businesses</w:t>
      </w:r>
    </w:p>
    <w:p>
      <w:pPr>
        <w:pStyle w:val="BodyText"/>
      </w:pPr>
      <w:r>
        <w:t xml:space="preserve">The stakeholder group that would primarily be affected by the Commission’s merger</w:t>
      </w:r>
      <w:r>
        <w:t xml:space="preserve"> </w:t>
      </w:r>
      <w:r>
        <w:t xml:space="preserve">simplification/streamlining initiative is businesses, as they are the stakeholders that</w:t>
      </w:r>
      <w:r>
        <w:t xml:space="preserve"> </w:t>
      </w:r>
      <w:r>
        <w:t xml:space="preserve">mostly use the legal texts regarding their concentrations. In practice, businesses use the</w:t>
      </w:r>
      <w:r>
        <w:t xml:space="preserve"> </w:t>
      </w:r>
      <w:r>
        <w:t xml:space="preserve">Notice on Simplified Procedure to self-assess their concentrations and determine whether</w:t>
      </w:r>
      <w:r>
        <w:t xml:space="preserve"> </w:t>
      </w:r>
      <w:r>
        <w:t xml:space="preserve">they should fall under the simplified or the non-simplified procedure. Businesses also</w:t>
      </w:r>
      <w:r>
        <w:t xml:space="preserve"> </w:t>
      </w:r>
      <w:r>
        <w:t xml:space="preserve">use the Implementing Regulation and its Annexes to notify concentrations to the</w:t>
      </w:r>
      <w:r>
        <w:t xml:space="preserve"> </w:t>
      </w:r>
      <w:r>
        <w:t xml:space="preserve">Commission, to refer cases to the Commission under Article 4(5) of the EU Merger</w:t>
      </w:r>
      <w:r>
        <w:t xml:space="preserve"> </w:t>
      </w:r>
      <w:r>
        <w:t xml:space="preserve">Regulation, and/or to explain/describe the remedies proposed for concentrations that</w:t>
      </w:r>
      <w:r>
        <w:t xml:space="preserve"> </w:t>
      </w:r>
      <w:r>
        <w:t xml:space="preserve">could give rise to competition concerns.</w:t>
      </w:r>
    </w:p>
    <w:p>
      <w:pPr>
        <w:pStyle w:val="BodyText"/>
      </w:pPr>
      <w:r>
        <w:t xml:space="preserve">In the Evaluation of the current rules, the Commission found that stakeholders generally</w:t>
      </w:r>
      <w:r>
        <w:t xml:space="preserve"> </w:t>
      </w:r>
      <w:r>
        <w:t xml:space="preserve">agreed that there was some, possibly limited, room to further simplify merger procedures</w:t>
      </w:r>
      <w:r>
        <w:t xml:space="preserve"> </w:t>
      </w:r>
      <w:r>
        <w:t xml:space="preserve">and reduce red tape. The initiative to revise the legal texts addressed problems of scope,</w:t>
      </w:r>
      <w:r>
        <w:t xml:space="preserve"> </w:t>
      </w:r>
      <w:r>
        <w:t xml:space="preserve">clarity, and complexity of the relevant rules. Additional clarity and rules that are simpler</w:t>
      </w:r>
      <w:r>
        <w:t xml:space="preserve"> </w:t>
      </w:r>
      <w:r>
        <w:t xml:space="preserve">would greatly increase the level of legal certainty provided, which would in turn increase</w:t>
      </w:r>
      <w:r>
        <w:t xml:space="preserve"> </w:t>
      </w:r>
      <w:r>
        <w:t xml:space="preserve">the ability of the rules to facilitate efficient notification and investigation of</w:t>
      </w:r>
      <w:r>
        <w:t xml:space="preserve"> </w:t>
      </w:r>
      <w:r>
        <w:t xml:space="preserve">concentrations before the Commission. Finally, the reduced need for paper as a result of</w:t>
      </w:r>
      <w:r>
        <w:t xml:space="preserve"> </w:t>
      </w:r>
      <w:r>
        <w:t xml:space="preserve">the electronic transmission of documents also entails a positive impact on sustainable</w:t>
      </w:r>
      <w:r>
        <w:t xml:space="preserve"> </w:t>
      </w:r>
      <w:r>
        <w:t xml:space="preserve">development goal number 12 (responsible consumption), although very limited.</w:t>
      </w:r>
    </w:p>
    <w:p>
      <w:pPr>
        <w:pStyle w:val="BodyText"/>
      </w:pPr>
      <w:r>
        <w:t xml:space="preserve">Indirectly, law firms and other professionals advising businesses on compliance with the</w:t>
      </w:r>
      <w:r>
        <w:t xml:space="preserve"> </w:t>
      </w:r>
      <w:r>
        <w:t xml:space="preserve">EU Merger Regulation would also benefit from a clearer set of rules, which would allow</w:t>
      </w:r>
      <w:r>
        <w:t xml:space="preserve"> </w:t>
      </w:r>
      <w:r>
        <w:t xml:space="preserve">them to more effectively advise businesses.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The benefits of the different policy options for businesses were explained in more detail</w:t>
      </w:r>
      <w:r>
        <w:t xml:space="preserve"> </w:t>
      </w:r>
      <w:r>
        <w:t xml:space="preserve">in Section 6 of this report.</w:t>
      </w:r>
    </w:p>
    <w:p>
      <w:pPr>
        <w:pStyle w:val="BodyText"/>
      </w:pPr>
      <w:r>
        <w:t xml:space="preserve">1.2. Commission</w:t>
      </w:r>
    </w:p>
    <w:p>
      <w:pPr>
        <w:pStyle w:val="BodyText"/>
      </w:pPr>
      <w:r>
        <w:t xml:space="preserve">This initiative would also have practical implications for the Commission, which applies</w:t>
      </w:r>
      <w:r>
        <w:t xml:space="preserve"> </w:t>
      </w:r>
      <w:r>
        <w:t xml:space="preserve">the EU merger procedural rules. The Commission would have to take into account these</w:t>
      </w:r>
      <w:r>
        <w:t xml:space="preserve"> </w:t>
      </w:r>
      <w:r>
        <w:t xml:space="preserve">rules to:</w:t>
      </w:r>
    </w:p>
    <w:p>
      <w:pPr>
        <w:pStyle w:val="BodyText"/>
      </w:pPr>
      <w:r>
        <w:t xml:space="preserve"> determine whether a case should be treated under the simplified or the non-simplified</w:t>
      </w:r>
      <w:r>
        <w:t xml:space="preserve"> </w:t>
      </w:r>
      <w:r>
        <w:t xml:space="preserve">procedure;</w:t>
      </w:r>
      <w:r>
        <w:br/>
      </w:r>
      <w:r>
        <w:t xml:space="preserve"> confirm that a notification (or other submission) is complete and correctly signed and</w:t>
      </w:r>
      <w:r>
        <w:t xml:space="preserve"> </w:t>
      </w:r>
      <w:r>
        <w:t xml:space="preserve">submitted; and</w:t>
      </w:r>
      <w:r>
        <w:br/>
      </w:r>
      <w:r>
        <w:t xml:space="preserve"> organise the merger review procedure.</w:t>
      </w:r>
    </w:p>
    <w:p>
      <w:pPr>
        <w:pStyle w:val="BodyText"/>
      </w:pPr>
      <w:r>
        <w:t xml:space="preserve">The impact of the initiative on enforcement authorities is explained in more detail in</w:t>
      </w:r>
      <w:r>
        <w:t xml:space="preserve"> </w:t>
      </w:r>
      <w:r>
        <w:t xml:space="preserve">Section 6 of the report.</w:t>
      </w:r>
    </w:p>
    <w:p>
      <w:pPr>
        <w:pStyle w:val="BodyText"/>
      </w:pPr>
      <w:r>
        <w:t xml:space="preserve">1.3. Consumers</w:t>
      </w:r>
    </w:p>
    <w:p>
      <w:pPr>
        <w:pStyle w:val="BodyText"/>
      </w:pPr>
      <w:r>
        <w:t xml:space="preserve">The initiative is not expected to have direct practical implications for consumers, as the</w:t>
      </w:r>
      <w:r>
        <w:t xml:space="preserve"> </w:t>
      </w:r>
      <w:r>
        <w:t xml:space="preserve">legal texts do not apply to them and are usually not used by them in any relevant manner.</w:t>
      </w:r>
      <w:r>
        <w:t xml:space="preserve"> </w:t>
      </w:r>
      <w:r>
        <w:t xml:space="preserve">Indirectly, however, consumers would be affected by the initiative, in that they will</w:t>
      </w:r>
      <w:r>
        <w:t xml:space="preserve"> </w:t>
      </w:r>
      <w:r>
        <w:t xml:space="preserve">continue to benefit from effective competition (in terms of prices, quality, choice, and</w:t>
      </w:r>
      <w:r>
        <w:t xml:space="preserve"> </w:t>
      </w:r>
      <w:r>
        <w:t xml:space="preserve">innovation) as the Commission will be able to dedicate its resources and intervene in</w:t>
      </w:r>
      <w:r>
        <w:t xml:space="preserve"> </w:t>
      </w:r>
      <w:r>
        <w:t xml:space="preserve">mergers raising competition concerns (unlike simplified cases).</w:t>
      </w:r>
    </w:p>
    <w:p>
      <w:pPr>
        <w:pStyle w:val="Compact"/>
        <w:numPr>
          <w:ilvl w:val="0"/>
          <w:numId w:val="1022"/>
        </w:numPr>
      </w:pPr>
      <w:r>
        <w:t xml:space="preserve">Summary of Costs and Benefits</w:t>
      </w:r>
      <w:r>
        <w:br/>
      </w:r>
      <w:r>
        <w:t xml:space="preserve">As explained in the report, it proved impossible to collect sufficient quantitative evidence</w:t>
      </w:r>
      <w:r>
        <w:t xml:space="preserve"> </w:t>
      </w:r>
      <w:r>
        <w:t xml:space="preserve">on the costs and benefits of the identified policy options. It should be noted from the</w:t>
      </w:r>
      <w:r>
        <w:t xml:space="preserve"> </w:t>
      </w:r>
      <w:r>
        <w:t xml:space="preserve">outset that while savings for businesses involved in a notification (notifying parties) are</w:t>
      </w:r>
      <w:r>
        <w:t xml:space="preserve"> </w:t>
      </w:r>
      <w:r>
        <w:t xml:space="preserve">significant, the aggregate impact of this initiative on businesses is limited, given the</w:t>
      </w:r>
      <w:r>
        <w:t xml:space="preserve"> </w:t>
      </w:r>
      <w:r>
        <w:t xml:space="preserve">relatively small number of companies compared to the number of overall existing</w:t>
      </w:r>
      <w:r>
        <w:t xml:space="preserve"> </w:t>
      </w:r>
      <w:r>
        <w:t xml:space="preserve">companies that notify a transaction to the Commission every year: in the last 5 years,</w:t>
      </w:r>
      <w:r>
        <w:t xml:space="preserve"> </w:t>
      </w:r>
      <w:r>
        <w:t xml:space="preserve">there have been less than 400 notifications per year, which include most often only one</w:t>
      </w:r>
      <w:r>
        <w:t xml:space="preserve"> </w:t>
      </w:r>
      <w:r>
        <w:t xml:space="preserve">notifying party. Moreover, the additional number of cases captured by the simplified</w:t>
      </w:r>
      <w:r>
        <w:t xml:space="preserve"> </w:t>
      </w:r>
      <w:r>
        <w:t xml:space="preserve">procedure will be limited.</w:t>
      </w:r>
      <w:r>
        <w:t xml:space="preserve"> </w:t>
      </w:r>
      <w:r>
        <w:t xml:space="preserve">The Commission has attempted to quantify in monetary terms the cost savings for</w:t>
      </w:r>
      <w:r>
        <w:t xml:space="preserve"> </w:t>
      </w:r>
      <w:r>
        <w:t xml:space="preserve">businesses, asking stakeholders on several occasions to quantify these benefits and cost</w:t>
      </w:r>
      <w:r>
        <w:t xml:space="preserve"> </w:t>
      </w:r>
      <w:r>
        <w:t xml:space="preserve">reductions. However, it proved impossible to collect sufficient quantitative evidence on</w:t>
      </w:r>
      <w:r>
        <w:t xml:space="preserve"> </w:t>
      </w:r>
      <w:r>
        <w:t xml:space="preserve">the costs and benefits of the identified policy options. The fact that it was not possible to</w:t>
      </w:r>
      <w:r>
        <w:t xml:space="preserve"> </w:t>
      </w:r>
      <w:r>
        <w:t xml:space="preserve">quantify this type of costs and benefits had already become apparent during the</w:t>
      </w:r>
      <w:r>
        <w:t xml:space="preserve"> </w:t>
      </w:r>
      <w:r>
        <w:t xml:space="preserve">Evaluation of procedural and jurisdictional aspects of EU merger control which preceded</w:t>
      </w:r>
    </w:p>
    <w:p>
      <w:pPr>
        <w:pStyle w:val="FirstParagraph"/>
      </w:pPr>
      <w:r>
        <w:t xml:space="preserve">81</w:t>
      </w:r>
    </w:p>
    <w:p>
      <w:pPr>
        <w:pStyle w:val="BodyText"/>
      </w:pPr>
      <w:r>
        <w:t xml:space="preserve">this impact assessment.66 During the impact assessment, several stakeholders identified</w:t>
      </w:r>
      <w:r>
        <w:t xml:space="preserve"> </w:t>
      </w:r>
      <w:r>
        <w:t xml:space="preserve">the benefits and cost reductions resulting from the simplification/streamlining of merger</w:t>
      </w:r>
      <w:r>
        <w:t xml:space="preserve"> </w:t>
      </w:r>
      <w:r>
        <w:t xml:space="preserve">procedural rules. The Commission asked stakeholders on several iterations to quantify</w:t>
      </w:r>
      <w:r>
        <w:t xml:space="preserve"> </w:t>
      </w:r>
      <w:r>
        <w:t xml:space="preserve">these benefits and cost reductions. Questions were included in the Public Consultation</w:t>
      </w:r>
      <w:r>
        <w:t xml:space="preserve"> </w:t>
      </w:r>
      <w:r>
        <w:t xml:space="preserve">and the Commission also sent more targeted follow-up questions by email to</w:t>
      </w:r>
      <w:r>
        <w:t xml:space="preserve"> </w:t>
      </w:r>
      <w:r>
        <w:t xml:space="preserve">stakeholders that had replied to the Public Consultation.67 In particular, the Commission</w:t>
      </w:r>
      <w:r>
        <w:t xml:space="preserve"> </w:t>
      </w:r>
      <w:r>
        <w:t xml:space="preserve">asked a number of law firms and associations representing multiple law firms and</w:t>
      </w:r>
      <w:r>
        <w:t xml:space="preserve"> </w:t>
      </w:r>
      <w:r>
        <w:t xml:space="preserve">businesses that had stated in their replies to the Public Consultation that the</w:t>
      </w:r>
      <w:r>
        <w:t xml:space="preserve"> </w:t>
      </w:r>
      <w:r>
        <w:t xml:space="preserve">Commission’s proposals would limit the burden of businesses related to merger control</w:t>
      </w:r>
      <w:r>
        <w:t xml:space="preserve"> </w:t>
      </w:r>
      <w:r>
        <w:t xml:space="preserve">to provide quantitative evidence for their statement. Even following a reminder sent to</w:t>
      </w:r>
      <w:r>
        <w:t xml:space="preserve"> </w:t>
      </w:r>
      <w:r>
        <w:t xml:space="preserve">these respondents, the Commission only received limited replies, which do not include</w:t>
      </w:r>
      <w:r>
        <w:t xml:space="preserve"> </w:t>
      </w:r>
      <w:r>
        <w:t xml:space="preserve">sufficient information or data to accurately estimate costs savings in terms of time or</w:t>
      </w:r>
      <w:r>
        <w:t xml:space="preserve"> </w:t>
      </w:r>
      <w:r>
        <w:t xml:space="preserve">money. In this regard, an association of law firms explained that “estimating costs related</w:t>
      </w:r>
      <w:r>
        <w:t xml:space="preserve"> </w:t>
      </w:r>
      <w:r>
        <w:t xml:space="preserve">to M&amp;A transactions is a nearly impossible task. The cost of a transaction will be very</w:t>
      </w:r>
      <w:r>
        <w:t xml:space="preserve"> </w:t>
      </w:r>
      <w:r>
        <w:t xml:space="preserve">case-specific, and very much depend on the industry, the parties, the complexity of the</w:t>
      </w:r>
      <w:r>
        <w:t xml:space="preserve"> </w:t>
      </w:r>
      <w:r>
        <w:t xml:space="preserve">case, the market dynamics, the timeline, the outside counsels involved”.</w:t>
      </w:r>
      <w:r>
        <w:br/>
      </w:r>
      <w:r>
        <w:t xml:space="preserve">Only two respondents provided rough estimates of the costs of a simplified procedure</w:t>
      </w:r>
      <w:r>
        <w:t xml:space="preserve"> </w:t>
      </w:r>
      <w:r>
        <w:t xml:space="preserve">and one respondent provided rough estimates of the costs of a normal procedure. On the</w:t>
      </w:r>
      <w:r>
        <w:t xml:space="preserve"> </w:t>
      </w:r>
      <w:r>
        <w:t xml:space="preserve">costs of a simplified procedure, while the first respondent estimated that on average a</w:t>
      </w:r>
      <w:r>
        <w:t xml:space="preserve"> </w:t>
      </w:r>
      <w:r>
        <w:t xml:space="preserve">simplified procedure implies EUR 115 000 in costs of legal fees, an amount that</w:t>
      </w:r>
      <w:r>
        <w:t xml:space="preserve"> </w:t>
      </w:r>
      <w:r>
        <w:t xml:space="preserve">according to this respondent should probably be doubled to take into account the costs</w:t>
      </w:r>
      <w:r>
        <w:t xml:space="preserve"> </w:t>
      </w:r>
      <w:r>
        <w:t xml:space="preserve">for preparation and support provided internally by the parties to the concentration, the</w:t>
      </w:r>
      <w:r>
        <w:t xml:space="preserve"> </w:t>
      </w:r>
      <w:r>
        <w:t xml:space="preserve">second respondent provided a largely different amount, estimating that a simplified</w:t>
      </w:r>
      <w:r>
        <w:t xml:space="preserve"> </w:t>
      </w:r>
      <w:r>
        <w:t xml:space="preserve">procedure costs generally EUR 50 000. These significant differences between only these</w:t>
      </w:r>
      <w:r>
        <w:t xml:space="preserve"> </w:t>
      </w:r>
      <w:r>
        <w:t xml:space="preserve">two replies show the inherent difficulties of quantifying costs with any precision. The</w:t>
      </w:r>
      <w:r>
        <w:t xml:space="preserve"> </w:t>
      </w:r>
      <w:r>
        <w:t xml:space="preserve">only respondent that provided data for a Phase 1 non-simplified procedure estimated that</w:t>
      </w:r>
      <w:r>
        <w:t xml:space="preserve"> </w:t>
      </w:r>
      <w:r>
        <w:t xml:space="preserve">such a procedure costs on average EUR 700 000 in legal fees plus internal costs.</w:t>
      </w:r>
      <w:r>
        <w:br/>
      </w:r>
      <w:r>
        <w:t xml:space="preserve">The respondents mentioned that in terms of cost savings, “a further simplification of the</w:t>
      </w:r>
      <w:r>
        <w:t xml:space="preserve"> </w:t>
      </w:r>
      <w:r>
        <w:t xml:space="preserve">merger rules as envisaged by the current reform would likely have a significant impact”</w:t>
      </w:r>
      <w:r>
        <w:t xml:space="preserve"> </w:t>
      </w:r>
      <w:r>
        <w:t xml:space="preserve">One respondent referred in this context to a reduction “in terms of the number of business</w:t>
      </w:r>
      <w:r>
        <w:t xml:space="preserve"> </w:t>
      </w:r>
      <w:r>
        <w:t xml:space="preserve">people involved, and the timing for the preparation and the pre-notification phase”, for</w:t>
      </w:r>
      <w:r>
        <w:t xml:space="preserve"> </w:t>
      </w:r>
      <w:r>
        <w:t xml:space="preserve">which it estimates a reduction of 1 month in some cases. Another respondent mentioned</w:t>
      </w:r>
      <w:r>
        <w:t xml:space="preserve"> </w:t>
      </w:r>
      <w:r>
        <w:t xml:space="preserve">in this context that “Even a week saved in pre-notification could save several thousands</w:t>
      </w:r>
      <w:r>
        <w:t xml:space="preserve"> </w:t>
      </w:r>
      <w:r>
        <w:t xml:space="preserve">of Euros in legal fees for a client”.</w:t>
      </w:r>
      <w:r>
        <w:t xml:space="preserve"> </w:t>
      </w:r>
      <w:r>
        <w:t xml:space="preserve">Overall, while it is clear that it is impossible to quantify cost savings precisely, it can be</w:t>
      </w:r>
      <w:r>
        <w:t xml:space="preserve"> </w:t>
      </w:r>
      <w:r>
        <w:t xml:space="preserve">concluded that as a result of the simplification and streamlining of merger control</w:t>
      </w:r>
      <w:r>
        <w:t xml:space="preserve"> </w:t>
      </w:r>
      <w:r>
        <w:t xml:space="preserve">procedures, for each case that would fall under the simplified procedure, and possibly</w:t>
      </w:r>
    </w:p>
    <w:p>
      <w:pPr>
        <w:pStyle w:val="BodyText"/>
      </w:pPr>
      <w:r>
        <w:t xml:space="preserve">66</w:t>
      </w:r>
      <w:r>
        <w:br/>
      </w:r>
      <w:r>
        <w:t xml:space="preserve">See Commission Staff Working Document – Evaluation of procedural and jurisdictional aspects of</w:t>
      </w:r>
      <w:r>
        <w:t xml:space="preserve"> </w:t>
      </w:r>
      <w:r>
        <w:t xml:space="preserve">EU</w:t>
      </w:r>
      <w:r>
        <w:t xml:space="preserve"> </w:t>
      </w:r>
      <w:r>
        <w:t xml:space="preserve">merger</w:t>
      </w:r>
      <w:r>
        <w:t xml:space="preserve"> </w:t>
      </w:r>
      <w:r>
        <w:t xml:space="preserve">control,</w:t>
      </w:r>
      <w:r>
        <w:t xml:space="preserve"> </w:t>
      </w:r>
      <w:r>
        <w:t xml:space="preserve">para.</w:t>
      </w:r>
      <w:r>
        <w:t xml:space="preserve"> </w:t>
      </w:r>
      <w:r>
        <w:t xml:space="preserve">75</w:t>
      </w:r>
      <w:r>
        <w:t xml:space="preserve"> </w:t>
      </w:r>
      <w:r>
        <w:t xml:space="preserve">(available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https://ec.europa.eu/competition/consultations/2021_merger_control/SWD_findings_of_evaluation.</w:t>
      </w:r>
      <w:r>
        <w:t xml:space="preserve"> </w:t>
      </w:r>
      <w:r>
        <w:t xml:space="preserve">pdf).</w:t>
      </w:r>
      <w:r>
        <w:br/>
      </w:r>
      <w:r>
        <w:t xml:space="preserve">67</w:t>
      </w:r>
      <w:r>
        <w:br/>
      </w:r>
      <w:r>
        <w:t xml:space="preserve">See replies to questions 1.3; 1.4; 1.9; 1.10; 2.9; 2.10; 2.11; 2.12; 3.9; 3.10; 4.4; 4.5; 5.1; 5.2 and 5.3</w:t>
      </w:r>
      <w:r>
        <w:t xml:space="preserve"> </w:t>
      </w:r>
      <w:r>
        <w:t xml:space="preserve">of the online questionnaire provided in the first open public consultation; emails sent to stakeholders</w:t>
      </w:r>
      <w:r>
        <w:t xml:space="preserve"> </w:t>
      </w:r>
      <w:r>
        <w:t xml:space="preserve">in August 2022 and September 2022 regarding quantification of benefits.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also the non-simplified procedure, the notifying parties could save several hundreds of</w:t>
      </w:r>
      <w:r>
        <w:t xml:space="preserve"> </w:t>
      </w:r>
      <w:r>
        <w:t xml:space="preserve">thousands of euros. This was confirmed by the large majority of private stakeholders that</w:t>
      </w:r>
      <w:r>
        <w:t xml:space="preserve"> </w:t>
      </w:r>
      <w:r>
        <w:t xml:space="preserve">considered that the introduction of the preferred option would be beneficial and consider</w:t>
      </w:r>
      <w:r>
        <w:t xml:space="preserve"> </w:t>
      </w:r>
      <w:r>
        <w:t xml:space="preserve">that it would bring a moderate to significant reduction of administrative burden and costs</w:t>
      </w:r>
      <w:r>
        <w:t xml:space="preserve"> </w:t>
      </w:r>
      <w:r>
        <w:t xml:space="preserve">for businesses in response to the Public Consultation. Saving several hundreds of</w:t>
      </w:r>
      <w:r>
        <w:t xml:space="preserve"> </w:t>
      </w:r>
      <w:r>
        <w:t xml:space="preserve">thousands euros is a significant cost reduction for the individual companies involved in</w:t>
      </w:r>
      <w:r>
        <w:t xml:space="preserve"> </w:t>
      </w:r>
      <w:r>
        <w:t xml:space="preserve">the notification of a case.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Overview of Benefits – Preferred Options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Expanding and</w:t>
      </w:r>
      <w:r>
        <w:t xml:space="preserve"> </w:t>
      </w:r>
      <w:r>
        <w:t xml:space="preserve">clarifying the</w:t>
      </w:r>
      <w:r>
        <w:t xml:space="preserve"> </w:t>
      </w:r>
      <w:r>
        <w:t xml:space="preserve">categories of</w:t>
      </w:r>
      <w:r>
        <w:t xml:space="preserve"> </w:t>
      </w:r>
      <w:r>
        <w:t xml:space="preserve">simplified</w:t>
      </w:r>
      <w:r>
        <w:t xml:space="preserve"> </w:t>
      </w:r>
      <w:r>
        <w:t xml:space="preserve">cases:</w:t>
      </w:r>
      <w:r>
        <w:t xml:space="preserve"> </w:t>
      </w:r>
      <w:r>
        <w:t xml:space="preserve">Combination</w:t>
      </w:r>
      <w:r>
        <w:t xml:space="preserve"> </w:t>
      </w:r>
      <w:r>
        <w:t xml:space="preserve">of Options 1,</w:t>
      </w:r>
      <w:r>
        <w:t xml:space="preserve"> </w:t>
      </w:r>
      <w:r>
        <w:t xml:space="preserve">2, and 3</w:t>
      </w:r>
      <w:r>
        <w:t xml:space="preserve"> </w:t>
      </w:r>
      <w:r>
        <w:t xml:space="preserve">Reduction of costs</w:t>
      </w:r>
      <w:r>
        <w:t xml:space="preserve"> </w:t>
      </w:r>
      <w:r>
        <w:t xml:space="preserve">for notifying parties</w:t>
      </w:r>
      <w:r>
        <w:t xml:space="preserve"> </w:t>
      </w:r>
      <w:r>
        <w:t xml:space="preserve">Not</w:t>
      </w:r>
      <w:r>
        <w:t xml:space="preserve"> </w:t>
      </w:r>
      <w:r>
        <w:t xml:space="preserve">possible to</w:t>
      </w:r>
      <w:r>
        <w:t xml:space="preserve"> </w:t>
      </w:r>
      <w:r>
        <w:t xml:space="preserve">quantify</w:t>
      </w:r>
      <w:r>
        <w:t xml:space="preserve"> </w:t>
      </w:r>
      <w:r>
        <w:t xml:space="preserve">The Simplified procedure allows parties to the</w:t>
      </w:r>
      <w:r>
        <w:t xml:space="preserve"> </w:t>
      </w:r>
      <w:r>
        <w:t xml:space="preserve">concentration to provide less information and obtain</w:t>
      </w:r>
      <w:r>
        <w:t xml:space="preserve"> </w:t>
      </w:r>
      <w:r>
        <w:t xml:space="preserve">a clearance decision faster than in the normal</w:t>
      </w:r>
      <w:r>
        <w:t xml:space="preserve"> </w:t>
      </w:r>
      <w:r>
        <w:t xml:space="preserve">procedure. The preferred options would capture</w:t>
      </w:r>
      <w:r>
        <w:t xml:space="preserve"> </w:t>
      </w:r>
      <w:r>
        <w:t xml:space="preserve">approximately 11 additional cases under the</w:t>
      </w:r>
      <w:r>
        <w:t xml:space="preserve"> </w:t>
      </w:r>
      <w:r>
        <w:t xml:space="preserve">simplified procedure, which is 9.5% of the non-</w:t>
      </w:r>
      <w:r>
        <w:t xml:space="preserve"> </w:t>
      </w:r>
      <w:r>
        <w:t xml:space="preserve">simplified cases and 2 percentage points of the</w:t>
      </w:r>
      <w:r>
        <w:t xml:space="preserve"> </w:t>
      </w:r>
      <w:r>
        <w:t xml:space="preserve">overall number of simplified cases. Furthermore, for</w:t>
      </w:r>
      <w:r>
        <w:t xml:space="preserve"> </w:t>
      </w:r>
      <w:r>
        <w:t xml:space="preserve">non-simplified case it would capture a very</w:t>
      </w:r>
      <w:r>
        <w:t xml:space="preserve"> </w:t>
      </w:r>
      <w:r>
        <w:t xml:space="preserve">significant number of markets/segments that would</w:t>
      </w:r>
      <w:r>
        <w:t xml:space="preserve"> </w:t>
      </w:r>
      <w:r>
        <w:t xml:space="preserve">not need to be assessed in-depth. In particular,</w:t>
      </w:r>
      <w:r>
        <w:t xml:space="preserve"> </w:t>
      </w:r>
      <w:r>
        <w:t xml:space="preserve">approximately 14% of all horizontal overlaps and</w:t>
      </w:r>
      <w:r>
        <w:t xml:space="preserve"> </w:t>
      </w:r>
      <w:r>
        <w:t xml:space="preserve">up to 19% of all vertical relationships assessed</w:t>
      </w:r>
      <w:r>
        <w:t xml:space="preserve"> </w:t>
      </w:r>
      <w:r>
        <w:t xml:space="preserve">under the normal procedure in the period assessed</w:t>
      </w:r>
      <w:r>
        <w:t xml:space="preserve"> </w:t>
      </w:r>
      <w:r>
        <w:t xml:space="preserve">could have benefitted from the different options,</w:t>
      </w:r>
      <w:r>
        <w:t xml:space="preserve"> </w:t>
      </w:r>
      <w:r>
        <w:t xml:space="preserve">and thus a detailed assessment and market</w:t>
      </w:r>
      <w:r>
        <w:t xml:space="preserve"> </w:t>
      </w:r>
      <w:r>
        <w:t xml:space="preserve">investigation would not have been required for</w:t>
      </w:r>
      <w:r>
        <w:t xml:space="preserve"> </w:t>
      </w:r>
      <w:r>
        <w:t xml:space="preserve">these markets.</w:t>
      </w:r>
    </w:p>
    <w:p>
      <w:pPr>
        <w:pStyle w:val="BodyText"/>
      </w:pPr>
      <w:r>
        <w:t xml:space="preserve">The costs of an EU merger notification include</w:t>
      </w:r>
      <w:r>
        <w:t xml:space="preserve"> </w:t>
      </w:r>
      <w:r>
        <w:t xml:space="preserve">notably those resulting from preparing, drafting and</w:t>
      </w:r>
      <w:r>
        <w:t xml:space="preserve"> </w:t>
      </w:r>
      <w:r>
        <w:t xml:space="preserve">submitting an EU merger notification and from</w:t>
      </w:r>
      <w:r>
        <w:t xml:space="preserve"> </w:t>
      </w:r>
      <w:r>
        <w:t xml:space="preserve">waiting for approval before implementing the</w:t>
      </w:r>
      <w:r>
        <w:t xml:space="preserve"> </w:t>
      </w:r>
      <w:r>
        <w:t xml:space="preserve">transaction. These costs may vary significantly</w:t>
      </w:r>
      <w:r>
        <w:t xml:space="preserve"> </w:t>
      </w:r>
      <w:r>
        <w:t xml:space="preserve">depending on the scope and size of the transaction,</w:t>
      </w:r>
      <w:r>
        <w:t xml:space="preserve"> </w:t>
      </w:r>
      <w:r>
        <w:t xml:space="preserve">the number of markets involved or the complexity</w:t>
      </w:r>
      <w:r>
        <w:t xml:space="preserve"> </w:t>
      </w:r>
      <w:r>
        <w:t xml:space="preserve">of the case. Due to those complexities, the</w:t>
      </w:r>
      <w:r>
        <w:t xml:space="preserve"> </w:t>
      </w:r>
      <w:r>
        <w:t xml:space="preserve">Commission was only able to use two rough proxies</w:t>
      </w:r>
      <w:r>
        <w:t xml:space="preserve"> </w:t>
      </w:r>
      <w:r>
        <w:t xml:space="preserve">for the cost reductions in the evaluation:</w:t>
      </w:r>
      <w:r>
        <w:t xml:space="preserve"> </w:t>
      </w:r>
      <w:r>
        <w:t xml:space="preserve">(i)</w:t>
      </w:r>
      <w:r>
        <w:t xml:space="preserve"> </w:t>
      </w:r>
      <w:r>
        <w:t xml:space="preserve">the average length of the notification</w:t>
      </w:r>
      <w:r>
        <w:t xml:space="preserve"> </w:t>
      </w:r>
      <w:r>
        <w:t xml:space="preserve">documents: the information required to submit a</w:t>
      </w:r>
      <w:r>
        <w:t xml:space="preserve"> </w:t>
      </w:r>
      <w:r>
        <w:t xml:space="preserve">notification under the simplified procedure is</w:t>
      </w:r>
      <w:r>
        <w:t xml:space="preserve"> </w:t>
      </w:r>
      <w:r>
        <w:t xml:space="preserve">significantly less than that required under the</w:t>
      </w:r>
      <w:r>
        <w:t xml:space="preserve"> </w:t>
      </w:r>
      <w:r>
        <w:t xml:space="preserve">normal procedure and less burdensome to collect</w:t>
      </w:r>
      <w:r>
        <w:t xml:space="preserve"> </w:t>
      </w:r>
      <w:r>
        <w:t xml:space="preserve">for the Parties;</w:t>
      </w:r>
      <w:r>
        <w:br/>
      </w:r>
      <w:r>
        <w:t xml:space="preserve">(ii)</w:t>
      </w:r>
      <w:r>
        <w:t xml:space="preserve"> </w:t>
      </w:r>
      <w:r>
        <w:t xml:space="preserve">the average time needed to obtain a</w:t>
      </w:r>
      <w:r>
        <w:t xml:space="preserve"> </w:t>
      </w:r>
      <w:r>
        <w:t xml:space="preserve">clearance decision: the waiting period until</w:t>
      </w:r>
      <w:r>
        <w:t xml:space="preserve"> </w:t>
      </w:r>
      <w:r>
        <w:t xml:space="preserve">clearance entails costs for firms, notably in terms of</w:t>
      </w:r>
      <w:r>
        <w:t xml:space="preserve"> </w:t>
      </w:r>
      <w:r>
        <w:t xml:space="preserve">financing costs and in terms of delaying the</w:t>
      </w:r>
      <w:r>
        <w:t xml:space="preserve"> </w:t>
      </w:r>
      <w:r>
        <w:t xml:space="preserve">realization of any benefits resulting from the</w:t>
      </w:r>
      <w:r>
        <w:t xml:space="preserve"> </w:t>
      </w:r>
      <w:r>
        <w:t xml:space="preserve">operation. The evaluation concluded that parties to</w:t>
      </w:r>
      <w:r>
        <w:br/>
      </w:r>
      <w:r>
        <w:t xml:space="preserve">concentration saved on average more than 25</w:t>
      </w:r>
      <w:r>
        <w:t xml:space="preserve"> </w:t>
      </w:r>
      <w:r>
        <w:t xml:space="preserve">working days (that is to say more than 5 calendar</w:t>
      </w:r>
      <w:r>
        <w:t xml:space="preserve"> </w:t>
      </w:r>
      <w:r>
        <w:t xml:space="preserve">weeks) overall (including pre-notification and</w:t>
      </w:r>
      <w:r>
        <w:t xml:space="preserve"> </w:t>
      </w:r>
      <w:r>
        <w:t xml:space="preserve">notification) in cases treated under the simplified</w:t>
      </w:r>
      <w:r>
        <w:t xml:space="preserve"> </w:t>
      </w:r>
      <w:r>
        <w:t xml:space="preserve">procedure.</w:t>
      </w:r>
      <w:r>
        <w:t xml:space="preserve"> </w:t>
      </w:r>
      <w:r>
        <w:t xml:space="preserve">Reduction of time</w:t>
      </w:r>
      <w:r>
        <w:t xml:space="preserve"> </w:t>
      </w:r>
      <w:r>
        <w:t xml:space="preserve">required for the</w:t>
      </w:r>
      <w:r>
        <w:t xml:space="preserve"> </w:t>
      </w:r>
      <w:r>
        <w:t xml:space="preserve">notifying parties to</w:t>
      </w:r>
      <w:r>
        <w:t xml:space="preserve"> </w:t>
      </w:r>
      <w:r>
        <w:t xml:space="preserve">notify simplified</w:t>
      </w:r>
      <w:r>
        <w:t xml:space="preserve"> </w:t>
      </w:r>
      <w:r>
        <w:t xml:space="preserve">cases</w:t>
      </w:r>
      <w:r>
        <w:t xml:space="preserve"> </w:t>
      </w:r>
      <w:r>
        <w:t xml:space="preserve">Not</w:t>
      </w:r>
      <w:r>
        <w:t xml:space="preserve"> </w:t>
      </w:r>
      <w:r>
        <w:t xml:space="preserve">possible to</w:t>
      </w:r>
      <w:r>
        <w:t xml:space="preserve"> </w:t>
      </w:r>
      <w:r>
        <w:t xml:space="preserve">quantify in</w:t>
      </w:r>
      <w:r>
        <w:t xml:space="preserve"> </w:t>
      </w:r>
      <w:r>
        <w:t xml:space="preserve">monetary</w:t>
      </w:r>
      <w:r>
        <w:t xml:space="preserve"> </w:t>
      </w:r>
      <w:r>
        <w:t xml:space="preserve">terms.</w:t>
      </w:r>
      <w:r>
        <w:t xml:space="preserve"> </w:t>
      </w:r>
      <w:r>
        <w:t xml:space="preserve">The waiting period until clearance entails costs for</w:t>
      </w:r>
      <w:r>
        <w:t xml:space="preserve"> </w:t>
      </w:r>
      <w:r>
        <w:t xml:space="preserve">firms, notably in terms of financing costs and in</w:t>
      </w:r>
      <w:r>
        <w:t xml:space="preserve"> </w:t>
      </w:r>
      <w:r>
        <w:t xml:space="preserve">terms of delaying the realization of any benefits</w:t>
      </w:r>
      <w:r>
        <w:t xml:space="preserve"> </w:t>
      </w:r>
      <w:r>
        <w:t xml:space="preserve">resulting from the operation. The evaluation</w:t>
      </w:r>
      <w:r>
        <w:t xml:space="preserve"> </w:t>
      </w:r>
      <w:r>
        <w:t xml:space="preserve">concluded that parties to concentration saved on</w:t>
      </w:r>
      <w:r>
        <w:t xml:space="preserve"> </w:t>
      </w:r>
      <w:r>
        <w:t xml:space="preserve">average more than 25 working days (that is to say</w:t>
      </w:r>
      <w:r>
        <w:t xml:space="preserve"> </w:t>
      </w:r>
      <w:r>
        <w:t xml:space="preserve">more than 5 calendar weeks) overall (including pre-</w:t>
      </w:r>
      <w:r>
        <w:t xml:space="preserve"> </w:t>
      </w:r>
      <w:r>
        <w:t xml:space="preserve">notification and notification) in cases treated under</w:t>
      </w:r>
      <w:r>
        <w:t xml:space="preserve"> </w:t>
      </w:r>
      <w:r>
        <w:t xml:space="preserve">the simplified procedure.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Overview of Benefits – Preferred Options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Reduction of</w:t>
      </w:r>
      <w:r>
        <w:t xml:space="preserve"> </w:t>
      </w:r>
      <w:r>
        <w:t xml:space="preserve">Commission</w:t>
      </w:r>
      <w:r>
        <w:t xml:space="preserve"> </w:t>
      </w:r>
      <w:r>
        <w:t xml:space="preserve">resources dedicated</w:t>
      </w:r>
      <w:r>
        <w:t xml:space="preserve"> </w:t>
      </w:r>
      <w:r>
        <w:t xml:space="preserve">to simplified cases</w:t>
      </w:r>
      <w:r>
        <w:t xml:space="preserve"> </w:t>
      </w:r>
      <w:r>
        <w:t xml:space="preserve">Not</w:t>
      </w:r>
      <w:r>
        <w:t xml:space="preserve"> </w:t>
      </w:r>
      <w:r>
        <w:t xml:space="preserve">possible to</w:t>
      </w:r>
      <w:r>
        <w:t xml:space="preserve"> </w:t>
      </w:r>
      <w:r>
        <w:t xml:space="preserve">quantify</w:t>
      </w:r>
      <w:r>
        <w:t xml:space="preserve"> </w:t>
      </w:r>
      <w:r>
        <w:t xml:space="preserve">Spending less time on clearly non-problematic cases</w:t>
      </w:r>
      <w:r>
        <w:t xml:space="preserve"> </w:t>
      </w:r>
      <w:r>
        <w:t xml:space="preserve">and/or markets, the Commission case teams will be</w:t>
      </w:r>
      <w:r>
        <w:t xml:space="preserve"> </w:t>
      </w:r>
      <w:r>
        <w:t xml:space="preserve">able to devote more resources to non-simplified,</w:t>
      </w:r>
      <w:r>
        <w:t xml:space="preserve"> </w:t>
      </w:r>
      <w:r>
        <w:t xml:space="preserve">complex cases and potentially intervene when these</w:t>
      </w:r>
      <w:r>
        <w:t xml:space="preserve"> </w:t>
      </w:r>
      <w:r>
        <w:t xml:space="preserve">cases give rise to competition concerns.</w:t>
      </w:r>
      <w:r>
        <w:t xml:space="preserve"> </w:t>
      </w:r>
      <w:r>
        <w:t xml:space="preserve">Streamlining</w:t>
      </w:r>
      <w:r>
        <w:t xml:space="preserve"> </w:t>
      </w:r>
      <w:r>
        <w:t xml:space="preserve">review of</w:t>
      </w:r>
      <w:r>
        <w:t xml:space="preserve"> </w:t>
      </w:r>
      <w:r>
        <w:t xml:space="preserve">simplified</w:t>
      </w:r>
      <w:r>
        <w:t xml:space="preserve"> </w:t>
      </w:r>
      <w:r>
        <w:t xml:space="preserve">cases:</w:t>
      </w:r>
      <w:r>
        <w:t xml:space="preserve"> </w:t>
      </w:r>
      <w:r>
        <w:t xml:space="preserve">Combination</w:t>
      </w:r>
      <w:r>
        <w:t xml:space="preserve"> </w:t>
      </w:r>
      <w:r>
        <w:t xml:space="preserve">of Options 1</w:t>
      </w:r>
      <w:r>
        <w:t xml:space="preserve"> </w:t>
      </w:r>
      <w:r>
        <w:t xml:space="preserve">and 2</w:t>
      </w:r>
      <w:r>
        <w:t xml:space="preserve"> </w:t>
      </w:r>
      <w:r>
        <w:t xml:space="preserve">Reduction of costs</w:t>
      </w:r>
      <w:r>
        <w:t xml:space="preserve"> </w:t>
      </w:r>
      <w:r>
        <w:t xml:space="preserve">for notifying parties</w:t>
      </w:r>
      <w:r>
        <w:br/>
      </w:r>
      <w:r>
        <w:t xml:space="preserve">Not</w:t>
      </w:r>
      <w:r>
        <w:t xml:space="preserve"> </w:t>
      </w:r>
      <w:r>
        <w:t xml:space="preserve">possible to</w:t>
      </w:r>
      <w:r>
        <w:t xml:space="preserve"> </w:t>
      </w:r>
      <w:r>
        <w:t xml:space="preserve">quantify</w:t>
      </w:r>
      <w:r>
        <w:t xml:space="preserve"> </w:t>
      </w:r>
      <w:r>
        <w:t xml:space="preserve">A streamlined Short Form CO allows parties to the</w:t>
      </w:r>
      <w:r>
        <w:t xml:space="preserve"> </w:t>
      </w:r>
      <w:r>
        <w:t xml:space="preserve">concentration to provide less detailed explanations</w:t>
      </w:r>
      <w:r>
        <w:t xml:space="preserve"> </w:t>
      </w:r>
      <w:r>
        <w:t xml:space="preserve">on jurisdiction and substantive assessment (when</w:t>
      </w:r>
      <w:r>
        <w:t xml:space="preserve"> </w:t>
      </w:r>
      <w:r>
        <w:t xml:space="preserve">not needed). This amounts to lower legal fees</w:t>
      </w:r>
      <w:r>
        <w:t xml:space="preserve"> </w:t>
      </w:r>
      <w:r>
        <w:t xml:space="preserve">(when outside counsel is involved in the preparation</w:t>
      </w:r>
      <w:r>
        <w:t xml:space="preserve"> </w:t>
      </w:r>
      <w:r>
        <w:t xml:space="preserve">of the notification).</w:t>
      </w:r>
      <w:r>
        <w:br/>
      </w:r>
      <w:r>
        <w:t xml:space="preserve">Reduction of time</w:t>
      </w:r>
      <w:r>
        <w:t xml:space="preserve"> </w:t>
      </w:r>
      <w:r>
        <w:t xml:space="preserve">required for the</w:t>
      </w:r>
      <w:r>
        <w:t xml:space="preserve"> </w:t>
      </w:r>
      <w:r>
        <w:t xml:space="preserve">notifying parties to</w:t>
      </w:r>
      <w:r>
        <w:t xml:space="preserve"> </w:t>
      </w:r>
      <w:r>
        <w:t xml:space="preserve">notify simplified</w:t>
      </w:r>
      <w:r>
        <w:t xml:space="preserve"> </w:t>
      </w:r>
      <w:r>
        <w:t xml:space="preserve">cases</w:t>
      </w:r>
      <w:r>
        <w:t xml:space="preserve"> </w:t>
      </w:r>
      <w:r>
        <w:t xml:space="preserve">Not</w:t>
      </w:r>
      <w:r>
        <w:t xml:space="preserve"> </w:t>
      </w:r>
      <w:r>
        <w:t xml:space="preserve">possible to</w:t>
      </w:r>
      <w:r>
        <w:t xml:space="preserve"> </w:t>
      </w:r>
      <w:r>
        <w:t xml:space="preserve">quantify</w:t>
      </w:r>
      <w:r>
        <w:t xml:space="preserve"> </w:t>
      </w:r>
      <w:r>
        <w:t xml:space="preserve">A streamlined Short Form CO allows parties to the</w:t>
      </w:r>
      <w:r>
        <w:t xml:space="preserve"> </w:t>
      </w:r>
      <w:r>
        <w:t xml:space="preserve">concentration to prepare their notification faster and</w:t>
      </w:r>
      <w:r>
        <w:t xml:space="preserve"> </w:t>
      </w:r>
      <w:r>
        <w:t xml:space="preserve">thus spend less time on pre-notification. This</w:t>
      </w:r>
      <w:r>
        <w:t xml:space="preserve"> </w:t>
      </w:r>
      <w:r>
        <w:t xml:space="preserve">means that clearance can be achieved and the deal</w:t>
      </w:r>
      <w:r>
        <w:t xml:space="preserve"> </w:t>
      </w:r>
      <w:r>
        <w:t xml:space="preserve">can close faster.</w:t>
      </w:r>
      <w:r>
        <w:br/>
      </w:r>
      <w:r>
        <w:t xml:space="preserve">Reduction of</w:t>
      </w:r>
      <w:r>
        <w:t xml:space="preserve"> </w:t>
      </w:r>
      <w:r>
        <w:t xml:space="preserve">Commission</w:t>
      </w:r>
      <w:r>
        <w:t xml:space="preserve"> </w:t>
      </w:r>
      <w:r>
        <w:t xml:space="preserve">resources dedicated</w:t>
      </w:r>
      <w:r>
        <w:t xml:space="preserve"> </w:t>
      </w:r>
      <w:r>
        <w:t xml:space="preserve">to simplified cases</w:t>
      </w:r>
      <w:r>
        <w:t xml:space="preserve"> </w:t>
      </w:r>
      <w:r>
        <w:t xml:space="preserve">Not</w:t>
      </w:r>
      <w:r>
        <w:t xml:space="preserve"> </w:t>
      </w:r>
      <w:r>
        <w:t xml:space="preserve">possible to</w:t>
      </w:r>
      <w:r>
        <w:t xml:space="preserve"> </w:t>
      </w:r>
      <w:r>
        <w:t xml:space="preserve">quantify</w:t>
      </w:r>
      <w:r>
        <w:t xml:space="preserve"> </w:t>
      </w:r>
      <w:r>
        <w:t xml:space="preserve">Spending less time on simplified cases, the</w:t>
      </w:r>
      <w:r>
        <w:t xml:space="preserve"> </w:t>
      </w:r>
      <w:r>
        <w:t xml:space="preserve">Commission case teams will be able to devote more</w:t>
      </w:r>
      <w:r>
        <w:t xml:space="preserve"> </w:t>
      </w:r>
      <w:r>
        <w:t xml:space="preserve">resources to non-simplified, complex cases and</w:t>
      </w:r>
      <w:r>
        <w:t xml:space="preserve"> </w:t>
      </w:r>
      <w:r>
        <w:t xml:space="preserve">potentially intervene when these cases give rise to</w:t>
      </w:r>
      <w:r>
        <w:t xml:space="preserve"> </w:t>
      </w:r>
      <w:r>
        <w:t xml:space="preserve">competition concerns.</w:t>
      </w:r>
      <w:r>
        <w:br/>
      </w:r>
      <w:r>
        <w:t xml:space="preserve">Streamlining</w:t>
      </w:r>
      <w:r>
        <w:t xml:space="preserve"> </w:t>
      </w:r>
      <w:r>
        <w:t xml:space="preserve">review of non-</w:t>
      </w:r>
      <w:r>
        <w:t xml:space="preserve"> </w:t>
      </w:r>
      <w:r>
        <w:t xml:space="preserve">simplified</w:t>
      </w:r>
      <w:r>
        <w:t xml:space="preserve"> </w:t>
      </w:r>
      <w:r>
        <w:t xml:space="preserve">cases:</w:t>
      </w:r>
      <w:r>
        <w:t xml:space="preserve"> </w:t>
      </w:r>
      <w:r>
        <w:t xml:space="preserve">Combination</w:t>
      </w:r>
      <w:r>
        <w:t xml:space="preserve"> </w:t>
      </w:r>
      <w:r>
        <w:t xml:space="preserve">of Options 1,</w:t>
      </w:r>
      <w:r>
        <w:t xml:space="preserve"> </w:t>
      </w:r>
      <w:r>
        <w:t xml:space="preserve">2, 3 and 4</w:t>
      </w:r>
      <w:r>
        <w:t xml:space="preserve"> </w:t>
      </w:r>
      <w:r>
        <w:t xml:space="preserve">Reduction of time</w:t>
      </w:r>
      <w:r>
        <w:t xml:space="preserve"> </w:t>
      </w:r>
      <w:r>
        <w:t xml:space="preserve">and cost for the</w:t>
      </w:r>
      <w:r>
        <w:t xml:space="preserve"> </w:t>
      </w:r>
      <w:r>
        <w:t xml:space="preserve">notifying parties to</w:t>
      </w:r>
      <w:r>
        <w:t xml:space="preserve"> </w:t>
      </w:r>
      <w:r>
        <w:t xml:space="preserve">notify cases under</w:t>
      </w:r>
      <w:r>
        <w:t xml:space="preserve"> </w:t>
      </w:r>
      <w:r>
        <w:t xml:space="preserve">the normal</w:t>
      </w:r>
      <w:r>
        <w:t xml:space="preserve"> </w:t>
      </w:r>
      <w:r>
        <w:t xml:space="preserve">procedure</w:t>
      </w:r>
      <w:r>
        <w:t xml:space="preserve"> </w:t>
      </w:r>
      <w:r>
        <w:t xml:space="preserve">Not</w:t>
      </w:r>
      <w:r>
        <w:t xml:space="preserve"> </w:t>
      </w:r>
      <w:r>
        <w:t xml:space="preserve">possible to</w:t>
      </w:r>
      <w:r>
        <w:t xml:space="preserve"> </w:t>
      </w:r>
      <w:r>
        <w:t xml:space="preserve">quantify</w:t>
      </w:r>
      <w:r>
        <w:t xml:space="preserve"> </w:t>
      </w:r>
      <w:r>
        <w:t xml:space="preserve">A streamlined Form CO allows parties to the</w:t>
      </w:r>
      <w:r>
        <w:t xml:space="preserve"> </w:t>
      </w:r>
      <w:r>
        <w:t xml:space="preserve">concentration to provide less information. This</w:t>
      </w:r>
      <w:r>
        <w:t xml:space="preserve"> </w:t>
      </w:r>
      <w:r>
        <w:t xml:space="preserve">amounts to lower legal fees (when outside counsel</w:t>
      </w:r>
      <w:r>
        <w:t xml:space="preserve"> </w:t>
      </w:r>
      <w:r>
        <w:t xml:space="preserve">is involved in the preparation of the notification)</w:t>
      </w:r>
      <w:r>
        <w:t xml:space="preserve"> </w:t>
      </w:r>
      <w:r>
        <w:t xml:space="preserve">and less internal company resources to collect that</w:t>
      </w:r>
      <w:r>
        <w:t xml:space="preserve"> </w:t>
      </w:r>
      <w:r>
        <w:t xml:space="preserve">information.</w:t>
      </w:r>
      <w:r>
        <w:t xml:space="preserve"> </w:t>
      </w:r>
      <w:r>
        <w:t xml:space="preserve">Reduction of</w:t>
      </w:r>
      <w:r>
        <w:t xml:space="preserve"> </w:t>
      </w:r>
      <w:r>
        <w:t xml:space="preserve">Commission</w:t>
      </w:r>
      <w:r>
        <w:t xml:space="preserve"> </w:t>
      </w:r>
      <w:r>
        <w:t xml:space="preserve">resources dedicated</w:t>
      </w:r>
      <w:r>
        <w:t xml:space="preserve"> </w:t>
      </w:r>
      <w:r>
        <w:t xml:space="preserve">to processing non-</w:t>
      </w:r>
      <w:r>
        <w:t xml:space="preserve"> </w:t>
      </w:r>
      <w:r>
        <w:t xml:space="preserve">critical information</w:t>
      </w:r>
      <w:r>
        <w:t xml:space="preserve"> </w:t>
      </w:r>
      <w:r>
        <w:t xml:space="preserve">Not</w:t>
      </w:r>
      <w:r>
        <w:t xml:space="preserve"> </w:t>
      </w:r>
      <w:r>
        <w:t xml:space="preserve">possible to</w:t>
      </w:r>
      <w:r>
        <w:t xml:space="preserve"> </w:t>
      </w:r>
      <w:r>
        <w:t xml:space="preserve">quantify</w:t>
      </w:r>
      <w:r>
        <w:t xml:space="preserve"> </w:t>
      </w:r>
      <w:r>
        <w:t xml:space="preserve">Spending less time on non-critical markets and</w:t>
      </w:r>
      <w:r>
        <w:t xml:space="preserve"> </w:t>
      </w:r>
      <w:r>
        <w:t xml:space="preserve">information will allow the Commission case teams</w:t>
      </w:r>
      <w:r>
        <w:t xml:space="preserve"> </w:t>
      </w:r>
      <w:r>
        <w:t xml:space="preserve">to devote more resources to important and complex</w:t>
      </w:r>
      <w:r>
        <w:t xml:space="preserve"> </w:t>
      </w:r>
      <w:r>
        <w:t xml:space="preserve">questions of the cases</w:t>
      </w:r>
      <w:r>
        <w:br/>
      </w:r>
      <w:r>
        <w:t xml:space="preserve">Introducing</w:t>
      </w:r>
      <w:r>
        <w:t xml:space="preserve"> </w:t>
      </w:r>
      <w:r>
        <w:t xml:space="preserve">electronic</w:t>
      </w:r>
      <w:r>
        <w:t xml:space="preserve"> </w:t>
      </w:r>
      <w:r>
        <w:t xml:space="preserve">notifications:</w:t>
      </w:r>
      <w:r>
        <w:t xml:space="preserve"> </w:t>
      </w:r>
      <w:r>
        <w:t xml:space="preserve">Option 2</w:t>
      </w:r>
      <w:r>
        <w:t xml:space="preserve"> </w:t>
      </w:r>
      <w:r>
        <w:t xml:space="preserve">Reduction of</w:t>
      </w:r>
      <w:r>
        <w:t xml:space="preserve"> </w:t>
      </w:r>
      <w:r>
        <w:t xml:space="preserve">time/burden</w:t>
      </w:r>
      <w:r>
        <w:t xml:space="preserve"> </w:t>
      </w:r>
      <w:r>
        <w:t xml:space="preserve">required for parties</w:t>
      </w:r>
      <w:r>
        <w:t xml:space="preserve"> </w:t>
      </w:r>
      <w:r>
        <w:t xml:space="preserve">to the concentration</w:t>
      </w:r>
      <w:r>
        <w:t xml:space="preserve"> </w:t>
      </w:r>
      <w:r>
        <w:t xml:space="preserve">to notify cases and</w:t>
      </w:r>
      <w:r>
        <w:t xml:space="preserve"> </w:t>
      </w:r>
      <w:r>
        <w:t xml:space="preserve">make submissions</w:t>
      </w:r>
      <w:r>
        <w:t xml:space="preserve"> </w:t>
      </w:r>
      <w:r>
        <w:t xml:space="preserve">to the Commission</w:t>
      </w:r>
      <w:r>
        <w:t xml:space="preserve"> </w:t>
      </w:r>
      <w:r>
        <w:t xml:space="preserve">Not</w:t>
      </w:r>
      <w:r>
        <w:t xml:space="preserve"> </w:t>
      </w:r>
      <w:r>
        <w:t xml:space="preserve">possible to</w:t>
      </w:r>
      <w:r>
        <w:t xml:space="preserve"> </w:t>
      </w:r>
      <w:r>
        <w:t xml:space="preserve">quantify</w:t>
      </w:r>
      <w:r>
        <w:t xml:space="preserve"> </w:t>
      </w:r>
      <w:r>
        <w:t xml:space="preserve">Electronic transmissions of Form COs (and other</w:t>
      </w:r>
      <w:r>
        <w:t xml:space="preserve"> </w:t>
      </w:r>
      <w:r>
        <w:t xml:space="preserve">documents) allow parties to the concentration to</w:t>
      </w:r>
      <w:r>
        <w:t xml:space="preserve"> </w:t>
      </w:r>
      <w:r>
        <w:t xml:space="preserve">prepare their submissions faster and thus spend less</w:t>
      </w:r>
      <w:r>
        <w:t xml:space="preserve"> </w:t>
      </w:r>
      <w:r>
        <w:t xml:space="preserve">time on pre-notification. This means that clearance</w:t>
      </w:r>
      <w:r>
        <w:t xml:space="preserve"> </w:t>
      </w:r>
      <w:r>
        <w:t xml:space="preserve">can be achieved and the deal can close faster.</w:t>
      </w:r>
      <w:r>
        <w:br/>
      </w:r>
      <w:r>
        <w:t xml:space="preserve">Indirect Benefits</w:t>
      </w:r>
      <w:r>
        <w:t xml:space="preserve"> </w:t>
      </w:r>
      <w:r>
        <w:t xml:space="preserve">Expanding and</w:t>
      </w:r>
      <w:r>
        <w:t xml:space="preserve"> </w:t>
      </w:r>
      <w:r>
        <w:t xml:space="preserve">clarifying the</w:t>
      </w:r>
      <w:r>
        <w:t xml:space="preserve"> </w:t>
      </w:r>
      <w:r>
        <w:t xml:space="preserve">categories of</w:t>
      </w:r>
      <w:r>
        <w:t xml:space="preserve"> </w:t>
      </w:r>
      <w:r>
        <w:t xml:space="preserve">simplified</w:t>
      </w:r>
      <w:r>
        <w:t xml:space="preserve"> </w:t>
      </w:r>
      <w:r>
        <w:t xml:space="preserve">cases:</w:t>
      </w:r>
      <w:r>
        <w:t xml:space="preserve"> </w:t>
      </w:r>
      <w:r>
        <w:t xml:space="preserve">Combination</w:t>
      </w:r>
      <w:r>
        <w:t xml:space="preserve"> </w:t>
      </w:r>
      <w:r>
        <w:t xml:space="preserve">of Options 1,</w:t>
      </w:r>
      <w:r>
        <w:t xml:space="preserve"> </w:t>
      </w:r>
      <w:r>
        <w:t xml:space="preserve">2, and 3</w:t>
      </w:r>
      <w:r>
        <w:t xml:space="preserve"> </w:t>
      </w:r>
      <w:r>
        <w:t xml:space="preserve">Effective</w:t>
      </w:r>
      <w:r>
        <w:t xml:space="preserve"> </w:t>
      </w:r>
      <w:r>
        <w:t xml:space="preserve">competition</w:t>
      </w:r>
      <w:r>
        <w:t xml:space="preserve"> </w:t>
      </w:r>
      <w:r>
        <w:t xml:space="preserve">between companies</w:t>
      </w:r>
      <w:r>
        <w:t xml:space="preserve"> </w:t>
      </w:r>
      <w:r>
        <w:t xml:space="preserve">ensured in markets</w:t>
      </w:r>
      <w:r>
        <w:t xml:space="preserve"> </w:t>
      </w:r>
      <w:r>
        <w:t xml:space="preserve">affected by complex</w:t>
      </w:r>
      <w:r>
        <w:t xml:space="preserve"> </w:t>
      </w:r>
      <w:r>
        <w:t xml:space="preserve">cases</w:t>
      </w:r>
      <w:r>
        <w:t xml:space="preserve"> </w:t>
      </w:r>
      <w:r>
        <w:t xml:space="preserve">Not</w:t>
      </w:r>
      <w:r>
        <w:t xml:space="preserve"> </w:t>
      </w:r>
      <w:r>
        <w:t xml:space="preserve">possible to</w:t>
      </w:r>
      <w:r>
        <w:t xml:space="preserve"> </w:t>
      </w:r>
      <w:r>
        <w:t xml:space="preserve">quantify</w:t>
      </w:r>
      <w:r>
        <w:t xml:space="preserve"> </w:t>
      </w:r>
      <w:r>
        <w:t xml:space="preserve">Spending less time on clearly non-problematic cases</w:t>
      </w:r>
      <w:r>
        <w:t xml:space="preserve"> </w:t>
      </w:r>
      <w:r>
        <w:t xml:space="preserve">and/or markets, the Commission case teams will be</w:t>
      </w:r>
      <w:r>
        <w:t xml:space="preserve"> </w:t>
      </w:r>
      <w:r>
        <w:t xml:space="preserve">able to devote more resources to non-simplified,</w:t>
      </w:r>
      <w:r>
        <w:t xml:space="preserve"> </w:t>
      </w:r>
      <w:r>
        <w:t xml:space="preserve">complex cases and potentially intervene when these</w:t>
      </w:r>
      <w:r>
        <w:t xml:space="preserve"> </w:t>
      </w:r>
      <w:r>
        <w:t xml:space="preserve">cases give rise to competition concerns. As a result</w:t>
      </w:r>
      <w:r>
        <w:t xml:space="preserve"> </w:t>
      </w:r>
      <w:r>
        <w:t xml:space="preserve">of these interventions, effective competition will be</w:t>
      </w:r>
      <w:r>
        <w:t xml:space="preserve"> </w:t>
      </w:r>
      <w:r>
        <w:t xml:space="preserve">ensured in the markets affected by complex cases.</w:t>
      </w:r>
      <w:r>
        <w:t xml:space="preserve"> </w:t>
      </w:r>
      <w:r>
        <w:t xml:space="preserve">Reduction of costs</w:t>
      </w:r>
      <w:r>
        <w:t xml:space="preserve"> </w:t>
      </w:r>
      <w:r>
        <w:t xml:space="preserve">for third party</w:t>
      </w:r>
      <w:r>
        <w:t xml:space="preserve"> </w:t>
      </w:r>
      <w:r>
        <w:t xml:space="preserve">businesses</w:t>
      </w:r>
      <w:r>
        <w:t xml:space="preserve"> </w:t>
      </w:r>
      <w:r>
        <w:t xml:space="preserve">Not</w:t>
      </w:r>
      <w:r>
        <w:t xml:space="preserve"> </w:t>
      </w:r>
      <w:r>
        <w:t xml:space="preserve">possible to</w:t>
      </w:r>
      <w:r>
        <w:t xml:space="preserve"> </w:t>
      </w:r>
      <w:r>
        <w:t xml:space="preserve">quantify</w:t>
      </w:r>
      <w:r>
        <w:t xml:space="preserve"> </w:t>
      </w:r>
      <w:r>
        <w:t xml:space="preserve">Third party businesses will not provide information</w:t>
      </w:r>
      <w:r>
        <w:t xml:space="preserve"> </w:t>
      </w:r>
      <w:r>
        <w:t xml:space="preserve">in response to official Requests For Information in</w:t>
      </w:r>
      <w:r>
        <w:t xml:space="preserve"> </w:t>
      </w:r>
      <w:r>
        <w:t xml:space="preserve">the context of market investigations of clearly non-</w:t>
      </w:r>
      <w:r>
        <w:t xml:space="preserve"> </w:t>
      </w:r>
      <w:r>
        <w:t xml:space="preserve">problematic cases and/or markets.</w:t>
      </w:r>
      <w:r>
        <w:t xml:space="preserve"> </w:t>
      </w:r>
      <w:r>
        <w:t xml:space="preserve">Streamlining</w:t>
      </w:r>
      <w:r>
        <w:t xml:space="preserve"> </w:t>
      </w:r>
      <w:r>
        <w:t xml:space="preserve">review of</w:t>
      </w:r>
      <w:r>
        <w:t xml:space="preserve"> </w:t>
      </w:r>
      <w:r>
        <w:t xml:space="preserve">simplified</w:t>
      </w:r>
      <w:r>
        <w:t xml:space="preserve"> </w:t>
      </w:r>
      <w:r>
        <w:t xml:space="preserve">cases:</w:t>
      </w:r>
      <w:r>
        <w:t xml:space="preserve"> </w:t>
      </w:r>
      <w:r>
        <w:t xml:space="preserve">Effective</w:t>
      </w:r>
      <w:r>
        <w:t xml:space="preserve"> </w:t>
      </w:r>
      <w:r>
        <w:t xml:space="preserve">competition</w:t>
      </w:r>
      <w:r>
        <w:t xml:space="preserve"> </w:t>
      </w:r>
      <w:r>
        <w:t xml:space="preserve">between companies</w:t>
      </w:r>
      <w:r>
        <w:t xml:space="preserve"> </w:t>
      </w:r>
      <w:r>
        <w:t xml:space="preserve">ensured in markets</w:t>
      </w:r>
      <w:r>
        <w:t xml:space="preserve"> </w:t>
      </w:r>
      <w:r>
        <w:t xml:space="preserve">Not</w:t>
      </w:r>
      <w:r>
        <w:t xml:space="preserve"> </w:t>
      </w:r>
      <w:r>
        <w:t xml:space="preserve">possible to</w:t>
      </w:r>
      <w:r>
        <w:t xml:space="preserve"> </w:t>
      </w:r>
      <w:r>
        <w:t xml:space="preserve">quantify</w:t>
      </w:r>
      <w:r>
        <w:t xml:space="preserve"> </w:t>
      </w:r>
      <w:r>
        <w:t xml:space="preserve">Spending less time on simplified cases, the</w:t>
      </w:r>
      <w:r>
        <w:t xml:space="preserve"> </w:t>
      </w:r>
      <w:r>
        <w:t xml:space="preserve">Commission case teams will be able to devote more</w:t>
      </w:r>
      <w:r>
        <w:t xml:space="preserve"> </w:t>
      </w:r>
      <w:r>
        <w:t xml:space="preserve">resources to non-simplified, complex cases and</w:t>
      </w:r>
      <w:r>
        <w:t xml:space="preserve"> </w:t>
      </w:r>
      <w:r>
        <w:t xml:space="preserve">potentially intervene when these cases give rise to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Overview of Benefits – Preferred Options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Combination</w:t>
      </w:r>
      <w:r>
        <w:t xml:space="preserve"> </w:t>
      </w:r>
      <w:r>
        <w:t xml:space="preserve">of Options 1</w:t>
      </w:r>
      <w:r>
        <w:t xml:space="preserve"> </w:t>
      </w:r>
      <w:r>
        <w:t xml:space="preserve">and 2</w:t>
      </w:r>
      <w:r>
        <w:t xml:space="preserve"> </w:t>
      </w:r>
      <w:r>
        <w:t xml:space="preserve">affected by complex</w:t>
      </w:r>
      <w:r>
        <w:t xml:space="preserve"> </w:t>
      </w:r>
      <w:r>
        <w:t xml:space="preserve">cases</w:t>
      </w:r>
      <w:r>
        <w:br/>
      </w:r>
      <w:r>
        <w:t xml:space="preserve">competition concerns. As a result of these</w:t>
      </w:r>
      <w:r>
        <w:t xml:space="preserve"> </w:t>
      </w:r>
      <w:r>
        <w:t xml:space="preserve">interventions, effective competition will be ensured</w:t>
      </w:r>
      <w:r>
        <w:t xml:space="preserve"> </w:t>
      </w:r>
      <w:r>
        <w:t xml:space="preserve">in the markets affected by complex cases.</w:t>
      </w:r>
      <w:r>
        <w:br/>
      </w:r>
      <w:r>
        <w:t xml:space="preserve">Streamlining</w:t>
      </w:r>
      <w:r>
        <w:t xml:space="preserve"> </w:t>
      </w:r>
      <w:r>
        <w:t xml:space="preserve">review of non-</w:t>
      </w:r>
      <w:r>
        <w:t xml:space="preserve"> </w:t>
      </w:r>
      <w:r>
        <w:t xml:space="preserve">simplified</w:t>
      </w:r>
      <w:r>
        <w:t xml:space="preserve"> </w:t>
      </w:r>
      <w:r>
        <w:t xml:space="preserve">cases:</w:t>
      </w:r>
      <w:r>
        <w:t xml:space="preserve"> </w:t>
      </w:r>
      <w:r>
        <w:t xml:space="preserve">Combination</w:t>
      </w:r>
      <w:r>
        <w:t xml:space="preserve"> </w:t>
      </w:r>
      <w:r>
        <w:t xml:space="preserve">of Options 1,</w:t>
      </w:r>
      <w:r>
        <w:t xml:space="preserve"> </w:t>
      </w:r>
      <w:r>
        <w:t xml:space="preserve">2, 3 and 4</w:t>
      </w:r>
      <w:r>
        <w:t xml:space="preserve"> </w:t>
      </w:r>
      <w:r>
        <w:t xml:space="preserve">Effective</w:t>
      </w:r>
      <w:r>
        <w:t xml:space="preserve"> </w:t>
      </w:r>
      <w:r>
        <w:t xml:space="preserve">competition</w:t>
      </w:r>
      <w:r>
        <w:t xml:space="preserve"> </w:t>
      </w:r>
      <w:r>
        <w:t xml:space="preserve">between companies</w:t>
      </w:r>
      <w:r>
        <w:t xml:space="preserve"> </w:t>
      </w:r>
      <w:r>
        <w:t xml:space="preserve">ensured in markets</w:t>
      </w:r>
      <w:r>
        <w:t xml:space="preserve"> </w:t>
      </w:r>
      <w:r>
        <w:t xml:space="preserve">affected by complex</w:t>
      </w:r>
      <w:r>
        <w:t xml:space="preserve"> </w:t>
      </w:r>
      <w:r>
        <w:t xml:space="preserve">cases. Reduction of</w:t>
      </w:r>
      <w:r>
        <w:t xml:space="preserve"> </w:t>
      </w:r>
      <w:r>
        <w:t xml:space="preserve">costs for third party</w:t>
      </w:r>
      <w:r>
        <w:t xml:space="preserve"> </w:t>
      </w:r>
      <w:r>
        <w:t xml:space="preserve">businesses.</w:t>
      </w:r>
    </w:p>
    <w:p>
      <w:pPr>
        <w:pStyle w:val="BodyText"/>
      </w:pPr>
      <w:r>
        <w:t xml:space="preserve">Not</w:t>
      </w:r>
      <w:r>
        <w:t xml:space="preserve"> </w:t>
      </w:r>
      <w:r>
        <w:t xml:space="preserve">possible to</w:t>
      </w:r>
      <w:r>
        <w:t xml:space="preserve"> </w:t>
      </w:r>
      <w:r>
        <w:t xml:space="preserve">quantify</w:t>
      </w:r>
      <w:r>
        <w:t xml:space="preserve"> </w:t>
      </w:r>
      <w:r>
        <w:t xml:space="preserve">Spending less time on minor aspects of non-</w:t>
      </w:r>
      <w:r>
        <w:t xml:space="preserve"> </w:t>
      </w:r>
      <w:r>
        <w:t xml:space="preserve">simplified cases, the Commission case teams will be</w:t>
      </w:r>
      <w:r>
        <w:t xml:space="preserve"> </w:t>
      </w:r>
      <w:r>
        <w:t xml:space="preserve">able to devote more resources to the critical parts of</w:t>
      </w:r>
      <w:r>
        <w:t xml:space="preserve"> </w:t>
      </w:r>
      <w:r>
        <w:t xml:space="preserve">non-simplified, complex cases and potentially</w:t>
      </w:r>
      <w:r>
        <w:t xml:space="preserve"> </w:t>
      </w:r>
      <w:r>
        <w:t xml:space="preserve">intervene when these cases give rise to competition</w:t>
      </w:r>
      <w:r>
        <w:t xml:space="preserve"> </w:t>
      </w:r>
      <w:r>
        <w:t xml:space="preserve">concerns. As a result of these interventions,</w:t>
      </w:r>
      <w:r>
        <w:t xml:space="preserve"> </w:t>
      </w:r>
      <w:r>
        <w:t xml:space="preserve">effective competition will be ensured in the markets</w:t>
      </w:r>
      <w:r>
        <w:t xml:space="preserve"> </w:t>
      </w:r>
      <w:r>
        <w:t xml:space="preserve">affected by complex cases.</w:t>
      </w:r>
      <w:r>
        <w:t xml:space="preserve"> </w:t>
      </w:r>
      <w:r>
        <w:t xml:space="preserve">Introducing</w:t>
      </w:r>
      <w:r>
        <w:t xml:space="preserve"> </w:t>
      </w:r>
      <w:r>
        <w:t xml:space="preserve">electronic</w:t>
      </w:r>
      <w:r>
        <w:t xml:space="preserve"> </w:t>
      </w:r>
      <w:r>
        <w:t xml:space="preserve">notifications:</w:t>
      </w:r>
      <w:r>
        <w:t xml:space="preserve"> </w:t>
      </w:r>
      <w:r>
        <w:t xml:space="preserve">Option 2</w:t>
      </w:r>
      <w:r>
        <w:t xml:space="preserve"> </w:t>
      </w:r>
      <w:r>
        <w:t xml:space="preserve">Commission’s</w:t>
      </w:r>
      <w:r>
        <w:t xml:space="preserve"> </w:t>
      </w:r>
      <w:r>
        <w:t xml:space="preserve">digital</w:t>
      </w:r>
      <w:r>
        <w:t xml:space="preserve"> </w:t>
      </w:r>
      <w:r>
        <w:t xml:space="preserve">transformation</w:t>
      </w:r>
      <w:r>
        <w:t xml:space="preserve"> </w:t>
      </w:r>
      <w:r>
        <w:t xml:space="preserve">promoted</w:t>
      </w:r>
      <w:r>
        <w:br/>
      </w:r>
      <w:r>
        <w:t xml:space="preserve">Not</w:t>
      </w:r>
      <w:r>
        <w:t xml:space="preserve"> </w:t>
      </w:r>
      <w:r>
        <w:t xml:space="preserve">possible to</w:t>
      </w:r>
      <w:r>
        <w:t xml:space="preserve"> </w:t>
      </w:r>
      <w:r>
        <w:t xml:space="preserve">quantify</w:t>
      </w:r>
      <w:r>
        <w:t xml:space="preserve"> </w:t>
      </w:r>
      <w:r>
        <w:t xml:space="preserve">Electronic notifications and document transmissions</w:t>
      </w:r>
      <w:r>
        <w:t xml:space="preserve"> </w:t>
      </w:r>
      <w:r>
        <w:t xml:space="preserve">reinforce the Commission’s digital transformation.</w:t>
      </w:r>
      <w:r>
        <w:br/>
      </w:r>
      <w:r>
        <w:t xml:space="preserve">Administrative cost savings related to the ‘one in, one out’ approach</w:t>
      </w:r>
      <w:r>
        <w:t xml:space="preserve"> </w:t>
      </w:r>
      <w:r>
        <w:t xml:space="preserve">Direct administrative cost savings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Expanding and clarifying the</w:t>
      </w:r>
      <w:r>
        <w:t xml:space="preserve"> </w:t>
      </w:r>
      <w:r>
        <w:t xml:space="preserve">categories of simplified cases:</w:t>
      </w:r>
      <w:r>
        <w:t xml:space="preserve"> </w:t>
      </w:r>
      <w:r>
        <w:t xml:space="preserve">Combination of Options 1, 2, and 3</w:t>
      </w:r>
      <w:r>
        <w:t xml:space="preserve"> </w:t>
      </w:r>
      <w:r>
        <w:t xml:space="preserve">Not</w:t>
      </w:r>
      <w:r>
        <w:t xml:space="preserve"> </w:t>
      </w:r>
      <w:r>
        <w:t xml:space="preserve">possible to</w:t>
      </w:r>
      <w:r>
        <w:t xml:space="preserve"> </w:t>
      </w:r>
      <w:r>
        <w:t xml:space="preserve">quantify</w:t>
      </w:r>
      <w:r>
        <w:t xml:space="preserve"> </w:t>
      </w:r>
      <w:r>
        <w:t xml:space="preserve">For the reasons set out in the report, it was not</w:t>
      </w:r>
      <w:r>
        <w:t xml:space="preserve"> </w:t>
      </w:r>
      <w:r>
        <w:t xml:space="preserve">possible to quantify in monetary terms.</w:t>
      </w:r>
      <w:r>
        <w:t xml:space="preserve"> </w:t>
      </w:r>
      <w:r>
        <w:t xml:space="preserve">Streamlining review of simplified</w:t>
      </w:r>
      <w:r>
        <w:t xml:space="preserve"> </w:t>
      </w:r>
      <w:r>
        <w:t xml:space="preserve">cases: Combination of Options 1 and</w:t>
      </w:r>
      <w:r>
        <w:t xml:space="preserve"> </w:t>
      </w:r>
      <w:r>
        <w:t xml:space="preserve">2</w:t>
      </w:r>
      <w:r>
        <w:t xml:space="preserve"> </w:t>
      </w:r>
      <w:r>
        <w:t xml:space="preserve">Not</w:t>
      </w:r>
      <w:r>
        <w:t xml:space="preserve"> </w:t>
      </w:r>
      <w:r>
        <w:t xml:space="preserve">possible to</w:t>
      </w:r>
      <w:r>
        <w:t xml:space="preserve"> </w:t>
      </w:r>
      <w:r>
        <w:t xml:space="preserve">quantify</w:t>
      </w:r>
      <w:r>
        <w:t xml:space="preserve"> </w:t>
      </w:r>
      <w:r>
        <w:t xml:space="preserve">For the reasons set out in the report, it was not</w:t>
      </w:r>
      <w:r>
        <w:t xml:space="preserve"> </w:t>
      </w:r>
      <w:r>
        <w:t xml:space="preserve">possible to quantify in monetary terms.</w:t>
      </w:r>
      <w:r>
        <w:t xml:space="preserve"> </w:t>
      </w:r>
      <w:r>
        <w:t xml:space="preserve">Streamlining review of non-simplified</w:t>
      </w:r>
      <w:r>
        <w:t xml:space="preserve"> </w:t>
      </w:r>
      <w:r>
        <w:t xml:space="preserve">cases: Combination of Options 1, 2, 3</w:t>
      </w:r>
      <w:r>
        <w:t xml:space="preserve"> </w:t>
      </w:r>
      <w:r>
        <w:t xml:space="preserve">and 4</w:t>
      </w:r>
      <w:r>
        <w:t xml:space="preserve"> </w:t>
      </w:r>
      <w:r>
        <w:t xml:space="preserve">Not</w:t>
      </w:r>
      <w:r>
        <w:t xml:space="preserve"> </w:t>
      </w:r>
      <w:r>
        <w:t xml:space="preserve">possible to</w:t>
      </w:r>
      <w:r>
        <w:t xml:space="preserve"> </w:t>
      </w:r>
      <w:r>
        <w:t xml:space="preserve">quantify</w:t>
      </w:r>
      <w:r>
        <w:t xml:space="preserve"> </w:t>
      </w:r>
      <w:r>
        <w:t xml:space="preserve">For the reasons set out in the report, it was not</w:t>
      </w:r>
      <w:r>
        <w:t xml:space="preserve"> </w:t>
      </w:r>
      <w:r>
        <w:t xml:space="preserve">possible to quantify in monetary terms.</w:t>
      </w:r>
      <w:r>
        <w:t xml:space="preserve"> </w:t>
      </w:r>
      <w:r>
        <w:t xml:space="preserve">Introducing electronic notifications:</w:t>
      </w:r>
      <w:r>
        <w:t xml:space="preserve"> </w:t>
      </w:r>
      <w:r>
        <w:t xml:space="preserve">Option 2</w:t>
      </w:r>
    </w:p>
    <w:p>
      <w:pPr>
        <w:pStyle w:val="BodyText"/>
      </w:pPr>
      <w:r>
        <w:t xml:space="preserve">Not</w:t>
      </w:r>
      <w:r>
        <w:t xml:space="preserve"> </w:t>
      </w:r>
      <w:r>
        <w:t xml:space="preserve">possible to</w:t>
      </w:r>
      <w:r>
        <w:t xml:space="preserve"> </w:t>
      </w:r>
      <w:r>
        <w:t xml:space="preserve">quantify</w:t>
      </w:r>
      <w:r>
        <w:t xml:space="preserve"> </w:t>
      </w:r>
      <w:r>
        <w:t xml:space="preserve">For the reasons set out in the report, it was not</w:t>
      </w:r>
      <w:r>
        <w:t xml:space="preserve"> </w:t>
      </w:r>
      <w:r>
        <w:t xml:space="preserve">possible to quantify in monetary terms.</w:t>
      </w:r>
      <w:r>
        <w:t xml:space="preserve"> </w:t>
      </w:r>
      <w:r>
        <w:t xml:space="preserve">Indirect Administrative Cost Savings</w:t>
      </w:r>
      <w:r>
        <w:t xml:space="preserve"> </w:t>
      </w:r>
      <w:r>
        <w:t xml:space="preserve">Expanding and clarifying the</w:t>
      </w:r>
      <w:r>
        <w:t xml:space="preserve"> </w:t>
      </w:r>
      <w:r>
        <w:t xml:space="preserve">categories of simplified cases:</w:t>
      </w:r>
      <w:r>
        <w:t xml:space="preserve"> </w:t>
      </w:r>
      <w:r>
        <w:t xml:space="preserve">Combination of Options 1, 2, and 3</w:t>
      </w:r>
      <w:r>
        <w:t xml:space="preserve"> </w:t>
      </w:r>
      <w:r>
        <w:t xml:space="preserve">Not</w:t>
      </w:r>
      <w:r>
        <w:t xml:space="preserve"> </w:t>
      </w:r>
      <w:r>
        <w:t xml:space="preserve">possible to</w:t>
      </w:r>
      <w:r>
        <w:t xml:space="preserve"> </w:t>
      </w:r>
      <w:r>
        <w:t xml:space="preserve">quantify</w:t>
      </w:r>
      <w:r>
        <w:t xml:space="preserve"> </w:t>
      </w:r>
      <w:r>
        <w:t xml:space="preserve">For the reasons set out in the report, it was not</w:t>
      </w:r>
      <w:r>
        <w:t xml:space="preserve"> </w:t>
      </w:r>
      <w:r>
        <w:t xml:space="preserve">possible to quantify in monetary terms.</w:t>
      </w:r>
      <w:r>
        <w:t xml:space="preserve"> </w:t>
      </w:r>
      <w:r>
        <w:t xml:space="preserve">Streamlining review of simplified</w:t>
      </w:r>
      <w:r>
        <w:t xml:space="preserve"> </w:t>
      </w:r>
      <w:r>
        <w:t xml:space="preserve">cases: Combination of Options 1 and</w:t>
      </w:r>
      <w:r>
        <w:t xml:space="preserve"> </w:t>
      </w:r>
      <w:r>
        <w:t xml:space="preserve">2</w:t>
      </w:r>
      <w:r>
        <w:t xml:space="preserve"> </w:t>
      </w:r>
      <w:r>
        <w:t xml:space="preserve">Not</w:t>
      </w:r>
      <w:r>
        <w:t xml:space="preserve"> </w:t>
      </w:r>
      <w:r>
        <w:t xml:space="preserve">possible to</w:t>
      </w:r>
      <w:r>
        <w:t xml:space="preserve"> </w:t>
      </w:r>
      <w:r>
        <w:t xml:space="preserve">quantify</w:t>
      </w:r>
      <w:r>
        <w:t xml:space="preserve"> </w:t>
      </w:r>
      <w:r>
        <w:t xml:space="preserve">For the reasons set out in the report, it was not</w:t>
      </w:r>
      <w:r>
        <w:t xml:space="preserve"> </w:t>
      </w:r>
      <w:r>
        <w:t xml:space="preserve">possible to quantify in monetary terms.</w:t>
      </w:r>
      <w:r>
        <w:t xml:space="preserve"> </w:t>
      </w:r>
      <w:r>
        <w:t xml:space="preserve">Streamlining review of non-simplified</w:t>
      </w:r>
      <w:r>
        <w:t xml:space="preserve"> </w:t>
      </w:r>
      <w:r>
        <w:t xml:space="preserve">cases: Combination of Options 1, 2, 3</w:t>
      </w:r>
      <w:r>
        <w:t xml:space="preserve"> </w:t>
      </w:r>
      <w:r>
        <w:t xml:space="preserve">and 4</w:t>
      </w:r>
      <w:r>
        <w:t xml:space="preserve"> </w:t>
      </w:r>
      <w:r>
        <w:t xml:space="preserve">Not</w:t>
      </w:r>
      <w:r>
        <w:t xml:space="preserve"> </w:t>
      </w:r>
      <w:r>
        <w:t xml:space="preserve">possible to</w:t>
      </w:r>
      <w:r>
        <w:t xml:space="preserve"> </w:t>
      </w:r>
      <w:r>
        <w:t xml:space="preserve">quantify</w:t>
      </w:r>
      <w:r>
        <w:t xml:space="preserve"> </w:t>
      </w:r>
      <w:r>
        <w:t xml:space="preserve">For the reasons set out in the report, it was not</w:t>
      </w:r>
      <w:r>
        <w:t xml:space="preserve"> </w:t>
      </w:r>
      <w:r>
        <w:t xml:space="preserve">possible to quantify in monetary terms.</w:t>
      </w:r>
      <w:r>
        <w:t xml:space="preserve"> </w:t>
      </w:r>
      <w:r>
        <w:t xml:space="preserve">Introducing electronic notifications:</w:t>
      </w:r>
      <w:r>
        <w:t xml:space="preserve"> </w:t>
      </w:r>
      <w:r>
        <w:t xml:space="preserve">Option 2</w:t>
      </w:r>
    </w:p>
    <w:p>
      <w:pPr>
        <w:pStyle w:val="BodyText"/>
      </w:pPr>
      <w:r>
        <w:t xml:space="preserve">Not</w:t>
      </w:r>
      <w:r>
        <w:t xml:space="preserve"> </w:t>
      </w:r>
      <w:r>
        <w:t xml:space="preserve">possible to</w:t>
      </w:r>
      <w:r>
        <w:t xml:space="preserve"> </w:t>
      </w:r>
      <w:r>
        <w:t xml:space="preserve">quantify</w:t>
      </w:r>
      <w:r>
        <w:t xml:space="preserve"> </w:t>
      </w:r>
      <w:r>
        <w:t xml:space="preserve">For the reasons set out in the report, it was not</w:t>
      </w:r>
      <w:r>
        <w:t xml:space="preserve"> </w:t>
      </w:r>
      <w:r>
        <w:t xml:space="preserve">possible to quantify in monetary terms.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Overview of Costs – Preferred Options</w:t>
      </w:r>
      <w:r>
        <w:t xml:space="preserve"> </w:t>
      </w:r>
      <w:r>
        <w:t xml:space="preserve">Description</w:t>
      </w:r>
      <w:r>
        <w:t xml:space="preserve"> </w:t>
      </w:r>
      <w:r>
        <w:t xml:space="preserve">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Commission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Expanding</w:t>
      </w:r>
      <w:r>
        <w:t xml:space="preserve"> </w:t>
      </w:r>
      <w:r>
        <w:t xml:space="preserve">and</w:t>
      </w:r>
      <w:r>
        <w:t xml:space="preserve"> </w:t>
      </w:r>
      <w:r>
        <w:t xml:space="preserve">clarifying the</w:t>
      </w:r>
      <w:r>
        <w:t xml:space="preserve"> </w:t>
      </w:r>
      <w:r>
        <w:t xml:space="preserve">categories of</w:t>
      </w:r>
      <w:r>
        <w:t xml:space="preserve"> </w:t>
      </w:r>
      <w:r>
        <w:t xml:space="preserve">simplified</w:t>
      </w:r>
      <w:r>
        <w:t xml:space="preserve"> </w:t>
      </w:r>
      <w:r>
        <w:t xml:space="preserve">cases:</w:t>
      </w:r>
      <w:r>
        <w:t xml:space="preserve"> </w:t>
      </w:r>
      <w:r>
        <w:t xml:space="preserve">Combination</w:t>
      </w:r>
      <w:r>
        <w:t xml:space="preserve"> </w:t>
      </w:r>
      <w:r>
        <w:t xml:space="preserve">of Options 1,</w:t>
      </w:r>
      <w:r>
        <w:t xml:space="preserve"> </w:t>
      </w:r>
      <w:r>
        <w:t xml:space="preserve">2, and 3</w:t>
      </w:r>
      <w:r>
        <w:t xml:space="preserve"> </w:t>
      </w:r>
      <w:r>
        <w:t xml:space="preserve">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Reduced</w:t>
      </w:r>
      <w:r>
        <w:t xml:space="preserve"> </w:t>
      </w:r>
      <w:r>
        <w:t xml:space="preserve">costs for the</w:t>
      </w:r>
      <w:r>
        <w:t xml:space="preserve"> </w:t>
      </w:r>
      <w:r>
        <w:t xml:space="preserve">preparation</w:t>
      </w:r>
      <w:r>
        <w:t xml:space="preserve"> </w:t>
      </w:r>
      <w:r>
        <w:t xml:space="preserve">of</w:t>
      </w:r>
      <w:r>
        <w:t xml:space="preserve"> </w:t>
      </w:r>
      <w:r>
        <w:t xml:space="preserve">notifications</w:t>
      </w:r>
      <w:r>
        <w:t xml:space="preserve"> </w:t>
      </w:r>
      <w:r>
        <w:t xml:space="preserve">of clearly</w:t>
      </w:r>
      <w:r>
        <w:t xml:space="preserve"> </w:t>
      </w:r>
      <w:r>
        <w:t xml:space="preserve">non-</w:t>
      </w:r>
      <w:r>
        <w:t xml:space="preserve"> </w:t>
      </w:r>
      <w:r>
        <w:t xml:space="preserve">problematic</w:t>
      </w:r>
      <w:r>
        <w:t xml:space="preserve"> </w:t>
      </w:r>
      <w:r>
        <w:t xml:space="preserve">cases and/or</w:t>
      </w:r>
      <w:r>
        <w:t xml:space="preserve"> </w:t>
      </w:r>
      <w:r>
        <w:t xml:space="preserve">markets</w:t>
      </w:r>
      <w:r>
        <w:t xml:space="preserve"> </w:t>
      </w:r>
      <w:r>
        <w:t xml:space="preserve">N/A</w:t>
      </w:r>
      <w:r>
        <w:t xml:space="preserve"> </w:t>
      </w:r>
      <w:r>
        <w:t xml:space="preserve">Reduced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 for</w:t>
      </w:r>
      <w:r>
        <w:t xml:space="preserve"> </w:t>
      </w:r>
      <w:r>
        <w:t xml:space="preserve">clearly non-</w:t>
      </w:r>
      <w:r>
        <w:t xml:space="preserve"> </w:t>
      </w:r>
      <w:r>
        <w:t xml:space="preserve">problematic</w:t>
      </w:r>
      <w:r>
        <w:t xml:space="preserve"> </w:t>
      </w:r>
      <w:r>
        <w:t xml:space="preserve">cases and/or</w:t>
      </w:r>
      <w:r>
        <w:t xml:space="preserve"> </w:t>
      </w:r>
      <w:r>
        <w:t xml:space="preserve">markets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Reduced</w:t>
      </w:r>
      <w:r>
        <w:t xml:space="preserve"> </w:t>
      </w:r>
      <w:r>
        <w:t xml:space="preserve">costs for third</w:t>
      </w:r>
      <w:r>
        <w:t xml:space="preserve"> </w:t>
      </w:r>
      <w:r>
        <w:t xml:space="preserve">party</w:t>
      </w:r>
      <w:r>
        <w:t xml:space="preserve"> </w:t>
      </w:r>
      <w:r>
        <w:t xml:space="preserve">businesses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Streamlining</w:t>
      </w:r>
      <w:r>
        <w:t xml:space="preserve"> </w:t>
      </w:r>
      <w:r>
        <w:t xml:space="preserve">review of</w:t>
      </w:r>
      <w:r>
        <w:t xml:space="preserve"> </w:t>
      </w:r>
      <w:r>
        <w:t xml:space="preserve">simplified</w:t>
      </w:r>
      <w:r>
        <w:t xml:space="preserve"> </w:t>
      </w:r>
      <w:r>
        <w:t xml:space="preserve">cases:</w:t>
      </w:r>
      <w:r>
        <w:t xml:space="preserve"> </w:t>
      </w:r>
      <w:r>
        <w:t xml:space="preserve">Combination</w:t>
      </w:r>
      <w:r>
        <w:t xml:space="preserve"> </w:t>
      </w:r>
      <w:r>
        <w:t xml:space="preserve">of Options 1</w:t>
      </w:r>
      <w:r>
        <w:t xml:space="preserve"> </w:t>
      </w:r>
      <w:r>
        <w:t xml:space="preserve">and 2</w:t>
      </w:r>
      <w:r>
        <w:t xml:space="preserve"> </w:t>
      </w:r>
      <w:r>
        <w:t xml:space="preserve">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Reduced</w:t>
      </w:r>
      <w:r>
        <w:t xml:space="preserve"> </w:t>
      </w:r>
      <w:r>
        <w:t xml:space="preserve">costs for the</w:t>
      </w:r>
      <w:r>
        <w:t xml:space="preserve"> </w:t>
      </w:r>
      <w:r>
        <w:t xml:space="preserve">preparation</w:t>
      </w:r>
      <w:r>
        <w:t xml:space="preserve"> </w:t>
      </w:r>
      <w:r>
        <w:t xml:space="preserve">of</w:t>
      </w:r>
      <w:r>
        <w:t xml:space="preserve"> </w:t>
      </w:r>
      <w:r>
        <w:t xml:space="preserve">notifications</w:t>
      </w:r>
      <w:r>
        <w:t xml:space="preserve"> </w:t>
      </w:r>
      <w:r>
        <w:t xml:space="preserve">of simplified</w:t>
      </w:r>
      <w:r>
        <w:t xml:space="preserve"> </w:t>
      </w:r>
      <w:r>
        <w:t xml:space="preserve">cases</w:t>
      </w:r>
      <w:r>
        <w:t xml:space="preserve"> </w:t>
      </w:r>
      <w:r>
        <w:t xml:space="preserve">N/A</w:t>
      </w:r>
      <w:r>
        <w:t xml:space="preserve"> </w:t>
      </w:r>
      <w:r>
        <w:t xml:space="preserve">Reduced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 for</w:t>
      </w:r>
      <w:r>
        <w:t xml:space="preserve"> </w:t>
      </w:r>
      <w:r>
        <w:t xml:space="preserve">simplified</w:t>
      </w:r>
      <w:r>
        <w:t xml:space="preserve"> </w:t>
      </w:r>
      <w:r>
        <w:t xml:space="preserve">cases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Streamlining</w:t>
      </w:r>
      <w:r>
        <w:t xml:space="preserve"> </w:t>
      </w:r>
      <w:r>
        <w:t xml:space="preserve">review of</w:t>
      </w:r>
      <w:r>
        <w:t xml:space="preserve"> </w:t>
      </w:r>
      <w:r>
        <w:t xml:space="preserve">non-</w:t>
      </w:r>
      <w:r>
        <w:t xml:space="preserve"> </w:t>
      </w:r>
      <w:r>
        <w:t xml:space="preserve">simplified</w:t>
      </w:r>
      <w:r>
        <w:t xml:space="preserve"> </w:t>
      </w:r>
      <w:r>
        <w:t xml:space="preserve">cases:</w:t>
      </w:r>
      <w:r>
        <w:t xml:space="preserve"> </w:t>
      </w:r>
      <w:r>
        <w:t xml:space="preserve">Combination</w:t>
      </w:r>
      <w:r>
        <w:t xml:space="preserve"> </w:t>
      </w:r>
      <w:r>
        <w:t xml:space="preserve">of Options 1,</w:t>
      </w:r>
      <w:r>
        <w:t xml:space="preserve"> </w:t>
      </w:r>
      <w:r>
        <w:t xml:space="preserve">2, 3 and 4</w:t>
      </w:r>
      <w:r>
        <w:t xml:space="preserve"> </w:t>
      </w:r>
      <w:r>
        <w:t xml:space="preserve">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Reduced</w:t>
      </w:r>
      <w:r>
        <w:t xml:space="preserve"> </w:t>
      </w:r>
      <w:r>
        <w:t xml:space="preserve">costs for the</w:t>
      </w:r>
      <w:r>
        <w:t xml:space="preserve"> </w:t>
      </w:r>
      <w:r>
        <w:t xml:space="preserve">preparation</w:t>
      </w:r>
      <w:r>
        <w:t xml:space="preserve"> </w:t>
      </w:r>
      <w:r>
        <w:t xml:space="preserve">of</w:t>
      </w:r>
      <w:r>
        <w:t xml:space="preserve"> </w:t>
      </w:r>
      <w:r>
        <w:t xml:space="preserve">notifications</w:t>
      </w:r>
      <w:r>
        <w:t xml:space="preserve"> </w:t>
      </w:r>
      <w:r>
        <w:t xml:space="preserve">N/A</w:t>
      </w:r>
      <w:r>
        <w:t xml:space="preserve"> </w:t>
      </w:r>
      <w:r>
        <w:t xml:space="preserve">Reduced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Introducing</w:t>
      </w:r>
      <w:r>
        <w:t xml:space="preserve"> </w:t>
      </w:r>
      <w:r>
        <w:t xml:space="preserve">electronic</w:t>
      </w:r>
      <w:r>
        <w:t xml:space="preserve"> </w:t>
      </w:r>
      <w:r>
        <w:t xml:space="preserve">notifications:</w:t>
      </w:r>
      <w:r>
        <w:t xml:space="preserve"> </w:t>
      </w:r>
      <w:r>
        <w:t xml:space="preserve">Option 2</w:t>
      </w:r>
      <w:r>
        <w:t xml:space="preserve"> </w:t>
      </w:r>
      <w:r>
        <w:t xml:space="preserve">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Reduced</w:t>
      </w:r>
      <w:r>
        <w:t xml:space="preserve"> </w:t>
      </w:r>
      <w:r>
        <w:t xml:space="preserve">costs for the</w:t>
      </w:r>
      <w:r>
        <w:t xml:space="preserve"> </w:t>
      </w:r>
      <w:r>
        <w:t xml:space="preserve">preparation</w:t>
      </w:r>
      <w:r>
        <w:t xml:space="preserve"> </w:t>
      </w:r>
      <w:r>
        <w:t xml:space="preserve">of</w:t>
      </w:r>
      <w:r>
        <w:t xml:space="preserve"> </w:t>
      </w:r>
      <w:r>
        <w:t xml:space="preserve">notifications</w:t>
      </w:r>
      <w:r>
        <w:t xml:space="preserve"> </w:t>
      </w:r>
      <w:r>
        <w:t xml:space="preserve">and</w:t>
      </w:r>
      <w:r>
        <w:t xml:space="preserve"> </w:t>
      </w:r>
      <w:r>
        <w:t xml:space="preserve">document</w:t>
      </w:r>
      <w:r>
        <w:t xml:space="preserve"> </w:t>
      </w:r>
      <w:r>
        <w:t xml:space="preserve">transmissions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Costs related to the ‘one in, one out’ approach</w:t>
      </w:r>
      <w:r>
        <w:t xml:space="preserve"> </w:t>
      </w:r>
      <w:r>
        <w:t xml:space="preserve">Description</w:t>
      </w:r>
      <w:r>
        <w:t xml:space="preserve"> </w:t>
      </w:r>
      <w:r>
        <w:t xml:space="preserve">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Commission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Expanding</w:t>
      </w:r>
      <w:r>
        <w:t xml:space="preserve"> </w:t>
      </w:r>
      <w:r>
        <w:t xml:space="preserve">and</w:t>
      </w:r>
      <w:r>
        <w:t xml:space="preserve"> </w:t>
      </w:r>
      <w:r>
        <w:t xml:space="preserve">clarifying the</w:t>
      </w:r>
      <w:r>
        <w:t xml:space="preserve"> </w:t>
      </w:r>
      <w:r>
        <w:t xml:space="preserve">categories of</w:t>
      </w:r>
      <w:r>
        <w:t xml:space="preserve"> </w:t>
      </w:r>
      <w:r>
        <w:t xml:space="preserve">simplified</w:t>
      </w:r>
      <w:r>
        <w:t xml:space="preserve"> </w:t>
      </w:r>
      <w:r>
        <w:t xml:space="preserve">cases:</w:t>
      </w:r>
      <w:r>
        <w:t xml:space="preserve"> </w:t>
      </w:r>
      <w:r>
        <w:t xml:space="preserve">Combination</w:t>
      </w:r>
      <w:r>
        <w:t xml:space="preserve"> </w:t>
      </w:r>
      <w:r>
        <w:t xml:space="preserve">of Options 1,</w:t>
      </w:r>
      <w:r>
        <w:t xml:space="preserve"> </w:t>
      </w:r>
      <w:r>
        <w:t xml:space="preserve">2, and 3</w:t>
      </w:r>
      <w:r>
        <w:t xml:space="preserve"> </w:t>
      </w:r>
      <w:r>
        <w:t xml:space="preserve">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Reduced</w:t>
      </w:r>
      <w:r>
        <w:t xml:space="preserve"> </w:t>
      </w:r>
      <w:r>
        <w:t xml:space="preserve">costs for the</w:t>
      </w:r>
      <w:r>
        <w:t xml:space="preserve"> </w:t>
      </w:r>
      <w:r>
        <w:t xml:space="preserve">preparation of</w:t>
      </w:r>
      <w:r>
        <w:t xml:space="preserve"> </w:t>
      </w:r>
      <w:r>
        <w:t xml:space="preserve">notifications</w:t>
      </w:r>
      <w:r>
        <w:t xml:space="preserve"> </w:t>
      </w:r>
      <w:r>
        <w:t xml:space="preserve">of clearly</w:t>
      </w:r>
      <w:r>
        <w:t xml:space="preserve"> </w:t>
      </w:r>
      <w:r>
        <w:t xml:space="preserve">non-</w:t>
      </w:r>
      <w:r>
        <w:t xml:space="preserve"> </w:t>
      </w:r>
      <w:r>
        <w:t xml:space="preserve">problematic</w:t>
      </w:r>
      <w:r>
        <w:t xml:space="preserve"> </w:t>
      </w:r>
      <w:r>
        <w:t xml:space="preserve">cases and/or</w:t>
      </w:r>
      <w:r>
        <w:t xml:space="preserve"> </w:t>
      </w:r>
      <w:r>
        <w:t xml:space="preserve">markets. Not</w:t>
      </w:r>
      <w:r>
        <w:t xml:space="preserve"> </w:t>
      </w:r>
      <w:r>
        <w:t xml:space="preserve">possible to</w:t>
      </w:r>
      <w:r>
        <w:t xml:space="preserve"> </w:t>
      </w:r>
      <w:r>
        <w:t xml:space="preserve">quantify.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Reduced</w:t>
      </w:r>
      <w:r>
        <w:t xml:space="preserve"> </w:t>
      </w:r>
      <w:r>
        <w:t xml:space="preserve">costs for third</w:t>
      </w:r>
      <w:r>
        <w:t xml:space="preserve"> </w:t>
      </w:r>
      <w:r>
        <w:t xml:space="preserve">party</w:t>
      </w:r>
      <w:r>
        <w:t xml:space="preserve"> </w:t>
      </w:r>
      <w:r>
        <w:t xml:space="preserve">businesses.</w:t>
      </w:r>
      <w:r>
        <w:t xml:space="preserve"> </w:t>
      </w:r>
      <w:r>
        <w:t xml:space="preserve">Not possible</w:t>
      </w:r>
      <w:r>
        <w:t xml:space="preserve"> </w:t>
      </w:r>
      <w:r>
        <w:t xml:space="preserve">to quantify.</w:t>
      </w:r>
    </w:p>
    <w:p>
      <w:pPr>
        <w:pStyle w:val="BodyText"/>
      </w:pPr>
      <w:r>
        <w:t xml:space="preserve">Streamlining</w:t>
      </w:r>
      <w:r>
        <w:t xml:space="preserve"> </w:t>
      </w:r>
      <w:r>
        <w:t xml:space="preserve">review of</w:t>
      </w:r>
      <w:r>
        <w:t xml:space="preserve"> </w:t>
      </w:r>
      <w:r>
        <w:t xml:space="preserve">simplified</w:t>
      </w:r>
      <w:r>
        <w:t xml:space="preserve"> </w:t>
      </w:r>
      <w:r>
        <w:t xml:space="preserve">cases:</w:t>
      </w:r>
      <w:r>
        <w:t xml:space="preserve"> </w:t>
      </w:r>
      <w:r>
        <w:t xml:space="preserve">Combination</w:t>
      </w:r>
      <w:r>
        <w:t xml:space="preserve"> </w:t>
      </w:r>
      <w:r>
        <w:t xml:space="preserve">of Options 1</w:t>
      </w:r>
      <w:r>
        <w:t xml:space="preserve"> </w:t>
      </w:r>
      <w:r>
        <w:t xml:space="preserve">and 2</w:t>
      </w:r>
      <w:r>
        <w:t xml:space="preserve"> </w:t>
      </w:r>
      <w:r>
        <w:t xml:space="preserve">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Reduced</w:t>
      </w:r>
      <w:r>
        <w:t xml:space="preserve"> </w:t>
      </w:r>
      <w:r>
        <w:t xml:space="preserve">costs for the</w:t>
      </w:r>
      <w:r>
        <w:t xml:space="preserve"> </w:t>
      </w:r>
      <w:r>
        <w:t xml:space="preserve">preparation of</w:t>
      </w:r>
      <w:r>
        <w:t xml:space="preserve"> </w:t>
      </w:r>
      <w:r>
        <w:t xml:space="preserve">notifications</w:t>
      </w:r>
      <w:r>
        <w:t xml:space="preserve"> </w:t>
      </w:r>
      <w:r>
        <w:t xml:space="preserve">of simplified</w:t>
      </w:r>
      <w:r>
        <w:t xml:space="preserve"> </w:t>
      </w:r>
      <w:r>
        <w:t xml:space="preserve">cases. Not</w:t>
      </w:r>
      <w:r>
        <w:t xml:space="preserve"> </w:t>
      </w:r>
      <w:r>
        <w:t xml:space="preserve">possible to</w:t>
      </w:r>
      <w:r>
        <w:t xml:space="preserve"> </w:t>
      </w:r>
      <w:r>
        <w:t xml:space="preserve">quantify.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Streamlining</w:t>
      </w:r>
      <w:r>
        <w:t xml:space="preserve"> </w:t>
      </w:r>
      <w:r>
        <w:t xml:space="preserve">review of</w:t>
      </w:r>
      <w:r>
        <w:t xml:space="preserve"> </w:t>
      </w:r>
      <w:r>
        <w:t xml:space="preserve">non-</w:t>
      </w:r>
      <w:r>
        <w:t xml:space="preserve"> </w:t>
      </w:r>
      <w:r>
        <w:t xml:space="preserve">simplified</w:t>
      </w:r>
      <w:r>
        <w:t xml:space="preserve"> </w:t>
      </w:r>
      <w:r>
        <w:t xml:space="preserve">cases:</w:t>
      </w:r>
      <w:r>
        <w:t xml:space="preserve"> </w:t>
      </w:r>
      <w:r>
        <w:t xml:space="preserve">Combination</w:t>
      </w:r>
      <w:r>
        <w:t xml:space="preserve"> </w:t>
      </w:r>
      <w:r>
        <w:t xml:space="preserve">of Options 1,</w:t>
      </w:r>
      <w:r>
        <w:t xml:space="preserve"> </w:t>
      </w:r>
      <w:r>
        <w:t xml:space="preserve">2, 3 and 4</w:t>
      </w:r>
      <w:r>
        <w:t xml:space="preserve"> </w:t>
      </w:r>
      <w:r>
        <w:t xml:space="preserve">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Reduced</w:t>
      </w:r>
      <w:r>
        <w:t xml:space="preserve"> </w:t>
      </w:r>
      <w:r>
        <w:t xml:space="preserve">costs for the</w:t>
      </w:r>
      <w:r>
        <w:t xml:space="preserve"> </w:t>
      </w:r>
      <w:r>
        <w:t xml:space="preserve">preparation of</w:t>
      </w:r>
      <w:r>
        <w:t xml:space="preserve"> </w:t>
      </w:r>
      <w:r>
        <w:t xml:space="preserve">notifications.</w:t>
      </w:r>
      <w:r>
        <w:t xml:space="preserve"> </w:t>
      </w:r>
      <w:r>
        <w:t xml:space="preserve">Not possible</w:t>
      </w:r>
      <w:r>
        <w:t xml:space="preserve"> </w:t>
      </w:r>
      <w:r>
        <w:t xml:space="preserve">to quantify.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Introducing</w:t>
      </w:r>
      <w:r>
        <w:t xml:space="preserve"> </w:t>
      </w:r>
      <w:r>
        <w:t xml:space="preserve">electronic</w:t>
      </w:r>
      <w:r>
        <w:t xml:space="preserve"> </w:t>
      </w:r>
      <w:r>
        <w:t xml:space="preserve">notifications:</w:t>
      </w:r>
      <w:r>
        <w:t xml:space="preserve"> </w:t>
      </w:r>
      <w:r>
        <w:t xml:space="preserve">Option 2</w:t>
      </w:r>
      <w:r>
        <w:t xml:space="preserve"> </w:t>
      </w:r>
      <w:r>
        <w:t xml:space="preserve">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Reduced</w:t>
      </w:r>
      <w:r>
        <w:t xml:space="preserve"> </w:t>
      </w:r>
      <w:r>
        <w:t xml:space="preserve">costs for the</w:t>
      </w:r>
      <w:r>
        <w:t xml:space="preserve"> </w:t>
      </w:r>
      <w:r>
        <w:t xml:space="preserve">preparation of</w:t>
      </w:r>
      <w:r>
        <w:t xml:space="preserve"> </w:t>
      </w:r>
      <w:r>
        <w:t xml:space="preserve">notifications</w:t>
      </w:r>
      <w:r>
        <w:t xml:space="preserve"> </w:t>
      </w:r>
      <w:r>
        <w:t xml:space="preserve">and document</w:t>
      </w:r>
      <w:r>
        <w:t xml:space="preserve"> </w:t>
      </w:r>
      <w:r>
        <w:t xml:space="preserve">transmissions.</w:t>
      </w:r>
      <w:r>
        <w:t xml:space="preserve"> </w:t>
      </w:r>
      <w:r>
        <w:t xml:space="preserve">Not possible</w:t>
      </w:r>
      <w:r>
        <w:t xml:space="preserve"> </w:t>
      </w:r>
      <w:r>
        <w:t xml:space="preserve">to quantify.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ANNEX 4 - ISSUES OF A TECHNICAL NATURE RELATING TO THE CLARITY,</w:t>
      </w:r>
      <w:r>
        <w:t xml:space="preserve"> </w:t>
      </w:r>
      <w:r>
        <w:t xml:space="preserve">COMPLETENESS AND COMPLEXITY OF THE RULES</w:t>
      </w:r>
      <w:r>
        <w:t xml:space="preserve"> </w:t>
      </w:r>
      <w:r>
        <w:t xml:space="preserve">As explained in Section 5.1 of the report, the current legal framework includes (in</w:t>
      </w:r>
      <w:r>
        <w:t xml:space="preserve"> </w:t>
      </w:r>
      <w:r>
        <w:t xml:space="preserve">addition to the EU Merger Regulation) the Implementing Regulation and the Notice on</w:t>
      </w:r>
      <w:r>
        <w:t xml:space="preserve"> </w:t>
      </w:r>
      <w:r>
        <w:t xml:space="preserve">Simplified Procedure (as last updated in 2013). In addition to expanding the simplified</w:t>
      </w:r>
      <w:r>
        <w:t xml:space="preserve"> </w:t>
      </w:r>
      <w:r>
        <w:t xml:space="preserve">categories; streamlining the review of simplified and non-simplified cases; and</w:t>
      </w:r>
      <w:r>
        <w:t xml:space="preserve"> </w:t>
      </w:r>
      <w:r>
        <w:t xml:space="preserve">introducing electronic transmissions of documents, the Evaluation showed that further</w:t>
      </w:r>
      <w:r>
        <w:t xml:space="preserve"> </w:t>
      </w:r>
      <w:r>
        <w:t xml:space="preserve">targeting of EU merger control should be considered, by clarifying and revising merger</w:t>
      </w:r>
      <w:r>
        <w:t xml:space="preserve"> </w:t>
      </w:r>
      <w:r>
        <w:t xml:space="preserve">procedural rules (e.g., in the Implementing Regulation).</w:t>
      </w:r>
      <w:r>
        <w:br/>
      </w:r>
      <w:r>
        <w:t xml:space="preserve">Against this background, together with the revisions in the legal texts reflecting the</w:t>
      </w:r>
      <w:r>
        <w:t xml:space="preserve"> </w:t>
      </w:r>
      <w:r>
        <w:t xml:space="preserve">preferred options as described in Section 7 of the report, the Commission amended</w:t>
      </w:r>
      <w:r>
        <w:t xml:space="preserve"> </w:t>
      </w:r>
      <w:r>
        <w:t xml:space="preserve">provisions of the Implementing Regulation to clarify and complete them. Key among</w:t>
      </w:r>
      <w:r>
        <w:t xml:space="preserve"> </w:t>
      </w:r>
      <w:r>
        <w:t xml:space="preserve">these amendments are the following:</w:t>
      </w:r>
      <w:r>
        <w:br/>
      </w:r>
      <w:r>
        <w:t xml:space="preserve">a. Article 2 of the draft revised Implementing Regulation. Under the existing</w:t>
      </w:r>
      <w:r>
        <w:t xml:space="preserve"> </w:t>
      </w:r>
      <w:r>
        <w:t xml:space="preserve">Implementing Regulation, Article 2 includes paragraph 3 which reads: “[j]oint</w:t>
      </w:r>
      <w:r>
        <w:t xml:space="preserve"> </w:t>
      </w:r>
      <w:r>
        <w:t xml:space="preserve">notifications shall be submitted by a joint representative who is authorised to</w:t>
      </w:r>
      <w:r>
        <w:t xml:space="preserve"> </w:t>
      </w:r>
      <w:r>
        <w:t xml:space="preserve">transmit and receive documents on behalf of all notifying parties”. However, in the</w:t>
      </w:r>
      <w:r>
        <w:t xml:space="preserve"> </w:t>
      </w:r>
      <w:r>
        <w:t xml:space="preserve">Commission’s decisional practice, joint notifications are also accepted when each of</w:t>
      </w:r>
      <w:r>
        <w:t xml:space="preserve"> </w:t>
      </w:r>
      <w:r>
        <w:t xml:space="preserve">the notifying parties have a separate representative who signs the notification. Thus,</w:t>
      </w:r>
      <w:r>
        <w:t xml:space="preserve"> </w:t>
      </w:r>
      <w:r>
        <w:t xml:space="preserve">Article 2(3) was removed.</w:t>
      </w:r>
    </w:p>
    <w:p>
      <w:pPr>
        <w:numPr>
          <w:ilvl w:val="0"/>
          <w:numId w:val="1023"/>
        </w:numPr>
      </w:pPr>
      <w:r>
        <w:t xml:space="preserve">Article 9 of the draft Implementing Regulation. This article provides for the</w:t>
      </w:r>
      <w:r>
        <w:t xml:space="preserve"> </w:t>
      </w:r>
      <w:r>
        <w:t xml:space="preserve">suspension of time limits under certain circumstances and details the circumstances</w:t>
      </w:r>
      <w:r>
        <w:t xml:space="preserve"> </w:t>
      </w:r>
      <w:r>
        <w:t xml:space="preserve">under which the suspension ends, including inter alia where the parties fail to provide</w:t>
      </w:r>
      <w:r>
        <w:t xml:space="preserve"> </w:t>
      </w:r>
      <w:r>
        <w:t xml:space="preserve">information requested by the Commission. The proposed amendment aims to clarify</w:t>
      </w:r>
      <w:r>
        <w:t xml:space="preserve"> </w:t>
      </w:r>
      <w:r>
        <w:t xml:space="preserve">that the Commission has the possibility to restart the clock ex officio where the</w:t>
      </w:r>
      <w:r>
        <w:t xml:space="preserve"> </w:t>
      </w:r>
      <w:r>
        <w:t xml:space="preserve">information requested is no longer necessary.</w:t>
      </w:r>
    </w:p>
    <w:p>
      <w:pPr>
        <w:numPr>
          <w:ilvl w:val="0"/>
          <w:numId w:val="1023"/>
        </w:numPr>
      </w:pPr>
      <w:r>
        <w:t xml:space="preserve">Article 13(2) of the draft revised Implementing Regulation. The existing</w:t>
      </w:r>
      <w:r>
        <w:t xml:space="preserve"> </w:t>
      </w:r>
      <w:r>
        <w:t xml:space="preserve">Implementing Regulation makes reference to the statement of objections, a document</w:t>
      </w:r>
      <w:r>
        <w:t xml:space="preserve"> </w:t>
      </w:r>
      <w:r>
        <w:t xml:space="preserve">that the Commission can address to the notifying parties in the course of merger</w:t>
      </w:r>
      <w:r>
        <w:t xml:space="preserve"> </w:t>
      </w:r>
      <w:r>
        <w:t xml:space="preserve">investigations. In response to this document, the notifying parties can provide</w:t>
      </w:r>
      <w:r>
        <w:t xml:space="preserve"> </w:t>
      </w:r>
      <w:r>
        <w:t xml:space="preserve">comments exercising their rights of defence.68 In its decisional practice, after sending</w:t>
      </w:r>
      <w:r>
        <w:t xml:space="preserve"> </w:t>
      </w:r>
      <w:r>
        <w:t xml:space="preserve">a statement of objections, the Commission sometimes sends a supplementary</w:t>
      </w:r>
      <w:r>
        <w:t xml:space="preserve"> </w:t>
      </w:r>
      <w:r>
        <w:t xml:space="preserve">statement of objections. This raises new objections or modifies the intrinsic nature of</w:t>
      </w:r>
      <w:r>
        <w:t xml:space="preserve"> </w:t>
      </w:r>
      <w:r>
        <w:t xml:space="preserve">the objections previously raised. Article 13(2) was amended to include a reference to</w:t>
      </w:r>
      <w:r>
        <w:t xml:space="preserve"> </w:t>
      </w:r>
      <w:r>
        <w:t xml:space="preserve">supplementary statements of objections.</w:t>
      </w:r>
    </w:p>
    <w:p>
      <w:pPr>
        <w:numPr>
          <w:ilvl w:val="0"/>
          <w:numId w:val="1023"/>
        </w:numPr>
      </w:pPr>
      <w:r>
        <w:t xml:space="preserve">Article 13(4) of the draft revised Implementing Regulation. In its decisional practice,</w:t>
      </w:r>
      <w:r>
        <w:t xml:space="preserve"> </w:t>
      </w:r>
      <w:r>
        <w:t xml:space="preserve">after sending a statement of objections, the Commission sometimes sends a letter of</w:t>
      </w:r>
    </w:p>
    <w:p>
      <w:pPr>
        <w:pStyle w:val="FirstParagraph"/>
      </w:pPr>
      <w:r>
        <w:t xml:space="preserve">68</w:t>
      </w:r>
      <w:r>
        <w:t xml:space="preserve"> </w:t>
      </w:r>
      <w:r>
        <w:t xml:space="preserve">See also Article 18(3) of the EU Merger Regulation.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facts to the notifying parties. This informs the parties of additional or new facts or</w:t>
      </w:r>
      <w:r>
        <w:t xml:space="preserve"> </w:t>
      </w:r>
      <w:r>
        <w:t xml:space="preserve">evidence that the Commission wishes to use to corroborate objections already raised</w:t>
      </w:r>
      <w:r>
        <w:t xml:space="preserve"> </w:t>
      </w:r>
      <w:r>
        <w:t xml:space="preserve">(in a statement of objections). Article 13(3) was amended to include a reference to</w:t>
      </w:r>
      <w:r>
        <w:t xml:space="preserve"> </w:t>
      </w:r>
      <w:r>
        <w:t xml:space="preserve">letters of fact.</w:t>
      </w:r>
    </w:p>
    <w:p>
      <w:pPr>
        <w:pStyle w:val="BodyText"/>
      </w:pPr>
      <w:r>
        <w:t xml:space="preserve">All these amendments were included in the draft revised legal texts and stakeholders</w:t>
      </w:r>
      <w:r>
        <w:t xml:space="preserve"> </w:t>
      </w:r>
      <w:r>
        <w:t xml:space="preserve">were consulted on them in the second consultation of stakeholders and third targeted</w:t>
      </w:r>
      <w:r>
        <w:t xml:space="preserve"> </w:t>
      </w:r>
      <w:r>
        <w:t xml:space="preserve">consultation of stakeholders on a proposed modification to Article 9 of the Implementing</w:t>
      </w:r>
      <w:r>
        <w:t xml:space="preserve"> </w:t>
      </w:r>
      <w:r>
        <w:t xml:space="preserve">Regulation. No stakeholder opposed the inclusion of these amendments in the</w:t>
      </w:r>
      <w:r>
        <w:t xml:space="preserve"> </w:t>
      </w:r>
      <w:r>
        <w:t xml:space="preserve">Implementing Regulation.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ANNEX 5: REVIEW OF INTERVENTION CASES IN THE PERIOD 2015-2020</w:t>
      </w:r>
      <w:r>
        <w:t xml:space="preserve"> </w:t>
      </w:r>
      <w:r>
        <w:t xml:space="preserve">1. One of the internal research work streams that we have conducted concerns the</w:t>
      </w:r>
      <w:r>
        <w:t xml:space="preserve"> </w:t>
      </w:r>
      <w:r>
        <w:t xml:space="preserve">review of past cases in which the Commission intervened in the period from 2015</w:t>
      </w:r>
      <w:r>
        <w:t xml:space="preserve"> </w:t>
      </w:r>
      <w:r>
        <w:t xml:space="preserve">until 2020 (a total of 127 cases). The purpose of this review is to assess the risks of</w:t>
      </w:r>
      <w:r>
        <w:t xml:space="preserve"> </w:t>
      </w:r>
      <w:r>
        <w:t xml:space="preserve">introducing new categories of simplified cases (i.e. to identify whether any of the past</w:t>
      </w:r>
      <w:r>
        <w:t xml:space="preserve"> </w:t>
      </w:r>
      <w:r>
        <w:t xml:space="preserve">intervention cases in the relevant period would have been caught by any of the</w:t>
      </w:r>
      <w:r>
        <w:t xml:space="preserve"> </w:t>
      </w:r>
      <w:r>
        <w:t xml:space="preserve">proposed categories). We summarize the findings of our research in the following</w:t>
      </w:r>
      <w:r>
        <w:t xml:space="preserve"> </w:t>
      </w:r>
      <w:r>
        <w:t xml:space="preserve">sections.</w:t>
      </w:r>
    </w:p>
    <w:p>
      <w:pPr>
        <w:pStyle w:val="Compact"/>
        <w:numPr>
          <w:ilvl w:val="0"/>
          <w:numId w:val="1024"/>
        </w:numPr>
      </w:pPr>
      <w:r>
        <w:t xml:space="preserve">Interventions in horizontal mergers</w:t>
      </w:r>
    </w:p>
    <w:p>
      <w:pPr>
        <w:pStyle w:val="FirstParagraph"/>
      </w:pPr>
      <w:r>
        <w:t xml:space="preserve">1.1. Flexibility clause</w:t>
      </w:r>
    </w:p>
    <w:p>
      <w:pPr>
        <w:pStyle w:val="Compact"/>
        <w:numPr>
          <w:ilvl w:val="0"/>
          <w:numId w:val="1025"/>
        </w:numPr>
      </w:pPr>
      <w:r>
        <w:t xml:space="preserve">We propose to introduce in the Notice on Simplified Procedure a flexibility clause for</w:t>
      </w:r>
      <w:r>
        <w:t xml:space="preserve"> </w:t>
      </w:r>
      <w:r>
        <w:t xml:space="preserve">horizontal overlaps with combined market shares between 20 and 25% and for</w:t>
      </w:r>
      <w:r>
        <w:t xml:space="preserve"> </w:t>
      </w:r>
      <w:r>
        <w:t xml:space="preserve">vertical relationships with combined markets shares between 30 and 35%.</w:t>
      </w:r>
    </w:p>
    <w:p>
      <w:pPr>
        <w:pStyle w:val="Compact"/>
        <w:numPr>
          <w:ilvl w:val="0"/>
          <w:numId w:val="1025"/>
        </w:numPr>
      </w:pPr>
      <w:r>
        <w:t xml:space="preserve">The internal research showed that in 23 cases out of the total 127 interventions (i.e. in</w:t>
      </w:r>
      <w:r>
        <w:t xml:space="preserve"> </w:t>
      </w:r>
      <w:r>
        <w:t xml:space="preserve">18% of the interventions), the Commission intervened in some markets where the</w:t>
      </w:r>
      <w:r>
        <w:t xml:space="preserve"> </w:t>
      </w:r>
      <w:r>
        <w:t xml:space="preserve">parties had horizontal overlaps with combined market shares below 25%. More</w:t>
      </w:r>
      <w:r>
        <w:t xml:space="preserve"> </w:t>
      </w:r>
      <w:r>
        <w:t xml:space="preserve">specifically, we found the following situations:</w:t>
      </w:r>
    </w:p>
    <w:p>
      <w:pPr>
        <w:pStyle w:val="Compact"/>
        <w:numPr>
          <w:ilvl w:val="0"/>
          <w:numId w:val="1026"/>
        </w:numPr>
      </w:pPr>
      <w:r>
        <w:t xml:space="preserve">In nine cases, there were some intervention markets with market shares between</w:t>
      </w:r>
      <w:r>
        <w:t xml:space="preserve"> </w:t>
      </w:r>
      <w:r>
        <w:t xml:space="preserve">20 and 25% in some market segments (some of them even below the current 20%</w:t>
      </w:r>
      <w:r>
        <w:t xml:space="preserve"> </w:t>
      </w:r>
      <w:r>
        <w:t xml:space="preserve">threshold) but market shares where significantly higher in other segments. Given</w:t>
      </w:r>
      <w:r>
        <w:t xml:space="preserve"> </w:t>
      </w:r>
      <w:r>
        <w:t xml:space="preserve">that the 25% threshold was exceeded in certain segments, the flexibility clause</w:t>
      </w:r>
      <w:r>
        <w:t xml:space="preserve"> </w:t>
      </w:r>
      <w:r>
        <w:t xml:space="preserve">would not have been applicable.</w:t>
      </w:r>
    </w:p>
    <w:p>
      <w:pPr>
        <w:pStyle w:val="Compact"/>
        <w:numPr>
          <w:ilvl w:val="0"/>
          <w:numId w:val="1026"/>
        </w:numPr>
      </w:pPr>
      <w:r>
        <w:t xml:space="preserve">In eight cases, there were some national markets with market shares between 20</w:t>
      </w:r>
      <w:r>
        <w:t xml:space="preserve"> </w:t>
      </w:r>
      <w:r>
        <w:t xml:space="preserve">and 25% in some Member States where we intervened, but many other national</w:t>
      </w:r>
      <w:r>
        <w:t xml:space="preserve"> </w:t>
      </w:r>
      <w:r>
        <w:t xml:space="preserve">markets with significantly higher shares (this is for instance the case in several</w:t>
      </w:r>
      <w:r>
        <w:t xml:space="preserve"> </w:t>
      </w:r>
      <w:r>
        <w:t xml:space="preserve">pharmaceutical mergers). In these cases, the remedy typically covered all the</w:t>
      </w:r>
      <w:r>
        <w:t xml:space="preserve"> </w:t>
      </w:r>
      <w:r>
        <w:t xml:space="preserve">EEA for viability reasons. Therefore, the impact of any flexibility clause in these</w:t>
      </w:r>
      <w:r>
        <w:t xml:space="preserve"> </w:t>
      </w:r>
      <w:r>
        <w:t xml:space="preserve">cases would have been very limited.</w:t>
      </w:r>
    </w:p>
    <w:p>
      <w:pPr>
        <w:pStyle w:val="Compact"/>
        <w:numPr>
          <w:ilvl w:val="0"/>
          <w:numId w:val="1026"/>
        </w:numPr>
      </w:pPr>
      <w:r>
        <w:t xml:space="preserve">In six cases, there were some intervention markets with market shares between 20</w:t>
      </w:r>
      <w:r>
        <w:t xml:space="preserve"> </w:t>
      </w:r>
      <w:r>
        <w:t xml:space="preserve">and 25% (some of them even below 20%), but in these markets there were less</w:t>
      </w:r>
      <w:r>
        <w:t xml:space="preserve"> </w:t>
      </w:r>
      <w:r>
        <w:t xml:space="preserve">than three significant competitors left post-transaction. To avoid that these</w:t>
      </w:r>
      <w:r>
        <w:t xml:space="preserve"> </w:t>
      </w:r>
      <w:r>
        <w:t xml:space="preserve">markets escape the Commission’s review further to the introduction of a</w:t>
      </w:r>
      <w:r>
        <w:t xml:space="preserve"> </w:t>
      </w:r>
      <w:r>
        <w:t xml:space="preserve">flexibility clause, a new safeguard should be introduced, requiring for the</w:t>
      </w:r>
      <w:r>
        <w:t xml:space="preserve"> </w:t>
      </w:r>
      <w:r>
        <w:t xml:space="preserve">application of the simplified procedure that at least three significant competitors</w:t>
      </w:r>
      <w:r>
        <w:t xml:space="preserve"> </w:t>
      </w:r>
      <w:r>
        <w:t xml:space="preserve">remain in the market post-merger. Moreover, we will require notifying parties to</w:t>
      </w:r>
      <w:r>
        <w:t xml:space="preserve"> </w:t>
      </w:r>
      <w:r>
        <w:t xml:space="preserve">systematically provide market shares for at least three competitors for the three</w:t>
      </w:r>
      <w:r>
        <w:t xml:space="preserve"> </w:t>
      </w:r>
      <w:r>
        <w:t xml:space="preserve">years prior to the transaction so that these situation can be spot early in the</w:t>
      </w:r>
      <w:r>
        <w:t xml:space="preserve"> </w:t>
      </w:r>
      <w:r>
        <w:t xml:space="preserve">process and submit these markets to a full review under the normal procedure,</w:t>
      </w:r>
      <w:r>
        <w:t xml:space="preserve"> </w:t>
      </w:r>
      <w:r>
        <w:t xml:space="preserve">rather than treating them under the simplified procedure.</w:t>
      </w:r>
    </w:p>
    <w:p>
      <w:pPr>
        <w:pStyle w:val="FirstParagraph"/>
      </w:pPr>
      <w:r>
        <w:t xml:space="preserve">91</w:t>
      </w:r>
    </w:p>
    <w:p>
      <w:pPr>
        <w:pStyle w:val="Compact"/>
        <w:numPr>
          <w:ilvl w:val="0"/>
          <w:numId w:val="1027"/>
        </w:numPr>
      </w:pPr>
      <w:r>
        <w:t xml:space="preserve">In three cases, there were some intervention markets with market shares between</w:t>
      </w:r>
      <w:r>
        <w:t xml:space="preserve"> </w:t>
      </w:r>
      <w:r>
        <w:t xml:space="preserve">20 and 25% (or even below 20%) in the year prior to the transaction, but the</w:t>
      </w:r>
      <w:r>
        <w:t xml:space="preserve"> </w:t>
      </w:r>
      <w:r>
        <w:t xml:space="preserve">combined market shares were higher in previous years. We currently already</w:t>
      </w:r>
      <w:r>
        <w:t xml:space="preserve"> </w:t>
      </w:r>
      <w:r>
        <w:t xml:space="preserve">require market shares for the last three financial years prior to each transaction, so</w:t>
      </w:r>
      <w:r>
        <w:t xml:space="preserve"> </w:t>
      </w:r>
      <w:r>
        <w:t xml:space="preserve">these situations are also easy to identify.</w:t>
      </w:r>
    </w:p>
    <w:p>
      <w:pPr>
        <w:pStyle w:val="Compact"/>
        <w:numPr>
          <w:ilvl w:val="0"/>
          <w:numId w:val="1027"/>
        </w:numPr>
      </w:pPr>
      <w:r>
        <w:t xml:space="preserve">In three cases, the market shares provided by the parties were not reliable and the</w:t>
      </w:r>
      <w:r>
        <w:t xml:space="preserve"> </w:t>
      </w:r>
      <w:r>
        <w:t xml:space="preserve">Commission had to carry out a market reconstruction. In certain cases, the parties</w:t>
      </w:r>
      <w:r>
        <w:t xml:space="preserve"> </w:t>
      </w:r>
      <w:r>
        <w:t xml:space="preserve">presented very low market shares, which were unreliable. However, the</w:t>
      </w:r>
      <w:r>
        <w:t xml:space="preserve"> </w:t>
      </w:r>
      <w:r>
        <w:t xml:space="preserve">Commission was able to identify the problem and relied on a market</w:t>
      </w:r>
      <w:r>
        <w:t xml:space="preserve"> </w:t>
      </w:r>
      <w:r>
        <w:t xml:space="preserve">reconstruction or other estimates. The current safeguards and exceptions in the</w:t>
      </w:r>
      <w:r>
        <w:t xml:space="preserve"> </w:t>
      </w:r>
      <w:r>
        <w:t xml:space="preserve">Notice on Simplified Procedure already indicate that the simplified procedure</w:t>
      </w:r>
      <w:r>
        <w:t xml:space="preserve"> </w:t>
      </w:r>
      <w:r>
        <w:t xml:space="preserve">should not apply where market shares are unreliable. This should continue to be</w:t>
      </w:r>
      <w:r>
        <w:t xml:space="preserve"> </w:t>
      </w:r>
      <w:r>
        <w:t xml:space="preserve">the case in a revised Notice on Simplified Procedure. Therefore, the introduction</w:t>
      </w:r>
      <w:r>
        <w:t xml:space="preserve"> </w:t>
      </w:r>
      <w:r>
        <w:t xml:space="preserve">of the envisaged flexibility clause should not have a significant impact in these</w:t>
      </w:r>
      <w:r>
        <w:t xml:space="preserve"> </w:t>
      </w:r>
      <w:r>
        <w:t xml:space="preserve">situations.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In three cases, there were some intervention markets with market shares below</w:t>
      </w:r>
      <w:r>
        <w:t xml:space="preserve"> </w:t>
      </w:r>
      <w:r>
        <w:t xml:space="preserve">25%, but one of the Parties was a recent entrant. To avoid that these markets</w:t>
      </w:r>
      <w:r>
        <w:t xml:space="preserve"> </w:t>
      </w:r>
      <w:r>
        <w:t xml:space="preserve">escape the Commission’s attention further to the introduction of a flexibility</w:t>
      </w:r>
      <w:r>
        <w:t xml:space="preserve"> </w:t>
      </w:r>
      <w:r>
        <w:t xml:space="preserve">clause, a specific safeguard should be introduced in the Notice on Simplified</w:t>
      </w:r>
      <w:r>
        <w:t xml:space="preserve"> </w:t>
      </w:r>
      <w:r>
        <w:t xml:space="preserve">Procedure, which excludes in principle the application of the simplified procedure</w:t>
      </w:r>
      <w:r>
        <w:t xml:space="preserve"> </w:t>
      </w:r>
      <w:r>
        <w:t xml:space="preserve">for cases where one of the parties is a recent entrant. This would again allow the</w:t>
      </w:r>
      <w:r>
        <w:t xml:space="preserve"> </w:t>
      </w:r>
      <w:r>
        <w:t xml:space="preserve">Commission to easily spot these situations early in the process.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In two cases in which there were hundreds of overlap markets, the parties had</w:t>
      </w:r>
      <w:r>
        <w:t xml:space="preserve"> </w:t>
      </w:r>
      <w:r>
        <w:t xml:space="preserve">combined market shares between 20 and 25% (or even below 20%) on a limited</w:t>
      </w:r>
      <w:r>
        <w:t xml:space="preserve"> </w:t>
      </w:r>
      <w:r>
        <w:t xml:space="preserve">number of overlap markets. Remedies in these cases, however, addressed all</w:t>
      </w:r>
      <w:r>
        <w:t xml:space="preserve"> </w:t>
      </w:r>
      <w:r>
        <w:t xml:space="preserve">concerns even in these markets, so the impact of any flexibility clause would</w:t>
      </w:r>
      <w:r>
        <w:t xml:space="preserve"> </w:t>
      </w:r>
      <w:r>
        <w:t xml:space="preserve">again have been very limited.</w:t>
      </w:r>
    </w:p>
    <w:p>
      <w:pPr>
        <w:pStyle w:val="Compact"/>
        <w:numPr>
          <w:ilvl w:val="0"/>
          <w:numId w:val="1027"/>
        </w:numPr>
      </w:pPr>
      <w:r>
        <w:t xml:space="preserve">In one case, there were some intervention markets with market shares below 25%,</w:t>
      </w:r>
      <w:r>
        <w:t xml:space="preserve"> </w:t>
      </w:r>
      <w:r>
        <w:t xml:space="preserve">but with pipeline overlaps. Again, to avoid any risk of overlooking such cases and</w:t>
      </w:r>
      <w:r>
        <w:t xml:space="preserve"> </w:t>
      </w:r>
      <w:r>
        <w:t xml:space="preserve">treating them as simplified under the flexibility clause, we should introduce a</w:t>
      </w:r>
      <w:r>
        <w:t xml:space="preserve"> </w:t>
      </w:r>
      <w:r>
        <w:t xml:space="preserve">specific safeguard for this situation for pipeline to pipeline or pipeline to</w:t>
      </w:r>
      <w:r>
        <w:t xml:space="preserve"> </w:t>
      </w:r>
      <w:r>
        <w:t xml:space="preserve">marketed products overlaps, allowing the Commission teams to easily spot these</w:t>
      </w:r>
      <w:r>
        <w:t xml:space="preserve"> </w:t>
      </w:r>
      <w:r>
        <w:t xml:space="preserve">situations early in the process.</w:t>
      </w:r>
    </w:p>
    <w:p>
      <w:pPr>
        <w:pStyle w:val="Compact"/>
        <w:numPr>
          <w:ilvl w:val="0"/>
          <w:numId w:val="1028"/>
        </w:numPr>
      </w:pPr>
      <w:r>
        <w:t xml:space="preserve">Interventions in vertical cases</w:t>
      </w:r>
    </w:p>
    <w:p>
      <w:pPr>
        <w:pStyle w:val="FirstParagraph"/>
      </w:pPr>
      <w:r>
        <w:t xml:space="preserve">2.1. Flexibility clause</w:t>
      </w:r>
    </w:p>
    <w:p>
      <w:pPr>
        <w:pStyle w:val="Compact"/>
        <w:numPr>
          <w:ilvl w:val="0"/>
          <w:numId w:val="1029"/>
        </w:numPr>
      </w:pPr>
      <w:r>
        <w:t xml:space="preserve">The internal research showed that we intervened in three cases (2% of the total</w:t>
      </w:r>
      <w:r>
        <w:t xml:space="preserve"> </w:t>
      </w:r>
      <w:r>
        <w:t xml:space="preserve">number of interventions in the period 2015-2020) on some markets with vertical</w:t>
      </w:r>
      <w:r>
        <w:t xml:space="preserve"> </w:t>
      </w:r>
      <w:r>
        <w:t xml:space="preserve">relationships with combined markets shares between 30-35%. However, none of</w:t>
      </w:r>
      <w:r>
        <w:t xml:space="preserve"> </w:t>
      </w:r>
      <w:r>
        <w:t xml:space="preserve">these cases would have completely fallen under the simplified procedure with the</w:t>
      </w:r>
      <w:r>
        <w:t xml:space="preserve"> </w:t>
      </w:r>
      <w:r>
        <w:t xml:space="preserve">flexibility clause, as there were other markets with higher market shares. Moreover,</w:t>
      </w:r>
      <w:r>
        <w:t xml:space="preserve"> </w:t>
      </w:r>
      <w:r>
        <w:t xml:space="preserve">the flexibility clause would not have had any impact on any of the markets in which</w:t>
      </w:r>
    </w:p>
    <w:p>
      <w:pPr>
        <w:pStyle w:val="FirstParagraph"/>
      </w:pPr>
      <w:r>
        <w:t xml:space="preserve">92</w:t>
      </w:r>
    </w:p>
    <w:p>
      <w:pPr>
        <w:pStyle w:val="BodyText"/>
      </w:pPr>
      <w:r>
        <w:t xml:space="preserve">we intervened. In each of the three cases concerned, we found markets which</w:t>
      </w:r>
      <w:r>
        <w:t xml:space="preserve"> </w:t>
      </w:r>
      <w:r>
        <w:t xml:space="preserve">presented higher market shares depending on segments or geographies (national or</w:t>
      </w:r>
      <w:r>
        <w:t xml:space="preserve"> </w:t>
      </w:r>
      <w:r>
        <w:t xml:space="preserve">local markets). In one case, market shares were not reliable given that the parties had</w:t>
      </w:r>
      <w:r>
        <w:t xml:space="preserve"> </w:t>
      </w:r>
      <w:r>
        <w:t xml:space="preserve">included a company that was clearly not a competitor (in any event the market shares</w:t>
      </w:r>
      <w:r>
        <w:t xml:space="preserve"> </w:t>
      </w:r>
      <w:r>
        <w:t xml:space="preserve">in this case ranged between 33-39%). Finally, in one case the market share</w:t>
      </w:r>
      <w:r>
        <w:t xml:space="preserve"> </w:t>
      </w:r>
      <w:r>
        <w:t xml:space="preserve">thresholds were exceeded in terms of capacity in the upstream market with high</w:t>
      </w:r>
      <w:r>
        <w:t xml:space="preserve"> </w:t>
      </w:r>
      <w:r>
        <w:t xml:space="preserve">market shares in some national downstream markets. For the last situation, we</w:t>
      </w:r>
      <w:r>
        <w:t xml:space="preserve"> </w:t>
      </w:r>
      <w:r>
        <w:t xml:space="preserve">propose including a specific safeguard in the Notice on Simplified Procedure which</w:t>
      </w:r>
      <w:r>
        <w:t xml:space="preserve"> </w:t>
      </w:r>
      <w:r>
        <w:t xml:space="preserve">excludes the application of the simplified procedure for markets where market share</w:t>
      </w:r>
      <w:r>
        <w:t xml:space="preserve"> </w:t>
      </w:r>
      <w:r>
        <w:t xml:space="preserve">thresholds are exceeded in terms of capacity or production. That would again allow</w:t>
      </w:r>
      <w:r>
        <w:t xml:space="preserve"> </w:t>
      </w:r>
      <w:r>
        <w:t xml:space="preserve">the Commission to easily spot these situations early in the process.</w:t>
      </w:r>
    </w:p>
    <w:p>
      <w:pPr>
        <w:numPr>
          <w:ilvl w:val="0"/>
          <w:numId w:val="1030"/>
        </w:numPr>
      </w:pPr>
      <w:r>
        <w:t xml:space="preserve">Reference to joint ventures with up to EUR 150 million turnover or assets</w:t>
      </w:r>
      <w:r>
        <w:t xml:space="preserve"> </w:t>
      </w:r>
      <w:r>
        <w:t xml:space="preserve">value</w:t>
      </w:r>
    </w:p>
    <w:p>
      <w:pPr>
        <w:numPr>
          <w:ilvl w:val="0"/>
          <w:numId w:val="1030"/>
        </w:numPr>
      </w:pPr>
      <w:r>
        <w:t xml:space="preserve">Our internal research on intervention cases shows that one of the 127 cases in which</w:t>
      </w:r>
      <w:r>
        <w:t xml:space="preserve"> </w:t>
      </w:r>
      <w:r>
        <w:t xml:space="preserve">we have intervened in the period 2015-2020 could have fallen under this new</w:t>
      </w:r>
      <w:r>
        <w:t xml:space="preserve"> </w:t>
      </w:r>
      <w:r>
        <w:t xml:space="preserve">category. In fact, another case fell under the current threshold, as the turnover of the</w:t>
      </w:r>
      <w:r>
        <w:t xml:space="preserve"> </w:t>
      </w:r>
      <w:r>
        <w:t xml:space="preserve">JV was lower than EUR 100 million. However, this was not an impediment to assess</w:t>
      </w:r>
      <w:r>
        <w:t xml:space="preserve"> </w:t>
      </w:r>
      <w:r>
        <w:t xml:space="preserve">the case under the normal procedure and ultimately even prohibit the transaction.</w:t>
      </w:r>
    </w:p>
    <w:p>
      <w:pPr>
        <w:numPr>
          <w:ilvl w:val="0"/>
          <w:numId w:val="1030"/>
        </w:numPr>
      </w:pPr>
      <w:r>
        <w:t xml:space="preserve">Including a safeguard requiring the parties to systematically provide market shares</w:t>
      </w:r>
      <w:r>
        <w:t xml:space="preserve"> </w:t>
      </w:r>
      <w:r>
        <w:t xml:space="preserve">for all overlap markets, even if the case falls under this simplified category (as it</w:t>
      </w:r>
      <w:r>
        <w:t xml:space="preserve"> </w:t>
      </w:r>
      <w:r>
        <w:t xml:space="preserve">currently done in our case practice), it would be easy for the Commission to identify</w:t>
      </w:r>
      <w:r>
        <w:t xml:space="preserve"> </w:t>
      </w:r>
      <w:r>
        <w:t xml:space="preserve">any clearly problematic markets that might require reverting the case to the normal</w:t>
      </w:r>
      <w:r>
        <w:t xml:space="preserve"> </w:t>
      </w:r>
      <w:r>
        <w:t xml:space="preserve">procedure despite the small size of the joint venture.</w:t>
      </w:r>
    </w:p>
    <w:p>
      <w:pPr>
        <w:numPr>
          <w:ilvl w:val="0"/>
          <w:numId w:val="1030"/>
        </w:numPr>
      </w:pPr>
      <w:r>
        <w:t xml:space="preserve">Conclusion</w:t>
      </w:r>
    </w:p>
    <w:p>
      <w:pPr>
        <w:numPr>
          <w:ilvl w:val="0"/>
          <w:numId w:val="1030"/>
        </w:numPr>
      </w:pPr>
      <w:r>
        <w:t xml:space="preserve">Based on the result of our internal research, none of the 127 interventions in the</w:t>
      </w:r>
      <w:r>
        <w:t xml:space="preserve"> </w:t>
      </w:r>
      <w:r>
        <w:t xml:space="preserve">period 2015-2020 would have completely fallen under the simplified procedure with</w:t>
      </w:r>
      <w:r>
        <w:t xml:space="preserve"> </w:t>
      </w:r>
      <w:r>
        <w:t xml:space="preserve">the new categories proposed in conjunction with the additional safeguards proposed.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8">
    <w:nsid w:val="00A99738"/>
    <w:multiLevelType w:val="multilevel"/>
    <w:lvl w:ilvl="0">
      <w:start w:val="8"/>
      <w:numFmt w:val="lowerLetter"/>
      <w:lvlText w:val="(%1)"/>
      <w:lvlJc w:val="left"/>
      <w:pPr>
        <w:ind w:left="720" w:hanging="360"/>
      </w:pPr>
    </w:lvl>
    <w:lvl w:ilvl="1">
      <w:start w:val="8"/>
      <w:numFmt w:val="lowerLetter"/>
      <w:lvlText w:val="(%2)"/>
      <w:lvlJc w:val="left"/>
      <w:pPr>
        <w:ind w:left="1440" w:hanging="360"/>
      </w:pPr>
    </w:lvl>
    <w:lvl w:ilvl="2">
      <w:start w:val="8"/>
      <w:numFmt w:val="lowerLetter"/>
      <w:lvlText w:val="(%3)"/>
      <w:lvlJc w:val="left"/>
      <w:pPr>
        <w:ind w:left="2160" w:hanging="360"/>
      </w:pPr>
    </w:lvl>
    <w:lvl w:ilvl="3">
      <w:start w:val="8"/>
      <w:numFmt w:val="lowerLetter"/>
      <w:lvlText w:val="(%4)"/>
      <w:lvlJc w:val="left"/>
      <w:pPr>
        <w:ind w:left="2880" w:hanging="360"/>
      </w:pPr>
    </w:lvl>
    <w:lvl w:ilvl="4">
      <w:start w:val="8"/>
      <w:numFmt w:val="lowerLetter"/>
      <w:lvlText w:val="(%5)"/>
      <w:lvlJc w:val="left"/>
      <w:pPr>
        <w:ind w:left="3600" w:hanging="360"/>
      </w:pPr>
    </w:lvl>
    <w:lvl w:ilvl="5">
      <w:start w:val="8"/>
      <w:numFmt w:val="lowerLetter"/>
      <w:lvlText w:val="(%6)"/>
      <w:lvlJc w:val="left"/>
      <w:pPr>
        <w:ind w:left="4320" w:hanging="360"/>
      </w:pPr>
    </w:lvl>
    <w:lvl w:ilvl="6">
      <w:start w:val="8"/>
      <w:numFmt w:val="lowerLetter"/>
      <w:lvlText w:val="(%7)"/>
      <w:lvlJc w:val="left"/>
      <w:pPr>
        <w:ind w:left="5040" w:hanging="360"/>
      </w:pPr>
    </w:lvl>
    <w:lvl w:ilvl="7">
      <w:start w:val="8"/>
      <w:numFmt w:val="lowerLetter"/>
      <w:lvlText w:val="(%8)"/>
      <w:lvlJc w:val="left"/>
      <w:pPr>
        <w:ind w:left="5760" w:hanging="360"/>
      </w:pPr>
    </w:lvl>
    <w:lvl w:ilvl="8">
      <w:start w:val="8"/>
      <w:numFmt w:val="lowerLetter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7311">
    <w:nsid w:val="0A997311"/>
    <w:multiLevelType w:val="multilevel"/>
    <w:lvl w:ilvl="0">
      <w:start w:val="11"/>
      <w:numFmt w:val="lowerLetter"/>
      <w:lvlText w:val="(%1)"/>
      <w:lvlJc w:val="left"/>
      <w:pPr>
        <w:ind w:left="720" w:hanging="360"/>
      </w:pPr>
    </w:lvl>
    <w:lvl w:ilvl="1">
      <w:start w:val="11"/>
      <w:numFmt w:val="lowerLetter"/>
      <w:lvlText w:val="(%2)"/>
      <w:lvlJc w:val="left"/>
      <w:pPr>
        <w:ind w:left="1440" w:hanging="360"/>
      </w:pPr>
    </w:lvl>
    <w:lvl w:ilvl="2">
      <w:start w:val="11"/>
      <w:numFmt w:val="lowerLetter"/>
      <w:lvlText w:val="(%3)"/>
      <w:lvlJc w:val="left"/>
      <w:pPr>
        <w:ind w:left="2160" w:hanging="360"/>
      </w:pPr>
    </w:lvl>
    <w:lvl w:ilvl="3">
      <w:start w:val="11"/>
      <w:numFmt w:val="lowerLetter"/>
      <w:lvlText w:val="(%4)"/>
      <w:lvlJc w:val="left"/>
      <w:pPr>
        <w:ind w:left="2880" w:hanging="360"/>
      </w:pPr>
    </w:lvl>
    <w:lvl w:ilvl="4">
      <w:start w:val="11"/>
      <w:numFmt w:val="lowerLetter"/>
      <w:lvlText w:val="(%5)"/>
      <w:lvlJc w:val="left"/>
      <w:pPr>
        <w:ind w:left="3600" w:hanging="360"/>
      </w:pPr>
    </w:lvl>
    <w:lvl w:ilvl="5">
      <w:start w:val="11"/>
      <w:numFmt w:val="lowerLetter"/>
      <w:lvlText w:val="(%6)"/>
      <w:lvlJc w:val="left"/>
      <w:pPr>
        <w:ind w:left="4320" w:hanging="360"/>
      </w:pPr>
    </w:lvl>
    <w:lvl w:ilvl="6">
      <w:start w:val="11"/>
      <w:numFmt w:val="lowerLetter"/>
      <w:lvlText w:val="(%7)"/>
      <w:lvlJc w:val="left"/>
      <w:pPr>
        <w:ind w:left="5040" w:hanging="360"/>
      </w:pPr>
    </w:lvl>
    <w:lvl w:ilvl="7">
      <w:start w:val="11"/>
      <w:numFmt w:val="lowerLetter"/>
      <w:lvlText w:val="(%8)"/>
      <w:lvlJc w:val="left"/>
      <w:pPr>
        <w:ind w:left="5760" w:hanging="360"/>
      </w:pPr>
    </w:lvl>
    <w:lvl w:ilvl="8">
      <w:start w:val="11"/>
      <w:numFmt w:val="lowerLetter"/>
      <w:lvlText w:val="(%9)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512">
    <w:nsid w:val="00A99512"/>
    <w:multiLevelType w:val="multilevel"/>
    <w:lvl w:ilvl="0">
      <w:start w:val="2"/>
      <w:numFmt w:val="lowerRoman"/>
      <w:lvlText w:val="%1."/>
      <w:lvlJc w:val="left"/>
      <w:pPr>
        <w:ind w:left="720" w:hanging="360"/>
      </w:pPr>
    </w:lvl>
    <w:lvl w:ilvl="1">
      <w:start w:val="2"/>
      <w:numFmt w:val="lowerRoman"/>
      <w:lvlText w:val="%2."/>
      <w:lvlJc w:val="left"/>
      <w:pPr>
        <w:ind w:left="1440" w:hanging="360"/>
      </w:pPr>
    </w:lvl>
    <w:lvl w:ilvl="2">
      <w:start w:val="2"/>
      <w:numFmt w:val="lowerRoman"/>
      <w:lvlText w:val="%3."/>
      <w:lvlJc w:val="left"/>
      <w:pPr>
        <w:ind w:left="2160" w:hanging="360"/>
      </w:pPr>
    </w:lvl>
    <w:lvl w:ilvl="3">
      <w:start w:val="2"/>
      <w:numFmt w:val="lowerRoman"/>
      <w:lvlText w:val="%4."/>
      <w:lvlJc w:val="left"/>
      <w:pPr>
        <w:ind w:left="2880" w:hanging="360"/>
      </w:pPr>
    </w:lvl>
    <w:lvl w:ilvl="4">
      <w:start w:val="2"/>
      <w:numFmt w:val="lowerRoman"/>
      <w:lvlText w:val="%5."/>
      <w:lvlJc w:val="left"/>
      <w:pPr>
        <w:ind w:left="3600" w:hanging="360"/>
      </w:pPr>
    </w:lvl>
    <w:lvl w:ilvl="5">
      <w:start w:val="2"/>
      <w:numFmt w:val="lowerRoman"/>
      <w:lvlText w:val="%6."/>
      <w:lvlJc w:val="left"/>
      <w:pPr>
        <w:ind w:left="4320" w:hanging="360"/>
      </w:pPr>
    </w:lvl>
    <w:lvl w:ilvl="6">
      <w:start w:val="2"/>
      <w:numFmt w:val="lowerRoman"/>
      <w:lvlText w:val="%7."/>
      <w:lvlJc w:val="left"/>
      <w:pPr>
        <w:ind w:left="5040" w:hanging="360"/>
      </w:pPr>
    </w:lvl>
    <w:lvl w:ilvl="7">
      <w:start w:val="2"/>
      <w:numFmt w:val="lowerRoman"/>
      <w:lvlText w:val="%8."/>
      <w:lvlJc w:val="left"/>
      <w:pPr>
        <w:ind w:left="5760" w:hanging="360"/>
      </w:pPr>
    </w:lvl>
    <w:lvl w:ilvl="8">
      <w:start w:val="2"/>
      <w:numFmt w:val="lowerRoman"/>
      <w:lvlText w:val="%9."/>
      <w:lvlJc w:val="left"/>
      <w:pPr>
        <w:ind w:left="6480" w:hanging="360"/>
      </w:pPr>
    </w:lvl>
  </w:abstractNum>
  <w:abstractNum w:abstractNumId="99513">
    <w:nsid w:val="00A99513"/>
    <w:multiLevelType w:val="multilevel"/>
    <w:lvl w:ilvl="0">
      <w:start w:val="3"/>
      <w:numFmt w:val="lowerRoman"/>
      <w:lvlText w:val="%1."/>
      <w:lvlJc w:val="left"/>
      <w:pPr>
        <w:ind w:left="720" w:hanging="360"/>
      </w:pPr>
    </w:lvl>
    <w:lvl w:ilvl="1">
      <w:start w:val="3"/>
      <w:numFmt w:val="lowerRoman"/>
      <w:lvlText w:val="%2."/>
      <w:lvlJc w:val="left"/>
      <w:pPr>
        <w:ind w:left="1440" w:hanging="360"/>
      </w:pPr>
    </w:lvl>
    <w:lvl w:ilvl="2">
      <w:start w:val="3"/>
      <w:numFmt w:val="lowerRoman"/>
      <w:lvlText w:val="%3."/>
      <w:lvlJc w:val="left"/>
      <w:pPr>
        <w:ind w:left="2160" w:hanging="360"/>
      </w:pPr>
    </w:lvl>
    <w:lvl w:ilvl="3">
      <w:start w:val="3"/>
      <w:numFmt w:val="lowerRoman"/>
      <w:lvlText w:val="%4."/>
      <w:lvlJc w:val="left"/>
      <w:pPr>
        <w:ind w:left="2880" w:hanging="360"/>
      </w:pPr>
    </w:lvl>
    <w:lvl w:ilvl="4">
      <w:start w:val="3"/>
      <w:numFmt w:val="lowerRoman"/>
      <w:lvlText w:val="%5."/>
      <w:lvlJc w:val="left"/>
      <w:pPr>
        <w:ind w:left="3600" w:hanging="360"/>
      </w:pPr>
    </w:lvl>
    <w:lvl w:ilvl="5">
      <w:start w:val="3"/>
      <w:numFmt w:val="lowerRoman"/>
      <w:lvlText w:val="%6."/>
      <w:lvlJc w:val="left"/>
      <w:pPr>
        <w:ind w:left="4320" w:hanging="360"/>
      </w:pPr>
    </w:lvl>
    <w:lvl w:ilvl="6">
      <w:start w:val="3"/>
      <w:numFmt w:val="lowerRoman"/>
      <w:lvlText w:val="%7."/>
      <w:lvlJc w:val="left"/>
      <w:pPr>
        <w:ind w:left="5040" w:hanging="360"/>
      </w:pPr>
    </w:lvl>
    <w:lvl w:ilvl="7">
      <w:start w:val="3"/>
      <w:numFmt w:val="lowerRoman"/>
      <w:lvlText w:val="%8."/>
      <w:lvlJc w:val="left"/>
      <w:pPr>
        <w:ind w:left="5760" w:hanging="360"/>
      </w:pPr>
    </w:lvl>
    <w:lvl w:ilvl="8">
      <w:start w:val="3"/>
      <w:numFmt w:val="lowerRoman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611">
    <w:nsid w:val="00A99611"/>
    <w:multiLevelType w:val="multilevel"/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left"/>
      <w:pPr>
        <w:ind w:left="1440" w:hanging="360"/>
      </w:pPr>
    </w:lvl>
    <w:lvl w:ilvl="2">
      <w:start w:val="1"/>
      <w:numFmt w:val="upperRoman"/>
      <w:lvlText w:val="%3."/>
      <w:lvlJc w:val="left"/>
      <w:pPr>
        <w:ind w:left="2160" w:hanging="360"/>
      </w:pPr>
    </w:lvl>
    <w:lvl w:ilvl="3">
      <w:start w:val="1"/>
      <w:numFmt w:val="upperRoman"/>
      <w:lvlText w:val="%4."/>
      <w:lvlJc w:val="left"/>
      <w:pPr>
        <w:ind w:left="2880" w:hanging="360"/>
      </w:pPr>
    </w:lvl>
    <w:lvl w:ilvl="4">
      <w:start w:val="1"/>
      <w:numFmt w:val="upperRoman"/>
      <w:lvlText w:val="%5."/>
      <w:lvlJc w:val="left"/>
      <w:pPr>
        <w:ind w:left="3600" w:hanging="360"/>
      </w:pPr>
    </w:lvl>
    <w:lvl w:ilvl="5">
      <w:start w:val="1"/>
      <w:numFmt w:val="upperRoman"/>
      <w:lvlText w:val="%6."/>
      <w:lvlJc w:val="left"/>
      <w:pPr>
        <w:ind w:left="4320" w:hanging="360"/>
      </w:pPr>
    </w:lvl>
    <w:lvl w:ilvl="6">
      <w:start w:val="1"/>
      <w:numFmt w:val="upperRoman"/>
      <w:lvlText w:val="%7."/>
      <w:lvlJc w:val="left"/>
      <w:pPr>
        <w:ind w:left="5040" w:hanging="360"/>
      </w:pPr>
    </w:lvl>
    <w:lvl w:ilvl="7">
      <w:start w:val="1"/>
      <w:numFmt w:val="upperRoman"/>
      <w:lvlText w:val="%8."/>
      <w:lvlJc w:val="left"/>
      <w:pPr>
        <w:ind w:left="5760" w:hanging="360"/>
      </w:pPr>
    </w:lvl>
    <w:lvl w:ilvl="8">
      <w:start w:val="1"/>
      <w:numFmt w:val="upperRoman"/>
      <w:lvlText w:val="%9."/>
      <w:lvlJc w:val="left"/>
      <w:pPr>
        <w:ind w:left="6480" w:hanging="360"/>
      </w:pPr>
    </w:lvl>
  </w:abstractNum>
  <w:abstractNum w:abstractNumId="99714">
    <w:nsid w:val="00A99714"/>
    <w:multiLevelType w:val="multilevel"/>
    <w:lvl w:ilvl="0">
      <w:start w:val="4"/>
      <w:numFmt w:val="lowerLetter"/>
      <w:lvlText w:val="%1."/>
      <w:lvlJc w:val="left"/>
      <w:pPr>
        <w:ind w:left="720" w:hanging="360"/>
      </w:pPr>
    </w:lvl>
    <w:lvl w:ilvl="1">
      <w:start w:val="4"/>
      <w:numFmt w:val="lowerLetter"/>
      <w:lvlText w:val="%2."/>
      <w:lvlJc w:val="left"/>
      <w:pPr>
        <w:ind w:left="1440" w:hanging="360"/>
      </w:pPr>
    </w:lvl>
    <w:lvl w:ilvl="2">
      <w:start w:val="4"/>
      <w:numFmt w:val="lowerLetter"/>
      <w:lvlText w:val="%3."/>
      <w:lvlJc w:val="left"/>
      <w:pPr>
        <w:ind w:left="2160" w:hanging="360"/>
      </w:pPr>
    </w:lvl>
    <w:lvl w:ilvl="3">
      <w:start w:val="4"/>
      <w:numFmt w:val="lowerLetter"/>
      <w:lvlText w:val="%4."/>
      <w:lvlJc w:val="left"/>
      <w:pPr>
        <w:ind w:left="2880" w:hanging="360"/>
      </w:pPr>
    </w:lvl>
    <w:lvl w:ilvl="4">
      <w:start w:val="4"/>
      <w:numFmt w:val="lowerLetter"/>
      <w:lvlText w:val="%5."/>
      <w:lvlJc w:val="left"/>
      <w:pPr>
        <w:ind w:left="3600" w:hanging="360"/>
      </w:pPr>
    </w:lvl>
    <w:lvl w:ilvl="5">
      <w:start w:val="4"/>
      <w:numFmt w:val="lowerLetter"/>
      <w:lvlText w:val="%6."/>
      <w:lvlJc w:val="left"/>
      <w:pPr>
        <w:ind w:left="4320" w:hanging="360"/>
      </w:pPr>
    </w:lvl>
    <w:lvl w:ilvl="6">
      <w:start w:val="4"/>
      <w:numFmt w:val="lowerLetter"/>
      <w:lvlText w:val="%7."/>
      <w:lvlJc w:val="left"/>
      <w:pPr>
        <w:ind w:left="5040" w:hanging="360"/>
      </w:pPr>
    </w:lvl>
    <w:lvl w:ilvl="7">
      <w:start w:val="4"/>
      <w:numFmt w:val="lowerLetter"/>
      <w:lvlText w:val="%8."/>
      <w:lvlJc w:val="left"/>
      <w:pPr>
        <w:ind w:left="5760" w:hanging="360"/>
      </w:pPr>
    </w:lvl>
    <w:lvl w:ilvl="8">
      <w:start w:val="4"/>
      <w:numFmt w:val="lowerLetter"/>
      <w:lvlText w:val="%9."/>
      <w:lvlJc w:val="left"/>
      <w:pPr>
        <w:ind w:left="6480" w:hanging="360"/>
      </w:pPr>
    </w:lvl>
  </w:abstractNum>
  <w:abstractNum w:abstractNumId="99713">
    <w:nsid w:val="00A99713"/>
    <w:multiLevelType w:val="multilevel"/>
    <w:lvl w:ilvl="0">
      <w:start w:val="3"/>
      <w:numFmt w:val="lowerLetter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3"/>
      <w:numFmt w:val="lowerLetter"/>
      <w:lvlText w:val="%3."/>
      <w:lvlJc w:val="left"/>
      <w:pPr>
        <w:ind w:left="2160" w:hanging="360"/>
      </w:pPr>
    </w:lvl>
    <w:lvl w:ilvl="3">
      <w:start w:val="3"/>
      <w:numFmt w:val="lowerLetter"/>
      <w:lvlText w:val="%4."/>
      <w:lvlJc w:val="left"/>
      <w:pPr>
        <w:ind w:left="2880" w:hanging="360"/>
      </w:pPr>
    </w:lvl>
    <w:lvl w:ilvl="4">
      <w:start w:val="3"/>
      <w:numFmt w:val="lowerLetter"/>
      <w:lvlText w:val="%5."/>
      <w:lvlJc w:val="left"/>
      <w:pPr>
        <w:ind w:left="3600" w:hanging="360"/>
      </w:pPr>
    </w:lvl>
    <w:lvl w:ilvl="5">
      <w:start w:val="3"/>
      <w:numFmt w:val="lowerLetter"/>
      <w:lvlText w:val="%6."/>
      <w:lvlJc w:val="left"/>
      <w:pPr>
        <w:ind w:left="4320" w:hanging="360"/>
      </w:pPr>
    </w:lvl>
    <w:lvl w:ilvl="6">
      <w:start w:val="3"/>
      <w:numFmt w:val="lowerLetter"/>
      <w:lvlText w:val="%7."/>
      <w:lvlJc w:val="left"/>
      <w:pPr>
        <w:ind w:left="5040" w:hanging="360"/>
      </w:pPr>
    </w:lvl>
    <w:lvl w:ilvl="7">
      <w:start w:val="3"/>
      <w:numFmt w:val="lowerLetter"/>
      <w:lvlText w:val="%8."/>
      <w:lvlJc w:val="left"/>
      <w:pPr>
        <w:ind w:left="5760" w:hanging="360"/>
      </w:pPr>
    </w:lvl>
    <w:lvl w:ilvl="8">
      <w:start w:val="3"/>
      <w:numFmt w:val="lowerLetter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712">
    <w:nsid w:val="00A99712"/>
    <w:multiLevelType w:val="multilevel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Letter"/>
      <w:lvlText w:val="%3."/>
      <w:lvlJc w:val="left"/>
      <w:pPr>
        <w:ind w:left="2160" w:hanging="360"/>
      </w:pPr>
    </w:lvl>
    <w:lvl w:ilvl="3">
      <w:start w:val="2"/>
      <w:numFmt w:val="lowerLetter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Letter"/>
      <w:lvlText w:val="%6."/>
      <w:lvlJc w:val="left"/>
      <w:pPr>
        <w:ind w:left="4320" w:hanging="360"/>
      </w:pPr>
    </w:lvl>
    <w:lvl w:ilvl="6">
      <w:start w:val="2"/>
      <w:numFmt w:val="lowerLetter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Letter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4">
    <w:nsid w:val="00A99724"/>
    <w:multiLevelType w:val="multilevel"/>
    <w:lvl w:ilvl="0">
      <w:start w:val="4"/>
      <w:numFmt w:val="lowerLetter"/>
      <w:lvlText w:val="%1)"/>
      <w:lvlJc w:val="left"/>
      <w:pPr>
        <w:ind w:left="720" w:hanging="360"/>
      </w:pPr>
    </w:lvl>
    <w:lvl w:ilvl="1">
      <w:start w:val="4"/>
      <w:numFmt w:val="lowerLetter"/>
      <w:lvlText w:val="%2)"/>
      <w:lvlJc w:val="left"/>
      <w:pPr>
        <w:ind w:left="1440" w:hanging="360"/>
      </w:pPr>
    </w:lvl>
    <w:lvl w:ilvl="2">
      <w:start w:val="4"/>
      <w:numFmt w:val="lowerLetter"/>
      <w:lvlText w:val="%3)"/>
      <w:lvlJc w:val="left"/>
      <w:pPr>
        <w:ind w:left="2160" w:hanging="360"/>
      </w:pPr>
    </w:lvl>
    <w:lvl w:ilvl="3">
      <w:start w:val="4"/>
      <w:numFmt w:val="lowerLetter"/>
      <w:lvlText w:val="%4)"/>
      <w:lvlJc w:val="left"/>
      <w:pPr>
        <w:ind w:left="2880" w:hanging="360"/>
      </w:pPr>
    </w:lvl>
    <w:lvl w:ilvl="4">
      <w:start w:val="4"/>
      <w:numFmt w:val="lowerLetter"/>
      <w:lvlText w:val="%5)"/>
      <w:lvlJc w:val="left"/>
      <w:pPr>
        <w:ind w:left="3600" w:hanging="360"/>
      </w:pPr>
    </w:lvl>
    <w:lvl w:ilvl="5">
      <w:start w:val="4"/>
      <w:numFmt w:val="lowerLetter"/>
      <w:lvlText w:val="%6)"/>
      <w:lvlJc w:val="left"/>
      <w:pPr>
        <w:ind w:left="4320" w:hanging="360"/>
      </w:pPr>
    </w:lvl>
    <w:lvl w:ilvl="6">
      <w:start w:val="4"/>
      <w:numFmt w:val="lowerLetter"/>
      <w:lvlText w:val="%7)"/>
      <w:lvlJc w:val="left"/>
      <w:pPr>
        <w:ind w:left="5040" w:hanging="360"/>
      </w:pPr>
    </w:lvl>
    <w:lvl w:ilvl="7">
      <w:start w:val="4"/>
      <w:numFmt w:val="lowerLetter"/>
      <w:lvlText w:val="%8)"/>
      <w:lvlJc w:val="left"/>
      <w:pPr>
        <w:ind w:left="5760" w:hanging="360"/>
      </w:pPr>
    </w:lvl>
    <w:lvl w:ilvl="8">
      <w:start w:val="4"/>
      <w:numFmt w:val="lowerLetter"/>
      <w:lvlText w:val="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3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3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5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5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5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2026-07-31T16:48:21Z</dcterms:created>
  <dcterms:modified xsi:type="dcterms:W3CDTF">2026-07-31T16:48:21Z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