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14.2.2023</w:t>
      </w:r>
      <w:r>
        <w:br/>
      </w:r>
      <w:r>
        <w:t xml:space="preserve">SWD(2023) 88 final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amending Regulation (EU) 2019/1242 as regards strengthening the CO₂ emission</w:t>
      </w:r>
      <w:r>
        <w:t xml:space="preserve"> </w:t>
      </w:r>
      <w:r>
        <w:t xml:space="preserve">performance standards for new heavy-duty vehicles and integrating reporting</w:t>
      </w:r>
      <w:r>
        <w:t xml:space="preserve"> </w:t>
      </w:r>
      <w:r>
        <w:t xml:space="preserve">obligations, and repealing Regulation (EU) 2018/956</w:t>
      </w:r>
    </w:p>
    <w:p>
      <w:pPr>
        <w:pStyle w:val="BodyText"/>
      </w:pPr>
      <w:r>
        <w:t xml:space="preserve">{COM(2023) 88 final} - {SEC(2023) 100 final} - {SWD(2023) 89 final}</w:t>
      </w:r>
    </w:p>
    <w:p>
      <w:pPr>
        <w:pStyle w:val="Compact"/>
        <w:numPr>
          <w:ilvl w:val="0"/>
          <w:numId w:val="1001"/>
        </w:numPr>
      </w:pPr>
      <w:r>
        <w:t xml:space="preserve">ANNEX 1: PROCEDURAL INFORMATION ………………………………………………………………………… 3</w:t>
      </w:r>
      <w:r>
        <w:t xml:space="preserve"> </w:t>
      </w:r>
      <w:r>
        <w:t xml:space="preserve">10.1 Lead DG, Decide Planning/CWP references …………………………………………….. 3</w:t>
      </w:r>
      <w:r>
        <w:t xml:space="preserve"> </w:t>
      </w:r>
      <w:r>
        <w:t xml:space="preserve">10.2 Organisation and timing ………………………………………………………………………… 3</w:t>
      </w:r>
      <w:r>
        <w:t xml:space="preserve"> </w:t>
      </w:r>
      <w:r>
        <w:t xml:space="preserve">10.3 Consultation of the RSB ………………………………………………………………………… 3</w:t>
      </w:r>
      <w:r>
        <w:t xml:space="preserve"> </w:t>
      </w:r>
      <w:r>
        <w:t xml:space="preserve">10.4 Evidence, sources and quality ………………………………………………………………… 9</w:t>
      </w:r>
    </w:p>
    <w:p>
      <w:pPr>
        <w:pStyle w:val="Compact"/>
        <w:numPr>
          <w:ilvl w:val="0"/>
          <w:numId w:val="1001"/>
        </w:numPr>
      </w:pPr>
      <w:r>
        <w:t xml:space="preserve">ANNEX 2: STAKEHOLDER CONSULTATION (SYNOPSIS REPORT) ……………………………….. 10</w:t>
      </w:r>
      <w:r>
        <w:t xml:space="preserve"> </w:t>
      </w:r>
      <w:r>
        <w:t xml:space="preserve">11.1 Introduction ……………………………………………………………………………………….. 10</w:t>
      </w:r>
      <w:r>
        <w:t xml:space="preserve"> </w:t>
      </w:r>
      <w:r>
        <w:t xml:space="preserve">11.2 Public consultation ……………………………………………………………………………… 10</w:t>
      </w:r>
      <w:r>
        <w:t xml:space="preserve"> </w:t>
      </w:r>
      <w:r>
        <w:t xml:space="preserve">11.3 Results of the public consultation ………………………………………………………….. 11</w:t>
      </w:r>
      <w:r>
        <w:t xml:space="preserve"> </w:t>
      </w:r>
      <w:r>
        <w:t xml:space="preserve">11.4 Summary of the feedback received on the Call for Evidence ……………………. 35</w:t>
      </w:r>
      <w:r>
        <w:t xml:space="preserve"> </w:t>
      </w:r>
      <w:r>
        <w:t xml:space="preserve">11.5 Position papers on the revision ……………………………………………………………… 36</w:t>
      </w:r>
      <w:r>
        <w:t xml:space="preserve"> </w:t>
      </w:r>
      <w:r>
        <w:t xml:space="preserve">11.6 SMEs feedback …………………………………………………………………………………… 37</w:t>
      </w:r>
      <w:r>
        <w:t xml:space="preserve"> </w:t>
      </w:r>
      <w:r>
        <w:t xml:space="preserve">11.7 Use of stakeholder input for the impact assessment …………………………………. 37</w:t>
      </w:r>
    </w:p>
    <w:p>
      <w:pPr>
        <w:pStyle w:val="Compact"/>
        <w:numPr>
          <w:ilvl w:val="0"/>
          <w:numId w:val="1001"/>
        </w:numPr>
      </w:pPr>
      <w:r>
        <w:t xml:space="preserve">ANNEX 3: WHO IS AFFECTED AND HOW? ……………………………………………………………………… 38</w:t>
      </w:r>
      <w:r>
        <w:t xml:space="preserve"> </w:t>
      </w:r>
      <w:r>
        <w:t xml:space="preserve">12.1 Practical implications of the initiative ……………………………………………………. 38</w:t>
      </w:r>
      <w:r>
        <w:t xml:space="preserve"> </w:t>
      </w:r>
      <w:r>
        <w:t xml:space="preserve">12.2 Summary of costs and benefits ……………………………………………………………… 41</w:t>
      </w:r>
      <w:r>
        <w:t xml:space="preserve"> </w:t>
      </w:r>
      <w:r>
        <w:t xml:space="preserve">12.3 Relevant sustainable development goals (SDG) ……………………………………… 46</w:t>
      </w:r>
    </w:p>
    <w:p>
      <w:pPr>
        <w:pStyle w:val="Compact"/>
        <w:numPr>
          <w:ilvl w:val="0"/>
          <w:numId w:val="1001"/>
        </w:numPr>
      </w:pPr>
      <w:r>
        <w:t xml:space="preserve">ANNEX 4: ANALYTICAL METHODS ……………………………………………………………………………….. 49</w:t>
      </w:r>
      <w:r>
        <w:t xml:space="preserve"> </w:t>
      </w:r>
      <w:r>
        <w:t xml:space="preserve">13.1 Common analytical framework …………………………………………………………….. 49</w:t>
      </w:r>
      <w:r>
        <w:t xml:space="preserve"> </w:t>
      </w:r>
      <w:r>
        <w:t xml:space="preserve">13.2 Specific analytical elements for this impact assessment …………………………… 61</w:t>
      </w:r>
    </w:p>
    <w:p>
      <w:pPr>
        <w:pStyle w:val="Compact"/>
        <w:numPr>
          <w:ilvl w:val="0"/>
          <w:numId w:val="1001"/>
        </w:numPr>
      </w:pPr>
      <w:r>
        <w:t xml:space="preserve">ANNEX 5: REGULATORY CONTEXT ………………………………………………………………………………. 64</w:t>
      </w:r>
      <w:r>
        <w:t xml:space="preserve"> </w:t>
      </w:r>
      <w:r>
        <w:t xml:space="preserve">14.1 Main elements of Regulation (EU) 2019/1242 ……………………………………….. 64</w:t>
      </w:r>
    </w:p>
    <w:p>
      <w:pPr>
        <w:pStyle w:val="Compact"/>
        <w:numPr>
          <w:ilvl w:val="0"/>
          <w:numId w:val="1001"/>
        </w:numPr>
      </w:pPr>
      <w:r>
        <w:t xml:space="preserve">ANNEX 6: RESPONSE TO COVID …………………………………………………………………………………….. 66</w:t>
      </w:r>
      <w:r>
        <w:t xml:space="preserve"> </w:t>
      </w:r>
      <w:r>
        <w:t xml:space="preserve">15.1 Effect of the Covid crisis ……………………………………………………………………… 66</w:t>
      </w:r>
      <w:r>
        <w:t xml:space="preserve"> </w:t>
      </w:r>
      <w:r>
        <w:t xml:space="preserve">15.2 Responses on the issue of securing supply chains: chips ………………………….. 67</w:t>
      </w:r>
      <w:r>
        <w:t xml:space="preserve"> </w:t>
      </w:r>
      <w:r>
        <w:t xml:space="preserve">15.3 Responses in terms of incentives and recovery packages …………………………. 68</w:t>
      </w:r>
      <w:r>
        <w:t xml:space="preserve"> </w:t>
      </w:r>
      <w:r>
        <w:t xml:space="preserve">15.4 Broader impacts on activity patterns ……………………………………………………… 68</w:t>
      </w:r>
    </w:p>
    <w:p>
      <w:pPr>
        <w:pStyle w:val="Compact"/>
        <w:numPr>
          <w:ilvl w:val="0"/>
          <w:numId w:val="1001"/>
        </w:numPr>
      </w:pPr>
      <w:r>
        <w:t xml:space="preserve">ANNEX 7: INTRODUCTION, PROBLEMS AND DRIVERS - COMPLEMENTARY</w:t>
      </w:r>
      <w:r>
        <w:t xml:space="preserve"> </w:t>
      </w:r>
      <w:r>
        <w:t xml:space="preserve">INFORMATION - ……………………………………………………………………………………………………………… 70</w:t>
      </w:r>
      <w:r>
        <w:t xml:space="preserve"> </w:t>
      </w:r>
      <w:r>
        <w:t xml:space="preserve">16.1 Description of the heavy-duty vehicles sector: complementary data. …………. 70</w:t>
      </w:r>
      <w:r>
        <w:t xml:space="preserve"> </w:t>
      </w:r>
      <w:r>
        <w:t xml:space="preserve">16.2 Description of the heavy-duty vehicles sector: Announcements by</w:t>
      </w:r>
      <w:r>
        <w:t xml:space="preserve"> </w:t>
      </w:r>
      <w:r>
        <w:t xml:space="preserve">manufacturers and availability on zero-emission vehicles. ……………………….. 78</w:t>
      </w:r>
      <w:r>
        <w:t xml:space="preserve"> </w:t>
      </w:r>
      <w:r>
        <w:t xml:space="preserve">16.3 Interaction between CO2 emission standards for heavy-duty vehicles</w:t>
      </w:r>
      <w:r>
        <w:t xml:space="preserve"> </w:t>
      </w:r>
      <w:r>
        <w:t xml:space="preserve">and other policies to deliver increased climate ambition in the road</w:t>
      </w:r>
      <w:r>
        <w:t xml:space="preserve"> </w:t>
      </w:r>
      <w:r>
        <w:t xml:space="preserve">transport sector - complementary data on other policies. ………………………….. 83</w:t>
      </w:r>
      <w:r>
        <w:t xml:space="preserve"> </w:t>
      </w:r>
      <w:r>
        <w:t xml:space="preserve">16.4 Problem 2 - Life-cycle analysis (LCA) considerations. ……………………………. 84</w:t>
      </w:r>
      <w:r>
        <w:t xml:space="preserve"> </w:t>
      </w:r>
      <w:r>
        <w:t xml:space="preserve">16.5 Problem 3 – Overview of regulatory status of zero-emission vehicles</w:t>
      </w:r>
      <w:r>
        <w:t xml:space="preserve"> </w:t>
      </w:r>
      <w:r>
        <w:t xml:space="preserve">in other countries. ……………………………………………………………………………….. 87</w:t>
      </w:r>
    </w:p>
    <w:p>
      <w:pPr>
        <w:pStyle w:val="Compact"/>
        <w:numPr>
          <w:ilvl w:val="0"/>
          <w:numId w:val="1001"/>
        </w:numPr>
      </w:pPr>
      <w:r>
        <w:t xml:space="preserve">ANNEX 8: DESCRIPTION OF THE POLICY OPTIONS – COMPLEMENTARY</w:t>
      </w:r>
      <w:r>
        <w:t xml:space="preserve"> </w:t>
      </w:r>
      <w:r>
        <w:t xml:space="preserve">INFORMATION ………………………………………………………………………………………………………………… 91</w:t>
      </w:r>
      <w:r>
        <w:t xml:space="preserve"> </w:t>
      </w:r>
      <w:r>
        <w:t xml:space="preserve">17.1 Policy option categories ………………………………………………………………………. 91</w:t>
      </w:r>
      <w:r>
        <w:t xml:space="preserve"> </w:t>
      </w:r>
      <w:r>
        <w:t xml:space="preserve">17.2 Extension of the scope - complementary information on Scope 1 ……………… 91</w:t>
      </w:r>
    </w:p>
    <w:p>
      <w:pPr>
        <w:pStyle w:val="FirstParagraph"/>
      </w:pPr>
      <w:r>
        <w:t xml:space="preserve">2</w:t>
      </w:r>
    </w:p>
    <w:p>
      <w:pPr>
        <w:pStyle w:val="BodyText"/>
      </w:pPr>
      <w:r>
        <w:t xml:space="preserve">17.3 Extension of the scope - complementary information on ‘other</w:t>
      </w:r>
      <w:r>
        <w:t xml:space="preserve"> </w:t>
      </w:r>
      <w:r>
        <w:t xml:space="preserve">vehicles’ …………………………………………………………………………………………….. 93</w:t>
      </w:r>
      <w:r>
        <w:t xml:space="preserve"> </w:t>
      </w:r>
      <w:r>
        <w:t xml:space="preserve">17.4 Extension of the scope – exemption to Small Volume Manufacturers</w:t>
      </w:r>
      <w:r>
        <w:t xml:space="preserve"> </w:t>
      </w:r>
      <w:r>
        <w:t xml:space="preserve">(SVM) ……………………………………………………………………………………………….. 94</w:t>
      </w:r>
      <w:r>
        <w:t xml:space="preserve"> </w:t>
      </w:r>
      <w:r>
        <w:t xml:space="preserve">18.</w:t>
      </w:r>
      <w:r>
        <w:t xml:space="preserve"> </w:t>
      </w:r>
      <w:r>
        <w:t xml:space="preserve">ANNEX 9: ADDITIONAL INFORMATION CONCERNING THE ASSESSMENT OF</w:t>
      </w:r>
      <w:r>
        <w:t xml:space="preserve"> </w:t>
      </w:r>
      <w:r>
        <w:t xml:space="preserve">THE ECONOMIC, SOCIAL AND ENVIRONMENTAL IMPACTS OF THE DIFFERENT</w:t>
      </w:r>
      <w:r>
        <w:t xml:space="preserve"> </w:t>
      </w:r>
      <w:r>
        <w:t xml:space="preserve">POLICY OPTIONS ………………………………………………………………………………………………………….. 101</w:t>
      </w:r>
      <w:r>
        <w:t xml:space="preserve"> </w:t>
      </w:r>
      <w:r>
        <w:t xml:space="preserve">18.1 Economic impacts of options regarding CO2 target levels (TL) ……………… 101</w:t>
      </w:r>
      <w:r>
        <w:t xml:space="preserve"> </w:t>
      </w:r>
      <w:r>
        <w:t xml:space="preserve">18.2 Impact on GDP and jobs of options regarding CO2 target levels (TL) ……… 107</w:t>
      </w:r>
      <w:r>
        <w:t xml:space="preserve"> </w:t>
      </w:r>
      <w:r>
        <w:t xml:space="preserve">18.3 Additional PRIMES-TREMOVE results ……………………………………………… 115</w:t>
      </w:r>
      <w:r>
        <w:t xml:space="preserve"> </w:t>
      </w:r>
      <w:r>
        <w:t xml:space="preserve">18.4 Complementary information on trailer modelling ………………………………….. 121</w:t>
      </w:r>
      <w:r>
        <w:t xml:space="preserve"> </w:t>
      </w:r>
      <w:r>
        <w:t xml:space="preserve">18.4.1</w:t>
      </w:r>
      <w:r>
        <w:t xml:space="preserve"> </w:t>
      </w:r>
      <w:r>
        <w:t xml:space="preserve">Methodology for energy efficient trailer modelling …………………………… 121</w:t>
      </w:r>
      <w:r>
        <w:t xml:space="preserve"> </w:t>
      </w:r>
      <w:r>
        <w:t xml:space="preserve">18.4.1.1</w:t>
      </w:r>
      <w:r>
        <w:t xml:space="preserve"> </w:t>
      </w:r>
      <w:r>
        <w:t xml:space="preserve">Introduction ………………………………………………………………………………. 121</w:t>
      </w:r>
      <w:r>
        <w:t xml:space="preserve"> </w:t>
      </w:r>
      <w:r>
        <w:t xml:space="preserve">18.4.1.2</w:t>
      </w:r>
      <w:r>
        <w:t xml:space="preserve"> </w:t>
      </w:r>
      <w:r>
        <w:t xml:space="preserve">Key inputs and assumptions ……………………………………………………….. 121</w:t>
      </w:r>
      <w:r>
        <w:t xml:space="preserve"> </w:t>
      </w:r>
      <w:r>
        <w:t xml:space="preserve">18.4.1.2.1 Data sources used …………………………………………………………………….. 121</w:t>
      </w:r>
      <w:r>
        <w:t xml:space="preserve"> </w:t>
      </w:r>
      <w:r>
        <w:t xml:space="preserve">18.4.1.2.2 (Semi-)trailer EU fleet impact ……………………………………………………. 121</w:t>
      </w:r>
      <w:r>
        <w:t xml:space="preserve"> </w:t>
      </w:r>
      <w:r>
        <w:t xml:space="preserve">18.4.1.2.3 TCO of new (semi)trailers …………………………………………………………. 124</w:t>
      </w:r>
      <w:r>
        <w:t xml:space="preserve"> </w:t>
      </w:r>
      <w:r>
        <w:t xml:space="preserve">18.4.1.3</w:t>
      </w:r>
      <w:r>
        <w:t xml:space="preserve"> </w:t>
      </w:r>
      <w:r>
        <w:t xml:space="preserve">Calculation methodology ……………………………………………………………. 128</w:t>
      </w:r>
      <w:r>
        <w:t xml:space="preserve"> </w:t>
      </w:r>
      <w:r>
        <w:t xml:space="preserve">18.4.1.3.1 HDV fleet impact analysis …………………………………………………………. 128</w:t>
      </w:r>
      <w:r>
        <w:t xml:space="preserve"> </w:t>
      </w:r>
      <w:r>
        <w:t xml:space="preserve">18.4.1.3.2 Marginal TCO analysis ……………………………………………………………… 129</w:t>
      </w:r>
      <w:r>
        <w:t xml:space="preserve"> </w:t>
      </w:r>
      <w:r>
        <w:t xml:space="preserve">18.4.2</w:t>
      </w:r>
      <w:r>
        <w:t xml:space="preserve"> </w:t>
      </w:r>
      <w:r>
        <w:t xml:space="preserve">Additional data …………………………………………………………………………….. 130</w:t>
      </w:r>
      <w:r>
        <w:t xml:space="preserve"> </w:t>
      </w:r>
      <w:r>
        <w:t xml:space="preserve">18.5 Impacts of CO2 target levels options on SMEs ……………………………………… 132</w:t>
      </w:r>
      <w:r>
        <w:t xml:space="preserve"> </w:t>
      </w:r>
      <w:r>
        <w:t xml:space="preserve">18.6 Fuel Crediting System – Assumptions and Methodologies for the</w:t>
      </w:r>
      <w:r>
        <w:t xml:space="preserve"> </w:t>
      </w:r>
      <w:r>
        <w:t xml:space="preserve">economic impacts ……………………………………………………………………………… 140</w:t>
      </w:r>
    </w:p>
    <w:p>
      <w:pPr>
        <w:pStyle w:val="BodyText"/>
      </w:pPr>
      <w:r>
        <w:t xml:space="preserve">3</w:t>
      </w:r>
    </w:p>
    <w:p>
      <w:pPr>
        <w:pStyle w:val="Compact"/>
        <w:numPr>
          <w:ilvl w:val="0"/>
          <w:numId w:val="1002"/>
        </w:numPr>
      </w:pPr>
      <w:r>
        <w:t xml:space="preserve">ANNEX 1: PROCEDURAL INFORMATION</w:t>
      </w:r>
      <w:r>
        <w:t xml:space="preserve"> </w:t>
      </w:r>
      <w:r>
        <w:t xml:space="preserve">1.1.</w:t>
      </w:r>
      <w:r>
        <w:t xml:space="preserve"> </w:t>
      </w:r>
      <w:r>
        <w:t xml:space="preserve">10.1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Directorate-General for Climate Action (DG CLIMA) is the lead service for the</w:t>
      </w:r>
      <w:r>
        <w:t xml:space="preserve"> </w:t>
      </w:r>
      <w:r>
        <w:t xml:space="preserve">preparation of the initiative (PLAN/2021/11035) and the work on the impact assessment.</w:t>
      </w:r>
      <w:r>
        <w:t xml:space="preserve"> </w:t>
      </w:r>
      <w:r>
        <w:t xml:space="preserve">Commission Work Programme 2022, “Commission Work Programme 2022”</w:t>
      </w:r>
      <w:r>
        <w:t xml:space="preserve"> </w:t>
      </w:r>
      <w:r>
        <w:t xml:space="preserve">(COM(2021) 645 final), Annex “A European Green Deal”, 2.c.</w:t>
      </w:r>
      <w:r>
        <w:t xml:space="preserve"> </w:t>
      </w:r>
      <w:r>
        <w:t xml:space="preserve">1.2.</w:t>
      </w:r>
      <w:r>
        <w:t xml:space="preserve"> </w:t>
      </w:r>
      <w:r>
        <w:t xml:space="preserve">10.2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revision of the HDV Regulation was announced in the Sustainable and Smart</w:t>
      </w:r>
      <w:r>
        <w:t xml:space="preserve"> </w:t>
      </w:r>
      <w:r>
        <w:t xml:space="preserve">Mobility Strategy.</w:t>
      </w:r>
      <w:r>
        <w:t xml:space="preserve"> </w:t>
      </w:r>
      <w:r>
        <w:t xml:space="preserve">An inter-service steering group chaired by DG CLIMA, was set up in 2021 with the</w:t>
      </w:r>
      <w:r>
        <w:t xml:space="preserve"> </w:t>
      </w:r>
      <w:r>
        <w:t xml:space="preserve">participation of the following Commission Services and Directorates-General: SG,</w:t>
      </w:r>
      <w:r>
        <w:t xml:space="preserve"> </w:t>
      </w:r>
      <w:r>
        <w:t xml:space="preserve">COMM, COMP, ECFIN, ECHO, EMPL, ENER, ENV, ESTAT, FPI, GROW, JRC,</w:t>
      </w:r>
      <w:r>
        <w:t xml:space="preserve"> </w:t>
      </w:r>
      <w:r>
        <w:t xml:space="preserve">JUST, MOVE, NEAR, REFORM, RTD, SANTE, TAXUD, TRADE. Three meetings</w:t>
      </w:r>
      <w:r>
        <w:t xml:space="preserve"> </w:t>
      </w:r>
      <w:r>
        <w:t xml:space="preserve">took place between October 2021 and July 2022 to discuss the draft impact assessment</w:t>
      </w:r>
      <w:r>
        <w:t xml:space="preserve"> </w:t>
      </w:r>
      <w:r>
        <w:t xml:space="preserve">and the related key public consultation documents.</w:t>
      </w:r>
      <w:r>
        <w:t xml:space="preserve"> </w:t>
      </w:r>
      <w:r>
        <w:t xml:space="preserve">1.3.</w:t>
      </w:r>
      <w:r>
        <w:t xml:space="preserve"> </w:t>
      </w:r>
      <w:r>
        <w:t xml:space="preserve">10.3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An informal upstream meeting with Regulatory Scrutiny Board (upstream meeting) took</w:t>
      </w:r>
      <w:r>
        <w:t xml:space="preserve"> </w:t>
      </w:r>
      <w:r>
        <w:t xml:space="preserve">place on 29 April 2021. DG CLIMA submitted the draft Impact Assessment to the</w:t>
      </w:r>
      <w:r>
        <w:t xml:space="preserve"> </w:t>
      </w:r>
      <w:r>
        <w:t xml:space="preserve">Regulatory Scrutiny Board on 20 July 2022 and, following the Board meeting on 14</w:t>
      </w:r>
      <w:r>
        <w:t xml:space="preserve"> </w:t>
      </w:r>
      <w:r>
        <w:t xml:space="preserve">September 2022, issued a negative opinion’ on 16 September 2022.</w:t>
      </w:r>
      <w:r>
        <w:br/>
      </w:r>
      <w:r>
        <w:t xml:space="preserve">The Board’s main findings were the following and these were addressed in the revised</w:t>
      </w:r>
      <w:r>
        <w:t xml:space="preserve"> </w:t>
      </w:r>
      <w:r>
        <w:t xml:space="preserve">impact assessment report, as indicated below.</w:t>
      </w:r>
      <w:r>
        <w:t xml:space="preserve"> </w:t>
      </w:r>
      <w:r>
        <w:t xml:space="preserve">Main RSB findings</w:t>
      </w:r>
      <w:r>
        <w:t xml:space="preserve"> </w:t>
      </w:r>
      <w:r>
        <w:t xml:space="preserve">Response</w:t>
      </w:r>
      <w:r>
        <w:t xml:space="preserve"> </w:t>
      </w:r>
      <w:r>
        <w:t xml:space="preserve">The report does not clearly identify the</w:t>
      </w:r>
      <w:r>
        <w:t xml:space="preserve"> </w:t>
      </w:r>
      <w:r>
        <w:t xml:space="preserve">remaining CO2 emission reduction gap</w:t>
      </w:r>
      <w:r>
        <w:t xml:space="preserve"> </w:t>
      </w:r>
      <w:r>
        <w:t xml:space="preserve">that the initiative aims to address.</w:t>
      </w:r>
      <w:r>
        <w:t xml:space="preserve"> </w:t>
      </w:r>
      <w:r>
        <w:t xml:space="preserve">Section 2.1.1 has been updated to quantify the</w:t>
      </w:r>
      <w:r>
        <w:t xml:space="preserve"> </w:t>
      </w:r>
      <w:r>
        <w:t xml:space="preserve">CO2 emissions reduction gap that the</w:t>
      </w:r>
      <w:r>
        <w:t xml:space="preserve"> </w:t>
      </w:r>
      <w:r>
        <w:t xml:space="preserve">initiative aims to address. It better explains the</w:t>
      </w:r>
      <w:r>
        <w:t xml:space="preserve"> </w:t>
      </w:r>
      <w:r>
        <w:t xml:space="preserve">new context, with reference to the Climate</w:t>
      </w:r>
      <w:r>
        <w:t xml:space="preserve"> </w:t>
      </w:r>
      <w:r>
        <w:t xml:space="preserve">Target Plan, Fit for 55 package and</w:t>
      </w:r>
      <w:r>
        <w:t xml:space="preserve"> </w:t>
      </w:r>
      <w:r>
        <w:t xml:space="preserve">REPowerEU. Section 2.1.1, together with the</w:t>
      </w:r>
      <w:r>
        <w:t xml:space="preserve"> </w:t>
      </w:r>
      <w:r>
        <w:t xml:space="preserve">revised Section 1.3, explains in detail the</w:t>
      </w:r>
      <w:r>
        <w:t xml:space="preserve"> </w:t>
      </w:r>
      <w:r>
        <w:t xml:space="preserve">interaction with other policy initiatives, and it</w:t>
      </w:r>
      <w:r>
        <w:t xml:space="preserve"> </w:t>
      </w:r>
      <w:r>
        <w:t xml:space="preserve">explains how the impact of such initiatives has</w:t>
      </w:r>
      <w:r>
        <w:t xml:space="preserve"> </w:t>
      </w:r>
      <w:r>
        <w:t xml:space="preserve">been factored-in in the analysis.</w:t>
      </w:r>
      <w:r>
        <w:br/>
      </w:r>
      <w:r>
        <w:t xml:space="preserve">The report does not sufficiently describe</w:t>
      </w:r>
      <w:r>
        <w:t xml:space="preserve"> </w:t>
      </w:r>
      <w:r>
        <w:t xml:space="preserve">the dynamic baseline justifying the</w:t>
      </w:r>
      <w:r>
        <w:t xml:space="preserve"> </w:t>
      </w:r>
      <w:r>
        <w:t xml:space="preserve">added value of the initiative.</w:t>
      </w:r>
      <w:r>
        <w:t xml:space="preserve"> </w:t>
      </w:r>
      <w:r>
        <w:t xml:space="preserve">Section 5.1 has been significantly expanded to</w:t>
      </w:r>
      <w:r>
        <w:t xml:space="preserve"> </w:t>
      </w:r>
      <w:r>
        <w:t xml:space="preserve">present the evolution of the dynamic baseline,</w:t>
      </w:r>
      <w:r>
        <w:t xml:space="preserve"> </w:t>
      </w:r>
      <w:r>
        <w:t xml:space="preserve">including</w:t>
      </w:r>
      <w:r>
        <w:t xml:space="preserve"> </w:t>
      </w:r>
      <w:r>
        <w:t xml:space="preserve">in</w:t>
      </w:r>
      <w:r>
        <w:t xml:space="preserve"> </w:t>
      </w:r>
      <w:r>
        <w:t xml:space="preserve">quantitative</w:t>
      </w:r>
      <w:r>
        <w:t xml:space="preserve"> </w:t>
      </w:r>
      <w:r>
        <w:t xml:space="preserve">terms.</w:t>
      </w:r>
      <w:r>
        <w:t xml:space="preserve"> </w:t>
      </w:r>
      <w:r>
        <w:t xml:space="preserve">The</w:t>
      </w:r>
      <w:r>
        <w:t xml:space="preserve"> </w:t>
      </w:r>
      <w:r>
        <w:t xml:space="preserve">methodological approach to the definition of</w:t>
      </w:r>
      <w:r>
        <w:t xml:space="preserve"> </w:t>
      </w:r>
      <w:r>
        <w:t xml:space="preserve">the baseline is also explained in more details.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baseline</w:t>
      </w:r>
      <w:r>
        <w:t xml:space="preserve"> </w:t>
      </w:r>
      <w:r>
        <w:t xml:space="preserve">is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REPowerEU scenario, also the latter is now</w:t>
      </w:r>
      <w:r>
        <w:t xml:space="preserve"> </w:t>
      </w:r>
      <w:r>
        <w:t xml:space="preserve">described in Section 5.1 and in Annex 4.</w:t>
      </w:r>
      <w:r>
        <w:br/>
      </w:r>
      <w:r>
        <w:t xml:space="preserve">The cost benefit analysis presented in</w:t>
      </w:r>
      <w:r>
        <w:t xml:space="preserve"> </w:t>
      </w:r>
      <w:r>
        <w:t xml:space="preserve">the report is incomplete and unclear.</w:t>
      </w:r>
      <w:r>
        <w:t xml:space="preserve"> </w:t>
      </w:r>
      <w:r>
        <w:t xml:space="preserve">The report does not present and</w:t>
      </w:r>
      <w:r>
        <w:t xml:space="preserve"> </w:t>
      </w:r>
      <w:r>
        <w:t xml:space="preserve">A new Section 6.9 has been added to the</w:t>
      </w:r>
      <w:r>
        <w:t xml:space="preserve"> </w:t>
      </w:r>
      <w:r>
        <w:t xml:space="preserve">report, in which the overall costs and benefits</w:t>
      </w:r>
      <w:r>
        <w:t xml:space="preserve"> </w:t>
      </w:r>
      <w:r>
        <w:t xml:space="preserve">of the most relevant combinations of options</w:t>
      </w:r>
    </w:p>
    <w:p>
      <w:pPr>
        <w:pStyle w:val="FirstParagraph"/>
      </w:pPr>
      <w:r>
        <w:t xml:space="preserve">4</w:t>
      </w:r>
    </w:p>
    <w:p>
      <w:pPr>
        <w:pStyle w:val="BodyText"/>
      </w:pPr>
      <w:r>
        <w:t xml:space="preserve">compare the overall costs and benefits</w:t>
      </w:r>
      <w:r>
        <w:t xml:space="preserve"> </w:t>
      </w:r>
      <w:r>
        <w:t xml:space="preserve">of each option and subsequently the</w:t>
      </w:r>
      <w:r>
        <w:t xml:space="preserve"> </w:t>
      </w:r>
      <w:r>
        <w:t xml:space="preserve">most relevant combinations of options.</w:t>
      </w:r>
      <w:r>
        <w:t xml:space="preserve"> </w:t>
      </w:r>
      <w:r>
        <w:t xml:space="preserve">It is not clear on the choices left open</w:t>
      </w:r>
      <w:r>
        <w:t xml:space="preserve"> </w:t>
      </w:r>
      <w:r>
        <w:t xml:space="preserve">for the decision-makers.</w:t>
      </w:r>
      <w:r>
        <w:t xml:space="preserve"> </w:t>
      </w:r>
      <w:r>
        <w:t xml:space="preserve">are presented. Therefore now the report</w:t>
      </w:r>
      <w:r>
        <w:t xml:space="preserve"> </w:t>
      </w:r>
      <w:r>
        <w:t xml:space="preserve">provides a complete cost benefit analysis,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monetisation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 benefits.</w:t>
      </w:r>
      <w:r>
        <w:t xml:space="preserve"> </w:t>
      </w:r>
      <w:r>
        <w:t xml:space="preserve">Section 8.1.1 has been modified to ensure</w:t>
      </w:r>
      <w:r>
        <w:t xml:space="preserve"> </w:t>
      </w:r>
      <w:r>
        <w:t xml:space="preserve">clarity on ther preferred options, and on the</w:t>
      </w:r>
      <w:r>
        <w:t xml:space="preserve"> </w:t>
      </w:r>
      <w:r>
        <w:t xml:space="preserve">choices which are left open for the decision-</w:t>
      </w:r>
      <w:r>
        <w:t xml:space="preserve"> </w:t>
      </w:r>
      <w:r>
        <w:t xml:space="preserve">makers</w:t>
      </w:r>
    </w:p>
    <w:p>
      <w:pPr>
        <w:pStyle w:val="BodyText"/>
      </w:pPr>
      <w:r>
        <w:t xml:space="preserve">The Board also mentioned the following improvements needed, which were addressed in</w:t>
      </w:r>
      <w:r>
        <w:t xml:space="preserve"> </w:t>
      </w:r>
      <w:r>
        <w:t xml:space="preserve">the revised impact assessment report as indicated below.</w:t>
      </w:r>
      <w:r>
        <w:t xml:space="preserve"> </w:t>
      </w:r>
      <w:r>
        <w:t xml:space="preserve">RSB opinion: “what to improve”</w:t>
      </w:r>
      <w:r>
        <w:t xml:space="preserve"> </w:t>
      </w:r>
      <w:r>
        <w:t xml:space="preserve">Response</w:t>
      </w:r>
      <w:r>
        <w:t xml:space="preserve"> </w:t>
      </w:r>
      <w:r>
        <w:t xml:space="preserve">The report should clearly identify and</w:t>
      </w:r>
      <w:r>
        <w:t xml:space="preserve"> </w:t>
      </w:r>
      <w:r>
        <w:t xml:space="preserve">specify the remaining CO2 emission</w:t>
      </w:r>
      <w:r>
        <w:t xml:space="preserve"> </w:t>
      </w:r>
      <w:r>
        <w:t xml:space="preserve">reduction gap that the initiative seeks</w:t>
      </w:r>
      <w:r>
        <w:t xml:space="preserve"> </w:t>
      </w:r>
      <w:r>
        <w:t xml:space="preserve">to address.</w:t>
      </w:r>
      <w:r>
        <w:br/>
      </w:r>
      <w:r>
        <w:t xml:space="preserve">It should better justify the need to</w:t>
      </w:r>
      <w:r>
        <w:t xml:space="preserve"> </w:t>
      </w:r>
      <w:r>
        <w:t xml:space="preserve">revise the Regulation so soon after</w:t>
      </w:r>
      <w:r>
        <w:t xml:space="preserve"> </w:t>
      </w:r>
      <w:r>
        <w:t xml:space="preserve">adoption, given the lack of data on its</w:t>
      </w:r>
      <w:r>
        <w:t xml:space="preserve"> </w:t>
      </w:r>
      <w:r>
        <w:t xml:space="preserve">effectiveness.</w:t>
      </w:r>
    </w:p>
    <w:p>
      <w:pPr>
        <w:pStyle w:val="BodyText"/>
      </w:pPr>
      <w:r>
        <w:t xml:space="preserve">It should further elaborate on the</w:t>
      </w:r>
      <w:r>
        <w:t xml:space="preserve"> </w:t>
      </w:r>
      <w:r>
        <w:t xml:space="preserve">articulation of the proposal with other</w:t>
      </w:r>
      <w:r>
        <w:t xml:space="preserve"> </w:t>
      </w:r>
      <w:r>
        <w:t xml:space="preserve">initiatives that directly influence the</w:t>
      </w:r>
      <w:r>
        <w:t xml:space="preserve"> </w:t>
      </w:r>
      <w:r>
        <w:t xml:space="preserve">HDV CO2 emissions and explain if</w:t>
      </w:r>
      <w:r>
        <w:t xml:space="preserve"> </w:t>
      </w:r>
      <w:r>
        <w:t xml:space="preserve">and to what extent those initiatives</w:t>
      </w:r>
      <w:r>
        <w:t xml:space="preserve"> </w:t>
      </w:r>
      <w:r>
        <w:t xml:space="preserve">would provide a contribution from the</w:t>
      </w:r>
      <w:r>
        <w:t xml:space="preserve"> </w:t>
      </w:r>
      <w:r>
        <w:t xml:space="preserve">HDV sector to the EU climate targets</w:t>
      </w:r>
      <w:r>
        <w:t xml:space="preserve"> </w:t>
      </w:r>
      <w:r>
        <w:t xml:space="preserve">and what precisely the remaining gap</w:t>
      </w:r>
      <w:r>
        <w:t xml:space="preserve"> </w:t>
      </w:r>
      <w:r>
        <w:t xml:space="preserve">this initiative would address is.</w:t>
      </w:r>
    </w:p>
    <w:p>
      <w:pPr>
        <w:pStyle w:val="BodyText"/>
      </w:pPr>
      <w:r>
        <w:t xml:space="preserve">It should be clear how the estimates of</w:t>
      </w:r>
      <w:r>
        <w:t xml:space="preserve"> </w:t>
      </w:r>
      <w:r>
        <w:t xml:space="preserve">the gap relate to the Fit for 55 or</w:t>
      </w:r>
      <w:r>
        <w:t xml:space="preserve"> </w:t>
      </w:r>
      <w:r>
        <w:t xml:space="preserve">REPowerEU scenarios.</w:t>
      </w:r>
    </w:p>
    <w:p>
      <w:pPr>
        <w:pStyle w:val="BodyText"/>
      </w:pPr>
      <w:r>
        <w:t xml:space="preserve">It should clearly define the criteria for</w:t>
      </w:r>
      <w:r>
        <w:t xml:space="preserve"> </w:t>
      </w:r>
      <w:r>
        <w:t xml:space="preserve">determining a “fair” or “sufficient”</w:t>
      </w:r>
      <w:r>
        <w:t xml:space="preserve"> </w:t>
      </w:r>
      <w:r>
        <w:t xml:space="preserve">The remaining gap and its evolution over time</w:t>
      </w:r>
      <w:r>
        <w:t xml:space="preserve"> </w:t>
      </w:r>
      <w:r>
        <w:t xml:space="preserve">are presented in section 2.1.1 and in Table 6.</w:t>
      </w:r>
    </w:p>
    <w:p>
      <w:pPr>
        <w:pStyle w:val="BodyText"/>
      </w:pPr>
      <w:r>
        <w:t xml:space="preserve">Section 1.5 explains why an evaluation of the</w:t>
      </w:r>
      <w:r>
        <w:t xml:space="preserve"> </w:t>
      </w:r>
      <w:r>
        <w:t xml:space="preserve">current</w:t>
      </w:r>
      <w:r>
        <w:t xml:space="preserve"> </w:t>
      </w:r>
      <w:r>
        <w:t xml:space="preserve">regulation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possible.</w:t>
      </w:r>
      <w:r>
        <w:t xml:space="preserve"> </w:t>
      </w:r>
      <w:r>
        <w:t xml:space="preserve">Explanations have been added to the same</w:t>
      </w:r>
      <w:r>
        <w:t xml:space="preserve"> </w:t>
      </w:r>
      <w:r>
        <w:t xml:space="preserve">section and to Section 2.1.1 to justify why the</w:t>
      </w:r>
      <w:r>
        <w:t xml:space="preserve"> </w:t>
      </w:r>
      <w:r>
        <w:t xml:space="preserve">revision is nevertheless needed. Additional</w:t>
      </w:r>
      <w:r>
        <w:t xml:space="preserve"> </w:t>
      </w:r>
      <w:r>
        <w:t xml:space="preserve">information and references to other studies</w:t>
      </w:r>
      <w:r>
        <w:t xml:space="preserve"> </w:t>
      </w:r>
      <w:r>
        <w:t xml:space="preserve">and publications on the “need to act” have</w:t>
      </w:r>
      <w:r>
        <w:t xml:space="preserve"> </w:t>
      </w:r>
      <w:r>
        <w:t xml:space="preserve">also been added to section 2.1.2 and 6.2.1</w:t>
      </w:r>
    </w:p>
    <w:p>
      <w:pPr>
        <w:pStyle w:val="BodyText"/>
      </w:pPr>
      <w:r>
        <w:t xml:space="preserve">Section 1.3 has been expanded to better</w:t>
      </w:r>
      <w:r>
        <w:t xml:space="preserve"> </w:t>
      </w:r>
      <w:r>
        <w:t xml:space="preserve">describe</w:t>
      </w:r>
      <w:r>
        <w:t xml:space="preserve"> </w:t>
      </w:r>
      <w:r>
        <w:t xml:space="preserve">the</w:t>
      </w:r>
      <w:r>
        <w:t xml:space="preserve"> </w:t>
      </w:r>
      <w:r>
        <w:t xml:space="preserve">interlinkages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initiatives, complementarities and mutual</w:t>
      </w:r>
      <w:r>
        <w:t xml:space="preserve"> </w:t>
      </w:r>
      <w:r>
        <w:t xml:space="preserve">reinforcements. For the remaining gap, see</w:t>
      </w:r>
      <w:r>
        <w:t xml:space="preserve"> </w:t>
      </w:r>
      <w:r>
        <w:t xml:space="preserve">above.</w:t>
      </w:r>
    </w:p>
    <w:p>
      <w:pPr>
        <w:pStyle w:val="BodyText"/>
      </w:pPr>
      <w:r>
        <w:t xml:space="preserve">It has been clarified, in Section 2.1.1 and</w:t>
      </w:r>
      <w:r>
        <w:t xml:space="preserve"> </w:t>
      </w:r>
      <w:r>
        <w:t xml:space="preserve">throughout the report, including in Chapter 6,</w:t>
      </w:r>
      <w:r>
        <w:t xml:space="preserve"> </w:t>
      </w:r>
      <w:r>
        <w:t xml:space="preserve">that the context of the REPowerEU Scenario</w:t>
      </w:r>
      <w:r>
        <w:t xml:space="preserve"> </w:t>
      </w:r>
      <w:r>
        <w:t xml:space="preserve">is considered in all scenarios used for the IA,</w:t>
      </w:r>
      <w:r>
        <w:t xml:space="preserve"> </w:t>
      </w:r>
      <w:r>
        <w:t xml:space="preserve">so to include not only the new climate</w:t>
      </w:r>
      <w:r>
        <w:t xml:space="preserve"> </w:t>
      </w:r>
      <w:r>
        <w:t xml:space="preserve">ambition (55% net greenhouse gas emissions</w:t>
      </w:r>
      <w:r>
        <w:t xml:space="preserve"> </w:t>
      </w:r>
      <w:r>
        <w:t xml:space="preserve">reduction by 2030 economy-wide), but also</w:t>
      </w:r>
      <w:r>
        <w:t xml:space="preserve"> </w:t>
      </w:r>
      <w:r>
        <w:t xml:space="preserve">the new energy targets (renewable shares of</w:t>
      </w:r>
      <w:r>
        <w:t xml:space="preserve"> </w:t>
      </w:r>
      <w:r>
        <w:t xml:space="preserve">45%, and 13% energy efficiency target).</w:t>
      </w:r>
    </w:p>
    <w:p>
      <w:pPr>
        <w:pStyle w:val="BodyText"/>
      </w:pPr>
      <w:r>
        <w:t xml:space="preserve">It has been clarified throughout the report that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contribution of the HDV sector to the</w:t>
      </w:r>
      <w:r>
        <w:t xml:space="preserve"> </w:t>
      </w:r>
      <w:r>
        <w:t xml:space="preserve">achieving the CO2 reduction targets</w:t>
      </w:r>
      <w:r>
        <w:t xml:space="preserve"> </w:t>
      </w:r>
      <w:r>
        <w:t xml:space="preserve">and explain how these would be</w:t>
      </w:r>
      <w:r>
        <w:t xml:space="preserve"> </w:t>
      </w:r>
      <w:r>
        <w:t xml:space="preserve">implemented in practice.</w:t>
      </w:r>
      <w:r>
        <w:t xml:space="preserve"> </w:t>
      </w:r>
      <w:r>
        <w:t xml:space="preserve">the analysis considers a “cost-effective”</w:t>
      </w:r>
      <w:r>
        <w:t xml:space="preserve"> </w:t>
      </w:r>
      <w:r>
        <w:t xml:space="preserve">contribution of the HDV sector to the new</w:t>
      </w:r>
      <w:r>
        <w:t xml:space="preserve"> </w:t>
      </w:r>
      <w:r>
        <w:t xml:space="preserve">climate objectives, based on the existing</w:t>
      </w:r>
      <w:r>
        <w:t xml:space="preserve"> </w:t>
      </w:r>
      <w:r>
        <w:t xml:space="preserve">analytical work underpinning the Fit for 55</w:t>
      </w:r>
      <w:r>
        <w:t xml:space="preserve"> </w:t>
      </w:r>
      <w:r>
        <w:t xml:space="preserve">package and the new scenarios analysed for</w:t>
      </w:r>
      <w:r>
        <w:t xml:space="preserve"> </w:t>
      </w:r>
      <w:r>
        <w:t xml:space="preserve">the present Impact Assessment.</w:t>
      </w:r>
      <w:r>
        <w:br/>
      </w:r>
      <w:r>
        <w:t xml:space="preserve">The report should present the dynamic</w:t>
      </w:r>
      <w:r>
        <w:t xml:space="preserve"> </w:t>
      </w:r>
      <w:r>
        <w:t xml:space="preserve">baseline</w:t>
      </w:r>
      <w:r>
        <w:t xml:space="preserve"> </w:t>
      </w:r>
      <w:r>
        <w:t xml:space="preserve">both</w:t>
      </w:r>
      <w:r>
        <w:t xml:space="preserve"> </w:t>
      </w:r>
      <w:r>
        <w:t xml:space="preserve">in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 terms more clearly. In</w:t>
      </w:r>
      <w:r>
        <w:t xml:space="preserve"> </w:t>
      </w:r>
      <w:r>
        <w:t xml:space="preserve">particular, it should explain how the</w:t>
      </w:r>
      <w:r>
        <w:t xml:space="preserve"> </w:t>
      </w:r>
      <w:r>
        <w:t xml:space="preserve">provisions in the current Regulation, all</w:t>
      </w:r>
      <w:r>
        <w:t xml:space="preserve"> </w:t>
      </w:r>
      <w:r>
        <w:t xml:space="preserve">relevant policy initiatives and expected</w:t>
      </w:r>
      <w:r>
        <w:t xml:space="preserve"> </w:t>
      </w:r>
      <w:r>
        <w:t xml:space="preserve">market and technological developments</w:t>
      </w:r>
      <w:r>
        <w:t xml:space="preserve"> </w:t>
      </w:r>
      <w:r>
        <w:t xml:space="preserve">were taken into account.</w:t>
      </w:r>
      <w:r>
        <w:br/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also</w:t>
      </w:r>
      <w:r>
        <w:t xml:space="preserve"> </w:t>
      </w:r>
      <w:r>
        <w:t xml:space="preserve">explain</w:t>
      </w:r>
      <w:r>
        <w:t xml:space="preserve"> </w:t>
      </w:r>
      <w:r>
        <w:t xml:space="preserve">differences compared to the scenarios</w:t>
      </w:r>
      <w:r>
        <w:t xml:space="preserve"> </w:t>
      </w:r>
      <w:r>
        <w:t xml:space="preserve">used for the Fit for 55 package.</w:t>
      </w:r>
    </w:p>
    <w:p>
      <w:pPr>
        <w:pStyle w:val="BodyText"/>
      </w:pPr>
      <w:r>
        <w:t xml:space="preserve">In this respect, it should explain how</w:t>
      </w:r>
      <w:r>
        <w:t xml:space="preserve"> </w:t>
      </w:r>
      <w:r>
        <w:t xml:space="preserve">the baseline takes into account the</w:t>
      </w:r>
      <w:r>
        <w:t xml:space="preserve"> </w:t>
      </w:r>
      <w:r>
        <w:t xml:space="preserve">revised</w:t>
      </w:r>
      <w:r>
        <w:t xml:space="preserve"> </w:t>
      </w:r>
      <w:r>
        <w:t xml:space="preserve">renewable</w:t>
      </w:r>
      <w:r>
        <w:t xml:space="preserve"> </w:t>
      </w:r>
      <w:r>
        <w:t xml:space="preserve">and</w:t>
      </w:r>
      <w:r>
        <w:t xml:space="preserve"> </w:t>
      </w:r>
      <w:r>
        <w:t xml:space="preserve">energy</w:t>
      </w:r>
      <w:r>
        <w:t xml:space="preserve"> </w:t>
      </w:r>
      <w:r>
        <w:t xml:space="preserve">efficiency targets proposed in the</w:t>
      </w:r>
      <w:r>
        <w:t xml:space="preserve"> </w:t>
      </w:r>
      <w:r>
        <w:t xml:space="preserve">REPowerEU Plan.</w:t>
      </w:r>
      <w:r>
        <w:br/>
      </w:r>
      <w:r>
        <w:t xml:space="preserve">It should also clarify how more recent</w:t>
      </w:r>
      <w:r>
        <w:t xml:space="preserve"> </w:t>
      </w:r>
      <w:r>
        <w:t xml:space="preserve">market developments were taken into</w:t>
      </w:r>
      <w:r>
        <w:t xml:space="preserve"> </w:t>
      </w:r>
      <w:r>
        <w:t xml:space="preserve">account, including announcements by</w:t>
      </w:r>
      <w:r>
        <w:t xml:space="preserve"> </w:t>
      </w:r>
      <w:r>
        <w:t xml:space="preserve">EU HDVs manufacturers.</w:t>
      </w:r>
      <w:r>
        <w:br/>
      </w:r>
      <w:r>
        <w:t xml:space="preserve">The definition of problem related to</w:t>
      </w:r>
      <w:r>
        <w:t xml:space="preserve"> </w:t>
      </w:r>
      <w:r>
        <w:t xml:space="preserve">”missed benefits” due to zero emission</w:t>
      </w:r>
      <w:r>
        <w:t xml:space="preserve"> </w:t>
      </w:r>
      <w:r>
        <w:t xml:space="preserve">vehicles</w:t>
      </w:r>
      <w:r>
        <w:t xml:space="preserve"> </w:t>
      </w:r>
      <w:r>
        <w:t xml:space="preserve">not</w:t>
      </w:r>
      <w:r>
        <w:t xml:space="preserve"> </w:t>
      </w:r>
      <w:r>
        <w:t xml:space="preserve">being</w:t>
      </w:r>
      <w:r>
        <w:t xml:space="preserve"> </w:t>
      </w:r>
      <w:r>
        <w:t xml:space="preserve">sufficiently</w:t>
      </w:r>
      <w:r>
        <w:t xml:space="preserve"> </w:t>
      </w:r>
      <w:r>
        <w:t xml:space="preserve">deployed on the market is vague and</w:t>
      </w:r>
      <w:r>
        <w:t xml:space="preserve"> </w:t>
      </w:r>
      <w:r>
        <w:t xml:space="preserve">should be reformulated to allow it to be</w:t>
      </w:r>
      <w:r>
        <w:t xml:space="preserve"> </w:t>
      </w:r>
      <w:r>
        <w:t xml:space="preserve">measurable.</w:t>
      </w:r>
      <w:r>
        <w:t xml:space="preserve"> </w:t>
      </w:r>
      <w:r>
        <w:t xml:space="preserve">Section 5.1 has been significantly expanded to</w:t>
      </w:r>
      <w:r>
        <w:t xml:space="preserve"> </w:t>
      </w:r>
      <w:r>
        <w:t xml:space="preserve">present the evolution of the dynamic baseline.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baseline</w:t>
      </w:r>
      <w:r>
        <w:t xml:space="preserve"> </w:t>
      </w:r>
      <w:r>
        <w:t xml:space="preserve">is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REPowerEU scenario, also the latter is now</w:t>
      </w:r>
      <w:r>
        <w:t xml:space="preserve"> </w:t>
      </w:r>
      <w:r>
        <w:t xml:space="preserve">described in Section 5.1 and in Annex 4.</w:t>
      </w:r>
    </w:p>
    <w:p>
      <w:pPr>
        <w:pStyle w:val="BodyText"/>
      </w:pPr>
      <w:r>
        <w:t xml:space="preserve">Section 6.1 has been updated, and a new</w:t>
      </w:r>
      <w:r>
        <w:t xml:space="preserve"> </w:t>
      </w:r>
      <w:r>
        <w:t xml:space="preserve">section 6.1.2 has been added to describe the</w:t>
      </w:r>
      <w:r>
        <w:t xml:space="preserve"> </w:t>
      </w:r>
      <w:r>
        <w:t xml:space="preserve">differences compared to the scenarios used for</w:t>
      </w:r>
      <w:r>
        <w:t xml:space="preserve"> </w:t>
      </w:r>
      <w:r>
        <w:t xml:space="preserve">the Fit for 55 package. In addition, Annex 4</w:t>
      </w:r>
      <w:r>
        <w:t xml:space="preserve"> </w:t>
      </w:r>
      <w:r>
        <w:t xml:space="preserve">presents further info on such differences.</w:t>
      </w:r>
    </w:p>
    <w:p>
      <w:pPr>
        <w:pStyle w:val="BodyText"/>
      </w:pPr>
      <w:r>
        <w:t xml:space="preserve">Section 5.1 better has been updated to better</w:t>
      </w:r>
      <w:r>
        <w:t xml:space="preserve"> </w:t>
      </w:r>
      <w:r>
        <w:t xml:space="preserve">explain how the targets proposed in the</w:t>
      </w:r>
      <w:r>
        <w:t xml:space="preserve"> </w:t>
      </w:r>
      <w:r>
        <w:t xml:space="preserve">REPowerEU plan have been taken into</w:t>
      </w:r>
      <w:r>
        <w:t xml:space="preserve"> </w:t>
      </w:r>
      <w:r>
        <w:t xml:space="preserve">account.</w:t>
      </w:r>
      <w:r>
        <w:br/>
      </w:r>
      <w:r>
        <w:t xml:space="preserve">Section 2.3.3 has been improved to clarify</w:t>
      </w:r>
      <w:r>
        <w:t xml:space="preserve"> </w:t>
      </w:r>
      <w:r>
        <w:t xml:space="preserve">how the manufacturers’ announcements have</w:t>
      </w:r>
      <w:r>
        <w:t xml:space="preserve"> </w:t>
      </w:r>
      <w:r>
        <w:t xml:space="preserve">been considered.</w:t>
      </w:r>
      <w:r>
        <w:t xml:space="preserve"> </w:t>
      </w:r>
      <w:r>
        <w:t xml:space="preserve">The problem 2 has been reformulated in</w:t>
      </w:r>
      <w:r>
        <w:t xml:space="preserve"> </w:t>
      </w:r>
      <w:r>
        <w:t xml:space="preserve">Section 2.1.2 to make it more clear and</w:t>
      </w:r>
      <w:r>
        <w:t xml:space="preserve"> </w:t>
      </w:r>
      <w:r>
        <w:t xml:space="preserve">precise. In the same section now also clarifies</w:t>
      </w:r>
      <w:r>
        <w:t xml:space="preserve"> </w:t>
      </w:r>
      <w:r>
        <w:t xml:space="preserve">how this problem can be measured.</w:t>
      </w:r>
    </w:p>
    <w:p>
      <w:pPr>
        <w:pStyle w:val="BodyText"/>
      </w:pPr>
      <w:r>
        <w:t xml:space="preserve">The report should provide a complete</w:t>
      </w:r>
      <w:r>
        <w:t xml:space="preserve"> </w:t>
      </w:r>
      <w:r>
        <w:t xml:space="preserve">and transparent cost benefit analysis</w:t>
      </w:r>
      <w:r>
        <w:t xml:space="preserve"> </w:t>
      </w:r>
      <w:r>
        <w:t xml:space="preserve">that is understandable and meaningful</w:t>
      </w:r>
      <w:r>
        <w:t xml:space="preserve"> </w:t>
      </w:r>
      <w:r>
        <w:t xml:space="preserve">for decision makers.</w:t>
      </w:r>
    </w:p>
    <w:p>
      <w:pPr>
        <w:pStyle w:val="BodyText"/>
      </w:pPr>
      <w:r>
        <w:t xml:space="preserve">The issue of technology availability in</w:t>
      </w:r>
      <w:r>
        <w:t xml:space="preserve"> </w:t>
      </w:r>
      <w:r>
        <w:t xml:space="preserve">terms of zero emission HDVs, the</w:t>
      </w:r>
      <w:r>
        <w:t xml:space="preserve"> </w:t>
      </w:r>
      <w:r>
        <w:t xml:space="preserve">necessary operating infrastructure and</w:t>
      </w:r>
      <w:r>
        <w:t xml:space="preserve"> </w:t>
      </w:r>
      <w:r>
        <w:t xml:space="preserve">sufficient quantities of green energy</w:t>
      </w:r>
      <w:r>
        <w:t xml:space="preserve"> </w:t>
      </w:r>
      <w:r>
        <w:t xml:space="preserve">being available should be sufficiently</w:t>
      </w:r>
      <w:r>
        <w:t xml:space="preserve"> </w:t>
      </w:r>
      <w:r>
        <w:t xml:space="preserve">reflected when assessing the risks of</w:t>
      </w:r>
      <w:r>
        <w:t xml:space="preserve"> </w:t>
      </w:r>
      <w:r>
        <w:t xml:space="preserve">targets not being achieved.</w:t>
      </w:r>
    </w:p>
    <w:p>
      <w:pPr>
        <w:pStyle w:val="BodyText"/>
      </w:pPr>
      <w:r>
        <w:t xml:space="preserve">The report should be clear on whether</w:t>
      </w:r>
      <w:r>
        <w:t xml:space="preserve"> </w:t>
      </w:r>
      <w:r>
        <w:t xml:space="preserve">A complete and transparent cost benefit</w:t>
      </w:r>
      <w:r>
        <w:t xml:space="preserve"> </w:t>
      </w:r>
      <w:r>
        <w:t xml:space="preserve">analysis has been added to the new Section</w:t>
      </w:r>
      <w:r>
        <w:t xml:space="preserve"> </w:t>
      </w:r>
      <w:r>
        <w:t xml:space="preserve">6.9.</w:t>
      </w:r>
    </w:p>
    <w:p>
      <w:pPr>
        <w:pStyle w:val="BodyText"/>
      </w:pPr>
      <w:r>
        <w:t xml:space="preserve">The issue of technology availability and</w:t>
      </w:r>
      <w:r>
        <w:t xml:space="preserve"> </w:t>
      </w:r>
      <w:r>
        <w:t xml:space="preserve">readiness has been clarified in Section 1.2.</w:t>
      </w:r>
      <w:r>
        <w:t xml:space="preserve"> </w:t>
      </w:r>
      <w:r>
        <w:t xml:space="preserve">Section 1.1 has been expanded to further</w:t>
      </w:r>
      <w:r>
        <w:t xml:space="preserve"> </w:t>
      </w:r>
      <w:r>
        <w:t xml:space="preserve">elaborate on the availability of green energy.</w:t>
      </w:r>
      <w:r>
        <w:t xml:space="preserve"> </w:t>
      </w:r>
      <w:r>
        <w:t xml:space="preserve">Annex 7 (notably Section 16.4) also explains</w:t>
      </w:r>
      <w:r>
        <w:t xml:space="preserve"> </w:t>
      </w:r>
      <w:r>
        <w:t xml:space="preserve">that the power sector is projected to</w:t>
      </w:r>
      <w:r>
        <w:t xml:space="preserve"> </w:t>
      </w:r>
      <w:r>
        <w:t xml:space="preserve">decarbonised at a faster pace than any other</w:t>
      </w:r>
      <w:r>
        <w:t xml:space="preserve"> </w:t>
      </w:r>
      <w:r>
        <w:t xml:space="preserve">sectors in the scenarios, consistently with the</w:t>
      </w:r>
      <w:r>
        <w:t xml:space="preserve"> </w:t>
      </w:r>
      <w:r>
        <w:t xml:space="preserve">Climate target Plan, Fit for 55 package and</w:t>
      </w:r>
      <w:r>
        <w:t xml:space="preserve"> </w:t>
      </w:r>
      <w:r>
        <w:t xml:space="preserve">REPowerEU scenarios.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each of the combinations of options is</w:t>
      </w:r>
      <w:r>
        <w:t xml:space="preserve"> </w:t>
      </w:r>
      <w:r>
        <w:t xml:space="preserve">effective in closing the identified HDV</w:t>
      </w:r>
      <w:r>
        <w:t xml:space="preserve"> </w:t>
      </w:r>
      <w:r>
        <w:t xml:space="preserve">CO2 reduction gap in a “fair” manner,</w:t>
      </w:r>
      <w:r>
        <w:t xml:space="preserve"> </w:t>
      </w:r>
      <w:r>
        <w:t xml:space="preserve">clearly indicating potential over or</w:t>
      </w:r>
      <w:r>
        <w:t xml:space="preserve"> </w:t>
      </w:r>
      <w:r>
        <w:t xml:space="preserve">under delivery.</w:t>
      </w:r>
      <w:r>
        <w:t xml:space="preserve"> </w:t>
      </w:r>
      <w:r>
        <w:t xml:space="preserve">The cumulative impact, in terms of CO2</w:t>
      </w:r>
      <w:r>
        <w:t xml:space="preserve"> </w:t>
      </w:r>
      <w:r>
        <w:t xml:space="preserve">savings, is presented in Section 6.2.1.3.1.</w:t>
      </w:r>
      <w:r>
        <w:t xml:space="preserve"> </w:t>
      </w:r>
      <w:r>
        <w:t xml:space="preserve">Chapter 7.2.1 clarifies which option is the</w:t>
      </w:r>
      <w:r>
        <w:t xml:space="preserve"> </w:t>
      </w:r>
      <w:r>
        <w:t xml:space="preserve">most likely to deliver the reduction required</w:t>
      </w:r>
      <w:r>
        <w:t xml:space="preserve"> </w:t>
      </w:r>
      <w:r>
        <w:t xml:space="preserve">from the HDV sector to deliver on climate</w:t>
      </w:r>
      <w:r>
        <w:t xml:space="preserve"> </w:t>
      </w:r>
      <w:r>
        <w:t xml:space="preserve">targets. In the same Section, Table 6 also</w:t>
      </w:r>
      <w:r>
        <w:t xml:space="preserve"> </w:t>
      </w:r>
      <w:r>
        <w:t xml:space="preserve">shows the gap under different options and</w:t>
      </w:r>
      <w:r>
        <w:t xml:space="preserve"> </w:t>
      </w:r>
      <w:r>
        <w:t xml:space="preserve">Section.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monetise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 benefits and bring the</w:t>
      </w:r>
      <w:r>
        <w:t xml:space="preserve"> </w:t>
      </w:r>
      <w:r>
        <w:t xml:space="preserve">estimates into the cost benefit analysis.</w:t>
      </w:r>
    </w:p>
    <w:p>
      <w:pPr>
        <w:pStyle w:val="BodyText"/>
      </w:pPr>
      <w:r>
        <w:t xml:space="preserve">It should clearly specify the appraisal</w:t>
      </w:r>
      <w:r>
        <w:t xml:space="preserve"> </w:t>
      </w:r>
      <w:r>
        <w:t xml:space="preserve">period and consistently use it in the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Both the costs and benefits for each</w:t>
      </w:r>
      <w:r>
        <w:t xml:space="preserve"> </w:t>
      </w:r>
      <w:r>
        <w:t xml:space="preserve">option (and subsequently the most</w:t>
      </w:r>
      <w:r>
        <w:t xml:space="preserve"> </w:t>
      </w:r>
      <w:r>
        <w:t xml:space="preserve">relevant</w:t>
      </w:r>
      <w:r>
        <w:t xml:space="preserve"> </w:t>
      </w:r>
      <w:r>
        <w:t xml:space="preserve">combinations</w:t>
      </w:r>
      <w:r>
        <w:t xml:space="preserve"> </w:t>
      </w:r>
      <w:r>
        <w:t xml:space="preserve">of</w:t>
      </w:r>
      <w:r>
        <w:t xml:space="preserve"> </w:t>
      </w:r>
      <w:r>
        <w:t xml:space="preserve">options)</w:t>
      </w:r>
      <w:r>
        <w:t xml:space="preserve"> </w:t>
      </w:r>
      <w:r>
        <w:t xml:space="preserve">should be presented in an aggregated</w:t>
      </w:r>
      <w:r>
        <w:t xml:space="preserve"> </w:t>
      </w:r>
      <w:r>
        <w:t xml:space="preserve">way, discounted over the appraisal</w:t>
      </w:r>
      <w:r>
        <w:t xml:space="preserve"> </w:t>
      </w:r>
      <w:r>
        <w:t xml:space="preserve">period and the Benefit Cost Ratios and</w:t>
      </w:r>
      <w:r>
        <w:t xml:space="preserve"> </w:t>
      </w:r>
      <w:r>
        <w:t xml:space="preserve">net benefits calculated.</w:t>
      </w:r>
      <w:r>
        <w:br/>
      </w:r>
      <w:r>
        <w:t xml:space="preserve">This should help to better assess and</w:t>
      </w:r>
      <w:r>
        <w:t xml:space="preserve"> </w:t>
      </w:r>
      <w:r>
        <w:t xml:space="preserve">compare</w:t>
      </w:r>
      <w:r>
        <w:t xml:space="preserve"> </w:t>
      </w:r>
      <w:r>
        <w:t xml:space="preserve">the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of</w:t>
      </w:r>
      <w:r>
        <w:t xml:space="preserve"> </w:t>
      </w:r>
      <w:r>
        <w:t xml:space="preserve">different combination of measures and</w:t>
      </w:r>
      <w:r>
        <w:t xml:space="preserve"> </w:t>
      </w:r>
      <w:r>
        <w:t xml:space="preserve">better inform decisions on issues left</w:t>
      </w:r>
      <w:r>
        <w:t xml:space="preserve"> </w:t>
      </w:r>
      <w:r>
        <w:t xml:space="preserve">open for decision makers, such as the</w:t>
      </w:r>
      <w:r>
        <w:t xml:space="preserve"> </w:t>
      </w:r>
      <w:r>
        <w:t xml:space="preserve">appropriate target level.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benefits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monetised in the new Section 6.9.</w:t>
      </w:r>
    </w:p>
    <w:p>
      <w:pPr>
        <w:pStyle w:val="BodyText"/>
      </w:pPr>
      <w:r>
        <w:t xml:space="preserve">The appraisal period is now consistent</w:t>
      </w:r>
      <w:r>
        <w:t xml:space="preserve"> </w:t>
      </w:r>
      <w:r>
        <w:t xml:space="preserve">throughout the report.</w:t>
      </w:r>
    </w:p>
    <w:p>
      <w:pPr>
        <w:pStyle w:val="BodyText"/>
      </w:pPr>
      <w:r>
        <w:t xml:space="preserve">A complete and transparent cost benefit</w:t>
      </w:r>
      <w:r>
        <w:t xml:space="preserve"> </w:t>
      </w:r>
      <w:r>
        <w:t xml:space="preserve">analysis for the most relevant combinations of</w:t>
      </w:r>
      <w:r>
        <w:t xml:space="preserve"> </w:t>
      </w:r>
      <w:r>
        <w:t xml:space="preserve">options has been added to the new Section</w:t>
      </w:r>
      <w:r>
        <w:t xml:space="preserve"> </w:t>
      </w:r>
      <w:r>
        <w:t xml:space="preserve">6.9. The different sub-section of Section 6</w:t>
      </w:r>
      <w:r>
        <w:t xml:space="preserve"> </w:t>
      </w:r>
      <w:r>
        <w:t xml:space="preserve">now clarify that the relevant costs and</w:t>
      </w:r>
      <w:r>
        <w:t xml:space="preserve"> </w:t>
      </w:r>
      <w:r>
        <w:t xml:space="preserve">benefits are discounted, and how.</w:t>
      </w:r>
    </w:p>
    <w:p>
      <w:pPr>
        <w:pStyle w:val="BodyText"/>
      </w:pPr>
      <w:r>
        <w:t xml:space="preserve">As modelling is the main source of</w:t>
      </w:r>
      <w:r>
        <w:t xml:space="preserve"> </w:t>
      </w:r>
      <w:r>
        <w:t xml:space="preserve">information and data for the assessment</w:t>
      </w:r>
      <w:r>
        <w:t xml:space="preserve"> </w:t>
      </w:r>
      <w:r>
        <w:t xml:space="preserve">of the impacts, the report should</w:t>
      </w:r>
      <w:r>
        <w:t xml:space="preserve"> </w:t>
      </w:r>
      <w:r>
        <w:t xml:space="preserve">provide as much additional data and</w:t>
      </w:r>
      <w:r>
        <w:t xml:space="preserve"> </w:t>
      </w:r>
      <w:r>
        <w:t xml:space="preserve">analysis as possible to support the</w:t>
      </w:r>
      <w:r>
        <w:t xml:space="preserve"> </w:t>
      </w:r>
      <w:r>
        <w:t xml:space="preserve">credibility of the analysis. The main</w:t>
      </w:r>
      <w:r>
        <w:t xml:space="preserve"> </w:t>
      </w:r>
      <w:r>
        <w:t xml:space="preserve">and</w:t>
      </w:r>
      <w:r>
        <w:t xml:space="preserve"> </w:t>
      </w:r>
      <w:r>
        <w:t xml:space="preserve">most</w:t>
      </w:r>
      <w:r>
        <w:t xml:space="preserve"> </w:t>
      </w:r>
      <w:r>
        <w:t xml:space="preserve">relevant</w:t>
      </w:r>
      <w:r>
        <w:t xml:space="preserve"> </w:t>
      </w:r>
      <w:r>
        <w:t xml:space="preserve">assumptions</w:t>
      </w:r>
      <w:r>
        <w:t xml:space="preserve"> </w:t>
      </w:r>
      <w:r>
        <w:t xml:space="preserve">underpinning the models should be</w:t>
      </w:r>
      <w:r>
        <w:t xml:space="preserve"> </w:t>
      </w:r>
      <w:r>
        <w:t xml:space="preserve">transparently presented in the report</w:t>
      </w:r>
      <w:r>
        <w:t xml:space="preserve"> </w:t>
      </w:r>
      <w:r>
        <w:t xml:space="preserve">and the details of the models included</w:t>
      </w:r>
      <w:r>
        <w:t xml:space="preserve"> </w:t>
      </w:r>
      <w:r>
        <w:t xml:space="preserve">in the Annex.</w:t>
      </w:r>
      <w:r>
        <w:br/>
      </w:r>
      <w:r>
        <w:t xml:space="preserve">Uncertainties, in particular the ones</w:t>
      </w:r>
      <w:r>
        <w:t xml:space="preserve"> </w:t>
      </w:r>
      <w:r>
        <w:t xml:space="preserve">influencing the results, should be</w:t>
      </w:r>
      <w:r>
        <w:t xml:space="preserve"> </w:t>
      </w:r>
      <w:r>
        <w:t xml:space="preserve">clearly identified and analysed. The</w:t>
      </w:r>
      <w:r>
        <w:t xml:space="preserve"> </w:t>
      </w:r>
      <w:r>
        <w:t xml:space="preserve">results of the sensitivity analysis should</w:t>
      </w:r>
      <w:r>
        <w:t xml:space="preserve"> </w:t>
      </w:r>
      <w:r>
        <w:t xml:space="preserve">also be included in the Annex to the</w:t>
      </w:r>
      <w:r>
        <w:t xml:space="preserve"> </w:t>
      </w:r>
      <w:r>
        <w:t xml:space="preserve">report. A sensitivity analysis of the 3</w:t>
      </w:r>
      <w:r>
        <w:t xml:space="preserve"> </w:t>
      </w:r>
      <w:r>
        <w:t xml:space="preserve">key elements of the Total Cost of</w:t>
      </w:r>
      <w:r>
        <w:t xml:space="preserve"> </w:t>
      </w:r>
      <w:r>
        <w:t xml:space="preserve">Ownership should be included.</w:t>
      </w:r>
      <w:r>
        <w:br/>
      </w:r>
      <w:r>
        <w:t xml:space="preserve">Key information on the methodologies</w:t>
      </w:r>
      <w:r>
        <w:t xml:space="preserve"> </w:t>
      </w:r>
      <w:r>
        <w:t xml:space="preserve">underpinning the economic analysis of</w:t>
      </w:r>
      <w:r>
        <w:t xml:space="preserve"> </w:t>
      </w:r>
      <w:r>
        <w:t xml:space="preserve">the REPowerEU Plan as well as the</w:t>
      </w:r>
      <w:r>
        <w:t xml:space="preserve"> </w:t>
      </w:r>
      <w:r>
        <w:t xml:space="preserve">monetisation of environmental benefits</w:t>
      </w:r>
      <w:r>
        <w:t xml:space="preserve"> </w:t>
      </w:r>
      <w:r>
        <w:t xml:space="preserve">Section 5.1 and Section 6.1 have been expandd</w:t>
      </w:r>
      <w:r>
        <w:t xml:space="preserve"> </w:t>
      </w:r>
      <w:r>
        <w:t xml:space="preserve">to provide addtitional data and information on</w:t>
      </w:r>
      <w:r>
        <w:t xml:space="preserve"> </w:t>
      </w:r>
      <w:r>
        <w:t xml:space="preserve">the main assumptions and on the model used.</w:t>
      </w:r>
      <w:r>
        <w:t xml:space="preserve"> </w:t>
      </w:r>
      <w:r>
        <w:t xml:space="preserve">Section</w:t>
      </w:r>
      <w:r>
        <w:t xml:space="preserve"> </w:t>
      </w:r>
      <w:r>
        <w:t xml:space="preserve">5.1</w:t>
      </w:r>
      <w:r>
        <w:t xml:space="preserve"> </w:t>
      </w:r>
      <w:r>
        <w:t xml:space="preserve">also</w:t>
      </w:r>
      <w:r>
        <w:t xml:space="preserve"> </w:t>
      </w:r>
      <w:r>
        <w:t xml:space="preserve">provides</w:t>
      </w:r>
      <w:r>
        <w:t xml:space="preserve"> </w:t>
      </w:r>
      <w:r>
        <w:t xml:space="preserve">additional</w:t>
      </w:r>
      <w:r>
        <w:t xml:space="preserve"> </w:t>
      </w:r>
      <w:r>
        <w:t xml:space="preserve">information on model results. Annexes 4 and 9</w:t>
      </w:r>
      <w:r>
        <w:t xml:space="preserve"> </w:t>
      </w:r>
      <w:r>
        <w:t xml:space="preserve">have also been improved to the same aim.</w:t>
      </w:r>
      <w:r>
        <w:br/>
      </w:r>
      <w:r>
        <w:t xml:space="preserve">Two sensitivity analysis (one on techology</w:t>
      </w:r>
      <w:r>
        <w:t xml:space="preserve"> </w:t>
      </w:r>
      <w:r>
        <w:t xml:space="preserve">costs and another on energy prices) have been</w:t>
      </w:r>
      <w:r>
        <w:t xml:space="preserve"> </w:t>
      </w:r>
      <w:r>
        <w:t xml:space="preserve">performed. Their results are presented in</w:t>
      </w:r>
      <w:r>
        <w:t xml:space="preserve"> </w:t>
      </w:r>
      <w:r>
        <w:t xml:space="preserve">Section 6.2.1.1.1 and in more detail in Annex</w:t>
      </w:r>
      <w:r>
        <w:t xml:space="preserve"> </w:t>
      </w:r>
      <w:r>
        <w:t xml:space="preserve">9. The sensitivity analysis confirms the trends</w:t>
      </w:r>
      <w:r>
        <w:t xml:space="preserve"> </w:t>
      </w:r>
      <w:r>
        <w:t xml:space="preserve">observed in the main scenarios assessed in</w:t>
      </w:r>
      <w:r>
        <w:t xml:space="preserve"> </w:t>
      </w:r>
      <w:r>
        <w:t xml:space="preserve">terms of impacts.</w:t>
      </w:r>
      <w:r>
        <w:t xml:space="preserve"> </w:t>
      </w:r>
      <w:r>
        <w:t xml:space="preserve">The description of the REPowerEU scenario</w:t>
      </w:r>
      <w:r>
        <w:t xml:space="preserve"> </w:t>
      </w:r>
      <w:r>
        <w:t xml:space="preserve">has been added to Section 5.1 and Annex 4.</w:t>
      </w:r>
      <w:r>
        <w:t xml:space="preserve"> </w:t>
      </w:r>
      <w:r>
        <w:t xml:space="preserve">Environmental benefits have been monerised</w:t>
      </w:r>
      <w:r>
        <w:t xml:space="preserve"> </w:t>
      </w:r>
      <w:r>
        <w:t xml:space="preserve">in the new Section 6.9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should be summarised and included.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systematically</w:t>
      </w:r>
      <w:r>
        <w:t xml:space="preserve"> </w:t>
      </w:r>
      <w:r>
        <w:t xml:space="preserve">include the views of stakeholder</w:t>
      </w:r>
      <w:r>
        <w:t xml:space="preserve"> </w:t>
      </w:r>
      <w:r>
        <w:t xml:space="preserve">groups, including dissenting views,</w:t>
      </w:r>
      <w:r>
        <w:t xml:space="preserve"> </w:t>
      </w:r>
      <w:r>
        <w:t xml:space="preserve">when analysing the impacts of the</w:t>
      </w:r>
      <w:r>
        <w:t xml:space="preserve"> </w:t>
      </w:r>
      <w:r>
        <w:t xml:space="preserve">different options.</w:t>
      </w:r>
      <w:r>
        <w:br/>
      </w:r>
      <w:r>
        <w:t xml:space="preserve">It should clarify whether a dedicated</w:t>
      </w:r>
      <w:r>
        <w:t xml:space="preserve"> </w:t>
      </w:r>
      <w:r>
        <w:t xml:space="preserve">SME test has been carried out.</w:t>
      </w:r>
      <w:r>
        <w:br/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further</w:t>
      </w:r>
      <w:r>
        <w:t xml:space="preserve"> </w:t>
      </w:r>
      <w:r>
        <w:t xml:space="preserve">elaborate</w:t>
      </w:r>
      <w:r>
        <w:t xml:space="preserve"> </w:t>
      </w:r>
      <w:r>
        <w:t xml:space="preserve">the</w:t>
      </w:r>
      <w:r>
        <w:t xml:space="preserve"> </w:t>
      </w:r>
      <w:r>
        <w:t xml:space="preserve">distributional</w:t>
      </w:r>
      <w:r>
        <w:t xml:space="preserve"> </w:t>
      </w:r>
      <w:r>
        <w:t xml:space="preserve">impacts,</w:t>
      </w:r>
      <w:r>
        <w:t xml:space="preserve"> </w:t>
      </w:r>
      <w:r>
        <w:t xml:space="preserve">including</w:t>
      </w:r>
      <w:r>
        <w:t xml:space="preserve"> </w:t>
      </w:r>
      <w:r>
        <w:t xml:space="preserve">whether some Member States will be</w:t>
      </w:r>
      <w:r>
        <w:t xml:space="preserve"> </w:t>
      </w:r>
      <w:r>
        <w:t xml:space="preserve">more affected than others.</w:t>
      </w:r>
      <w:r>
        <w:t xml:space="preserve"> </w:t>
      </w:r>
      <w:r>
        <w:t xml:space="preserve">Section 6 has been expanded to include the</w:t>
      </w:r>
      <w:r>
        <w:t xml:space="preserve"> </w:t>
      </w:r>
      <w:r>
        <w:t xml:space="preserve">views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groups,</w:t>
      </w:r>
      <w:r>
        <w:t xml:space="preserve"> </w:t>
      </w:r>
      <w:r>
        <w:t xml:space="preserve">including</w:t>
      </w:r>
      <w:r>
        <w:t xml:space="preserve"> </w:t>
      </w:r>
      <w:r>
        <w:t xml:space="preserve">dissenting ones.</w:t>
      </w:r>
    </w:p>
    <w:p>
      <w:pPr>
        <w:pStyle w:val="BodyText"/>
      </w:pPr>
      <w:r>
        <w:t xml:space="preserve">The new Section 6.1.3 clairfies that the SME</w:t>
      </w:r>
      <w:r>
        <w:t xml:space="preserve"> </w:t>
      </w:r>
      <w:r>
        <w:t xml:space="preserve">test has been performed.</w:t>
      </w:r>
      <w:r>
        <w:t xml:space="preserve"> </w:t>
      </w:r>
      <w:r>
        <w:t xml:space="preserve">Section 6.2.1.2 have been expanded to describe</w:t>
      </w:r>
      <w:r>
        <w:t xml:space="preserve"> </w:t>
      </w:r>
      <w:r>
        <w:t xml:space="preserve">how transport operators can be affected in</w:t>
      </w:r>
      <w:r>
        <w:t xml:space="preserve"> </w:t>
      </w:r>
      <w:r>
        <w:t xml:space="preserve">different Member States</w:t>
      </w:r>
      <w:r>
        <w:t xml:space="preserve"> </w:t>
      </w:r>
      <w:r>
        <w:t xml:space="preserve">The report should clarify whether the</w:t>
      </w:r>
      <w:r>
        <w:t xml:space="preserve"> </w:t>
      </w:r>
      <w:r>
        <w:t xml:space="preserve">monitoring and reporting obligations</w:t>
      </w:r>
      <w:r>
        <w:t xml:space="preserve"> </w:t>
      </w:r>
      <w:r>
        <w:t xml:space="preserve">are already in place for the vehicle</w:t>
      </w:r>
      <w:r>
        <w:t xml:space="preserve"> </w:t>
      </w:r>
      <w:r>
        <w:t xml:space="preserve">groups brought into scope and should</w:t>
      </w:r>
      <w:r>
        <w:t xml:space="preserve"> </w:t>
      </w:r>
      <w:r>
        <w:t xml:space="preserve">add a separate section on the one in,</w:t>
      </w:r>
      <w:r>
        <w:t xml:space="preserve"> </w:t>
      </w:r>
      <w:r>
        <w:t xml:space="preserve">one out approach and be clear on the</w:t>
      </w:r>
      <w:r>
        <w:t xml:space="preserve"> </w:t>
      </w:r>
      <w:r>
        <w:t xml:space="preserve">costs and savings in scope of that</w:t>
      </w:r>
      <w:r>
        <w:t xml:space="preserve"> </w:t>
      </w:r>
      <w:r>
        <w:t xml:space="preserve">approach</w:t>
      </w:r>
      <w:r>
        <w:t xml:space="preserve"> </w:t>
      </w:r>
      <w:r>
        <w:t xml:space="preserve">taking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into</w:t>
      </w:r>
      <w:r>
        <w:t xml:space="preserve"> </w:t>
      </w:r>
      <w:r>
        <w:t xml:space="preserve">account.</w:t>
      </w:r>
      <w:r>
        <w:t xml:space="preserve"> </w:t>
      </w:r>
      <w:r>
        <w:t xml:space="preserve">A new section 6.11 “One in, One out” has been</w:t>
      </w:r>
      <w:r>
        <w:t xml:space="preserve"> </w:t>
      </w:r>
      <w:r>
        <w:t xml:space="preserve">added to the report. It explicitely mentions that</w:t>
      </w:r>
      <w:r>
        <w:t xml:space="preserve"> </w:t>
      </w:r>
      <w:r>
        <w:t xml:space="preserve">all the monitoring and reporting obligations are</w:t>
      </w:r>
      <w:r>
        <w:t xml:space="preserve"> </w:t>
      </w:r>
      <w:r>
        <w:t xml:space="preserve">already in place for all the vehicle groups,</w:t>
      </w:r>
      <w:r>
        <w:t xml:space="preserve"> </w:t>
      </w:r>
      <w:r>
        <w:t xml:space="preserve">including the ones currently not within the</w:t>
      </w:r>
      <w:r>
        <w:t xml:space="preserve"> </w:t>
      </w:r>
      <w:r>
        <w:t xml:space="preserve">scope of the current Regulation.</w:t>
      </w:r>
    </w:p>
    <w:p>
      <w:pPr>
        <w:pStyle w:val="BodyText"/>
      </w:pPr>
      <w:r>
        <w:t xml:space="preserve">DG CLIMA consulted in writing the ISG in October 2022 and then submitted the revised</w:t>
      </w:r>
      <w:r>
        <w:t xml:space="preserve"> </w:t>
      </w:r>
      <w:r>
        <w:t xml:space="preserve">draft Impact Assessment to the Regulatory Scrutiny Board on 8 November 2022. The</w:t>
      </w:r>
      <w:r>
        <w:t xml:space="preserve"> </w:t>
      </w:r>
      <w:r>
        <w:t xml:space="preserve">board then issued, on 6 December 2022, a positive opinion with the following</w:t>
      </w:r>
      <w:r>
        <w:t xml:space="preserve"> </w:t>
      </w:r>
      <w:r>
        <w:t xml:space="preserve">reservations.</w:t>
      </w:r>
    </w:p>
    <w:p>
      <w:pPr>
        <w:pStyle w:val="BodyText"/>
      </w:pPr>
      <w:r>
        <w:t xml:space="preserve">Main RSB findings</w:t>
      </w:r>
      <w:r>
        <w:t xml:space="preserve"> </w:t>
      </w:r>
      <w:r>
        <w:t xml:space="preserve">Response</w:t>
      </w:r>
      <w:r>
        <w:t xml:space="preserve"> </w:t>
      </w:r>
      <w:r>
        <w:t xml:space="preserve">The report does not sufficiently discuss</w:t>
      </w:r>
      <w:r>
        <w:t xml:space="preserve"> </w:t>
      </w:r>
      <w:r>
        <w:t xml:space="preserve">the constraints and risks arising from</w:t>
      </w:r>
      <w:r>
        <w:t xml:space="preserve"> </w:t>
      </w:r>
      <w:r>
        <w:t xml:space="preserve">the potential underdeployment of key</w:t>
      </w:r>
      <w:r>
        <w:t xml:space="preserve"> </w:t>
      </w:r>
      <w:r>
        <w:t xml:space="preserve">technologies and infrastructures</w:t>
      </w:r>
      <w:r>
        <w:t xml:space="preserve"> </w:t>
      </w:r>
      <w:r>
        <w:t xml:space="preserve">Section 6.3.1 has been expanded explaining</w:t>
      </w:r>
      <w:r>
        <w:t xml:space="preserve"> </w:t>
      </w:r>
      <w:r>
        <w:t xml:space="preserve">the issue related to the availability of the</w:t>
      </w:r>
      <w:r>
        <w:t xml:space="preserve"> </w:t>
      </w:r>
      <w:r>
        <w:t xml:space="preserve">relevant technology and the infrastructure.</w:t>
      </w:r>
    </w:p>
    <w:p>
      <w:pPr>
        <w:pStyle w:val="BodyText"/>
      </w:pPr>
      <w:r>
        <w:t xml:space="preserve">The analysis of proportionality of the</w:t>
      </w:r>
      <w:r>
        <w:t xml:space="preserve"> </w:t>
      </w:r>
      <w:r>
        <w:t xml:space="preserve">most relevant combinations of options</w:t>
      </w:r>
      <w:r>
        <w:t xml:space="preserve"> </w:t>
      </w:r>
      <w:r>
        <w:t xml:space="preserve">is not sufficiently developed.</w:t>
      </w:r>
      <w:r>
        <w:t xml:space="preserve"> </w:t>
      </w:r>
      <w:r>
        <w:t xml:space="preserve">The ratio between benefits and costs for the</w:t>
      </w:r>
      <w:r>
        <w:t xml:space="preserve"> </w:t>
      </w:r>
      <w:r>
        <w:t xml:space="preserve">most relevant combinations of options has</w:t>
      </w:r>
      <w:r>
        <w:t xml:space="preserve"> </w:t>
      </w:r>
      <w:r>
        <w:t xml:space="preserve">been added to Section 6.10.2</w:t>
      </w:r>
    </w:p>
    <w:p>
      <w:pPr>
        <w:pStyle w:val="BodyText"/>
      </w:pPr>
      <w:r>
        <w:t xml:space="preserve">The Board also mentioned the following improvements needed, which were addressed in</w:t>
      </w:r>
      <w:r>
        <w:t xml:space="preserve"> </w:t>
      </w:r>
      <w:r>
        <w:t xml:space="preserve">the revised impact assessment report as indicated below.</w:t>
      </w:r>
      <w:r>
        <w:t xml:space="preserve"> </w:t>
      </w:r>
      <w:r>
        <w:t xml:space="preserve">RSB opinion: “what to improve”</w:t>
      </w:r>
      <w:r>
        <w:t xml:space="preserve"> </w:t>
      </w:r>
      <w:r>
        <w:t xml:space="preserve">Response</w:t>
      </w:r>
      <w:r>
        <w:t xml:space="preserve"> </w:t>
      </w:r>
      <w:r>
        <w:t xml:space="preserve">The report should further elaborate on</w:t>
      </w:r>
      <w:r>
        <w:t xml:space="preserve"> </w:t>
      </w:r>
      <w:r>
        <w:t xml:space="preserve">the issue of constraints arising from the</w:t>
      </w:r>
      <w:r>
        <w:t xml:space="preserve"> </w:t>
      </w:r>
      <w:r>
        <w:t xml:space="preserve">potential under deployment of key</w:t>
      </w:r>
      <w:r>
        <w:t xml:space="preserve"> </w:t>
      </w:r>
      <w:r>
        <w:t xml:space="preserve">technologies</w:t>
      </w:r>
      <w:r>
        <w:t xml:space="preserve"> </w:t>
      </w:r>
      <w:r>
        <w:t xml:space="preserve">and</w:t>
      </w:r>
      <w:r>
        <w:t xml:space="preserve"> </w:t>
      </w:r>
      <w:r>
        <w:t xml:space="preserve">supporting</w:t>
      </w:r>
      <w:r>
        <w:t xml:space="preserve"> </w:t>
      </w:r>
      <w:r>
        <w:t xml:space="preserve">infrastructure for zero emissions HDVs,</w:t>
      </w:r>
      <w:r>
        <w:t xml:space="preserve"> </w:t>
      </w:r>
      <w:r>
        <w:t xml:space="preserve">and the risk of insufficient availability</w:t>
      </w:r>
      <w:r>
        <w:t xml:space="preserve"> </w:t>
      </w:r>
      <w:r>
        <w:t xml:space="preserve">of green electricity.</w:t>
      </w:r>
      <w:r>
        <w:br/>
      </w:r>
      <w:r>
        <w:t xml:space="preserve">Section 6.3.1 has been expanded explaining</w:t>
      </w:r>
      <w:r>
        <w:t xml:space="preserve"> </w:t>
      </w:r>
      <w:r>
        <w:t xml:space="preserve">the issue related to the availability of the</w:t>
      </w:r>
      <w:r>
        <w:t xml:space="preserve"> </w:t>
      </w:r>
      <w:r>
        <w:t xml:space="preserve">relevant technology and the infrastructure.</w:t>
      </w:r>
      <w:r>
        <w:br/>
      </w:r>
      <w:r>
        <w:t xml:space="preserve">The expected share of green electricity has</w:t>
      </w:r>
      <w:r>
        <w:t xml:space="preserve"> </w:t>
      </w:r>
      <w:r>
        <w:t xml:space="preserve">been added to Section 6.3.1.1.3.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All uncertainties, in particular the ones</w:t>
      </w:r>
      <w:r>
        <w:t xml:space="preserve"> </w:t>
      </w:r>
      <w:r>
        <w:t xml:space="preserve">influencing the incremental results,</w:t>
      </w:r>
      <w:r>
        <w:t xml:space="preserve"> </w:t>
      </w:r>
      <w:r>
        <w:t xml:space="preserve">should be better reflected in the</w:t>
      </w:r>
      <w:r>
        <w:t xml:space="preserve"> </w:t>
      </w:r>
      <w:r>
        <w:t xml:space="preserve">modelling with their potential impact on</w:t>
      </w:r>
      <w:r>
        <w:t xml:space="preserve"> </w:t>
      </w:r>
      <w:r>
        <w:t xml:space="preserve">the model results clearly highlighted.</w:t>
      </w:r>
      <w:r>
        <w:t xml:space="preserve"> </w:t>
      </w:r>
      <w:r>
        <w:t xml:space="preserve">The uncertainties of technology costs and</w:t>
      </w:r>
      <w:r>
        <w:t xml:space="preserve"> </w:t>
      </w:r>
      <w:r>
        <w:t xml:space="preserve">energy prices are assessed in Section 6.2.1.1.1</w:t>
      </w:r>
      <w:r>
        <w:t xml:space="preserve"> </w:t>
      </w:r>
      <w:r>
        <w:t xml:space="preserve">and in more detail in Annex 9</w:t>
      </w:r>
    </w:p>
    <w:p>
      <w:pPr>
        <w:pStyle w:val="BodyText"/>
      </w:pPr>
      <w:r>
        <w:t xml:space="preserve">The report should further improve the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proportionality.</w:t>
      </w:r>
      <w:r>
        <w:t xml:space="preserve"> </w:t>
      </w:r>
      <w:r>
        <w:t xml:space="preserve">Proportionality considerations should</w:t>
      </w:r>
      <w:r>
        <w:t xml:space="preserve"> </w:t>
      </w:r>
      <w:r>
        <w:t xml:space="preserve">include all costs and benefits. Although</w:t>
      </w:r>
      <w:r>
        <w:t xml:space="preserve"> </w:t>
      </w:r>
      <w:r>
        <w:t xml:space="preserve">the report presents the net impacts for</w:t>
      </w:r>
      <w:r>
        <w:t xml:space="preserve"> </w:t>
      </w:r>
      <w:r>
        <w:t xml:space="preserve">the most relevant combinations of</w:t>
      </w:r>
      <w:r>
        <w:t xml:space="preserve"> </w:t>
      </w:r>
      <w:r>
        <w:t xml:space="preserve">options, it should also calculate the</w:t>
      </w:r>
      <w:r>
        <w:t xml:space="preserve"> </w:t>
      </w:r>
      <w:r>
        <w:t xml:space="preserve">Benefit Cost Ratios so that the available</w:t>
      </w:r>
      <w:r>
        <w:t xml:space="preserve"> </w:t>
      </w:r>
      <w:r>
        <w:t xml:space="preserve">choices in terms of differences in</w:t>
      </w:r>
      <w:r>
        <w:t xml:space="preserve"> </w:t>
      </w:r>
      <w:r>
        <w:t xml:space="preserve">efficiency are clear.</w:t>
      </w:r>
      <w:r>
        <w:br/>
      </w:r>
      <w:r>
        <w:t xml:space="preserve">The report should also more clearly</w:t>
      </w:r>
      <w:r>
        <w:t xml:space="preserve"> </w:t>
      </w:r>
      <w:r>
        <w:t xml:space="preserve">present the effectiveness of the most</w:t>
      </w:r>
      <w:r>
        <w:t xml:space="preserve"> </w:t>
      </w:r>
      <w:r>
        <w:t xml:space="preserve">relevant options (in terms of CO2</w:t>
      </w:r>
      <w:r>
        <w:t xml:space="preserve"> </w:t>
      </w:r>
      <w:r>
        <w:t xml:space="preserve">emission reduction capacity).</w:t>
      </w:r>
      <w:r>
        <w:t xml:space="preserve"> </w:t>
      </w:r>
      <w:r>
        <w:t xml:space="preserve">The ratio between benefits and costs for the</w:t>
      </w:r>
      <w:r>
        <w:t xml:space="preserve"> </w:t>
      </w:r>
      <w:r>
        <w:t xml:space="preserve">most relevant combinations of options has</w:t>
      </w:r>
      <w:r>
        <w:t xml:space="preserve"> </w:t>
      </w:r>
      <w:r>
        <w:t xml:space="preserve">been added to Section 6.10.</w:t>
      </w:r>
    </w:p>
    <w:p>
      <w:pPr>
        <w:pStyle w:val="BodyText"/>
      </w:pPr>
      <w:r>
        <w:t xml:space="preserve">The CO2 emission savings of the most</w:t>
      </w:r>
      <w:r>
        <w:t xml:space="preserve"> </w:t>
      </w:r>
      <w:r>
        <w:t xml:space="preserve">relevant options is added in paragraph 6.10.1</w:t>
      </w:r>
      <w:r>
        <w:t xml:space="preserve"> </w:t>
      </w:r>
      <w:r>
        <w:t xml:space="preserve">The cumulative costs and benefits of</w:t>
      </w:r>
      <w:r>
        <w:t xml:space="preserve"> </w:t>
      </w:r>
      <w:r>
        <w:t xml:space="preserve">the</w:t>
      </w:r>
      <w:r>
        <w:t xml:space="preserve"> </w:t>
      </w:r>
      <w:r>
        <w:t xml:space="preserve">politically</w:t>
      </w:r>
      <w:r>
        <w:t xml:space="preserve"> </w:t>
      </w:r>
      <w:r>
        <w:t xml:space="preserve">most</w:t>
      </w:r>
      <w:r>
        <w:t xml:space="preserve"> </w:t>
      </w:r>
      <w:r>
        <w:t xml:space="preserve">relevant</w:t>
      </w:r>
      <w:r>
        <w:t xml:space="preserve"> </w:t>
      </w:r>
      <w:r>
        <w:t xml:space="preserve">combinations of options should be</w:t>
      </w:r>
      <w:r>
        <w:t xml:space="preserve"> </w:t>
      </w:r>
      <w:r>
        <w:t xml:space="preserve">clearly presented in the relevant section</w:t>
      </w:r>
      <w:r>
        <w:t xml:space="preserve"> </w:t>
      </w:r>
      <w:r>
        <w:t xml:space="preserve">of the report, including in the chapter</w:t>
      </w:r>
      <w:r>
        <w:t xml:space="preserve"> </w:t>
      </w:r>
      <w:r>
        <w:t xml:space="preserve">on the preferred option. Given that the</w:t>
      </w:r>
      <w:r>
        <w:t xml:space="preserve"> </w:t>
      </w:r>
      <w:r>
        <w:t xml:space="preserve">prefered option on the ambition of the</w:t>
      </w:r>
      <w:r>
        <w:t xml:space="preserve"> </w:t>
      </w:r>
      <w:r>
        <w:t xml:space="preserve">targets is to be established at the</w:t>
      </w:r>
      <w:r>
        <w:t xml:space="preserve"> </w:t>
      </w:r>
      <w:r>
        <w:t xml:space="preserve">political level, this chapter as well as</w:t>
      </w:r>
      <w:r>
        <w:t xml:space="preserve"> </w:t>
      </w:r>
      <w:r>
        <w:t xml:space="preserve">Annex 3 should clearly recall the key</w:t>
      </w:r>
      <w:r>
        <w:t xml:space="preserve"> </w:t>
      </w:r>
      <w:r>
        <w:t xml:space="preserve">impacts of each of the three identified</w:t>
      </w:r>
      <w:r>
        <w:t xml:space="preserve"> </w:t>
      </w:r>
      <w:r>
        <w:t xml:space="preserve">target level options in terms of costs</w:t>
      </w:r>
      <w:r>
        <w:t xml:space="preserve"> </w:t>
      </w:r>
      <w:r>
        <w:t xml:space="preserve">and benefits, so that the available trade-</w:t>
      </w:r>
      <w:r>
        <w:t xml:space="preserve"> </w:t>
      </w:r>
      <w:r>
        <w:t xml:space="preserve">offs,</w:t>
      </w:r>
      <w:r>
        <w:t xml:space="preserve"> </w:t>
      </w:r>
      <w:r>
        <w:t xml:space="preserve">related</w:t>
      </w:r>
      <w:r>
        <w:t xml:space="preserve"> </w:t>
      </w:r>
      <w:r>
        <w:t xml:space="preserve">uncertainties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risks</w:t>
      </w:r>
      <w:r>
        <w:t xml:space="preserve"> </w:t>
      </w:r>
      <w:r>
        <w:t xml:space="preserve">are</w:t>
      </w:r>
      <w:r>
        <w:t xml:space="preserve"> </w:t>
      </w:r>
      <w:r>
        <w:t xml:space="preserve">clearly</w:t>
      </w:r>
      <w:r>
        <w:t xml:space="preserve"> </w:t>
      </w:r>
      <w:r>
        <w:t xml:space="preserve">identified and presented.</w:t>
      </w:r>
    </w:p>
    <w:p>
      <w:pPr>
        <w:pStyle w:val="BodyText"/>
      </w:pPr>
      <w:r>
        <w:t xml:space="preserve">The costs and benefits of the politically most</w:t>
      </w:r>
      <w:r>
        <w:t xml:space="preserve"> </w:t>
      </w:r>
      <w:r>
        <w:t xml:space="preserve">relevant combinations of options have been</w:t>
      </w:r>
      <w:r>
        <w:t xml:space="preserve"> </w:t>
      </w:r>
      <w:r>
        <w:t xml:space="preserve">added to chapter 8 and to Annex 3.</w:t>
      </w:r>
      <w:r>
        <w:t xml:space="preserve"> </w:t>
      </w:r>
      <w:r>
        <w:t xml:space="preserve">The report should elaborate on and</w:t>
      </w:r>
      <w:r>
        <w:t xml:space="preserve"> </w:t>
      </w:r>
      <w:r>
        <w:t xml:space="preserve">assess in more detail the impact of the</w:t>
      </w:r>
      <w:r>
        <w:t xml:space="preserve"> </w:t>
      </w:r>
      <w:r>
        <w:t xml:space="preserve">most relevant combinations of options</w:t>
      </w:r>
      <w:r>
        <w:t xml:space="preserve"> </w:t>
      </w:r>
      <w:r>
        <w:t xml:space="preserve">on the international competitiveness of</w:t>
      </w:r>
      <w:r>
        <w:t xml:space="preserve"> </w:t>
      </w:r>
      <w:r>
        <w:t xml:space="preserve">the EU HDV sector</w:t>
      </w:r>
      <w:r>
        <w:t xml:space="preserve"> </w:t>
      </w:r>
      <w:r>
        <w:t xml:space="preserve">Section 6.3.1.1.6 has been expanded to better</w:t>
      </w:r>
      <w:r>
        <w:t xml:space="preserve"> </w:t>
      </w:r>
      <w:r>
        <w:t xml:space="preserve">elaborate on the impact on competitiveness</w:t>
      </w:r>
      <w:r>
        <w:t xml:space="preserve"> </w:t>
      </w:r>
      <w:r>
        <w:t xml:space="preserve">In view of the uncertainties and</w:t>
      </w:r>
      <w:r>
        <w:t xml:space="preserve"> </w:t>
      </w:r>
      <w:r>
        <w:t xml:space="preserve">dynamics</w:t>
      </w:r>
      <w:r>
        <w:t xml:space="preserve"> </w:t>
      </w:r>
      <w:r>
        <w:t xml:space="preserve">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and</w:t>
      </w:r>
      <w:r>
        <w:t xml:space="preserve"> </w:t>
      </w:r>
      <w:r>
        <w:t xml:space="preserve">infrastructure deployment, the report</w:t>
      </w:r>
      <w:r>
        <w:t xml:space="preserve"> </w:t>
      </w:r>
      <w:r>
        <w:t xml:space="preserve">should clarify when an evaluation will</w:t>
      </w:r>
      <w:r>
        <w:t xml:space="preserve"> </w:t>
      </w:r>
      <w:r>
        <w:t xml:space="preserve">be conducted.</w:t>
      </w:r>
    </w:p>
    <w:p>
      <w:pPr>
        <w:pStyle w:val="BodyText"/>
      </w:pPr>
      <w:r>
        <w:t xml:space="preserve">A possible date for the evaluation has been</w:t>
      </w:r>
      <w:r>
        <w:t xml:space="preserve"> </w:t>
      </w:r>
      <w:r>
        <w:t xml:space="preserve">added to Section 9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1.4.</w:t>
      </w:r>
      <w:r>
        <w:t xml:space="preserve"> </w:t>
      </w:r>
      <w:r>
        <w:t xml:space="preserve">10.4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The preparation of the Impact Assessment has benefitted from several sources of</w:t>
      </w:r>
      <w:r>
        <w:t xml:space="preserve"> </w:t>
      </w:r>
      <w:r>
        <w:t xml:space="preserve">evidence and analysis.</w:t>
      </w:r>
      <w:r>
        <w:br/>
      </w:r>
      <w:r>
        <w:t xml:space="preserve">The Impact Assessment report builds on a range of scenarios developed with the</w:t>
      </w:r>
      <w:r>
        <w:t xml:space="preserve"> </w:t>
      </w:r>
      <w:r>
        <w:t xml:space="preserve">PRIMES-TREMOVE model to perform the quantitative assessment of the economic,</w:t>
      </w:r>
      <w:r>
        <w:t xml:space="preserve"> </w:t>
      </w:r>
      <w:r>
        <w:t xml:space="preserve">energy and environmental impacts. This analysis is complemented with other modelling</w:t>
      </w:r>
      <w:r>
        <w:t xml:space="preserve"> </w:t>
      </w:r>
      <w:r>
        <w:t xml:space="preserve">tools, such as E3ME (for the macro-economic impacts) and the JRC DIONE model</w:t>
      </w:r>
      <w:r>
        <w:t xml:space="preserve"> </w:t>
      </w:r>
      <w:r>
        <w:t xml:space="preserve">developed for assessing impacts at manufacturer (category) level (see Annex 4 for more</w:t>
      </w:r>
      <w:r>
        <w:t xml:space="preserve"> </w:t>
      </w:r>
      <w:r>
        <w:t xml:space="preserve">details on the models used and other methodological considerations).</w:t>
      </w:r>
      <w:r>
        <w:br/>
      </w:r>
      <w:r>
        <w:t xml:space="preserve">Monitoring data on CO2 emissions and other characteristics of the new heavy-duty</w:t>
      </w:r>
      <w:r>
        <w:t xml:space="preserve"> </w:t>
      </w:r>
      <w:r>
        <w:t xml:space="preserve">vehicle fleet was sourced from the annual monitoring data as reported by Member States</w:t>
      </w:r>
      <w:r>
        <w:t xml:space="preserve"> </w:t>
      </w:r>
      <w:r>
        <w:t xml:space="preserve">and collected by the European Environment Agency (EEA) under Regulation (EU)</w:t>
      </w:r>
      <w:r>
        <w:t xml:space="preserve"> </w:t>
      </w:r>
      <w:r>
        <w:t xml:space="preserve">2019/1242.</w:t>
      </w:r>
      <w:r>
        <w:t xml:space="preserve"> </w:t>
      </w:r>
      <w:r>
        <w:t xml:space="preserve">Further information, as the quantitative and qualitative assessment of impacts and the</w:t>
      </w:r>
      <w:r>
        <w:t xml:space="preserve"> </w:t>
      </w:r>
      <w:r>
        <w:t xml:space="preserve">analysis of the input from stakeholders, was supported by a specific technical support</w:t>
      </w:r>
      <w:r>
        <w:t xml:space="preserve"> </w:t>
      </w:r>
      <w:r>
        <w:t xml:space="preserve">contract commissioned from external contractors. The analysis included a substantial</w:t>
      </w:r>
      <w:r>
        <w:t xml:space="preserve"> </w:t>
      </w:r>
      <w:r>
        <w:t xml:space="preserve">literature review aiming at informing the assessment with the latest academic and</w:t>
      </w:r>
      <w:r>
        <w:t xml:space="preserve"> </w:t>
      </w:r>
      <w:r>
        <w:t xml:space="preserve">research findings on the relevant topics.</w:t>
      </w:r>
    </w:p>
    <w:p>
      <w:pPr>
        <w:pStyle w:val="BodyText"/>
      </w:pPr>
      <w:r>
        <w:t xml:space="preserve">10</w:t>
      </w:r>
    </w:p>
    <w:p>
      <w:pPr>
        <w:pStyle w:val="Compact"/>
        <w:numPr>
          <w:ilvl w:val="0"/>
          <w:numId w:val="1003"/>
        </w:numPr>
      </w:pPr>
      <w:r>
        <w:t xml:space="preserve">ANNEX 2: STAKEHOLDER CONSULTATION (SYNOPSIS</w:t>
      </w:r>
      <w:r>
        <w:t xml:space="preserve"> </w:t>
      </w:r>
      <w:r>
        <w:t xml:space="preserve">REPORT)</w:t>
      </w:r>
      <w:r>
        <w:t xml:space="preserve"> </w:t>
      </w:r>
      <w:r>
        <w:t xml:space="preserve">1.5.</w:t>
      </w:r>
      <w:r>
        <w:t xml:space="preserve"> </w:t>
      </w:r>
      <w:r>
        <w:t xml:space="preserve">11.1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annex provides a qualitative and quantitative analytical overview of the results of all</w:t>
      </w:r>
      <w:r>
        <w:t xml:space="preserve"> </w:t>
      </w:r>
      <w:r>
        <w:t xml:space="preserve">stakeholder consultation activities, among others: ‘call for evidence’ on the impact</w:t>
      </w:r>
      <w:r>
        <w:t xml:space="preserve"> </w:t>
      </w:r>
      <w:r>
        <w:t xml:space="preserve">assessment, public consultation and targeted consultations.</w:t>
      </w:r>
      <w:r>
        <w:t xml:space="preserve"> </w:t>
      </w:r>
      <w:r>
        <w:t xml:space="preserve">To ensure that the public interest of the Union is well reflected in the revision of this</w:t>
      </w:r>
      <w:r>
        <w:t xml:space="preserve"> </w:t>
      </w:r>
      <w:r>
        <w:t xml:space="preserve">initiative, the Commission sought wide feedback from stakeholders, based on a</w:t>
      </w:r>
      <w:r>
        <w:t xml:space="preserve"> </w:t>
      </w:r>
      <w:r>
        <w:t xml:space="preserve">Consultation Strategy, through the following elements:</w:t>
      </w:r>
      <w:r>
        <w:t xml:space="preserve"> </w:t>
      </w:r>
      <w:r>
        <w:t xml:space="preserve"></w:t>
      </w:r>
      <w:r>
        <w:t xml:space="preserve"> </w:t>
      </w:r>
      <w:r>
        <w:t xml:space="preserve">An open public consultation based on a questionnaire conducted online from 20</w:t>
      </w:r>
      <w:r>
        <w:t xml:space="preserve"> </w:t>
      </w:r>
      <w:r>
        <w:t xml:space="preserve">December 2021 to 14 March 2022</w:t>
      </w:r>
      <w:r>
        <w:t xml:space="preserve"> </w:t>
      </w:r>
      <w:r>
        <w:t xml:space="preserve"></w:t>
      </w:r>
      <w:r>
        <w:t xml:space="preserve"> </w:t>
      </w:r>
      <w:r>
        <w:t xml:space="preserve">Coetaneous feedback on the Call for Evidence for the impact assessment (20</w:t>
      </w:r>
      <w:r>
        <w:t xml:space="preserve"> </w:t>
      </w:r>
      <w:r>
        <w:t xml:space="preserve">December 2021 until 14 March 2022)</w:t>
      </w:r>
      <w:r>
        <w:t xml:space="preserve"> </w:t>
      </w:r>
      <w:r>
        <w:t xml:space="preserve"></w:t>
      </w:r>
      <w:r>
        <w:t xml:space="preserve"> </w:t>
      </w:r>
      <w:r>
        <w:t xml:space="preserve">Meetings with relevant associations representing industry (vehicle manufacturers,</w:t>
      </w:r>
      <w:r>
        <w:t xml:space="preserve"> </w:t>
      </w:r>
      <w:r>
        <w:t xml:space="preserve">components suppliers, transport operators, etc.), NGOs, etc.</w:t>
      </w:r>
      <w:r>
        <w:t xml:space="preserve"> </w:t>
      </w:r>
      <w:r>
        <w:t xml:space="preserve"></w:t>
      </w:r>
      <w:r>
        <w:t xml:space="preserve"> </w:t>
      </w:r>
      <w:r>
        <w:t xml:space="preserve">Bilateral meetings with Member State authorities, vehicle manufacturers,</w:t>
      </w:r>
      <w:r>
        <w:t xml:space="preserve"> </w:t>
      </w:r>
      <w:r>
        <w:t xml:space="preserve">suppliers, transport operators, social partners and NGOs</w:t>
      </w:r>
      <w:r>
        <w:t xml:space="preserve"> </w:t>
      </w:r>
      <w:r>
        <w:t xml:space="preserve"></w:t>
      </w:r>
      <w:r>
        <w:t xml:space="preserve"> </w:t>
      </w:r>
      <w:r>
        <w:t xml:space="preserve">Position papers submitted by stakeholders or authorities in the Member States</w:t>
      </w:r>
      <w:r>
        <w:t xml:space="preserve"> </w:t>
      </w:r>
      <w:r>
        <w:t xml:space="preserve">The following relevant stakeholder groups have been identified:</w:t>
      </w:r>
      <w:r>
        <w:br/>
      </w:r>
      <w:r>
        <w:t xml:space="preserve"></w:t>
      </w:r>
      <w:r>
        <w:t xml:space="preserve"> </w:t>
      </w:r>
      <w:r>
        <w:t xml:space="preserve">Member States (national, regional authorities)</w:t>
      </w:r>
      <w:r>
        <w:t xml:space="preserve"> </w:t>
      </w:r>
      <w:r>
        <w:t xml:space="preserve"></w:t>
      </w:r>
      <w:r>
        <w:t xml:space="preserve"> </w:t>
      </w:r>
      <w:r>
        <w:t xml:space="preserve">Vehicle manufacturers</w:t>
      </w:r>
      <w:r>
        <w:br/>
      </w:r>
      <w:r>
        <w:t xml:space="preserve"></w:t>
      </w:r>
      <w:r>
        <w:t xml:space="preserve"> </w:t>
      </w:r>
      <w:r>
        <w:t xml:space="preserve">Component suppliers</w:t>
      </w:r>
      <w:r>
        <w:t xml:space="preserve"> </w:t>
      </w:r>
      <w:r>
        <w:t xml:space="preserve"></w:t>
      </w:r>
      <w:r>
        <w:t xml:space="preserve"> </w:t>
      </w:r>
      <w:r>
        <w:t xml:space="preserve">Vehicle purchasers (freight and passenger transport operators, procuring entities)</w:t>
      </w:r>
      <w:r>
        <w:t xml:space="preserve"> </w:t>
      </w:r>
      <w:r>
        <w:t xml:space="preserve"></w:t>
      </w:r>
      <w:r>
        <w:t xml:space="preserve"> </w:t>
      </w:r>
      <w:r>
        <w:t xml:space="preserve">Energy suppliers</w:t>
      </w:r>
      <w:r>
        <w:br/>
      </w:r>
      <w:r>
        <w:t xml:space="preserve"></w:t>
      </w:r>
      <w:r>
        <w:t xml:space="preserve"> </w:t>
      </w:r>
      <w:r>
        <w:t xml:space="preserve">Environmental and transport NGOs</w:t>
      </w:r>
      <w:r>
        <w:t xml:space="preserve"> </w:t>
      </w:r>
      <w:r>
        <w:t xml:space="preserve"></w:t>
      </w:r>
      <w:r>
        <w:t xml:space="preserve"> </w:t>
      </w:r>
      <w:r>
        <w:t xml:space="preserve">Social partners</w:t>
      </w:r>
      <w:r>
        <w:t xml:space="preserve"> </w:t>
      </w:r>
      <w:r>
        <w:t xml:space="preserve"></w:t>
      </w:r>
      <w:r>
        <w:t xml:space="preserve"> </w:t>
      </w:r>
      <w:r>
        <w:t xml:space="preserve">Research and academia</w:t>
      </w:r>
      <w:r>
        <w:t xml:space="preserve"> </w:t>
      </w:r>
      <w:r>
        <w:t xml:space="preserve">The main purpose of the consultation was to verify the completeness and accuracy of the</w:t>
      </w:r>
      <w:r>
        <w:t xml:space="preserve"> </w:t>
      </w:r>
      <w:r>
        <w:t xml:space="preserve">information available to the Commission and to enhance its understanding of the views</w:t>
      </w:r>
      <w:r>
        <w:t xml:space="preserve"> </w:t>
      </w:r>
      <w:r>
        <w:t xml:space="preserve">of stakeholders regarding different aspects of the possible revision of the HDV CO2</w:t>
      </w:r>
      <w:r>
        <w:t xml:space="preserve"> </w:t>
      </w:r>
      <w:r>
        <w:t xml:space="preserve">Regulation. Stakeholders’ views have been an important element of input to this impact</w:t>
      </w:r>
      <w:r>
        <w:t xml:space="preserve"> </w:t>
      </w:r>
      <w:r>
        <w:t xml:space="preserve">assessment. A detailed summary and the results of both the public consultation and the</w:t>
      </w:r>
      <w:r>
        <w:t xml:space="preserve"> </w:t>
      </w:r>
      <w:r>
        <w:t xml:space="preserve">feedback on the call for evidence are presented below.</w:t>
      </w:r>
      <w:r>
        <w:t xml:space="preserve"> </w:t>
      </w:r>
      <w:r>
        <w:t xml:space="preserve">1.6.</w:t>
      </w:r>
      <w:r>
        <w:t xml:space="preserve"> </w:t>
      </w:r>
      <w:r>
        <w:t xml:space="preserve">11.2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An on-line public consultation was carried out between 20 December 2021 and 14 March</w:t>
      </w:r>
      <w:r>
        <w:t xml:space="preserve"> </w:t>
      </w:r>
      <w:r>
        <w:t xml:space="preserve">2022 via ‘Have Your Say’ portal1, based on the on the EU Survey tool2. Respondents</w:t>
      </w:r>
      <w:r>
        <w:t xml:space="preserve"> </w:t>
      </w:r>
      <w:r>
        <w:t xml:space="preserve">found a questionnaire entailing mostly multiple choice but also open questions with wide</w:t>
      </w:r>
      <w:r>
        <w:t xml:space="preserve"> </w:t>
      </w:r>
      <w:r>
        <w:t xml:space="preserve">room for including additional views and comments in open format. The consultation was</w:t>
      </w:r>
      <w:r>
        <w:t xml:space="preserve"> </w:t>
      </w:r>
      <w:r>
        <w:t xml:space="preserve">divided into seven sections, starting with a question on the objectives, followed by others</w:t>
      </w:r>
    </w:p>
    <w:p>
      <w:pPr>
        <w:pStyle w:val="FirstParagraph"/>
      </w:pPr>
      <w:r>
        <w:t xml:space="preserve">1https://ec.europa.eu/info/law/better-regulation/have-your-say/initiatives/13168-Reducing-carbon-</w:t>
      </w:r>
      <w:r>
        <w:t xml:space="preserve"> </w:t>
      </w:r>
      <w:r>
        <w:t xml:space="preserve">emissions-review-of-emission-standards-for-heavy-duty-vehicles_en</w:t>
      </w:r>
      <w:r>
        <w:br/>
      </w:r>
      <w:r>
        <w:t xml:space="preserve">2 https://ec.europa.eu/eusurvey/runner/HDVCO2reviewsurvey2021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related to policy design. At the end of the questionnaire stakeholders were invited to</w:t>
      </w:r>
      <w:r>
        <w:t xml:space="preserve"> </w:t>
      </w:r>
      <w:r>
        <w:t xml:space="preserve">provide final comments and to submit any relevant documents. The key issues addressed</w:t>
      </w:r>
      <w:r>
        <w:t xml:space="preserve"> </w:t>
      </w:r>
      <w:r>
        <w:t xml:space="preserve">were as follows:</w:t>
      </w:r>
      <w:r>
        <w:t xml:space="preserve"> </w:t>
      </w:r>
      <w:r>
        <w:t xml:space="preserve">1.</w:t>
      </w:r>
      <w:r>
        <w:t xml:space="preserve"> </w:t>
      </w:r>
      <w:r>
        <w:t xml:space="preserve">The objectives of the reviewed CO2 performance standards for heavy-duty</w:t>
      </w:r>
      <w:r>
        <w:t xml:space="preserve"> </w:t>
      </w:r>
      <w:r>
        <w:t xml:space="preserve">vehicles.</w:t>
      </w:r>
      <w:r>
        <w:t xml:space="preserve"> </w:t>
      </w:r>
      <w:r>
        <w:t xml:space="preserve">2.</w:t>
      </w:r>
      <w:r>
        <w:t xml:space="preserve"> </w:t>
      </w:r>
      <w:r>
        <w:t xml:space="preserve">New and existing targets:</w:t>
      </w:r>
      <w:r>
        <w:t xml:space="preserve"> </w:t>
      </w:r>
      <w:r>
        <w:t xml:space="preserve"></w:t>
      </w:r>
      <w:r>
        <w:t xml:space="preserve"> </w:t>
      </w:r>
      <w:r>
        <w:t xml:space="preserve">The ambition and timing of the future CO2 emission targets for regulated</w:t>
      </w:r>
      <w:r>
        <w:t xml:space="preserve"> </w:t>
      </w:r>
      <w:r>
        <w:t xml:space="preserve">vehicles (revising existing targets).</w:t>
      </w:r>
      <w:r>
        <w:t xml:space="preserve"> </w:t>
      </w:r>
      <w:r>
        <w:t xml:space="preserve"></w:t>
      </w:r>
      <w:r>
        <w:t xml:space="preserve"> </w:t>
      </w:r>
      <w:r>
        <w:t xml:space="preserve">The possibility to extend the scope to unregulated vehicles (setting new</w:t>
      </w:r>
      <w:r>
        <w:t xml:space="preserve"> </w:t>
      </w:r>
      <w:r>
        <w:t xml:space="preserve">targets for other type of vehicles).</w:t>
      </w:r>
      <w:r>
        <w:t xml:space="preserve"> </w:t>
      </w:r>
      <w:r>
        <w:t xml:space="preserve"></w:t>
      </w:r>
      <w:r>
        <w:t xml:space="preserve"> </w:t>
      </w:r>
      <w:r>
        <w:t xml:space="preserve">Possible targets for all new vehicles to be zero emission.</w:t>
      </w:r>
      <w:r>
        <w:t xml:space="preserve"> </w:t>
      </w:r>
      <w:r>
        <w:t xml:space="preserve">3.</w:t>
      </w:r>
      <w:r>
        <w:t xml:space="preserve"> </w:t>
      </w:r>
      <w:r>
        <w:t xml:space="preserve">Incentives mechanisms for zero- and low-emission HDV.</w:t>
      </w:r>
      <w:r>
        <w:t xml:space="preserve"> </w:t>
      </w:r>
      <w:r>
        <w:t xml:space="preserve">4.</w:t>
      </w:r>
      <w:r>
        <w:t xml:space="preserve"> </w:t>
      </w:r>
      <w:r>
        <w:t xml:space="preserve">Contribution of renewable and low-carbon fuels.</w:t>
      </w:r>
      <w:r>
        <w:t xml:space="preserve"> </w:t>
      </w:r>
      <w:r>
        <w:t xml:space="preserve">5.</w:t>
      </w:r>
      <w:r>
        <w:t xml:space="preserve"> </w:t>
      </w:r>
      <w:r>
        <w:t xml:space="preserve">Other elements of the regulatory approach:</w:t>
      </w:r>
      <w:r>
        <w:t xml:space="preserve"> </w:t>
      </w:r>
      <w:r>
        <w:t xml:space="preserve"></w:t>
      </w:r>
      <w:r>
        <w:t xml:space="preserve"> </w:t>
      </w:r>
      <w:r>
        <w:t xml:space="preserve">Pooling</w:t>
      </w:r>
      <w:r>
        <w:t xml:space="preserve"> </w:t>
      </w:r>
      <w:r>
        <w:t xml:space="preserve"></w:t>
      </w:r>
      <w:r>
        <w:t xml:space="preserve"> </w:t>
      </w:r>
      <w:r>
        <w:t xml:space="preserve">Exemptions for small volume manufacturers.</w:t>
      </w:r>
      <w:r>
        <w:t xml:space="preserve"> </w:t>
      </w:r>
      <w:r>
        <w:t xml:space="preserve"></w:t>
      </w:r>
      <w:r>
        <w:t xml:space="preserve"> </w:t>
      </w:r>
      <w:r>
        <w:t xml:space="preserve">Excess emission premiums.</w:t>
      </w:r>
      <w:r>
        <w:t xml:space="preserve"> </w:t>
      </w:r>
      <w:r>
        <w:t xml:space="preserve"></w:t>
      </w:r>
      <w:r>
        <w:t xml:space="preserve"> </w:t>
      </w:r>
      <w:r>
        <w:t xml:space="preserve">Energy efficiency standards for trailers.</w:t>
      </w:r>
      <w:r>
        <w:t xml:space="preserve"> </w:t>
      </w:r>
      <w:r>
        <w:t xml:space="preserve">6.</w:t>
      </w:r>
      <w:r>
        <w:t xml:space="preserve"> </w:t>
      </w:r>
      <w:r>
        <w:t xml:space="preserve">Potential impacts of the review.</w:t>
      </w:r>
    </w:p>
    <w:p>
      <w:pPr>
        <w:pStyle w:val="BodyText"/>
      </w:pPr>
      <w:r>
        <w:t xml:space="preserve">The Commission made available all the documents under consultation into all official EU</w:t>
      </w:r>
      <w:r>
        <w:t xml:space="preserve"> </w:t>
      </w:r>
      <w:r>
        <w:t xml:space="preserve">languages. Stakeholders could reply in any official EU language, though the use of</w:t>
      </w:r>
      <w:r>
        <w:t xml:space="preserve"> </w:t>
      </w:r>
      <w:r>
        <w:t xml:space="preserve">English language was encouraged. Detailed contributions by stakeholders including their</w:t>
      </w:r>
      <w:r>
        <w:t xml:space="preserve"> </w:t>
      </w:r>
      <w:r>
        <w:t xml:space="preserve">annexed documents were published on the ‘Have your say’ portal.3</w:t>
      </w:r>
      <w:r>
        <w:t xml:space="preserve"> </w:t>
      </w:r>
      <w:r>
        <w:t xml:space="preserve">1.7.</w:t>
      </w:r>
      <w:r>
        <w:t xml:space="preserve"> </w:t>
      </w:r>
      <w:r>
        <w:t xml:space="preserve">11.3</w:t>
      </w:r>
      <w:r>
        <w:t xml:space="preserve"> </w:t>
      </w:r>
      <w:r>
        <w:t xml:space="preserve">Results of the public consultation</w:t>
      </w:r>
      <w:r>
        <w:t xml:space="preserve"> </w:t>
      </w:r>
      <w:r>
        <w:t xml:space="preserve">11.3.1</w:t>
      </w:r>
      <w:r>
        <w:t xml:space="preserve"> </w:t>
      </w:r>
      <w:r>
        <w:t xml:space="preserve">Distribution of replies</w:t>
      </w:r>
      <w:r>
        <w:t xml:space="preserve"> </w:t>
      </w:r>
      <w:r>
        <w:t xml:space="preserve">The results of the public consultation are presented below for each key element. The</w:t>
      </w:r>
      <w:r>
        <w:t xml:space="preserve"> </w:t>
      </w:r>
      <w:r>
        <w:t xml:space="preserve">replies are differentiated across stakeholder groups and summarised as factually as</w:t>
      </w:r>
      <w:r>
        <w:t xml:space="preserve"> </w:t>
      </w:r>
      <w:r>
        <w:t xml:space="preserve">possible. The summary considers diverging views between or within stakeholder groups.</w:t>
      </w:r>
      <w:r>
        <w:t xml:space="preserve"> </w:t>
      </w:r>
      <w:r>
        <w:t xml:space="preserve">The consultation received 137 valid replies in total,4 of which 64 (47% of the total) were</w:t>
      </w:r>
      <w:r>
        <w:t xml:space="preserve"> </w:t>
      </w:r>
      <w:r>
        <w:t xml:space="preserve">received from company / business organisations5 and 44 (32%) from business</w:t>
      </w:r>
      <w:r>
        <w:t xml:space="preserve"> </w:t>
      </w:r>
      <w:r>
        <w:t xml:space="preserve">associations, which include automotive manufacturers, fuel and electricity suppliers, as</w:t>
      </w:r>
      <w:r>
        <w:t xml:space="preserve"> </w:t>
      </w:r>
      <w:r>
        <w:t xml:space="preserve">well as other entities representing the automotive industry; nearly 80% of the responses</w:t>
      </w:r>
      <w:r>
        <w:t xml:space="preserve"> </w:t>
      </w:r>
      <w:r>
        <w:t xml:space="preserve">received were from industry organisations. There were 12 responses from EU citizens</w:t>
      </w:r>
    </w:p>
    <w:p>
      <w:pPr>
        <w:pStyle w:val="BodyText"/>
      </w:pPr>
      <w:r>
        <w:t xml:space="preserve">3https://ec.europa.eu/info/law/better-regulation/have-your-say/initiatives/13168-Reducing-carbon-</w:t>
      </w:r>
      <w:r>
        <w:t xml:space="preserve"> </w:t>
      </w:r>
      <w:r>
        <w:t xml:space="preserve">emissions-review-of-emission-standards-for-heavy-duty-vehicles/public-consultation_en</w:t>
      </w:r>
      <w:r>
        <w:br/>
      </w:r>
      <w:r>
        <w:t xml:space="preserve">4 A total of 138 contributions were received, but one of them was submitted twice.</w:t>
      </w:r>
      <w:r>
        <w:t xml:space="preserve"> </w:t>
      </w:r>
      <w:r>
        <w:t xml:space="preserve">5 Most respondents that classified themselves as a ‘company / business organisation’ were individual</w:t>
      </w:r>
      <w:r>
        <w:t xml:space="preserve"> </w:t>
      </w:r>
      <w:r>
        <w:t xml:space="preserve">companies, although there were some company groupings under this heading. It is not clear why the latter</w:t>
      </w:r>
      <w:r>
        <w:t xml:space="preserve"> </w:t>
      </w:r>
      <w:r>
        <w:t xml:space="preserve">chose to identify themselves as a ‘business organisation’, rather than under the alternative category of</w:t>
      </w:r>
      <w:r>
        <w:t xml:space="preserve"> </w:t>
      </w:r>
      <w:r>
        <w:t xml:space="preserve">‘business association’.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(9% of the total) and 9 (7%) from NGOs. The 6 responses from public authorities (4% of</w:t>
      </w:r>
      <w:r>
        <w:t xml:space="preserve"> </w:t>
      </w:r>
      <w:r>
        <w:t xml:space="preserve">the total) were all from national administrations, representing five different Member</w:t>
      </w:r>
      <w:r>
        <w:t xml:space="preserve"> </w:t>
      </w:r>
      <w:r>
        <w:t xml:space="preserve">States and Norway. The remaining 2 responses (1% of the total) were from organisations</w:t>
      </w:r>
      <w:r>
        <w:t xml:space="preserve"> </w:t>
      </w:r>
      <w:r>
        <w:t xml:space="preserve">that classified themselves as ‘Other’.</w:t>
      </w:r>
      <w:r>
        <w:br/>
      </w:r>
      <w:r>
        <w:t xml:space="preserve">When considering the responses to individual questions by stakeholder category, these</w:t>
      </w:r>
      <w:r>
        <w:t xml:space="preserve"> </w:t>
      </w:r>
      <w:r>
        <w:t xml:space="preserve">are grouped as follows: industry, meaning ‘business associations’ and ‘company /</w:t>
      </w:r>
      <w:r>
        <w:t xml:space="preserve"> </w:t>
      </w:r>
      <w:r>
        <w:t xml:space="preserve">business organisations’ (covering 79% of responses); citizens (9%); public authorities</w:t>
      </w:r>
      <w:r>
        <w:t xml:space="preserve"> </w:t>
      </w:r>
      <w:r>
        <w:t xml:space="preserve">(4%); and other stakeholders (8%) that covers the remaining categories (i.e., NGOs and</w:t>
      </w:r>
      <w:r>
        <w:t xml:space="preserve"> </w:t>
      </w:r>
      <w:r>
        <w:t xml:space="preserve">organisations that classified themselves as ‘Other’). The breakdown by category is</w:t>
      </w:r>
      <w:r>
        <w:t xml:space="preserve"> </w:t>
      </w:r>
      <w:r>
        <w:t xml:space="preserve">presented in Table 1 below.</w:t>
      </w:r>
      <w:r>
        <w:br/>
      </w:r>
      <w:r>
        <w:t xml:space="preserve">The six respondents self-identified as ‘public authority’, are National authorities: the</w:t>
      </w:r>
      <w:r>
        <w:t xml:space="preserve"> </w:t>
      </w:r>
      <w:r>
        <w:t xml:space="preserve">National Ministers of Transport / Communications from Finland, Latvia and Italy, the</w:t>
      </w:r>
      <w:r>
        <w:t xml:space="preserve"> </w:t>
      </w:r>
      <w:r>
        <w:t xml:space="preserve">Environment Ministry of Estonia, the Environment Agency of Germany and the</w:t>
      </w:r>
      <w:r>
        <w:t xml:space="preserve"> </w:t>
      </w:r>
      <w:r>
        <w:t xml:space="preserve">Norwegian Public Roads Administration, a public body in Norway. No contributions</w:t>
      </w:r>
      <w:r>
        <w:t xml:space="preserve"> </w:t>
      </w:r>
      <w:r>
        <w:t xml:space="preserve">from National Parliaments were received.</w:t>
      </w:r>
      <w:r>
        <w:br/>
      </w:r>
      <w:r>
        <w:t xml:space="preserve">Table 1: Distribution of respondents by category</w:t>
      </w:r>
      <w:r>
        <w:t xml:space="preserve"> </w:t>
      </w:r>
      <w:r>
        <w:t xml:space="preserve">Category</w:t>
      </w:r>
      <w:r>
        <w:t xml:space="preserve"> </w:t>
      </w:r>
      <w:r>
        <w:t xml:space="preserve">Number of</w:t>
      </w:r>
      <w:r>
        <w:t xml:space="preserve"> </w:t>
      </w:r>
      <w:r>
        <w:t xml:space="preserve">respondents</w:t>
      </w:r>
      <w:r>
        <w:t xml:space="preserve"> </w:t>
      </w:r>
      <w:r>
        <w:t xml:space="preserve">Percentage of total number of</w:t>
      </w:r>
      <w:r>
        <w:t xml:space="preserve"> </w:t>
      </w:r>
      <w:r>
        <w:t xml:space="preserve">respondents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64</w:t>
      </w:r>
      <w:r>
        <w:t xml:space="preserve"> </w:t>
      </w:r>
      <w:r>
        <w:t xml:space="preserve">47%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44</w:t>
      </w:r>
      <w:r>
        <w:t xml:space="preserve"> </w:t>
      </w:r>
      <w:r>
        <w:t xml:space="preserve">32%</w:t>
      </w:r>
      <w:r>
        <w:t xml:space="preserve"> </w:t>
      </w:r>
      <w:r>
        <w:t xml:space="preserve">EU citizen</w:t>
      </w:r>
      <w:r>
        <w:t xml:space="preserve"> </w:t>
      </w:r>
      <w:r>
        <w:t xml:space="preserve">12</w:t>
      </w:r>
      <w:r>
        <w:t xml:space="preserve"> </w:t>
      </w:r>
      <w:r>
        <w:t xml:space="preserve">9%</w:t>
      </w:r>
      <w:r>
        <w:t xml:space="preserve"> </w:t>
      </w:r>
      <w:r>
        <w:t xml:space="preserve">NGO (Non-governmental</w:t>
      </w:r>
      <w:r>
        <w:t xml:space="preserve"> </w:t>
      </w:r>
      <w:r>
        <w:t xml:space="preserve">organisation)</w:t>
      </w:r>
      <w:r>
        <w:t xml:space="preserve"> </w:t>
      </w:r>
      <w:r>
        <w:t xml:space="preserve">9</w:t>
      </w:r>
      <w:r>
        <w:t xml:space="preserve"> </w:t>
      </w:r>
      <w:r>
        <w:t xml:space="preserve">7%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6</w:t>
      </w:r>
      <w:r>
        <w:t xml:space="preserve"> </w:t>
      </w:r>
      <w:r>
        <w:t xml:space="preserve">4%</w:t>
      </w:r>
      <w:r>
        <w:t xml:space="preserve"> </w:t>
      </w:r>
      <w:r>
        <w:t xml:space="preserve">Other</w:t>
      </w:r>
      <w:r>
        <w:t xml:space="preserve"> </w:t>
      </w:r>
      <w:r>
        <w:t xml:space="preserve">2</w:t>
      </w:r>
      <w:r>
        <w:t xml:space="preserve"> </w:t>
      </w:r>
      <w:r>
        <w:t xml:space="preserve">1%</w:t>
      </w:r>
      <w:r>
        <w:t xml:space="preserve"> </w:t>
      </w:r>
      <w:r>
        <w:t xml:space="preserve">Total</w:t>
      </w:r>
      <w:r>
        <w:t xml:space="preserve"> </w:t>
      </w:r>
      <w:r>
        <w:t xml:space="preserve">137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Responses from industry stakeholders are further broken down by industry sub-category.</w:t>
      </w:r>
      <w:r>
        <w:t xml:space="preserve"> </w:t>
      </w:r>
      <w:r>
        <w:t xml:space="preserve">The distribution within these sub-categories is presented in following Table 2.</w:t>
      </w:r>
      <w:r>
        <w:t xml:space="preserve"> </w:t>
      </w:r>
      <w:r>
        <w:t xml:space="preserve">Table 2: Business structure of industry respondents</w:t>
      </w:r>
      <w:r>
        <w:t xml:space="preserve"> </w:t>
      </w:r>
      <w:r>
        <w:t xml:space="preserve">Category</w:t>
      </w:r>
      <w:r>
        <w:t xml:space="preserve"> </w:t>
      </w:r>
      <w:r>
        <w:t xml:space="preserve">Number of</w:t>
      </w:r>
      <w:r>
        <w:t xml:space="preserve"> </w:t>
      </w:r>
      <w:r>
        <w:t xml:space="preserve">respondents</w:t>
      </w:r>
      <w:r>
        <w:t xml:space="preserve"> </w:t>
      </w:r>
      <w:r>
        <w:t xml:space="preserve">Percentage of total</w:t>
      </w:r>
      <w:r>
        <w:t xml:space="preserve"> </w:t>
      </w:r>
      <w:r>
        <w:t xml:space="preserve">number of respondents</w:t>
      </w:r>
      <w:r>
        <w:t xml:space="preserve"> </w:t>
      </w:r>
      <w:r>
        <w:t xml:space="preserve">Vehicle manufacturers</w:t>
      </w:r>
      <w:r>
        <w:t xml:space="preserve"> </w:t>
      </w:r>
      <w:r>
        <w:t xml:space="preserve">17</w:t>
      </w:r>
      <w:r>
        <w:t xml:space="preserve"> </w:t>
      </w:r>
      <w:r>
        <w:t xml:space="preserve">16%</w:t>
      </w:r>
      <w:r>
        <w:t xml:space="preserve"> </w:t>
      </w:r>
      <w:r>
        <w:t xml:space="preserve">Component suppliers</w:t>
      </w:r>
      <w:r>
        <w:t xml:space="preserve"> </w:t>
      </w:r>
      <w:r>
        <w:t xml:space="preserve">10</w:t>
      </w:r>
      <w:r>
        <w:t xml:space="preserve"> </w:t>
      </w:r>
      <w:r>
        <w:t xml:space="preserve">9%</w:t>
      </w:r>
      <w:r>
        <w:t xml:space="preserve"> </w:t>
      </w:r>
      <w:r>
        <w:t xml:space="preserve">Industry (representing</w:t>
      </w:r>
      <w:r>
        <w:t xml:space="preserve"> </w:t>
      </w:r>
      <w:r>
        <w:t xml:space="preserve">manufacturers and suppliers)</w:t>
      </w:r>
      <w:r>
        <w:t xml:space="preserve"> </w:t>
      </w:r>
      <w:r>
        <w:t xml:space="preserve">4</w:t>
      </w:r>
      <w:r>
        <w:t xml:space="preserve"> </w:t>
      </w:r>
      <w:r>
        <w:t xml:space="preserve">4%</w:t>
      </w:r>
      <w:r>
        <w:t xml:space="preserve"> </w:t>
      </w:r>
      <w:r>
        <w:t xml:space="preserve">Logistics and transport operation</w:t>
      </w:r>
      <w:r>
        <w:t xml:space="preserve"> </w:t>
      </w:r>
      <w:r>
        <w:t xml:space="preserve">17</w:t>
      </w:r>
      <w:r>
        <w:t xml:space="preserve"> </w:t>
      </w:r>
      <w:r>
        <w:t xml:space="preserve">16%</w:t>
      </w:r>
      <w:r>
        <w:t xml:space="preserve"> </w:t>
      </w:r>
      <w:r>
        <w:t xml:space="preserve">Suppliers of fuels and gases</w:t>
      </w:r>
      <w:r>
        <w:t xml:space="preserve"> </w:t>
      </w:r>
      <w:r>
        <w:t xml:space="preserve">41</w:t>
      </w:r>
      <w:r>
        <w:t xml:space="preserve"> </w:t>
      </w:r>
      <w:r>
        <w:t xml:space="preserve">38%</w:t>
      </w:r>
      <w:r>
        <w:t xml:space="preserve"> </w:t>
      </w:r>
      <w:r>
        <w:t xml:space="preserve">Suppliers of alternative zero-</w:t>
      </w:r>
      <w:r>
        <w:t xml:space="preserve"> </w:t>
      </w:r>
      <w:r>
        <w:t xml:space="preserve">emission fuels (electricity and</w:t>
      </w:r>
      <w:r>
        <w:t xml:space="preserve"> </w:t>
      </w:r>
      <w:r>
        <w:t xml:space="preserve">hydrogen)</w:t>
      </w:r>
      <w:r>
        <w:t xml:space="preserve"> </w:t>
      </w:r>
      <w:r>
        <w:t xml:space="preserve">9</w:t>
      </w:r>
      <w:r>
        <w:t xml:space="preserve"> </w:t>
      </w:r>
      <w:r>
        <w:t xml:space="preserve">8%</w:t>
      </w:r>
      <w:r>
        <w:t xml:space="preserve"> </w:t>
      </w:r>
      <w:r>
        <w:t xml:space="preserve">Other</w:t>
      </w:r>
      <w:r>
        <w:br/>
      </w:r>
      <w:r>
        <w:t xml:space="preserve">10</w:t>
      </w:r>
      <w:r>
        <w:t xml:space="preserve"> </w:t>
      </w:r>
      <w:r>
        <w:t xml:space="preserve">9%</w:t>
      </w:r>
      <w:r>
        <w:t xml:space="preserve"> </w:t>
      </w:r>
      <w:r>
        <w:t xml:space="preserve">Total</w:t>
      </w:r>
      <w:r>
        <w:t xml:space="preserve"> </w:t>
      </w:r>
      <w:r>
        <w:t xml:space="preserve">108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There was no obvious campaign, although it was possible, based on an analysis of the</w:t>
      </w:r>
      <w:r>
        <w:t xml:space="preserve"> </w:t>
      </w:r>
      <w:r>
        <w:t xml:space="preserve">qualitative responses, to identify a few coordinated responses that were similar in one or</w:t>
      </w:r>
      <w:r>
        <w:t xml:space="preserve"> </w:t>
      </w:r>
      <w:r>
        <w:t xml:space="preserve">many elements. There were two major sets of coordinated responses that amounted to</w:t>
      </w:r>
      <w:r>
        <w:t xml:space="preserve"> </w:t>
      </w:r>
      <w:r>
        <w:t xml:space="preserve">over 10 responses in each case, the first from suppliers of fuels and gases and the second</w:t>
      </w:r>
      <w:r>
        <w:t xml:space="preserve"> </w:t>
      </w:r>
      <w:r>
        <w:t xml:space="preserve">from vehicle manufacturers and suppliers of components and materials. In addition, there</w:t>
      </w:r>
      <w:r>
        <w:t xml:space="preserve"> </w:t>
      </w:r>
      <w:r>
        <w:t xml:space="preserve">were several other sets of coordinated responses from fuel and gas suppliers, although</w:t>
      </w:r>
      <w:r>
        <w:t xml:space="preserve"> </w:t>
      </w:r>
      <w:r>
        <w:t xml:space="preserve">from smaller numbers of respondents. In addition, there were smaller sets of coordinated</w:t>
      </w:r>
      <w:r>
        <w:t xml:space="preserve"> </w:t>
      </w:r>
      <w:r>
        <w:t xml:space="preserve">responses from NGOs and from transport operators.</w:t>
      </w:r>
      <w:r>
        <w:br/>
      </w:r>
      <w:r>
        <w:t xml:space="preserve">Contributions were received from respondents based in 14 Member States. Together the</w:t>
      </w:r>
      <w:r>
        <w:t xml:space="preserve"> </w:t>
      </w:r>
      <w:r>
        <w:t xml:space="preserve">responses from Germany (37), Belgium (29) and Italy (15) contributed nearly 60% of the</w:t>
      </w:r>
      <w:r>
        <w:t xml:space="preserve"> </w:t>
      </w:r>
      <w:r>
        <w:t xml:space="preserve">total number of responses. No responses were received from 13 Member States:</w:t>
      </w:r>
      <w:r>
        <w:t xml:space="preserve"> </w:t>
      </w:r>
      <w:r>
        <w:t xml:space="preserve">Bulgaria, Croatia, Cyprus, Czechia, Greece, Hungary, Lithuania, Luxembourg, Malta,</w:t>
      </w:r>
      <w:r>
        <w:t xml:space="preserve"> </w:t>
      </w:r>
      <w:r>
        <w:t xml:space="preserve">Portugal, Romania, Slovakia and Slovenia. In addition, responses were received from</w:t>
      </w:r>
      <w:r>
        <w:t xml:space="preserve"> </w:t>
      </w:r>
      <w:r>
        <w:t xml:space="preserve">stakeholders from five non-EU countries, including Japan (2), the UK (2) and the USA</w:t>
      </w:r>
      <w:r>
        <w:t xml:space="preserve"> </w:t>
      </w:r>
      <w:r>
        <w:t xml:space="preserve">(2).</w:t>
      </w:r>
      <w:r>
        <w:t xml:space="preserve"> </w:t>
      </w:r>
      <w:r>
        <w:t xml:space="preserve">A detailed factual summary is provided in the Summary Report6 published on this</w:t>
      </w:r>
      <w:r>
        <w:t xml:space="preserve"> </w:t>
      </w:r>
      <w:r>
        <w:t xml:space="preserve">consultation.</w:t>
      </w:r>
      <w:r>
        <w:t xml:space="preserve"> </w:t>
      </w:r>
      <w:r>
        <w:t xml:space="preserve">11.3.2</w:t>
      </w:r>
      <w:r>
        <w:t xml:space="preserve"> </w:t>
      </w:r>
      <w:r>
        <w:t xml:space="preserve">Summary of replies on the key elements of the open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NOTE: This should be regarded solely as a summary of the contributions made by</w:t>
      </w:r>
      <w:r>
        <w:t xml:space="preserve"> </w:t>
      </w:r>
      <w:r>
        <w:t xml:space="preserve">stakeholders on this open public consultation. It cannot in any circumstances be regarded</w:t>
      </w:r>
      <w:r>
        <w:t xml:space="preserve"> </w:t>
      </w:r>
      <w:r>
        <w:t xml:space="preserve">as the official position of the Commission or its services. Responses to the consultation</w:t>
      </w:r>
      <w:r>
        <w:t xml:space="preserve"> </w:t>
      </w:r>
      <w:r>
        <w:t xml:space="preserve">activities cannot be considered as a representative sample of the views of the EU</w:t>
      </w:r>
      <w:r>
        <w:t xml:space="preserve"> </w:t>
      </w:r>
      <w:r>
        <w:t xml:space="preserve">population.</w:t>
      </w:r>
      <w:r>
        <w:t xml:space="preserve"> </w:t>
      </w:r>
      <w:r>
        <w:t xml:space="preserve">The results for each of the elements are as follows.</w:t>
      </w:r>
      <w:r>
        <w:t xml:space="preserve"> </w:t>
      </w:r>
      <w:r>
        <w:t xml:space="preserve">OBJECTIVES</w:t>
      </w:r>
      <w:r>
        <w:br/>
      </w:r>
      <w:r>
        <w:t xml:space="preserve">Stakeholders were asked to rate (on a scale of 1 to 5, where ‘5’ represented the highest</w:t>
      </w:r>
      <w:r>
        <w:t xml:space="preserve"> </w:t>
      </w:r>
      <w:r>
        <w:t xml:space="preserve">importance and ‘1’ indicated ‘no importance’) the importance of a number of objectives</w:t>
      </w:r>
      <w:r>
        <w:t xml:space="preserve"> </w:t>
      </w:r>
      <w:r>
        <w:t xml:space="preserve">for the future HDV CO2 Regulation.</w:t>
      </w:r>
      <w:r>
        <w:t xml:space="preserve"> </w:t>
      </w:r>
      <w:r>
        <w:t xml:space="preserve">Two objectives were supported by the overwhelming majority of respondents, i.e., those</w:t>
      </w:r>
      <w:r>
        <w:t xml:space="preserve"> </w:t>
      </w:r>
      <w:r>
        <w:t xml:space="preserve">relating to the need to meet the EU’s CO2 emissions reductions targets. The longer-term</w:t>
      </w:r>
      <w:r>
        <w:t xml:space="preserve"> </w:t>
      </w:r>
      <w:r>
        <w:t xml:space="preserve">objective of reducing CO2 emissions from new HDVs in a cost-effective way in line</w:t>
      </w:r>
      <w:r>
        <w:t xml:space="preserve"> </w:t>
      </w:r>
      <w:r>
        <w:t xml:space="preserve">with the climate neutrality objective by 2050 received most support, as this was</w:t>
      </w:r>
      <w:r>
        <w:t xml:space="preserve"> </w:t>
      </w:r>
      <w:r>
        <w:t xml:space="preserve">considered to be important or very important7 by 92% of respondents (119 respondents,</w:t>
      </w:r>
      <w:r>
        <w:t xml:space="preserve"> </w:t>
      </w:r>
      <w:r>
        <w:t xml:space="preserve">with seven ‘no responses’). The earlier 2030 objective, i.e., reducing CO2 emissions</w:t>
      </w:r>
      <w:r>
        <w:t xml:space="preserve"> </w:t>
      </w:r>
      <w:r>
        <w:t xml:space="preserve">from new HDVs in a cost-effective way in line with the 2030 overall climate target of at</w:t>
      </w:r>
      <w:r>
        <w:t xml:space="preserve"> </w:t>
      </w:r>
      <w:r>
        <w:t xml:space="preserve">least -55%, was considered to be important or very important by 88% of respondents</w:t>
      </w:r>
      <w:r>
        <w:t xml:space="preserve"> </w:t>
      </w:r>
      <w:r>
        <w:t xml:space="preserve">(116 respondents, with five ‘no responses’). The pattern was similar by stakeholder</w:t>
      </w:r>
      <w:r>
        <w:t xml:space="preserve"> </w:t>
      </w:r>
      <w:r>
        <w:t xml:space="preserve">category, as for both objectives most respondents in each category considered the</w:t>
      </w:r>
      <w:r>
        <w:t xml:space="preserve"> </w:t>
      </w:r>
      <w:r>
        <w:t xml:space="preserve">objectives to be important, with the lowest support from industry respondents in each</w:t>
      </w:r>
      <w:r>
        <w:t xml:space="preserve"> </w:t>
      </w:r>
      <w:r>
        <w:t xml:space="preserve">case (90%; 91, seven ‘no responses’ for the 2050 objective; and 85%; 88, five ‘no</w:t>
      </w:r>
      <w:r>
        <w:t xml:space="preserve"> </w:t>
      </w:r>
      <w:r>
        <w:t xml:space="preserve">responses’ for the 2030 objective). Of the main industry sub-categories, those that were</w:t>
      </w:r>
    </w:p>
    <w:p>
      <w:pPr>
        <w:pStyle w:val="BodyText"/>
      </w:pPr>
      <w:r>
        <w:t xml:space="preserve">6https://ec.europa.eu/info/law/better-regulation/have-your-say/initiatives/13168-Reducing-carbon-</w:t>
      </w:r>
      <w:r>
        <w:t xml:space="preserve"> </w:t>
      </w:r>
      <w:r>
        <w:t xml:space="preserve">emissions-review-of-emission-standards-for-heavy-duty-vehicles/public-consultation_en</w:t>
      </w:r>
      <w:r>
        <w:br/>
      </w:r>
      <w:r>
        <w:t xml:space="preserve">7 i.e. respondents that gave this a rating of either a ‘4’ or ‘5’.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least supportive of these objectives were those representing vehicle manufacturers (79%;</w:t>
      </w:r>
      <w:r>
        <w:t xml:space="preserve"> </w:t>
      </w:r>
      <w:r>
        <w:t xml:space="preserve">11, three ‘no responses’ for the 2050 objective; and 57%; eight, three ‘no responses’ for</w:t>
      </w:r>
      <w:r>
        <w:t xml:space="preserve"> </w:t>
      </w:r>
      <w:r>
        <w:t xml:space="preserve">the 2030 objective) and transport operators (76%; 13, zero ‘no responses’ for both the</w:t>
      </w:r>
      <w:r>
        <w:t xml:space="preserve"> </w:t>
      </w:r>
      <w:r>
        <w:t xml:space="preserve">2050 objective and 2030 objectives).</w:t>
      </w:r>
      <w:r>
        <w:t xml:space="preserve"> </w:t>
      </w:r>
      <w:r>
        <w:t xml:space="preserve">In addition, four objectives were supported by many respondents. The objectives of</w:t>
      </w:r>
      <w:r>
        <w:t xml:space="preserve"> </w:t>
      </w:r>
      <w:r>
        <w:t xml:space="preserve">reducing EU energy consumption and import dependence on fossil fuels and</w:t>
      </w:r>
      <w:r>
        <w:t xml:space="preserve"> </w:t>
      </w:r>
      <w:r>
        <w:t xml:space="preserve">strengthening technical and industrial leadership and stimulating employment in the</w:t>
      </w:r>
      <w:r>
        <w:t xml:space="preserve"> </w:t>
      </w:r>
      <w:r>
        <w:t xml:space="preserve">EU value chain of HDVs were both considered to be important by 60% of respondents</w:t>
      </w:r>
      <w:r>
        <w:t xml:space="preserve"> </w:t>
      </w:r>
      <w:r>
        <w:t xml:space="preserve">(78, six ‘no responses’; and 75, 11 ‘no responses’, respectively). A small majority of</w:t>
      </w:r>
      <w:r>
        <w:t xml:space="preserve"> </w:t>
      </w:r>
      <w:r>
        <w:t xml:space="preserve">respondents considered another two objectives to be important: fostering innovation in</w:t>
      </w:r>
      <w:r>
        <w:t xml:space="preserve"> </w:t>
      </w:r>
      <w:r>
        <w:t xml:space="preserve">zero-emission technologies for HDVs (55%; 72, seven ‘no responses’); and contributing</w:t>
      </w:r>
      <w:r>
        <w:t xml:space="preserve"> </w:t>
      </w:r>
      <w:r>
        <w:t xml:space="preserve">to the reduction of air pollution and other environmental problems (54%; 70, eight ‘no</w:t>
      </w:r>
      <w:r>
        <w:t xml:space="preserve"> </w:t>
      </w:r>
      <w:r>
        <w:t xml:space="preserve">responses’).</w:t>
      </w:r>
      <w:r>
        <w:br/>
      </w:r>
      <w:r>
        <w:t xml:space="preserve">The level of responses to each of these four objectives was similar in the different</w:t>
      </w:r>
      <w:r>
        <w:t xml:space="preserve"> </w:t>
      </w:r>
      <w:r>
        <w:t xml:space="preserve">stakeholder categories, although there were differences in each case in terms of which</w:t>
      </w:r>
      <w:r>
        <w:t xml:space="preserve"> </w:t>
      </w:r>
      <w:r>
        <w:t xml:space="preserve">category most (and least) supported each objective. The objective of reducing EU energy</w:t>
      </w:r>
      <w:r>
        <w:t xml:space="preserve"> </w:t>
      </w:r>
      <w:r>
        <w:t xml:space="preserve">consumption and import dependence on fossil fuels was least supported by public</w:t>
      </w:r>
      <w:r>
        <w:t xml:space="preserve"> </w:t>
      </w:r>
      <w:r>
        <w:t xml:space="preserve">authorities, as only half (50%; six, zero ‘no responses’) considered this to be important,</w:t>
      </w:r>
      <w:r>
        <w:t xml:space="preserve"> </w:t>
      </w:r>
      <w:r>
        <w:t xml:space="preserve">whereas citizens were more likely to consider this to be important (64%; seven, one ‘no</w:t>
      </w:r>
      <w:r>
        <w:t xml:space="preserve"> </w:t>
      </w:r>
      <w:r>
        <w:t xml:space="preserve">response’). On the other hand, support for the objective of strengthening technical and</w:t>
      </w:r>
      <w:r>
        <w:t xml:space="preserve"> </w:t>
      </w:r>
      <w:r>
        <w:t xml:space="preserve">industrial leadership and stimulating employment in the EU value chain of HDVs was</w:t>
      </w:r>
      <w:r>
        <w:t xml:space="preserve"> </w:t>
      </w:r>
      <w:r>
        <w:t xml:space="preserve">highest amongst public authorities (67%; four, zero ‘no responses’) and lowest amongst</w:t>
      </w:r>
      <w:r>
        <w:t xml:space="preserve"> </w:t>
      </w:r>
      <w:r>
        <w:t xml:space="preserve">citizens (50%; six 6; zero ‘no responses’). Industry respondents were least supportive of</w:t>
      </w:r>
      <w:r>
        <w:t xml:space="preserve"> </w:t>
      </w:r>
      <w:r>
        <w:t xml:space="preserve">the objectives of fostering innovation in zero-emission technologies for HDVs (50%;</w:t>
      </w:r>
      <w:r>
        <w:t xml:space="preserve"> </w:t>
      </w:r>
      <w:r>
        <w:t xml:space="preserve">51, seven ‘no responses’), whereas all public authorities (100%; six, zero ‘no responses’)</w:t>
      </w:r>
      <w:r>
        <w:t xml:space="preserve"> </w:t>
      </w:r>
      <w:r>
        <w:t xml:space="preserve">considered this to be important, and industry was also least supportive of contributing to</w:t>
      </w:r>
      <w:r>
        <w:t xml:space="preserve"> </w:t>
      </w:r>
      <w:r>
        <w:t xml:space="preserve">the reduction of air pollution and other environmental problems (48%; 48, eight ‘no</w:t>
      </w:r>
      <w:r>
        <w:t xml:space="preserve"> </w:t>
      </w:r>
      <w:r>
        <w:t xml:space="preserve">responses’), which was most strongly supported by citizens (75%, nine, zero ‘no</w:t>
      </w:r>
      <w:r>
        <w:t xml:space="preserve"> </w:t>
      </w:r>
      <w:r>
        <w:t xml:space="preserve">responses’).</w:t>
      </w:r>
      <w:r>
        <w:br/>
      </w:r>
      <w:r>
        <w:t xml:space="preserve">By industry sub-category, transport operators were most supportive of the objectives of</w:t>
      </w:r>
      <w:r>
        <w:t xml:space="preserve"> </w:t>
      </w:r>
      <w:r>
        <w:t xml:space="preserve">reducing EU energy consumption and import dependence on fossil fuels (76%; 13,</w:t>
      </w:r>
      <w:r>
        <w:t xml:space="preserve"> </w:t>
      </w:r>
      <w:r>
        <w:t xml:space="preserve">zero ‘no responses) and strengthening technical and industrial leadership and</w:t>
      </w:r>
      <w:r>
        <w:t xml:space="preserve"> </w:t>
      </w:r>
      <w:r>
        <w:t xml:space="preserve">stimulating employment in the EU value chain of HDVs (69%; 11, one ‘no response’),</w:t>
      </w:r>
      <w:r>
        <w:t xml:space="preserve"> </w:t>
      </w:r>
      <w:r>
        <w:t xml:space="preserve">while suppliers of electricity and hydrogen were most supportive of the objective of</w:t>
      </w:r>
      <w:r>
        <w:t xml:space="preserve"> </w:t>
      </w:r>
      <w:r>
        <w:t xml:space="preserve">contributing to the reduction of air pollution and other environmental problems (75%;</w:t>
      </w:r>
      <w:r>
        <w:t xml:space="preserve"> </w:t>
      </w:r>
      <w:r>
        <w:t xml:space="preserve">six, one ‘no response’). Suppliers of components and materials were least likely to think</w:t>
      </w:r>
      <w:r>
        <w:t xml:space="preserve"> </w:t>
      </w:r>
      <w:r>
        <w:t xml:space="preserve">that each of these objectives was important (40%, four responses, zero ‘no responses’ for</w:t>
      </w:r>
      <w:r>
        <w:t xml:space="preserve"> </w:t>
      </w:r>
      <w:r>
        <w:t xml:space="preserve">the first two; 30%, three responses, zero ‘no responses’ for the third). The objective of</w:t>
      </w:r>
      <w:r>
        <w:t xml:space="preserve"> </w:t>
      </w:r>
      <w:r>
        <w:t xml:space="preserve">fostering innovation in zero-emission technologies for HDVs was considered to be most</w:t>
      </w:r>
      <w:r>
        <w:t xml:space="preserve"> </w:t>
      </w:r>
      <w:r>
        <w:t xml:space="preserve">important by vehicle manufacturers (86%; 12, three ‘no responses’) and least important</w:t>
      </w:r>
      <w:r>
        <w:t xml:space="preserve"> </w:t>
      </w:r>
      <w:r>
        <w:t xml:space="preserve">by suppliers of fuels and gases (18%; seven, three ‘no responses’).</w:t>
      </w:r>
      <w:r>
        <w:br/>
      </w:r>
      <w:r>
        <w:t xml:space="preserve">Slightly less than a majority of respondents believed that the remaining three objectives</w:t>
      </w:r>
      <w:r>
        <w:t xml:space="preserve"> </w:t>
      </w:r>
      <w:r>
        <w:t xml:space="preserve">were important, i.e., reducing the total cost of ownership of vehicles (49%; 65, five ‘no</w:t>
      </w:r>
      <w:r>
        <w:t xml:space="preserve"> </w:t>
      </w:r>
      <w:r>
        <w:t xml:space="preserve">responses’), promoting the market uptake of ZEV by making them more affordable</w:t>
      </w:r>
      <w:r>
        <w:t xml:space="preserve"> </w:t>
      </w:r>
      <w:r>
        <w:t xml:space="preserve">(47%; 61, seven ‘no responses’) and reducing the fuel consumption costs of vehicles</w:t>
      </w:r>
      <w:r>
        <w:t xml:space="preserve"> </w:t>
      </w:r>
      <w:r>
        <w:t xml:space="preserve">(45%; 60, five ‘no responses’). By stakeholder category, citizens were most supportive of</w:t>
      </w:r>
      <w:r>
        <w:t xml:space="preserve"> </w:t>
      </w:r>
      <w:r>
        <w:t xml:space="preserve">the objectives of reducing the fuel consumption costs of vehicles (75%; nine, zero ‘no</w:t>
      </w:r>
      <w:r>
        <w:t xml:space="preserve"> </w:t>
      </w:r>
      <w:r>
        <w:t xml:space="preserve">responses’) and of reducing the total cost of ownership (TCO) of vehicles (58%; seven,</w:t>
      </w:r>
      <w:r>
        <w:t xml:space="preserve"> </w:t>
      </w:r>
      <w:r>
        <w:t xml:space="preserve">zero ‘no responses’), while public authorities (100%; six, zero ‘no responses’) were most</w:t>
      </w:r>
      <w:r>
        <w:t xml:space="preserve"> </w:t>
      </w:r>
      <w:r>
        <w:t xml:space="preserve">supportive of the objective of promoting the market uptake of ZEV by making them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more affordable. In each case, the more negative overall response was driven by industry</w:t>
      </w:r>
      <w:r>
        <w:t xml:space="preserve"> </w:t>
      </w:r>
      <w:r>
        <w:t xml:space="preserve">respondents, who were least likely to believe that each of these objectives was important</w:t>
      </w:r>
      <w:r>
        <w:t xml:space="preserve"> </w:t>
      </w:r>
      <w:r>
        <w:t xml:space="preserve">(39%, 40, five ‘no responses’ for the objective relating to fuel costs; 45%, 46, five ‘no</w:t>
      </w:r>
      <w:r>
        <w:t xml:space="preserve"> </w:t>
      </w:r>
      <w:r>
        <w:t xml:space="preserve">responses’ for the objective relating to TCO; and 40%, 40, seven ‘no responses’ for the</w:t>
      </w:r>
      <w:r>
        <w:t xml:space="preserve"> </w:t>
      </w:r>
      <w:r>
        <w:t xml:space="preserve">objective relating to ZEV uptake). By industry sub-category, most transport operators</w:t>
      </w:r>
      <w:r>
        <w:t xml:space="preserve"> </w:t>
      </w:r>
      <w:r>
        <w:t xml:space="preserve">was in favour of each of these objectives (65%, 11, zero ‘no responses’ for the objective</w:t>
      </w:r>
      <w:r>
        <w:t xml:space="preserve"> </w:t>
      </w:r>
      <w:r>
        <w:t xml:space="preserve">relating to fuel costs; 82%, 14, zero ‘no responses’ for the objective relating to TCO; and</w:t>
      </w:r>
      <w:r>
        <w:t xml:space="preserve"> </w:t>
      </w:r>
      <w:r>
        <w:t xml:space="preserve">82%, 14, zero ‘no responses’ for the objective relating to ZEV uptake). The overall</w:t>
      </w:r>
      <w:r>
        <w:t xml:space="preserve"> </w:t>
      </w:r>
      <w:r>
        <w:t xml:space="preserve">negative response from industry was driven by responses from suppliers of fuels and</w:t>
      </w:r>
      <w:r>
        <w:t xml:space="preserve"> </w:t>
      </w:r>
      <w:r>
        <w:t xml:space="preserve">gases (28%, 11, one ‘no response; 30%, 12, one ‘no response’; and 5%, 2, three ‘no</w:t>
      </w:r>
      <w:r>
        <w:t xml:space="preserve"> </w:t>
      </w:r>
      <w:r>
        <w:t xml:space="preserve">responses’, respectively) and, to a lesser extent, component and materials suppliers</w:t>
      </w:r>
      <w:r>
        <w:t xml:space="preserve"> </w:t>
      </w:r>
      <w:r>
        <w:t xml:space="preserve">(20%, two, zero ‘no responses’ for the first two; and 30%, three, zero ‘no responses’ for</w:t>
      </w:r>
      <w:r>
        <w:t xml:space="preserve"> </w:t>
      </w:r>
      <w:r>
        <w:t xml:space="preserve">the third one).</w:t>
      </w:r>
      <w:r>
        <w:br/>
      </w:r>
      <w:r>
        <w:t xml:space="preserve">FUTURE CO2 EMISSIONS TARGETS FOR NEW HDV</w:t>
      </w:r>
      <w:r>
        <w:t xml:space="preserve"> </w:t>
      </w:r>
      <w:r>
        <w:t xml:space="preserve">Revising existing targets</w:t>
      </w:r>
      <w:r>
        <w:t xml:space="preserve"> </w:t>
      </w:r>
      <w:r>
        <w:t xml:space="preserve">Stakeholders were asked to rate (on a scale of 1 to 5, where ‘5’ represented the highest</w:t>
      </w:r>
      <w:r>
        <w:t xml:space="preserve"> </w:t>
      </w:r>
      <w:r>
        <w:t xml:space="preserve">importance and ‘1’ indicated ‘no importance’) the importance of four actions relating to</w:t>
      </w:r>
      <w:r>
        <w:t xml:space="preserve"> </w:t>
      </w:r>
      <w:r>
        <w:t xml:space="preserve">the strengthening of existing targets, or the introduction of new targets, for the vehicle</w:t>
      </w:r>
      <w:r>
        <w:t xml:space="preserve"> </w:t>
      </w:r>
      <w:r>
        <w:t xml:space="preserve">groups that are already regulated.</w:t>
      </w:r>
      <w:r>
        <w:t xml:space="preserve"> </w:t>
      </w:r>
      <w:r>
        <w:t xml:space="preserve">Overall, there was more support for the action that was farthest into the future, i.e., new,</w:t>
      </w:r>
      <w:r>
        <w:t xml:space="preserve"> </w:t>
      </w:r>
      <w:r>
        <w:t xml:space="preserve">strengthened CO2 emissions target for 2040 (and to a lesser extent for 2035) than for</w:t>
      </w:r>
      <w:r>
        <w:t xml:space="preserve"> </w:t>
      </w:r>
      <w:r>
        <w:t xml:space="preserve">strengthening current targets, i.e., those for 2030, and particularly before 2030. Whereas</w:t>
      </w:r>
      <w:r>
        <w:t xml:space="preserve"> </w:t>
      </w:r>
      <w:r>
        <w:t xml:space="preserve">nearly two-thirds of respondents (62%; 80, eight ‘no responses’) thought that new</w:t>
      </w:r>
      <w:r>
        <w:t xml:space="preserve"> </w:t>
      </w:r>
      <w:r>
        <w:t xml:space="preserve">strengthened targets for 2040 were important, fewer, and still a majority (58%; 75,</w:t>
      </w:r>
      <w:r>
        <w:t xml:space="preserve"> </w:t>
      </w:r>
      <w:r>
        <w:t xml:space="preserve">seven ‘no responses’), felt that new strengthened targets for 2035 were important.</w:t>
      </w:r>
      <w:r>
        <w:t xml:space="preserve"> </w:t>
      </w:r>
      <w:r>
        <w:t xml:space="preserve">However, there was no majority, either that believed in the importance or not, for</w:t>
      </w:r>
      <w:r>
        <w:t xml:space="preserve"> </w:t>
      </w:r>
      <w:r>
        <w:t xml:space="preserve">strengthening the targets for 2030 and earlier. However, more respondents felt that</w:t>
      </w:r>
      <w:r>
        <w:t xml:space="preserve"> </w:t>
      </w:r>
      <w:r>
        <w:t xml:space="preserve">strengthening the 2030 target was important (38%; 50, seven ‘no responses’) than did</w:t>
      </w:r>
      <w:r>
        <w:t xml:space="preserve"> </w:t>
      </w:r>
      <w:r>
        <w:t xml:space="preserve">not (23%; 30)8, whereas more respondents believed that strengthening the targets before</w:t>
      </w:r>
      <w:r>
        <w:t xml:space="preserve"> </w:t>
      </w:r>
      <w:r>
        <w:t xml:space="preserve">2030 was not important (45%; 59, seven ‘no responses’) than those that did (32%; 42).</w:t>
      </w:r>
      <w:r>
        <w:t xml:space="preserve"> </w:t>
      </w:r>
      <w:r>
        <w:t xml:space="preserve">The more ambivalent overall response to strengthening the existing targets (for both 2030</w:t>
      </w:r>
      <w:r>
        <w:t xml:space="preserve"> </w:t>
      </w:r>
      <w:r>
        <w:t xml:space="preserve">and before 2030) was driven by the industry respondents, as a small majority of these did</w:t>
      </w:r>
      <w:r>
        <w:t xml:space="preserve"> </w:t>
      </w:r>
      <w:r>
        <w:t xml:space="preserve">not think that strengthening the target before 2030 was important (52%; 53, seven ‘no</w:t>
      </w:r>
      <w:r>
        <w:t xml:space="preserve"> </w:t>
      </w:r>
      <w:r>
        <w:t xml:space="preserve">responses’), while they were more ambivalent towards strengthening the target for 2030</w:t>
      </w:r>
      <w:r>
        <w:t xml:space="preserve"> </w:t>
      </w:r>
      <w:r>
        <w:t xml:space="preserve">(30% (30, seven ‘no responses’) thought that this was important, whereas 26% (26) did</w:t>
      </w:r>
      <w:r>
        <w:t xml:space="preserve"> </w:t>
      </w:r>
      <w:r>
        <w:t xml:space="preserve">not). Half of industry respondents believed that it was important to have new</w:t>
      </w:r>
      <w:r>
        <w:t xml:space="preserve"> </w:t>
      </w:r>
      <w:r>
        <w:t xml:space="preserve">strengthened targets for 2035 (50%; 50, seven ‘no responses’) and a majority thought that</w:t>
      </w:r>
      <w:r>
        <w:t xml:space="preserve"> </w:t>
      </w:r>
      <w:r>
        <w:t xml:space="preserve">strengthened targets for 2035 were important (58%; 59, seven ‘no responses’). The</w:t>
      </w:r>
      <w:r>
        <w:t xml:space="preserve"> </w:t>
      </w:r>
      <w:r>
        <w:t xml:space="preserve">importance of strengthened targets similarly tended to increase amongst all groups the</w:t>
      </w:r>
      <w:r>
        <w:t xml:space="preserve"> </w:t>
      </w:r>
      <w:r>
        <w:t xml:space="preserve">farther into the future the targets were, although most ‘Other’ stakeholders (73%; eight,</w:t>
      </w:r>
      <w:r>
        <w:t xml:space="preserve"> </w:t>
      </w:r>
      <w:r>
        <w:t xml:space="preserve">zero ‘no responses’) and citizens (58%; seven, zero ‘no responses’) felt that it was</w:t>
      </w:r>
      <w:r>
        <w:t xml:space="preserve"> </w:t>
      </w:r>
      <w:r>
        <w:t xml:space="preserve">important to strengthen the targets before 2030, as did half of public authorities (50%;</w:t>
      </w:r>
      <w:r>
        <w:t xml:space="preserve"> </w:t>
      </w:r>
      <w:r>
        <w:t xml:space="preserve">six, zero ‘no responses’).</w:t>
      </w:r>
      <w:r>
        <w:br/>
      </w:r>
      <w:r>
        <w:t xml:space="preserve">The importance of strengthening the targets amongst transport operators was relatively</w:t>
      </w:r>
      <w:r>
        <w:t xml:space="preserve"> </w:t>
      </w:r>
      <w:r>
        <w:t xml:space="preserve">consistent, no matter what the year, e.g., they considered strengthening the target before</w:t>
      </w:r>
    </w:p>
    <w:p>
      <w:pPr>
        <w:pStyle w:val="BodyText"/>
      </w:pPr>
      <w:r>
        <w:t xml:space="preserve">8 Respondents that gave this a rating of either a ‘1’ or ‘2’.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2030 as important as having a new strengthened target for 2040 (53%; eight, two ‘no</w:t>
      </w:r>
      <w:r>
        <w:t xml:space="preserve"> </w:t>
      </w:r>
      <w:r>
        <w:t xml:space="preserve">responses’ in each case). However, this was not typical, as the importance of</w:t>
      </w:r>
      <w:r>
        <w:t xml:space="preserve"> </w:t>
      </w:r>
      <w:r>
        <w:t xml:space="preserve">strengthening a target amongst most industry sectors also increased the farther in the</w:t>
      </w:r>
      <w:r>
        <w:t xml:space="preserve"> </w:t>
      </w:r>
      <w:r>
        <w:t xml:space="preserve">future the target was. For example, a majority of vehicle manufacturers did not consider</w:t>
      </w:r>
      <w:r>
        <w:t xml:space="preserve"> </w:t>
      </w:r>
      <w:r>
        <w:t xml:space="preserve">strengthening the targets before 2030 (71%; 12, zero ‘no responses’) and for 2030 to be</w:t>
      </w:r>
      <w:r>
        <w:t xml:space="preserve"> </w:t>
      </w:r>
      <w:r>
        <w:t xml:space="preserve">important (59%; 10, zero ‘no responses’), whereas a majority considered it important to</w:t>
      </w:r>
      <w:r>
        <w:t xml:space="preserve"> </w:t>
      </w:r>
      <w:r>
        <w:t xml:space="preserve">have new strengthened targets for both 2035 (59%; eight, zero ‘no responses’) and 2040</w:t>
      </w:r>
      <w:r>
        <w:t xml:space="preserve"> </w:t>
      </w:r>
      <w:r>
        <w:t xml:space="preserve">(82%; 14, zero ‘no responses’). Of the main industry sectors, suppliers of fuels and gases</w:t>
      </w:r>
      <w:r>
        <w:t xml:space="preserve"> </w:t>
      </w:r>
      <w:r>
        <w:t xml:space="preserve">were least likely to consider it important to strengthen any targets, e.g., only 5% (2, four</w:t>
      </w:r>
      <w:r>
        <w:t xml:space="preserve"> </w:t>
      </w:r>
      <w:r>
        <w:t xml:space="preserve">‘no responses’) felt that strengthening the targets before 2030 was important, and only</w:t>
      </w:r>
      <w:r>
        <w:t xml:space="preserve"> </w:t>
      </w:r>
      <w:r>
        <w:t xml:space="preserve">two-fifths believed that new strengthened targets for 2040 were important (39%; 15,</w:t>
      </w:r>
      <w:r>
        <w:t xml:space="preserve"> </w:t>
      </w:r>
      <w:r>
        <w:t xml:space="preserve">three ‘no responses’).</w:t>
      </w:r>
      <w:r>
        <w:br/>
      </w:r>
      <w:r>
        <w:t xml:space="preserve">Setting new targets for other types of vehicles</w:t>
      </w:r>
      <w:r>
        <w:t xml:space="preserve"> </w:t>
      </w:r>
      <w:r>
        <w:t xml:space="preserve">Stakeholders were asked to rate (on a scale of 1 to 5, where ‘5’ represented the highest</w:t>
      </w:r>
      <w:r>
        <w:t xml:space="preserve"> </w:t>
      </w:r>
      <w:r>
        <w:t xml:space="preserve">importance and ‘1’ indicated ‘no importance’) the importance of setting new CO2</w:t>
      </w:r>
      <w:r>
        <w:t xml:space="preserve"> </w:t>
      </w:r>
      <w:r>
        <w:t xml:space="preserve">emissions reductions target for other vehicle groups.</w:t>
      </w:r>
      <w:r>
        <w:t xml:space="preserve"> </w:t>
      </w:r>
      <w:r>
        <w:t xml:space="preserve">A majority of respondents thought that it was important to set new targets for six of the</w:t>
      </w:r>
      <w:r>
        <w:t xml:space="preserve"> </w:t>
      </w:r>
      <w:r>
        <w:t xml:space="preserve">seven vehicle categories mentioned in the questionnaire, with vocational vehicles being</w:t>
      </w:r>
      <w:r>
        <w:t xml:space="preserve"> </w:t>
      </w:r>
      <w:r>
        <w:t xml:space="preserve">the exception. Indeed, there was an overall majority, as well as a majority in all</w:t>
      </w:r>
      <w:r>
        <w:t xml:space="preserve"> </w:t>
      </w:r>
      <w:r>
        <w:t xml:space="preserve">stakeholder groups, that believed it was important to set new targets for: medium lorries</w:t>
      </w:r>
      <w:r>
        <w:t xml:space="preserve"> </w:t>
      </w:r>
      <w:r>
        <w:t xml:space="preserve">(78%; 98, 12 ‘no responses’); urban buses (70%; 86, 14 ‘no responses’); heavy trailers</w:t>
      </w:r>
      <w:r>
        <w:t xml:space="preserve"> </w:t>
      </w:r>
      <w:r>
        <w:t xml:space="preserve">(69%; 81, 19 ‘no responses’); and coaches (69%; 83, 17 ‘no responses’). Overall, a small</w:t>
      </w:r>
      <w:r>
        <w:t xml:space="preserve"> </w:t>
      </w:r>
      <w:r>
        <w:t xml:space="preserve">majority felt that it was important to set new targets for lorries of less than five tonnes</w:t>
      </w:r>
      <w:r>
        <w:t xml:space="preserve"> </w:t>
      </w:r>
      <w:r>
        <w:t xml:space="preserve">(52%; 65, 13 ‘no responses’) and for lorries of between five and 7.5 tonnes (54%; 68, 12</w:t>
      </w:r>
      <w:r>
        <w:t xml:space="preserve"> </w:t>
      </w:r>
      <w:r>
        <w:t xml:space="preserve">‘no responses’), although in both cases, just short of a majority of industry responses felt</w:t>
      </w:r>
      <w:r>
        <w:t xml:space="preserve"> </w:t>
      </w:r>
      <w:r>
        <w:t xml:space="preserve">that these were important (45% (43, 13 ‘no responses’) and 46% (44, 12 ‘no responses’,)</w:t>
      </w:r>
      <w:r>
        <w:t xml:space="preserve"> </w:t>
      </w:r>
      <w:r>
        <w:t xml:space="preserve">respectively). Just short of a majority, felt that setting new targets for vocational vehicles</w:t>
      </w:r>
      <w:r>
        <w:t xml:space="preserve"> </w:t>
      </w:r>
      <w:r>
        <w:t xml:space="preserve">was important (47%; 57, 16 ‘no responses’), as the industry view on this was ambivalent</w:t>
      </w:r>
      <w:r>
        <w:t xml:space="preserve"> </w:t>
      </w:r>
      <w:r>
        <w:t xml:space="preserve">(42% (39, 16 ‘no responses’ for and 43% (40) against) and two-thirds of public</w:t>
      </w:r>
      <w:r>
        <w:t xml:space="preserve"> </w:t>
      </w:r>
      <w:r>
        <w:t xml:space="preserve">authorities did not think that setting such standards was important (67%; six, zero ‘no</w:t>
      </w:r>
      <w:r>
        <w:t xml:space="preserve"> </w:t>
      </w:r>
      <w:r>
        <w:t xml:space="preserve">responses’).</w:t>
      </w:r>
      <w:r>
        <w:t xml:space="preserve"> </w:t>
      </w:r>
      <w:r>
        <w:t xml:space="preserve">Of the industry sectors, a higher proportion of respondents representing transport</w:t>
      </w:r>
      <w:r>
        <w:t xml:space="preserve"> </w:t>
      </w:r>
      <w:r>
        <w:t xml:space="preserve">operators considered setting new targets for lorries of less than five tonnes and for</w:t>
      </w:r>
      <w:r>
        <w:t xml:space="preserve"> </w:t>
      </w:r>
      <w:r>
        <w:t xml:space="preserve">lorries of between five and 7.5 tonnes to be important (80%; 12, two ‘no responses’ in</w:t>
      </w:r>
      <w:r>
        <w:t xml:space="preserve"> </w:t>
      </w:r>
      <w:r>
        <w:t xml:space="preserve">both cases), whereas around two-thirds of vehicle manufacturers did not think setting</w:t>
      </w:r>
      <w:r>
        <w:t xml:space="preserve"> </w:t>
      </w:r>
      <w:r>
        <w:t xml:space="preserve">standards for these vehicles was important (65% (11, zero ‘no responses’) and 59% (10,</w:t>
      </w:r>
      <w:r>
        <w:t xml:space="preserve"> </w:t>
      </w:r>
      <w:r>
        <w:t xml:space="preserve">zero ‘no responses’), respectively. Most respondents from most industry sectors believed</w:t>
      </w:r>
      <w:r>
        <w:t xml:space="preserve"> </w:t>
      </w:r>
      <w:r>
        <w:t xml:space="preserve">that setting standards for medium lorries was important, with the exception of vehicle</w:t>
      </w:r>
      <w:r>
        <w:t xml:space="preserve"> </w:t>
      </w:r>
      <w:r>
        <w:t xml:space="preserve">manufacturers (47%; eight, zero ‘no responses). Similarly, a majority from most sectors</w:t>
      </w:r>
      <w:r>
        <w:t xml:space="preserve"> </w:t>
      </w:r>
      <w:r>
        <w:t xml:space="preserve">supported setting standards for heavy trailers, except for transport operators a small</w:t>
      </w:r>
      <w:r>
        <w:t xml:space="preserve"> </w:t>
      </w:r>
      <w:r>
        <w:t xml:space="preserve">majority of which did not believe that this was important (53%; eight, two ‘no</w:t>
      </w:r>
      <w:r>
        <w:t xml:space="preserve"> </w:t>
      </w:r>
      <w:r>
        <w:t xml:space="preserve">responses’). At least half of respondents from all industry sectors felt that setting</w:t>
      </w:r>
      <w:r>
        <w:t xml:space="preserve"> </w:t>
      </w:r>
      <w:r>
        <w:t xml:space="preserve">standards for urban buses was important, ranging from half of transport operators (50%;</w:t>
      </w:r>
      <w:r>
        <w:t xml:space="preserve"> </w:t>
      </w:r>
      <w:r>
        <w:t xml:space="preserve">six, five ‘no responses’) to all electricity and hydrogen suppliers (100%; nine, zero ‘no</w:t>
      </w:r>
      <w:r>
        <w:t xml:space="preserve"> </w:t>
      </w:r>
      <w:r>
        <w:t xml:space="preserve">responses’).</w:t>
      </w:r>
      <w:r>
        <w:br/>
      </w:r>
      <w:r>
        <w:t xml:space="preserve">For coaches, the picture was more mixed, as the vast majority of suppliers of components</w:t>
      </w:r>
      <w:r>
        <w:t xml:space="preserve"> </w:t>
      </w:r>
      <w:r>
        <w:t xml:space="preserve">and materials (86%; six, three ‘no responses’), fuels and gas suppliers (86%; 31, five ‘no</w:t>
      </w:r>
      <w:r>
        <w:t xml:space="preserve"> </w:t>
      </w:r>
      <w:r>
        <w:t xml:space="preserve">responses’) and electricity and hydrogen suppliers (88%; seven, one ‘no response’) felt</w:t>
      </w:r>
      <w:r>
        <w:t xml:space="preserve"> </w:t>
      </w:r>
      <w:r>
        <w:t xml:space="preserve">that standards for coaches were important, whereas a lower proportion of transport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operators (42%; five, five ‘no responses’) and vehicle manufacturers (35%; six, zero ‘no</w:t>
      </w:r>
      <w:r>
        <w:t xml:space="preserve"> </w:t>
      </w:r>
      <w:r>
        <w:t xml:space="preserve">responses’) believed that setting such standards was important. The picture with respect</w:t>
      </w:r>
      <w:r>
        <w:t xml:space="preserve"> </w:t>
      </w:r>
      <w:r>
        <w:t xml:space="preserve">to vocational vehicles was similarly mixed, as a small majority of transport operators</w:t>
      </w:r>
      <w:r>
        <w:t xml:space="preserve"> </w:t>
      </w:r>
      <w:r>
        <w:t xml:space="preserve">(55%; six, six ‘no responses’) and suppliers of fuels and gases (53%; 19, five ‘no</w:t>
      </w:r>
      <w:r>
        <w:t xml:space="preserve"> </w:t>
      </w:r>
      <w:r>
        <w:t xml:space="preserve">responses’) felt that setting standards for these vehicles was important, whereas over</w:t>
      </w:r>
      <w:r>
        <w:t xml:space="preserve"> </w:t>
      </w:r>
      <w:r>
        <w:t xml:space="preserve">three quarters of vehicle manufacturers did not (81%; 13, one ‘no response’).</w:t>
      </w:r>
      <w:r>
        <w:t xml:space="preserve"> </w:t>
      </w:r>
      <w:r>
        <w:t xml:space="preserve">Setting targets for all new vehicles to be zero emission</w:t>
      </w:r>
      <w:r>
        <w:t xml:space="preserve"> </w:t>
      </w:r>
      <w:r>
        <w:t xml:space="preserve">Stakeholders were asked, for different vehicle types, by when they believed that the CO2</w:t>
      </w:r>
      <w:r>
        <w:t xml:space="preserve"> </w:t>
      </w:r>
      <w:r>
        <w:t xml:space="preserve">emission standards should become so strict that all new HDVs in that category would</w:t>
      </w:r>
      <w:r>
        <w:t xml:space="preserve"> </w:t>
      </w:r>
      <w:r>
        <w:t xml:space="preserve">be zero emission.</w:t>
      </w:r>
      <w:r>
        <w:br/>
      </w:r>
      <w:r>
        <w:t xml:space="preserve">The majority of respondents believed that the CO2 standards should not oblige all new</w:t>
      </w:r>
      <w:r>
        <w:t xml:space="preserve"> </w:t>
      </w:r>
      <w:r>
        <w:t xml:space="preserve">vehicles to be zero emission by a certain date for three out of the four categories listed,</w:t>
      </w:r>
      <w:r>
        <w:t xml:space="preserve"> </w:t>
      </w:r>
      <w:r>
        <w:t xml:space="preserve">i.e., coaches (60%; 76, 10 ‘no responses’), long-haul lorries (59%; 78, five ‘no</w:t>
      </w:r>
      <w:r>
        <w:t xml:space="preserve"> </w:t>
      </w:r>
      <w:r>
        <w:t xml:space="preserve">responses’) and urban/regional delivery lorries (52%; 70, three ‘no responses’). For the</w:t>
      </w:r>
      <w:r>
        <w:t xml:space="preserve"> </w:t>
      </w:r>
      <w:r>
        <w:t xml:space="preserve">fourth vehicle category, urban buses, this was also the most common response, although</w:t>
      </w:r>
      <w:r>
        <w:t xml:space="preserve"> </w:t>
      </w:r>
      <w:r>
        <w:t xml:space="preserve">its support fell marginally short of a majority (49%; 62, 11 ‘no responses’). For each</w:t>
      </w:r>
      <w:r>
        <w:t xml:space="preserve"> </w:t>
      </w:r>
      <w:r>
        <w:t xml:space="preserve">vehicle category, the result was driven by industry respondents, as a majority of these felt</w:t>
      </w:r>
      <w:r>
        <w:t xml:space="preserve"> </w:t>
      </w:r>
      <w:r>
        <w:t xml:space="preserve">that the CO2 standards should not oblige all new vehicles to be zero emission by a certain</w:t>
      </w:r>
      <w:r>
        <w:t xml:space="preserve"> </w:t>
      </w:r>
      <w:r>
        <w:t xml:space="preserve">date in all cases (ranging from 57% (55, 11 ‘no responses’) for urban buses to 68% (67,</w:t>
      </w:r>
      <w:r>
        <w:t xml:space="preserve"> </w:t>
      </w:r>
      <w:r>
        <w:t xml:space="preserve">10 ‘no responses’) for coaches).</w:t>
      </w:r>
      <w:r>
        <w:br/>
      </w:r>
      <w:r>
        <w:t xml:space="preserve">On the other hand, nearly two thirds of ‘Other’ stakeholders (64%; seven, zero ‘no</w:t>
      </w:r>
      <w:r>
        <w:t xml:space="preserve"> </w:t>
      </w:r>
      <w:r>
        <w:t xml:space="preserve">responses’) and half of public authorities (50%; three, zero ‘no responses’) believed that</w:t>
      </w:r>
      <w:r>
        <w:t xml:space="preserve"> </w:t>
      </w:r>
      <w:r>
        <w:t xml:space="preserve">by 2030 the CO2 standards should effectively only allow zero emission urban buses. The</w:t>
      </w:r>
      <w:r>
        <w:t xml:space="preserve"> </w:t>
      </w:r>
      <w:r>
        <w:t xml:space="preserve">date at which a majority of ‘Other’ stakeholders (64%; seven, zero ‘no responses’) and of</w:t>
      </w:r>
      <w:r>
        <w:t xml:space="preserve"> </w:t>
      </w:r>
      <w:r>
        <w:t xml:space="preserve">public authorities (67%; four, zero ‘no responses’) believed that the CO2 standards</w:t>
      </w:r>
      <w:r>
        <w:t xml:space="preserve"> </w:t>
      </w:r>
      <w:r>
        <w:t xml:space="preserve">should effectively only allow zero emission urban/regional delivery lorries was 20359.</w:t>
      </w:r>
      <w:r>
        <w:t xml:space="preserve"> </w:t>
      </w:r>
      <w:r>
        <w:t xml:space="preserve">This was also the date by which a majority of ‘Other’ stakeholders (55%; six, zero ‘no</w:t>
      </w:r>
      <w:r>
        <w:t xml:space="preserve"> </w:t>
      </w:r>
      <w:r>
        <w:t xml:space="preserve">responses’) and half of public authorities (50%; three, zero ‘no responses’) believed that</w:t>
      </w:r>
      <w:r>
        <w:t xml:space="preserve"> </w:t>
      </w:r>
      <w:r>
        <w:t xml:space="preserve">the CO2 standards should effectively only allow zero emission long-haul lorries. While</w:t>
      </w:r>
      <w:r>
        <w:t xml:space="preserve"> </w:t>
      </w:r>
      <w:r>
        <w:t xml:space="preserve">most ‘Other’ stakeholders (55%; six, zero ‘no responses’) believed that the CO2</w:t>
      </w:r>
      <w:r>
        <w:t xml:space="preserve"> </w:t>
      </w:r>
      <w:r>
        <w:t xml:space="preserve">standards should effectively only allow zero emission coaches by 2035, a majority of</w:t>
      </w:r>
      <w:r>
        <w:t xml:space="preserve"> </w:t>
      </w:r>
      <w:r>
        <w:t xml:space="preserve">public authorities felt that this date should be 2040 (67%; four, zero ‘no responses’).</w:t>
      </w:r>
      <w:r>
        <w:t xml:space="preserve"> </w:t>
      </w:r>
      <w:r>
        <w:t xml:space="preserve">The date by which a majority of respondents in the various industry sectors believed that</w:t>
      </w:r>
      <w:r>
        <w:t xml:space="preserve"> </w:t>
      </w:r>
      <w:r>
        <w:t xml:space="preserve">the CO2 standards should effectively only allow zero emission vehicles varied</w:t>
      </w:r>
      <w:r>
        <w:t xml:space="preserve"> </w:t>
      </w:r>
      <w:r>
        <w:t xml:space="preserve">significantly. At least half of the respondents from suppliers of electricity and hydrogen</w:t>
      </w:r>
      <w:r>
        <w:t xml:space="preserve"> </w:t>
      </w:r>
      <w:r>
        <w:t xml:space="preserve">(56%; five, zero ‘no responses’), vehicle manufacturers (53%; eight, two ‘no responses’)</w:t>
      </w:r>
      <w:r>
        <w:t xml:space="preserve"> </w:t>
      </w:r>
      <w:r>
        <w:t xml:space="preserve">and suppliers of components and materials (50%; five, zero ‘no responses’) selected</w:t>
      </w:r>
      <w:r>
        <w:t xml:space="preserve"> </w:t>
      </w:r>
      <w:r>
        <w:t xml:space="preserve">2035 (or 2030) as the date by which the CO2 standards should effectively only allow zero</w:t>
      </w:r>
      <w:r>
        <w:t xml:space="preserve"> </w:t>
      </w:r>
      <w:r>
        <w:t xml:space="preserve">emission urban buses. On the other hand, the overwhelming majority of suppliers of</w:t>
      </w:r>
      <w:r>
        <w:t xml:space="preserve"> </w:t>
      </w:r>
      <w:r>
        <w:t xml:space="preserve">fuels and gases (93%; 38, zero ‘no responses’) felt that the CO2 standards should not</w:t>
      </w:r>
      <w:r>
        <w:t xml:space="preserve"> </w:t>
      </w:r>
      <w:r>
        <w:t xml:space="preserve">oblige all new urban buses to be zero emission by a certain date. The year 2035 was the</w:t>
      </w:r>
      <w:r>
        <w:t xml:space="preserve"> </w:t>
      </w:r>
      <w:r>
        <w:t xml:space="preserve">earliest date by which the majority of an industry sector, transport operators, felt that the</w:t>
      </w:r>
      <w:r>
        <w:t xml:space="preserve"> </w:t>
      </w:r>
      <w:r>
        <w:t xml:space="preserve">CO2 standards should effectively only allow zero emission urban/regional delivery</w:t>
      </w:r>
      <w:r>
        <w:t xml:space="preserve"> </w:t>
      </w:r>
      <w:r>
        <w:t xml:space="preserve">lorries, whereas a majority of vehicle manufacturers (53%; nine, zero ‘no responses’)</w:t>
      </w:r>
    </w:p>
    <w:p>
      <w:pPr>
        <w:pStyle w:val="BodyText"/>
      </w:pPr>
      <w:r>
        <w:t xml:space="preserve">9 Taking account of those that selected either 2030 or 2035.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and suppliers of fuels and gases (93%; 38, zero ‘no responses’) felt that the CO2</w:t>
      </w:r>
      <w:r>
        <w:t xml:space="preserve"> </w:t>
      </w:r>
      <w:r>
        <w:t xml:space="preserve">standards should not oblige all new delivery lorries to be zero emission by a certain date.</w:t>
      </w:r>
      <w:r>
        <w:t xml:space="preserve"> </w:t>
      </w:r>
      <w:r>
        <w:t xml:space="preserve">For coaches and long-haul lorries, the earliest date at which at least half the respondents</w:t>
      </w:r>
      <w:r>
        <w:t xml:space="preserve"> </w:t>
      </w:r>
      <w:r>
        <w:t xml:space="preserve">from an industry sector believed that the CO2 standards should effectively only allow</w:t>
      </w:r>
      <w:r>
        <w:t xml:space="preserve"> </w:t>
      </w:r>
      <w:r>
        <w:t xml:space="preserve">zero emission vehicles was 2040 (transport operators and suppliers of electricity and</w:t>
      </w:r>
      <w:r>
        <w:t xml:space="preserve"> </w:t>
      </w:r>
      <w:r>
        <w:t xml:space="preserve">hydrogen in both cases). For both of these vehicle types, the majority of suppliers of fuels</w:t>
      </w:r>
      <w:r>
        <w:t xml:space="preserve"> </w:t>
      </w:r>
      <w:r>
        <w:t xml:space="preserve">and gases (95% in both cases (39, zero ‘no responses’ and 38, one ‘no response’,</w:t>
      </w:r>
      <w:r>
        <w:t xml:space="preserve"> </w:t>
      </w:r>
      <w:r>
        <w:t xml:space="preserve">respectively), suppliers of components and materials (70%; seven, zero ‘no responses’ in</w:t>
      </w:r>
      <w:r>
        <w:t xml:space="preserve"> </w:t>
      </w:r>
      <w:r>
        <w:t xml:space="preserve">both cases) and vehicle manufacturers (59%; seven, zero ‘no responses’ in both cases)</w:t>
      </w:r>
      <w:r>
        <w:t xml:space="preserve"> </w:t>
      </w:r>
      <w:r>
        <w:t xml:space="preserve">believed that the CO2 standards should not oblige all new vehicles to be zero emission by</w:t>
      </w:r>
      <w:r>
        <w:t xml:space="preserve"> </w:t>
      </w:r>
      <w:r>
        <w:t xml:space="preserve">a certain date.</w:t>
      </w:r>
      <w:r>
        <w:t xml:space="preserve"> </w:t>
      </w:r>
      <w:r>
        <w:t xml:space="preserve">Additional comments on the levels of the future targets</w:t>
      </w:r>
      <w:r>
        <w:t xml:space="preserve"> </w:t>
      </w:r>
      <w:r>
        <w:t xml:space="preserve">Stakeholders were asked whether they had any additional comments on the levels of the</w:t>
      </w:r>
      <w:r>
        <w:t xml:space="preserve"> </w:t>
      </w:r>
      <w:r>
        <w:t xml:space="preserve">future targets. The vast majority of suppliers of fuels and gases took a very similar line,</w:t>
      </w:r>
      <w:r>
        <w:t xml:space="preserve"> </w:t>
      </w:r>
      <w:r>
        <w:t xml:space="preserve">including those from SMEs. They argued that an approach based on tailpipe emissions,</w:t>
      </w:r>
      <w:r>
        <w:t xml:space="preserve"> </w:t>
      </w:r>
      <w:r>
        <w:t xml:space="preserve">as is currently the case in the HDV CO2 Regulation, was not an appropriate basis for</w:t>
      </w:r>
      <w:r>
        <w:t xml:space="preserve"> </w:t>
      </w:r>
      <w:r>
        <w:t xml:space="preserve">setting future targets, as it did not take account of the potential of other fuels, such as low</w:t>
      </w:r>
      <w:r>
        <w:t xml:space="preserve"> </w:t>
      </w:r>
      <w:r>
        <w:t xml:space="preserve">carbon and renewable fuels, to contribute to the decarbonisation of transport.</w:t>
      </w:r>
      <w:r>
        <w:t xml:space="preserve"> </w:t>
      </w:r>
      <w:r>
        <w:t xml:space="preserve">Consequently, they argued either for a well-to-wheel (WTW) or a lifecycle approach to</w:t>
      </w:r>
      <w:r>
        <w:t xml:space="preserve"> </w:t>
      </w:r>
      <w:r>
        <w:t xml:space="preserve">be used as the basis for determining emissions in order to inform future targets. Other</w:t>
      </w:r>
      <w:r>
        <w:t xml:space="preserve"> </w:t>
      </w:r>
      <w:r>
        <w:t xml:space="preserve">issues raised by these stakeholders were an opposition to the implied ban on internal</w:t>
      </w:r>
      <w:r>
        <w:t xml:space="preserve"> </w:t>
      </w:r>
      <w:r>
        <w:t xml:space="preserve">combustion engine vehicles (ICEVs), as this would ignore the potential role of low</w:t>
      </w:r>
      <w:r>
        <w:t xml:space="preserve"> </w:t>
      </w:r>
      <w:r>
        <w:t xml:space="preserve">carbon and renewable fuels, and opposition to amending the targets for 2030 or earlier, as</w:t>
      </w:r>
      <w:r>
        <w:t xml:space="preserve"> </w:t>
      </w:r>
      <w:r>
        <w:t xml:space="preserve">it was important to provide manufacturers with regulatory stability.</w:t>
      </w:r>
      <w:r>
        <w:br/>
      </w:r>
      <w:r>
        <w:t xml:space="preserve">Many vehicle manufacturers provided a similar response, which underlined that, while</w:t>
      </w:r>
      <w:r>
        <w:t xml:space="preserve"> </w:t>
      </w:r>
      <w:r>
        <w:t xml:space="preserve">the industry was focusing on providing ZEVs, ICEVs would still be needed for some</w:t>
      </w:r>
      <w:r>
        <w:t xml:space="preserve"> </w:t>
      </w:r>
      <w:r>
        <w:t xml:space="preserve">applications beyond 2040, so a general phase out date for ICEVs should be avoided.</w:t>
      </w:r>
      <w:r>
        <w:t xml:space="preserve"> </w:t>
      </w:r>
      <w:r>
        <w:t xml:space="preserve">They also underlined the importance of a stable regulatory framework, so that</w:t>
      </w:r>
      <w:r>
        <w:t xml:space="preserve"> </w:t>
      </w:r>
      <w:r>
        <w:t xml:space="preserve">manufacturers were able to meet the needs of the market and that targets beyond 2030</w:t>
      </w:r>
      <w:r>
        <w:t xml:space="preserve"> </w:t>
      </w:r>
      <w:r>
        <w:t xml:space="preserve">were highly dependent on enabling conditions, including the market uptake prior to 2030,</w:t>
      </w:r>
      <w:r>
        <w:t xml:space="preserve"> </w:t>
      </w:r>
      <w:r>
        <w:t xml:space="preserve">the policy framework and the existence of the necessary infrastructure. Some also noted</w:t>
      </w:r>
      <w:r>
        <w:t xml:space="preserve"> </w:t>
      </w:r>
      <w:r>
        <w:t xml:space="preserve">that small lorries contributed only a small amount to total emissions, while others</w:t>
      </w:r>
      <w:r>
        <w:t xml:space="preserve"> </w:t>
      </w:r>
      <w:r>
        <w:t xml:space="preserve">supported targets for urban buses (although noted that these were already in the Clean</w:t>
      </w:r>
      <w:r>
        <w:t xml:space="preserve"> </w:t>
      </w:r>
      <w:r>
        <w:t xml:space="preserve">Vehicle Directive. On the other hand, a minority of vehicle manufacturers noted that</w:t>
      </w:r>
      <w:r>
        <w:t xml:space="preserve"> </w:t>
      </w:r>
      <w:r>
        <w:t xml:space="preserve">urban buses and urban freight could be zero emission before other types of HDVs, so it</w:t>
      </w:r>
      <w:r>
        <w:t xml:space="preserve"> </w:t>
      </w:r>
      <w:r>
        <w:t xml:space="preserve">was suggested that all new urban buses should be zero emission from 2025 or that all</w:t>
      </w:r>
      <w:r>
        <w:t xml:space="preserve"> </w:t>
      </w:r>
      <w:r>
        <w:t xml:space="preserve">HDVs should be zero emission from 2035 (or maybe even 2030), as zero emission</w:t>
      </w:r>
      <w:r>
        <w:t xml:space="preserve"> </w:t>
      </w:r>
      <w:r>
        <w:t xml:space="preserve">models were already coming onto the market, even for the heaviest HDVs, while battery</w:t>
      </w:r>
      <w:r>
        <w:t xml:space="preserve"> </w:t>
      </w:r>
      <w:r>
        <w:t xml:space="preserve">prices were declining, and their performance was improving.</w:t>
      </w:r>
      <w:r>
        <w:t xml:space="preserve"> </w:t>
      </w:r>
      <w:r>
        <w:t xml:space="preserve">From the perspective of transport operators, it was suggested that operators should be</w:t>
      </w:r>
      <w:r>
        <w:t xml:space="preserve"> </w:t>
      </w:r>
      <w:r>
        <w:t xml:space="preserve">allowed to be able to choose to use low carbon fuels to reduce their emissions, while</w:t>
      </w:r>
      <w:r>
        <w:t xml:space="preserve"> </w:t>
      </w:r>
      <w:r>
        <w:t xml:space="preserve">there were concerns about the availability of energy sources for zero emission vehicles. It</w:t>
      </w:r>
      <w:r>
        <w:t xml:space="preserve"> </w:t>
      </w:r>
      <w:r>
        <w:t xml:space="preserve">was also noted that targets for urban buses were already set under the Clean Vehicle</w:t>
      </w:r>
      <w:r>
        <w:t xml:space="preserve"> </w:t>
      </w:r>
      <w:r>
        <w:t xml:space="preserve">Directive and suggested that any target for urban delivery lorries needed to reflect cities’</w:t>
      </w:r>
      <w:r>
        <w:t xml:space="preserve"> </w:t>
      </w:r>
      <w:r>
        <w:t xml:space="preserve">vehicle access regimes. There was also a call for financial support and tax incentives for</w:t>
      </w:r>
      <w:r>
        <w:t xml:space="preserve"> </w:t>
      </w:r>
      <w:r>
        <w:t xml:space="preserve">smaller operators to transition to low emission mobility. Others called for the current</w:t>
      </w:r>
      <w:r>
        <w:t xml:space="preserve"> </w:t>
      </w:r>
      <w:r>
        <w:t xml:space="preserve">2030 target to be brought forward to 2027, and a new target of a 65% reduction be</w:t>
      </w:r>
      <w:r>
        <w:t xml:space="preserve"> </w:t>
      </w:r>
      <w:r>
        <w:t xml:space="preserve">introduced for 2030 to pave the way for a 100% reduction by 2035 (and 2040 for long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haul lorries), or that for short distance transport the 100% reduction could be set for</w:t>
      </w:r>
      <w:r>
        <w:t xml:space="preserve"> </w:t>
      </w:r>
      <w:r>
        <w:t xml:space="preserve">2030.</w:t>
      </w:r>
      <w:r>
        <w:t xml:space="preserve"> </w:t>
      </w:r>
      <w:r>
        <w:t xml:space="preserve">The additional comments from suppliers of components and materials reflected</w:t>
      </w:r>
      <w:r>
        <w:t xml:space="preserve"> </w:t>
      </w:r>
      <w:r>
        <w:t xml:space="preserve">comments made by respondents from other industry sub-sectors. Many called for the</w:t>
      </w:r>
      <w:r>
        <w:t xml:space="preserve"> </w:t>
      </w:r>
      <w:r>
        <w:t xml:space="preserve">HDV CO2 Regulation to consider all fuels, so be based on a WTW approach, whereas</w:t>
      </w:r>
      <w:r>
        <w:t xml:space="preserve"> </w:t>
      </w:r>
      <w:r>
        <w:t xml:space="preserve">others suggested that as buses were already increasingly zero emission, the Regulation</w:t>
      </w:r>
      <w:r>
        <w:t xml:space="preserve"> </w:t>
      </w:r>
      <w:r>
        <w:t xml:space="preserve">should support the transition to 100% zero emission buses even more quickly, while cost</w:t>
      </w:r>
      <w:r>
        <w:t xml:space="preserve"> </w:t>
      </w:r>
      <w:r>
        <w:t xml:space="preserve">parity with diesel coaches and long-haul could be achieved around 2027, thus opening</w:t>
      </w:r>
      <w:r>
        <w:t xml:space="preserve"> </w:t>
      </w:r>
      <w:r>
        <w:t xml:space="preserve">the possibility of most vehicles being zero emission from 2030. Some of the responses</w:t>
      </w:r>
      <w:r>
        <w:t xml:space="preserve"> </w:t>
      </w:r>
      <w:r>
        <w:t xml:space="preserve">from suppliers of electricity and hydrogen supported a WTW or lifecycle approach to</w:t>
      </w:r>
      <w:r>
        <w:t xml:space="preserve"> </w:t>
      </w:r>
      <w:r>
        <w:t xml:space="preserve">determining the CO2 emissions of HDVS, whereas others called for urban buses to be</w:t>
      </w:r>
      <w:r>
        <w:t xml:space="preserve"> </w:t>
      </w:r>
      <w:r>
        <w:t xml:space="preserve">included in the Regulation and given the current 2030 target for 2027 and for all new</w:t>
      </w:r>
      <w:r>
        <w:t xml:space="preserve"> </w:t>
      </w:r>
      <w:r>
        <w:t xml:space="preserve">HDVs to be zero emission from 2040.</w:t>
      </w:r>
      <w:r>
        <w:br/>
      </w:r>
      <w:r>
        <w:t xml:space="preserve">Several of the additional responses from NGOs called for all new HDVs to be zero</w:t>
      </w:r>
      <w:r>
        <w:t xml:space="preserve"> </w:t>
      </w:r>
      <w:r>
        <w:t xml:space="preserve">emission from 2035, except for urban buses, for which 2027 was considered to be more</w:t>
      </w:r>
      <w:r>
        <w:t xml:space="preserve"> </w:t>
      </w:r>
      <w:r>
        <w:t xml:space="preserve">appropriate, and vocational vehicles (2040). Others called for the 2030 target to be</w:t>
      </w:r>
      <w:r>
        <w:t xml:space="preserve"> </w:t>
      </w:r>
      <w:r>
        <w:t xml:space="preserve">doubled to a 60% reduction followed by a 95% reduction target for 2035 and for all new</w:t>
      </w:r>
      <w:r>
        <w:t xml:space="preserve"> </w:t>
      </w:r>
      <w:r>
        <w:t xml:space="preserve">HDVs to be zero emission from 2040, or for all buses and urban delivery lorries to be</w:t>
      </w:r>
      <w:r>
        <w:t xml:space="preserve"> </w:t>
      </w:r>
      <w:r>
        <w:t xml:space="preserve">zero emission from 2030. On the other hand, a minority of NGO respondents called for</w:t>
      </w:r>
      <w:r>
        <w:t xml:space="preserve"> </w:t>
      </w:r>
      <w:r>
        <w:t xml:space="preserve">the use of a WTW approach in determining the CO2 emissions of new HDVs.</w:t>
      </w:r>
      <w:r>
        <w:br/>
      </w:r>
      <w:r>
        <w:t xml:space="preserve">The main relevant themes in the responses from citizens were that low carbon fuels also</w:t>
      </w:r>
      <w:r>
        <w:t xml:space="preserve"> </w:t>
      </w:r>
      <w:r>
        <w:t xml:space="preserve">have a role to play, and that financial support was needed for operators and public</w:t>
      </w:r>
      <w:r>
        <w:t xml:space="preserve"> </w:t>
      </w:r>
      <w:r>
        <w:t xml:space="preserve">authorities to support their transition to low and zero emission mobility. The responses</w:t>
      </w:r>
      <w:r>
        <w:t xml:space="preserve"> </w:t>
      </w:r>
      <w:r>
        <w:t xml:space="preserve">from public authorities suggested that: advanced fuels should be allowed to play their</w:t>
      </w:r>
      <w:r>
        <w:t xml:space="preserve"> </w:t>
      </w:r>
      <w:r>
        <w:t xml:space="preserve">role in decarbonising HDVs; electrification should be encouraged were possible</w:t>
      </w:r>
      <w:r>
        <w:t xml:space="preserve"> </w:t>
      </w:r>
      <w:r>
        <w:t xml:space="preserve">(although the relevant infrastructure was also needed), although ICEV efficiency should</w:t>
      </w:r>
      <w:r>
        <w:t xml:space="preserve"> </w:t>
      </w:r>
      <w:r>
        <w:t xml:space="preserve">still be improved; and, as a result of the impact of falling battery prices on TCO, a 100%</w:t>
      </w:r>
      <w:r>
        <w:t xml:space="preserve"> </w:t>
      </w:r>
      <w:r>
        <w:t xml:space="preserve">target could be set for 2035 at the latest.</w:t>
      </w:r>
      <w:r>
        <w:br/>
      </w:r>
      <w:r>
        <w:t xml:space="preserve">INCENTIVISING ZERO- AND LOW-EMISSION HDVS</w:t>
      </w:r>
      <w:r>
        <w:t xml:space="preserve"> </w:t>
      </w:r>
      <w:r>
        <w:t xml:space="preserve">Main barriers to the market uptake of zero and low emission vehicles</w:t>
      </w:r>
      <w:r>
        <w:t xml:space="preserve"> </w:t>
      </w:r>
      <w:r>
        <w:t xml:space="preserve">Stakeholders were asked to select what, in their view, were the main barriers for the</w:t>
      </w:r>
      <w:r>
        <w:t xml:space="preserve"> </w:t>
      </w:r>
      <w:r>
        <w:t xml:space="preserve">market uptake of zero and low emission vehicles (ZLEVs). A graphical summary is</w:t>
      </w:r>
      <w:r>
        <w:t xml:space="preserve"> </w:t>
      </w:r>
      <w:r>
        <w:t xml:space="preserve">shown in Figure 1.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Figure 1. Main barriers to the market uptake of zero and low emission vehicles</w:t>
      </w:r>
      <w:r>
        <w:t xml:space="preserve"> </w:t>
      </w:r>
      <w:r>
        <w:t xml:space="preserve">identified by the respondents</w:t>
      </w:r>
    </w:p>
    <w:p>
      <w:pPr>
        <w:pStyle w:val="BodyText"/>
      </w:pPr>
      <w:r>
        <w:t xml:space="preserve">Of the options provided, four were identified as a main barrier by more than three</w:t>
      </w:r>
      <w:r>
        <w:t xml:space="preserve"> </w:t>
      </w:r>
      <w:r>
        <w:t xml:space="preserve">quarters of respondents, which were availability of recharging/refuelling infrastructure</w:t>
      </w:r>
      <w:r>
        <w:t xml:space="preserve"> </w:t>
      </w:r>
      <w:r>
        <w:t xml:space="preserve">(87%; 117 responses; two ‘no responses’), price (81%; 109 responses), TCO (76%; 102</w:t>
      </w:r>
      <w:r>
        <w:t xml:space="preserve"> </w:t>
      </w:r>
      <w:r>
        <w:t xml:space="preserve">responses) and duration of charging (75%; 101 responses). More than one response</w:t>
      </w:r>
      <w:r>
        <w:t xml:space="preserve"> </w:t>
      </w:r>
      <w:r>
        <w:t xml:space="preserve">could be selected. As a result, the total number of responses to this question is higher</w:t>
      </w:r>
      <w:r>
        <w:t xml:space="preserve"> </w:t>
      </w:r>
      <w:r>
        <w:t xml:space="preserve">than the number of participants.</w:t>
      </w:r>
      <w:r>
        <w:t xml:space="preserve"> </w:t>
      </w:r>
      <w:r>
        <w:t xml:space="preserve">Most of the other barriers proposed were identified by most respondents: limited range</w:t>
      </w:r>
      <w:r>
        <w:t xml:space="preserve"> </w:t>
      </w:r>
      <w:r>
        <w:t xml:space="preserve">(73%; 98 responses); reduced load capacity (60%; 81 responses); and availability of</w:t>
      </w:r>
      <w:r>
        <w:t xml:space="preserve"> </w:t>
      </w:r>
      <w:r>
        <w:t xml:space="preserve">vehicle models (52%; 70 responses). The only option listed in the question that a</w:t>
      </w:r>
      <w:r>
        <w:t xml:space="preserve"> </w:t>
      </w:r>
      <w:r>
        <w:t xml:space="preserve">minority of respondents thought was a main barrier was the price-quality ratio of key</w:t>
      </w:r>
      <w:r>
        <w:t xml:space="preserve"> </w:t>
      </w:r>
      <w:r>
        <w:t xml:space="preserve">components, which only 23% (31) of respondents felt was a barrier.</w:t>
      </w:r>
      <w:r>
        <w:br/>
      </w:r>
      <w:r>
        <w:t xml:space="preserve">The main barriers identified by industry respondents reflected the overall values, in terms</w:t>
      </w:r>
      <w:r>
        <w:t xml:space="preserve"> </w:t>
      </w:r>
      <w:r>
        <w:t xml:space="preserve">of order and the proportion of respondents identifying the respective barriers, as can be</w:t>
      </w:r>
      <w:r>
        <w:t xml:space="preserve"> </w:t>
      </w:r>
      <w:r>
        <w:t xml:space="preserve">seen in below Figure 2. Vehicle manufacturers identified the availability of</w:t>
      </w:r>
      <w:r>
        <w:t xml:space="preserve"> </w:t>
      </w:r>
      <w:r>
        <w:t xml:space="preserve">recharging/refuelling infrastructure, price and TCO as the main barriers (88%; 15</w:t>
      </w:r>
      <w:r>
        <w:t xml:space="preserve"> </w:t>
      </w:r>
      <w:r>
        <w:t xml:space="preserve">responses, zero ‘no responses’, in each case), which reflected the views of electricity and</w:t>
      </w:r>
      <w:r>
        <w:t xml:space="preserve"> </w:t>
      </w:r>
      <w:r>
        <w:t xml:space="preserve">hydrogen suppliers (respectively, 89% (8 responses), 78% (7) and 78% (7), with zero ‘no</w:t>
      </w:r>
      <w:r>
        <w:t xml:space="preserve"> </w:t>
      </w:r>
      <w:r>
        <w:t xml:space="preserve">responses’ in each case). On the other hand, suppliers of fuels and gases identified the</w:t>
      </w:r>
      <w:r>
        <w:t xml:space="preserve"> </w:t>
      </w:r>
      <w:r>
        <w:t xml:space="preserve">main barriers as: availability of recharging/refuelling infrastructure, limited range and</w:t>
      </w:r>
      <w:r>
        <w:t xml:space="preserve"> </w:t>
      </w:r>
      <w:r>
        <w:t xml:space="preserve">duration of charging (83%; 34 responses, zero ‘no responses’, in each case), followed by</w:t>
      </w:r>
      <w:r>
        <w:t xml:space="preserve"> </w:t>
      </w:r>
      <w:r>
        <w:t xml:space="preserve">price (80%; 33 responses).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Figure 2. Main barriers to the market uptake of zero and low emission vehicles</w:t>
      </w:r>
      <w:r>
        <w:t xml:space="preserve"> </w:t>
      </w:r>
      <w:r>
        <w:t xml:space="preserve">identified by the respondents (industry only)</w:t>
      </w:r>
    </w:p>
    <w:p>
      <w:pPr>
        <w:pStyle w:val="BodyText"/>
      </w:pPr>
      <w:r>
        <w:t xml:space="preserve">Those respondents (42, 31% of the total) that responded ‘other’, i.e., they felt that there</w:t>
      </w:r>
      <w:r>
        <w:t xml:space="preserve"> </w:t>
      </w:r>
      <w:r>
        <w:t xml:space="preserve">were additional barriers to ZLEV uptake that were not listed in the main question, were</w:t>
      </w:r>
      <w:r>
        <w:t xml:space="preserve"> </w:t>
      </w:r>
      <w:r>
        <w:t xml:space="preserve">asked to elaborate on these. Many suppliers of fuels and gases (both large companies and</w:t>
      </w:r>
      <w:r>
        <w:t xml:space="preserve"> </w:t>
      </w:r>
      <w:r>
        <w:t xml:space="preserve">SMEs) identified the availability of renewable electricity as a barrier to the uptake of</w:t>
      </w:r>
      <w:r>
        <w:t xml:space="preserve"> </w:t>
      </w:r>
      <w:r>
        <w:t xml:space="preserve">ZLEVs, while other fuel and gas suppliers (both large companies and SMEs) suggested</w:t>
      </w:r>
      <w:r>
        <w:t xml:space="preserve"> </w:t>
      </w:r>
      <w:r>
        <w:t xml:space="preserve">that HDVs were hard to electrify. Several vehicle manufacturers expanded on their</w:t>
      </w:r>
      <w:r>
        <w:t xml:space="preserve"> </w:t>
      </w:r>
      <w:r>
        <w:t xml:space="preserve">response by underlining the importance of taking account of zero emission technology in</w:t>
      </w:r>
      <w:r>
        <w:t xml:space="preserve"> </w:t>
      </w:r>
      <w:r>
        <w:t xml:space="preserve">the Weights and Dimensions legislation and of the proposed Alternative Fuels</w:t>
      </w:r>
      <w:r>
        <w:t xml:space="preserve"> </w:t>
      </w:r>
      <w:r>
        <w:t xml:space="preserve">Infrastructure Regulation (AFIR) in addressing the barrier relating to the availability of</w:t>
      </w:r>
      <w:r>
        <w:t xml:space="preserve"> </w:t>
      </w:r>
      <w:r>
        <w:t xml:space="preserve">recharging/refuelling infrastructure. Other issues mentioned by other respondents</w:t>
      </w:r>
      <w:r>
        <w:t xml:space="preserve"> </w:t>
      </w:r>
      <w:r>
        <w:t xml:space="preserve">included a lack of information on alternative technologies, including on their TCO, and</w:t>
      </w:r>
      <w:r>
        <w:t xml:space="preserve"> </w:t>
      </w:r>
      <w:r>
        <w:t xml:space="preserve">uncertainty around the resale value (or recycling costs) of ZLEVs.</w:t>
      </w:r>
      <w:r>
        <w:t xml:space="preserve"> </w:t>
      </w:r>
      <w:r>
        <w:t xml:space="preserve">Amending the ZLEV incentive scheme for the period before 2030</w:t>
      </w:r>
      <w:r>
        <w:t xml:space="preserve"> </w:t>
      </w:r>
      <w:r>
        <w:t xml:space="preserve">Stakeholders were asked to express their views on whether the current ZLEV incentive</w:t>
      </w:r>
      <w:r>
        <w:t xml:space="preserve"> </w:t>
      </w:r>
      <w:r>
        <w:t xml:space="preserve">scheme, as set out in the Regulation, should be amended before 2030. Overall, nearly</w:t>
      </w:r>
      <w:r>
        <w:t xml:space="preserve"> </w:t>
      </w:r>
      <w:r>
        <w:t xml:space="preserve">two-thirds (62%; 76 responses, 15 ‘no responses’) of respondents felt that the ZLEV</w:t>
      </w:r>
      <w:r>
        <w:t xml:space="preserve"> </w:t>
      </w:r>
      <w:r>
        <w:t xml:space="preserve">incentive scheme should be amended before 2030, which was similar to the proportion of</w:t>
      </w:r>
      <w:r>
        <w:t xml:space="preserve"> </w:t>
      </w:r>
      <w:r>
        <w:t xml:space="preserve">industry (61%; 58, 13 ‘no responses’) and public authority respondents (67%; four, zero</w:t>
      </w:r>
      <w:r>
        <w:t xml:space="preserve"> </w:t>
      </w:r>
      <w:r>
        <w:t xml:space="preserve">‘no responses’) that held this view. Support was greater amongst ‘Other’ stakeholders, as</w:t>
      </w:r>
      <w:r>
        <w:t xml:space="preserve"> </w:t>
      </w:r>
      <w:r>
        <w:t xml:space="preserve">all of these (100%; 10, one ‘no response’) believed that a change to the ZLEV incentive</w:t>
      </w:r>
      <w:r>
        <w:t xml:space="preserve"> </w:t>
      </w:r>
      <w:r>
        <w:t xml:space="preserve">scheme was needed before 2030, whereas only just over one third (36%; four, one ‘no</w:t>
      </w:r>
      <w:r>
        <w:t xml:space="preserve"> </w:t>
      </w:r>
      <w:r>
        <w:t xml:space="preserve">response’) of citizens held this view.</w:t>
      </w:r>
      <w:r>
        <w:br/>
      </w:r>
      <w:r>
        <w:t xml:space="preserve">By industry sub-category, the proportion of vehicle manufacturers (59%; 10, zero ‘no</w:t>
      </w:r>
      <w:r>
        <w:t xml:space="preserve"> </w:t>
      </w:r>
      <w:r>
        <w:t xml:space="preserve">responses’), transport operators (60%; nine, two ‘no responses’) and suppliers of fuels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and gases (60%; 21, six ‘no responses’) that supported an amendment prior to 2030 was</w:t>
      </w:r>
      <w:r>
        <w:t xml:space="preserve"> </w:t>
      </w:r>
      <w:r>
        <w:t xml:space="preserve">similar to that of the industry respondents overall. However, the views of those belonging</w:t>
      </w:r>
      <w:r>
        <w:t xml:space="preserve"> </w:t>
      </w:r>
      <w:r>
        <w:t xml:space="preserve">to some industry sub-categories differed significantly, such as those of suppliers of</w:t>
      </w:r>
      <w:r>
        <w:t xml:space="preserve"> </w:t>
      </w:r>
      <w:r>
        <w:t xml:space="preserve">electricity and hydrogen, of which the vast majority (88%; seven, one ‘no response’)</w:t>
      </w:r>
      <w:r>
        <w:t xml:space="preserve"> </w:t>
      </w:r>
      <w:r>
        <w:t xml:space="preserve">supported an amendment, whereas only a fifth (22%; two, one ‘no response’) of suppliers</w:t>
      </w:r>
      <w:r>
        <w:t xml:space="preserve"> </w:t>
      </w:r>
      <w:r>
        <w:t xml:space="preserve">of components and materials wanted to see a change to the incentive scheme before</w:t>
      </w:r>
      <w:r>
        <w:t xml:space="preserve"> </w:t>
      </w:r>
      <w:r>
        <w:t xml:space="preserve">2030.</w:t>
      </w:r>
      <w:r>
        <w:br/>
      </w:r>
      <w:r>
        <w:t xml:space="preserve">Those respondents that felt that there was a need to amend the ZLEV incentive scheme</w:t>
      </w:r>
      <w:r>
        <w:t xml:space="preserve"> </w:t>
      </w:r>
      <w:r>
        <w:t xml:space="preserve">before 2030 were asked to explain how it should be amended. A common response from</w:t>
      </w:r>
      <w:r>
        <w:t xml:space="preserve"> </w:t>
      </w:r>
      <w:r>
        <w:t xml:space="preserve">vehicle manufacturers was that the level of the cap in the ZLEV benchmark was not</w:t>
      </w:r>
      <w:r>
        <w:t xml:space="preserve"> </w:t>
      </w:r>
      <w:r>
        <w:t xml:space="preserve">sufficient to deliver the necessary share of zero emission vehicles and so should either be</w:t>
      </w:r>
      <w:r>
        <w:t xml:space="preserve"> </w:t>
      </w:r>
      <w:r>
        <w:t xml:space="preserve">increased or removed. They also called for more (unspecified) meaningful incentives for</w:t>
      </w:r>
      <w:r>
        <w:t xml:space="preserve"> </w:t>
      </w:r>
      <w:r>
        <w:t xml:space="preserve">the long-haul sector, while emphasising that a stable regulatory framework was important</w:t>
      </w:r>
      <w:r>
        <w:t xml:space="preserve"> </w:t>
      </w:r>
      <w:r>
        <w:t xml:space="preserve">for the commercial vehicle industry. Other vehicle manufacturers called for: the</w:t>
      </w:r>
      <w:r>
        <w:t xml:space="preserve"> </w:t>
      </w:r>
      <w:r>
        <w:t xml:space="preserve">incentive to reward zero emission HDVs that cover long distances (of over 500km or</w:t>
      </w:r>
      <w:r>
        <w:t xml:space="preserve"> </w:t>
      </w:r>
      <w:r>
        <w:t xml:space="preserve">600 km) with a single refuelling or recharging; for the possibility of transferring ZLEV</w:t>
      </w:r>
      <w:r>
        <w:t xml:space="preserve"> </w:t>
      </w:r>
      <w:r>
        <w:t xml:space="preserve">credits to other manufacturers; for the benchmark to be increased in line with the</w:t>
      </w:r>
      <w:r>
        <w:t xml:space="preserve"> </w:t>
      </w:r>
      <w:r>
        <w:t xml:space="preserve">ambition of the Green Deal; for the incentive to focus only on ZEVs; and for subsidies to</w:t>
      </w:r>
      <w:r>
        <w:t xml:space="preserve"> </w:t>
      </w:r>
      <w:r>
        <w:t xml:space="preserve">support manufacturers.</w:t>
      </w:r>
      <w:r>
        <w:br/>
      </w:r>
      <w:r>
        <w:t xml:space="preserve">From the perspective of transport operators, there was a call for the focus to be only on</w:t>
      </w:r>
      <w:r>
        <w:t xml:space="preserve"> </w:t>
      </w:r>
      <w:r>
        <w:t xml:space="preserve">ZEVs and for relevant tax and toll exemptions. For smaller operators, in particular, there</w:t>
      </w:r>
      <w:r>
        <w:t xml:space="preserve"> </w:t>
      </w:r>
      <w:r>
        <w:t xml:space="preserve">was a call for more financial support for investment in cleaner lorries, as well as</w:t>
      </w:r>
      <w:r>
        <w:t xml:space="preserve"> </w:t>
      </w:r>
      <w:r>
        <w:t xml:space="preserve">improved access to credit, targeted scrappage schemes and public procurement that</w:t>
      </w:r>
      <w:r>
        <w:t xml:space="preserve"> </w:t>
      </w:r>
      <w:r>
        <w:t xml:space="preserve">rewarded cleaner vehicles. Calls for more financial support to support the turnover of the</w:t>
      </w:r>
      <w:r>
        <w:t xml:space="preserve"> </w:t>
      </w:r>
      <w:r>
        <w:t xml:space="preserve">fleet and for a focus on ZEVs also came from other respondents. Responses from</w:t>
      </w:r>
      <w:r>
        <w:t xml:space="preserve"> </w:t>
      </w:r>
      <w:r>
        <w:t xml:space="preserve">suppliers of fuels and gases (both large companies and SMEs) called for the ZLEV</w:t>
      </w:r>
      <w:r>
        <w:t xml:space="preserve"> </w:t>
      </w:r>
      <w:r>
        <w:t xml:space="preserve">incentive scheme to be amended to also cover vehicles that were able to use various low</w:t>
      </w:r>
      <w:r>
        <w:t xml:space="preserve"> </w:t>
      </w:r>
      <w:r>
        <w:t xml:space="preserve">carbon and renewable fuels, rather than only focus on electric and hydrogen vehicles, or</w:t>
      </w:r>
      <w:r>
        <w:t xml:space="preserve"> </w:t>
      </w:r>
      <w:r>
        <w:t xml:space="preserve">define a ZLEV incentive scheme based on a WTW approach.</w:t>
      </w:r>
      <w:r>
        <w:br/>
      </w:r>
      <w:r>
        <w:t xml:space="preserve">Other responses, including several from NGOs, called for LEVs and ‘unregulated’ ZEVs</w:t>
      </w:r>
      <w:r>
        <w:t xml:space="preserve"> </w:t>
      </w:r>
      <w:r>
        <w:t xml:space="preserve">to not count in the context of the mechanism from 2027, and for only ZEVs with a</w:t>
      </w:r>
      <w:r>
        <w:t xml:space="preserve"> </w:t>
      </w:r>
      <w:r>
        <w:t xml:space="preserve">certified electric range of 400 km or more to count from 2027, in which case the</w:t>
      </w:r>
      <w:r>
        <w:t xml:space="preserve"> </w:t>
      </w:r>
      <w:r>
        <w:t xml:space="preserve">benchmark could be 15%, until 2030 at which point the incentive should be removed.</w:t>
      </w:r>
      <w:r>
        <w:t xml:space="preserve"> </w:t>
      </w:r>
      <w:r>
        <w:t xml:space="preserve">Others called for the introduction of mandatory targets (supported by a flexible credit</w:t>
      </w:r>
      <w:r>
        <w:t xml:space="preserve"> </w:t>
      </w:r>
      <w:r>
        <w:t xml:space="preserve">scheme) or the introduction of a bonus/malus scheme, along with a focus on ZEVs.</w:t>
      </w:r>
      <w:r>
        <w:t xml:space="preserve"> </w:t>
      </w:r>
      <w:r>
        <w:t xml:space="preserve">Suppliers of electricity and hydrogen called for: the setting of higher multipliers in the</w:t>
      </w:r>
      <w:r>
        <w:t xml:space="preserve"> </w:t>
      </w:r>
      <w:r>
        <w:t xml:space="preserve">incentive, particularly for long-haul FCEVs; the benchmark to be raised in line with the</w:t>
      </w:r>
      <w:r>
        <w:t xml:space="preserve"> </w:t>
      </w:r>
      <w:r>
        <w:t xml:space="preserve">increased ambition of the HDV CO2 Regulation; or for the ZLEV incentive to be</w:t>
      </w:r>
      <w:r>
        <w:t xml:space="preserve"> </w:t>
      </w:r>
      <w:r>
        <w:t xml:space="preserve">removed.</w:t>
      </w:r>
      <w:r>
        <w:br/>
      </w:r>
      <w:r>
        <w:t xml:space="preserve">ZLEV incentive scheme for the period from 2030</w:t>
      </w:r>
      <w:r>
        <w:t xml:space="preserve"> </w:t>
      </w:r>
      <w:r>
        <w:t xml:space="preserve">In relation to the ZLEV incentive scheme for the period from 2030, stakeholders were</w:t>
      </w:r>
      <w:r>
        <w:t xml:space="preserve"> </w:t>
      </w:r>
      <w:r>
        <w:t xml:space="preserve">asked to express their level of agreement (on a scale of 1 to 5, where ‘5’ represented the</w:t>
      </w:r>
      <w:r>
        <w:t xml:space="preserve"> </w:t>
      </w:r>
      <w:r>
        <w:t xml:space="preserve">highest agreement and ‘1’ indicated ‘no agreement’) with the statement: In addition to</w:t>
      </w:r>
      <w:r>
        <w:t xml:space="preserve"> </w:t>
      </w:r>
      <w:r>
        <w:t xml:space="preserve">the CO2 targets, a mechanism incentivising ZEV, and possibly ZLEV, should be</w:t>
      </w:r>
      <w:r>
        <w:t xml:space="preserve"> </w:t>
      </w:r>
      <w:r>
        <w:t xml:space="preserve">maintained beyond 2030.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A majority of responses overall, and in each of the three main stakeholder categories,</w:t>
      </w:r>
      <w:r>
        <w:t xml:space="preserve"> </w:t>
      </w:r>
      <w:r>
        <w:t xml:space="preserve">were in agreement with this statement10. Overall, a slight majority of respondents (57%;</w:t>
      </w:r>
      <w:r>
        <w:t xml:space="preserve"> </w:t>
      </w:r>
      <w:r>
        <w:t xml:space="preserve">71, 12 ‘no responses’) agreed that a ZLEV mechanism should be maintained beyond</w:t>
      </w:r>
      <w:r>
        <w:t xml:space="preserve"> </w:t>
      </w:r>
      <w:r>
        <w:t xml:space="preserve">2030, as did over half of industry respondents (59%; 58, 10 ‘no responses’), nearly two-</w:t>
      </w:r>
      <w:r>
        <w:t xml:space="preserve"> </w:t>
      </w:r>
      <w:r>
        <w:t xml:space="preserve">thirds of citizens (64%; seven, one ‘no response’) and over three-quarters of public</w:t>
      </w:r>
      <w:r>
        <w:t xml:space="preserve"> </w:t>
      </w:r>
      <w:r>
        <w:t xml:space="preserve">authorities (80%; four, one ‘no response’). The exception was ‘Other’ stakeholders, as</w:t>
      </w:r>
      <w:r>
        <w:t xml:space="preserve"> </w:t>
      </w:r>
      <w:r>
        <w:t xml:space="preserve">less than a fifth (18%; two, zero ‘no responses’) supported maintaining the mechanism.</w:t>
      </w:r>
      <w:r>
        <w:t xml:space="preserve"> </w:t>
      </w:r>
      <w:r>
        <w:t xml:space="preserve">Of the industry sub-categories, vehicle manufacturers were most in agreement that the</w:t>
      </w:r>
      <w:r>
        <w:t xml:space="preserve"> </w:t>
      </w:r>
      <w:r>
        <w:t xml:space="preserve">ZLEV mechanism should be maintained after 2030 (88%; 15, zero ‘no responses’), while</w:t>
      </w:r>
      <w:r>
        <w:t xml:space="preserve"> </w:t>
      </w:r>
      <w:r>
        <w:t xml:space="preserve">a majority of respondents from most of the other industry sub-categories also agreed with</w:t>
      </w:r>
      <w:r>
        <w:t xml:space="preserve"> </w:t>
      </w:r>
      <w:r>
        <w:t xml:space="preserve">this. The exceptions were the fuel and energy suppliers, as only half of electricity and</w:t>
      </w:r>
      <w:r>
        <w:t xml:space="preserve"> </w:t>
      </w:r>
      <w:r>
        <w:t xml:space="preserve">hydrogen suppliers (50%; four, one ‘no response’) and less than a third of fuel and gas</w:t>
      </w:r>
      <w:r>
        <w:t xml:space="preserve"> </w:t>
      </w:r>
      <w:r>
        <w:t xml:space="preserve">suppliers (29%; 10, seven ‘no responses’) agreed with retaining the ZLEV mechanism</w:t>
      </w:r>
      <w:r>
        <w:t xml:space="preserve"> </w:t>
      </w:r>
      <w:r>
        <w:t xml:space="preserve">from 2030.</w:t>
      </w:r>
      <w:r>
        <w:t xml:space="preserve"> </w:t>
      </w:r>
      <w:r>
        <w:t xml:space="preserve">Vehicles eligible for the ZLEV incentive from 2030</w:t>
      </w:r>
      <w:r>
        <w:t xml:space="preserve"> </w:t>
      </w:r>
      <w:r>
        <w:t xml:space="preserve">Stakeholders were then asked to express their level of agreement (on a scale of 1 to 5,</w:t>
      </w:r>
      <w:r>
        <w:t xml:space="preserve"> </w:t>
      </w:r>
      <w:r>
        <w:t xml:space="preserve">where ‘5’ represented the highest agreement and ‘1’ indicated ‘no agreement’) with</w:t>
      </w:r>
      <w:r>
        <w:t xml:space="preserve"> </w:t>
      </w:r>
      <w:r>
        <w:t xml:space="preserve">statements on the vehicles that should be eligible for the incentive system from 2030.</w:t>
      </w:r>
      <w:r>
        <w:t xml:space="preserve"> </w:t>
      </w:r>
      <w:r>
        <w:t xml:space="preserve">Overall, a majority of respondents disagreed that only ZEVs should be incentivised</w:t>
      </w:r>
      <w:r>
        <w:t xml:space="preserve"> </w:t>
      </w:r>
      <w:r>
        <w:t xml:space="preserve">(61%; 65, 31 ‘no responses’) and that ZLEVs should be incentivised as in the current</w:t>
      </w:r>
      <w:r>
        <w:t xml:space="preserve"> </w:t>
      </w:r>
      <w:r>
        <w:t xml:space="preserve">Regulation (54%; 59, 27 ‘no responses’).</w:t>
      </w:r>
      <w:r>
        <w:br/>
      </w:r>
      <w:r>
        <w:t xml:space="preserve">The negative response relating to only incentivising ZEVs in the ZLEV mechanism was</w:t>
      </w:r>
      <w:r>
        <w:t xml:space="preserve"> </w:t>
      </w:r>
      <w:r>
        <w:t xml:space="preserve">driven by opposition from industry respondents, of which over two-thirds (70%; 55, 29</w:t>
      </w:r>
      <w:r>
        <w:t xml:space="preserve"> </w:t>
      </w:r>
      <w:r>
        <w:t xml:space="preserve">‘no responses’) disagreed with this option. Public authority respondents and citizens</w:t>
      </w:r>
      <w:r>
        <w:t xml:space="preserve"> </w:t>
      </w:r>
      <w:r>
        <w:t xml:space="preserve">were evenly split (40%, two, one ‘no response’ for and against; and 45%, five, one ‘no</w:t>
      </w:r>
      <w:r>
        <w:t xml:space="preserve"> </w:t>
      </w:r>
      <w:r>
        <w:t xml:space="preserve">response’ for and against, respectively), whereas ‘Other’ stakeholders agreed with</w:t>
      </w:r>
      <w:r>
        <w:t xml:space="preserve"> </w:t>
      </w:r>
      <w:r>
        <w:t xml:space="preserve">focusing the mechanism only on ZEVs (73%; eight, zero ‘no responses’). By industry</w:t>
      </w:r>
      <w:r>
        <w:t xml:space="preserve"> </w:t>
      </w:r>
      <w:r>
        <w:t xml:space="preserve">sub-sector, a majority of suppliers of electricity and hydrogen (83%; five, three ‘no</w:t>
      </w:r>
      <w:r>
        <w:t xml:space="preserve"> </w:t>
      </w:r>
      <w:r>
        <w:t xml:space="preserve">responses’) and of vehicle manufacturers (58%; seven, five ‘no responses’) also agreed</w:t>
      </w:r>
      <w:r>
        <w:t xml:space="preserve"> </w:t>
      </w:r>
      <w:r>
        <w:t xml:space="preserve">that the mechanism should only on ZEVs from 2030. The overall negative response to</w:t>
      </w:r>
      <w:r>
        <w:t xml:space="preserve"> </w:t>
      </w:r>
      <w:r>
        <w:t xml:space="preserve">only focusing the mechanism on ZEVs was driven by responses from other industries,</w:t>
      </w:r>
      <w:r>
        <w:t xml:space="preserve"> </w:t>
      </w:r>
      <w:r>
        <w:t xml:space="preserve">notably suppliers of fuels and gases, nearly all of which disagreed with a focus on ZEVs</w:t>
      </w:r>
      <w:r>
        <w:t xml:space="preserve"> </w:t>
      </w:r>
      <w:r>
        <w:t xml:space="preserve">(97%; 28, 12 ‘no responses’), and suppliers of components and materials, three quarters</w:t>
      </w:r>
      <w:r>
        <w:t xml:space="preserve"> </w:t>
      </w:r>
      <w:r>
        <w:t xml:space="preserve">of which disagreed (75%; six, two ‘no responses’).</w:t>
      </w:r>
      <w:r>
        <w:br/>
      </w:r>
      <w:r>
        <w:t xml:space="preserve">On the other hand, industry respondents were divided on whether the mechanism should</w:t>
      </w:r>
      <w:r>
        <w:t xml:space="preserve"> </w:t>
      </w:r>
      <w:r>
        <w:t xml:space="preserve">continue to incentivise ZLEVs as in the current Regulation, as nearly half (48%; 40, 25</w:t>
      </w:r>
      <w:r>
        <w:t xml:space="preserve"> </w:t>
      </w:r>
      <w:r>
        <w:t xml:space="preserve">‘no responses’) agreed with this, and marginally fewer (45%; 37) disagreed. In this case,</w:t>
      </w:r>
      <w:r>
        <w:t xml:space="preserve"> </w:t>
      </w:r>
      <w:r>
        <w:t xml:space="preserve">the negative response overall was driven by other stakeholder categories, all of which</w:t>
      </w:r>
      <w:r>
        <w:t xml:space="preserve"> </w:t>
      </w:r>
      <w:r>
        <w:t xml:space="preserve">disagreed with maintaining the eligibility criteria for ZLEVs as in the current Regulation,</w:t>
      </w:r>
      <w:r>
        <w:t xml:space="preserve"> </w:t>
      </w:r>
      <w:r>
        <w:t xml:space="preserve">ranging from 60% of public authorities (three, one ‘no response’) to all ‘Other’</w:t>
      </w:r>
      <w:r>
        <w:t xml:space="preserve"> </w:t>
      </w:r>
      <w:r>
        <w:t xml:space="preserve">respondents (11, zero ‘no responses’). By industry sub-category, a majority of transport</w:t>
      </w:r>
      <w:r>
        <w:t xml:space="preserve"> </w:t>
      </w:r>
      <w:r>
        <w:t xml:space="preserve">operators (69%; nine, four ‘no responses’), vehicle manufacturers11 (67%; 10, two ‘no</w:t>
      </w:r>
      <w:r>
        <w:t xml:space="preserve"> </w:t>
      </w:r>
      <w:r>
        <w:t xml:space="preserve">responses’) and suppliers of components and materials (57%; four, three ‘no responses’)</w:t>
      </w:r>
    </w:p>
    <w:p>
      <w:pPr>
        <w:pStyle w:val="BodyText"/>
      </w:pPr>
      <w:r>
        <w:t xml:space="preserve">10 i.e. respondents that gave this a rating of either a ‘4’ or ‘5’.</w:t>
      </w:r>
      <w:r>
        <w:t xml:space="preserve"> </w:t>
      </w:r>
      <w:r>
        <w:t xml:space="preserve">11 The apparent support from vehicle manufacturers for both focusing the ZLEV mechanism only on ZEV</w:t>
      </w:r>
      <w:r>
        <w:t xml:space="preserve"> </w:t>
      </w:r>
      <w:r>
        <w:t xml:space="preserve">and for maintaining its current eligibility requirements can be explained by the number of ‘no responses’ in</w:t>
      </w:r>
      <w:r>
        <w:t xml:space="preserve"> </w:t>
      </w:r>
      <w:r>
        <w:t xml:space="preserve">each case. Overall, seven manufacturers agreed that the mechanism should only focus on ZEV, while seven</w:t>
      </w:r>
      <w:r>
        <w:t xml:space="preserve"> </w:t>
      </w:r>
      <w:r>
        <w:t xml:space="preserve">disagreed, were neutral or did not answer with respect to maintaining the current eligibility criteria.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agreed with maintaining the vehicles eligible for the ZLEV mechanism as in the current</w:t>
      </w:r>
      <w:r>
        <w:t xml:space="preserve"> </w:t>
      </w:r>
      <w:r>
        <w:t xml:space="preserve">Regulation.</w:t>
      </w:r>
      <w:r>
        <w:t xml:space="preserve"> </w:t>
      </w:r>
      <w:r>
        <w:t xml:space="preserve">Those respondents that indicated their support for an ‘Other’ option (83% (45 out of 54)</w:t>
      </w:r>
      <w:r>
        <w:t xml:space="preserve"> </w:t>
      </w:r>
      <w:r>
        <w:t xml:space="preserve">of which were industry respondents), were asked to provide a further explanation. A</w:t>
      </w:r>
      <w:r>
        <w:t xml:space="preserve"> </w:t>
      </w:r>
      <w:r>
        <w:t xml:space="preserve">common theme in the responses from suppliers of fuels and gases (large companies,</w:t>
      </w:r>
      <w:r>
        <w:t xml:space="preserve"> </w:t>
      </w:r>
      <w:r>
        <w:t xml:space="preserve">SMEs and their representative organisations) was that the ZLEV incentive should not</w:t>
      </w:r>
      <w:r>
        <w:t xml:space="preserve"> </w:t>
      </w:r>
      <w:r>
        <w:t xml:space="preserve">focus only on tailpipe emissions, rather that it should take account of the lifecycle</w:t>
      </w:r>
      <w:r>
        <w:t xml:space="preserve"> </w:t>
      </w:r>
      <w:r>
        <w:t xml:space="preserve">emissions of the vehicle and fuel/energy source used, thus supporting the use of various</w:t>
      </w:r>
      <w:r>
        <w:t xml:space="preserve"> </w:t>
      </w:r>
      <w:r>
        <w:t xml:space="preserve">low carbon and renewable fuels. Other fuel and gas suppliers called for a crediting</w:t>
      </w:r>
      <w:r>
        <w:t xml:space="preserve"> </w:t>
      </w:r>
      <w:r>
        <w:t xml:space="preserve">system for low carbon and renewable fuels. Several vehicle manufacturers proposed</w:t>
      </w:r>
      <w:r>
        <w:t xml:space="preserve"> </w:t>
      </w:r>
      <w:r>
        <w:t xml:space="preserve">removing or increasing the cap so that this was more in line with the uptake of ZEVs that</w:t>
      </w:r>
      <w:r>
        <w:t xml:space="preserve"> </w:t>
      </w:r>
      <w:r>
        <w:t xml:space="preserve">is needed, while others called for hydrogen ICE vehicles to be considered as a ZEV.</w:t>
      </w:r>
      <w:r>
        <w:t xml:space="preserve"> </w:t>
      </w:r>
      <w:r>
        <w:t xml:space="preserve">NGOs again called for LEVs and ‘unregulated’ ZEVs to not count in the context of the</w:t>
      </w:r>
      <w:r>
        <w:t xml:space="preserve"> </w:t>
      </w:r>
      <w:r>
        <w:t xml:space="preserve">mechanism from 2027, and for only ZEVs with a certified electric range of 400 km or</w:t>
      </w:r>
      <w:r>
        <w:t xml:space="preserve"> </w:t>
      </w:r>
      <w:r>
        <w:t xml:space="preserve">more to count, in which case the benchmark could be 15%, from 2027. In addition, they</w:t>
      </w:r>
      <w:r>
        <w:t xml:space="preserve"> </w:t>
      </w:r>
      <w:r>
        <w:t xml:space="preserve">proposed that the incentive should cover only medium and heavy lorries, whereas ZEV</w:t>
      </w:r>
      <w:r>
        <w:t xml:space="preserve"> </w:t>
      </w:r>
      <w:r>
        <w:t xml:space="preserve">targets should be set for other vehicle categories, such as small lorries, vocational</w:t>
      </w:r>
      <w:r>
        <w:t xml:space="preserve"> </w:t>
      </w:r>
      <w:r>
        <w:t xml:space="preserve">vehicles, urban buses and coaches. Some transport operators also called for the incentive</w:t>
      </w:r>
      <w:r>
        <w:t xml:space="preserve"> </w:t>
      </w:r>
      <w:r>
        <w:t xml:space="preserve">to be based on the electric range of the vehicle, e.g. it should apply to ZEVs with a range</w:t>
      </w:r>
      <w:r>
        <w:t xml:space="preserve"> </w:t>
      </w:r>
      <w:r>
        <w:t xml:space="preserve">of more than 200 km only, with increasing incentives for ZEVs with higher ranges.</w:t>
      </w:r>
      <w:r>
        <w:t xml:space="preserve"> </w:t>
      </w:r>
      <w:r>
        <w:t xml:space="preserve">Type of ZLEV incentive from 2030</w:t>
      </w:r>
      <w:r>
        <w:t xml:space="preserve"> </w:t>
      </w:r>
      <w:r>
        <w:t xml:space="preserve">Stakeholders were then asked to express their views on the incentive type in the same</w:t>
      </w:r>
      <w:r>
        <w:t xml:space="preserve"> </w:t>
      </w:r>
      <w:r>
        <w:t xml:space="preserve">way, i.e. to express their level of agreement (on a scale of 1 to 5, where ‘5’ represented</w:t>
      </w:r>
      <w:r>
        <w:t xml:space="preserve"> </w:t>
      </w:r>
      <w:r>
        <w:t xml:space="preserve">the highest agreement and ‘1’ indicated ‘no agreement’). A majority of those expressing</w:t>
      </w:r>
      <w:r>
        <w:t xml:space="preserve"> </w:t>
      </w:r>
      <w:r>
        <w:t xml:space="preserve">an option did not agree with any of the options proposed. The most positive was for</w:t>
      </w:r>
      <w:r>
        <w:t xml:space="preserve"> </w:t>
      </w:r>
      <w:r>
        <w:t xml:space="preserve">retaining a benchmark, as just short of a majority overall agreed with this (47%; 44, 44</w:t>
      </w:r>
      <w:r>
        <w:t xml:space="preserve"> </w:t>
      </w:r>
      <w:r>
        <w:t xml:space="preserve">‘no responses’), whereas a majority disagreed with including both a bonus/malus (60%;</w:t>
      </w:r>
      <w:r>
        <w:t xml:space="preserve"> </w:t>
      </w:r>
      <w:r>
        <w:t xml:space="preserve">56, 43 ‘no responses’) and a mandate (55%; 53, 41 ‘no responses’).</w:t>
      </w:r>
      <w:r>
        <w:br/>
      </w:r>
      <w:r>
        <w:t xml:space="preserve">A small majority of industry respondents (55%; 37, 41 ‘no responses’) agreed with the</w:t>
      </w:r>
      <w:r>
        <w:t xml:space="preserve"> </w:t>
      </w:r>
      <w:r>
        <w:t xml:space="preserve">maintenance of the benchmark, whereas a small majority of citizens (55%; six, one ‘no</w:t>
      </w:r>
      <w:r>
        <w:t xml:space="preserve"> </w:t>
      </w:r>
      <w:r>
        <w:t xml:space="preserve">response’) and ‘Other’ stakeholders (64%; seven, zero ‘no responses’) disagreed with</w:t>
      </w:r>
      <w:r>
        <w:t xml:space="preserve"> </w:t>
      </w:r>
      <w:r>
        <w:t xml:space="preserve">this (public authority respondents were split 50-50). Most vehicle manufacturers (80%;</w:t>
      </w:r>
      <w:r>
        <w:t xml:space="preserve"> </w:t>
      </w:r>
      <w:r>
        <w:t xml:space="preserve">12, two ‘no responses’) agreed with the maintenance of the benchmark, as did a majority</w:t>
      </w:r>
      <w:r>
        <w:t xml:space="preserve"> </w:t>
      </w:r>
      <w:r>
        <w:t xml:space="preserve">of transport operators (58%; seven, five ‘no responses’). On the other hand, suppliers of</w:t>
      </w:r>
      <w:r>
        <w:t xml:space="preserve"> </w:t>
      </w:r>
      <w:r>
        <w:t xml:space="preserve">components and materials were more ambivalent (25%, two, two ‘no responses’ agreed;</w:t>
      </w:r>
      <w:r>
        <w:t xml:space="preserve"> </w:t>
      </w:r>
      <w:r>
        <w:t xml:space="preserve">13%, one disagreed).</w:t>
      </w:r>
      <w:r>
        <w:t xml:space="preserve"> </w:t>
      </w:r>
      <w:r>
        <w:t xml:space="preserve">The negative response to changing the incentive to a bonus/malus was driven by</w:t>
      </w:r>
      <w:r>
        <w:t xml:space="preserve"> </w:t>
      </w:r>
      <w:r>
        <w:t xml:space="preserve">industry respondents. Nearly three-quarters of these (72%; 49, 40 ‘no responses’)</w:t>
      </w:r>
      <w:r>
        <w:t xml:space="preserve"> </w:t>
      </w:r>
      <w:r>
        <w:t xml:space="preserve">disagreed with changing the incentive to a bonus/malus from 2030, whereas nearly three-</w:t>
      </w:r>
      <w:r>
        <w:t xml:space="preserve"> </w:t>
      </w:r>
      <w:r>
        <w:t xml:space="preserve">quarters of ‘Other’ stakeholders (73%; eight, zero ‘no responses’) agreed with this. By</w:t>
      </w:r>
      <w:r>
        <w:t xml:space="preserve"> </w:t>
      </w:r>
      <w:r>
        <w:t xml:space="preserve">industry sub-category, the least negative response was from transport operators, as half</w:t>
      </w:r>
      <w:r>
        <w:t xml:space="preserve"> </w:t>
      </w:r>
      <w:r>
        <w:t xml:space="preserve">of these (six, five ‘no responses’) disagreed with changing the incentive to a</w:t>
      </w:r>
      <w:r>
        <w:t xml:space="preserve"> </w:t>
      </w:r>
      <w:r>
        <w:t xml:space="preserve">bonus/malus, whereas suppliers of components and materials disagreed overwhelmingly</w:t>
      </w:r>
      <w:r>
        <w:t xml:space="preserve"> </w:t>
      </w:r>
      <w:r>
        <w:t xml:space="preserve">(88%; seven, two ‘no responses’) with this.</w:t>
      </w:r>
      <w:r>
        <w:br/>
      </w:r>
      <w:r>
        <w:t xml:space="preserve">Similarly, the negative response to changing the incentive to a mandate was driven by</w:t>
      </w:r>
      <w:r>
        <w:t xml:space="preserve"> </w:t>
      </w:r>
      <w:r>
        <w:t xml:space="preserve">industry respondents, as nearly two thirds (65%; 45, 39 ‘no responses’) disagreed with</w:t>
      </w:r>
      <w:r>
        <w:t xml:space="preserve"> </w:t>
      </w:r>
      <w:r>
        <w:t xml:space="preserve">this. On the other hand, a majority of both ‘Other’ stakeholders (82%; nine, zero ‘no</w:t>
      </w:r>
      <w:r>
        <w:t xml:space="preserve"> </w:t>
      </w:r>
      <w:r>
        <w:t xml:space="preserve">responses’) and public authorities (75%; three, two ‘no responses’) agreed with changing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the incentive to a mandate from 2030. Transport operators were also the least negative of</w:t>
      </w:r>
      <w:r>
        <w:t xml:space="preserve"> </w:t>
      </w:r>
      <w:r>
        <w:t xml:space="preserve">the industry sub-categories towards changing the incentive to a mandate, as just short of a</w:t>
      </w:r>
      <w:r>
        <w:t xml:space="preserve"> </w:t>
      </w:r>
      <w:r>
        <w:t xml:space="preserve">majority (46%; six, four ‘no responses’) agreed with this. On the other hand, most of the</w:t>
      </w:r>
      <w:r>
        <w:t xml:space="preserve"> </w:t>
      </w:r>
      <w:r>
        <w:t xml:space="preserve">fuel and gas suppliers (84%; 16, 22 ‘no responses’) and of vehicle manufacturers (73%;</w:t>
      </w:r>
      <w:r>
        <w:t xml:space="preserve"> </w:t>
      </w:r>
      <w:r>
        <w:t xml:space="preserve">11, two ‘no responses’) disagreed with having the post 2030 incentive in the form of a</w:t>
      </w:r>
      <w:r>
        <w:t xml:space="preserve"> </w:t>
      </w:r>
      <w:r>
        <w:t xml:space="preserve">mandate.</w:t>
      </w:r>
      <w:r>
        <w:br/>
      </w:r>
      <w:r>
        <w:t xml:space="preserve">Those respondents that indicated their support for an ‘Other’ option (84% (36 out of 43)</w:t>
      </w:r>
      <w:r>
        <w:t xml:space="preserve"> </w:t>
      </w:r>
      <w:r>
        <w:t xml:space="preserve">of which represented industry), were asked to provide a further explanation. A common</w:t>
      </w:r>
      <w:r>
        <w:t xml:space="preserve"> </w:t>
      </w:r>
      <w:r>
        <w:t xml:space="preserve">response from vehicle manufacturers was that a mechanism should be considered that</w:t>
      </w:r>
      <w:r>
        <w:t xml:space="preserve"> </w:t>
      </w:r>
      <w:r>
        <w:t xml:space="preserve">focused on incentivising the deployment of long-haul vehicles. Many other respondents</w:t>
      </w:r>
      <w:r>
        <w:t xml:space="preserve"> </w:t>
      </w:r>
      <w:r>
        <w:t xml:space="preserve">repeated comments made in relation to previous open questions on the ZLEV incentive</w:t>
      </w:r>
      <w:r>
        <w:t xml:space="preserve"> </w:t>
      </w:r>
      <w:r>
        <w:t xml:space="preserve">scheme, including fuel and gas suppliers, many of which called for a technology-neutral</w:t>
      </w:r>
      <w:r>
        <w:t xml:space="preserve"> </w:t>
      </w:r>
      <w:r>
        <w:t xml:space="preserve">bonus/malus.</w:t>
      </w:r>
      <w:r>
        <w:br/>
      </w:r>
      <w:r>
        <w:t xml:space="preserve">Link between the ZLEV incentive and the 2030 CO2 emissions reduction target</w:t>
      </w:r>
      <w:r>
        <w:t xml:space="preserve"> </w:t>
      </w:r>
      <w:r>
        <w:t xml:space="preserve">Stakeholders were then asked to express their level of agreement (on a scale of 1 to 5,</w:t>
      </w:r>
      <w:r>
        <w:t xml:space="preserve"> </w:t>
      </w:r>
      <w:r>
        <w:t xml:space="preserve">where ‘5’ represented the highest agreement and ‘1’ indicated ‘no agreement’) with the</w:t>
      </w:r>
      <w:r>
        <w:t xml:space="preserve"> </w:t>
      </w:r>
      <w:r>
        <w:t xml:space="preserve">statement: The ZLEV benchmark levels should increase when targets levels become</w:t>
      </w:r>
      <w:r>
        <w:t xml:space="preserve"> </w:t>
      </w:r>
      <w:r>
        <w:t xml:space="preserve">more stringent. A very slight majority (51%; 47, 44 ‘no responses’) agreed with this</w:t>
      </w:r>
      <w:r>
        <w:t xml:space="preserve"> </w:t>
      </w:r>
      <w:r>
        <w:t xml:space="preserve">statement, although only 20% disagreed (19). The stakeholder group that was least in</w:t>
      </w:r>
      <w:r>
        <w:t xml:space="preserve"> </w:t>
      </w:r>
      <w:r>
        <w:t xml:space="preserve">agreement with this option was industry, although even in this group twice as many</w:t>
      </w:r>
      <w:r>
        <w:t xml:space="preserve"> </w:t>
      </w:r>
      <w:r>
        <w:t xml:space="preserve">respondents agreed (45%; 31, 39 ‘no responses’) than disagreed (23%; 16). Over three-</w:t>
      </w:r>
      <w:r>
        <w:t xml:space="preserve"> </w:t>
      </w:r>
      <w:r>
        <w:t xml:space="preserve">quarters of ‘Other’ stakeholders (78%; seven, two ‘no responses’) and nearly two-thirds</w:t>
      </w:r>
      <w:r>
        <w:t xml:space="preserve"> </w:t>
      </w:r>
      <w:r>
        <w:t xml:space="preserve">of citizens (64%; seven, one ‘no response’) agreed with the statement, whereas only 50%</w:t>
      </w:r>
      <w:r>
        <w:t xml:space="preserve"> </w:t>
      </w:r>
      <w:r>
        <w:t xml:space="preserve">of public authorities (two, two ‘no responses’) did. Of the industry sub-groups, over</w:t>
      </w:r>
      <w:r>
        <w:t xml:space="preserve"> </w:t>
      </w:r>
      <w:r>
        <w:t xml:space="preserve">three-quarters of vehicle manufacturers (81%; 13, one ‘no response’) supported an</w:t>
      </w:r>
      <w:r>
        <w:t xml:space="preserve"> </w:t>
      </w:r>
      <w:r>
        <w:t xml:space="preserve">increased benchmark when targets become more stringent, as did two thirds of electricity</w:t>
      </w:r>
      <w:r>
        <w:t xml:space="preserve"> </w:t>
      </w:r>
      <w:r>
        <w:t xml:space="preserve">and hydrogen suppliers (67%; four, three ‘no responses’). On the other hand, there was</w:t>
      </w:r>
      <w:r>
        <w:t xml:space="preserve"> </w:t>
      </w:r>
      <w:r>
        <w:t xml:space="preserve">little agreement that the benchmark should be increased in the event of a more stringent</w:t>
      </w:r>
      <w:r>
        <w:t xml:space="preserve"> </w:t>
      </w:r>
      <w:r>
        <w:t xml:space="preserve">target amongst suppliers of components and materials (17%; one, four ‘no responses’) or</w:t>
      </w:r>
      <w:r>
        <w:t xml:space="preserve"> </w:t>
      </w:r>
      <w:r>
        <w:t xml:space="preserve">suppliers of fuels and gases (14%; three, 20 ‘no responses’).</w:t>
      </w:r>
      <w:r>
        <w:br/>
      </w:r>
      <w:r>
        <w:t xml:space="preserve">Vehicles covered in a ZLEV incentive scheme for the period from 2030</w:t>
      </w:r>
      <w:r>
        <w:t xml:space="preserve"> </w:t>
      </w:r>
      <w:r>
        <w:t xml:space="preserve">Finally, stakeholders were asked to express their level of agreement (on a scale of 1 to 5,</w:t>
      </w:r>
      <w:r>
        <w:t xml:space="preserve"> </w:t>
      </w:r>
      <w:r>
        <w:t xml:space="preserve">where ‘5’ represented the highest agreement and ‘1’ indicated ‘no agreement’) for the</w:t>
      </w:r>
      <w:r>
        <w:t xml:space="preserve"> </w:t>
      </w:r>
      <w:r>
        <w:t xml:space="preserve">vehicles that should be included in a ZLEV mechanism from 2030. Overall, at least</w:t>
      </w:r>
      <w:r>
        <w:t xml:space="preserve"> </w:t>
      </w:r>
      <w:r>
        <w:t xml:space="preserve">half, although no more than three-quarters, of respondents agreed with each type of</w:t>
      </w:r>
      <w:r>
        <w:t xml:space="preserve"> </w:t>
      </w:r>
      <w:r>
        <w:t xml:space="preserve">vehicle mentioned being covered by the ZLEV incentive scheme, i.e. heavy lorries</w:t>
      </w:r>
      <w:r>
        <w:t xml:space="preserve"> </w:t>
      </w:r>
      <w:r>
        <w:t xml:space="preserve">(above 16 tonnes; 74%; 87, 20 ‘no responses’); small and medium lorries (70%; 81, 22</w:t>
      </w:r>
      <w:r>
        <w:t xml:space="preserve"> </w:t>
      </w:r>
      <w:r>
        <w:t xml:space="preserve">‘no responses’); coaches (63%; 70, 25 ‘no responses’) and urban buses (51%; 57, 26 ‘no</w:t>
      </w:r>
      <w:r>
        <w:t xml:space="preserve"> </w:t>
      </w:r>
      <w:r>
        <w:t xml:space="preserve">responses’).</w:t>
      </w:r>
      <w:r>
        <w:br/>
      </w:r>
      <w:r>
        <w:t xml:space="preserve">Public authorities and industry respondents were most in agreement with the ZLEV</w:t>
      </w:r>
      <w:r>
        <w:t xml:space="preserve"> </w:t>
      </w:r>
      <w:r>
        <w:t xml:space="preserve">incentive scheme covering both heavy and small/medium lorries (80%, four, one ‘no</w:t>
      </w:r>
      <w:r>
        <w:t xml:space="preserve"> </w:t>
      </w:r>
      <w:r>
        <w:t xml:space="preserve">response’ in both cases for public authorities, with 77%, 69, 18 ‘no responses’ and 72%,</w:t>
      </w:r>
      <w:r>
        <w:t xml:space="preserve"> </w:t>
      </w:r>
      <w:r>
        <w:t xml:space="preserve">63, 20 ‘no responses’, respectively, for industry), although a majority in all stakeholder</w:t>
      </w:r>
      <w:r>
        <w:t xml:space="preserve"> </w:t>
      </w:r>
      <w:r>
        <w:t xml:space="preserve">categories agreed with this. The level of agreement for the incentive to cover coaches</w:t>
      </w:r>
      <w:r>
        <w:t xml:space="preserve"> </w:t>
      </w:r>
      <w:r>
        <w:t xml:space="preserve">was similar amongst all stakeholder groups, whereas for urban buses, there were</w:t>
      </w:r>
      <w:r>
        <w:t xml:space="preserve"> </w:t>
      </w:r>
      <w:r>
        <w:t xml:space="preserve">significant differences, ranging from all public authorities (four, two ‘no responses’)</w:t>
      </w:r>
      <w:r>
        <w:t xml:space="preserve"> </w:t>
      </w:r>
      <w:r>
        <w:t xml:space="preserve">agreeing that buses should be covered, whereas just over a third (36%) of ‘Other’</w:t>
      </w:r>
      <w:r>
        <w:t xml:space="preserve"> </w:t>
      </w:r>
      <w:r>
        <w:t xml:space="preserve">stakeholders agreed.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Of the main industry sub-categories, vehicle manufacturers were the most supportive of</w:t>
      </w:r>
      <w:r>
        <w:t xml:space="preserve"> </w:t>
      </w:r>
      <w:r>
        <w:t xml:space="preserve">the incentive scheme covering heavy lorries (94%; 15, one ‘no response’), medium and</w:t>
      </w:r>
      <w:r>
        <w:t xml:space="preserve"> </w:t>
      </w:r>
      <w:r>
        <w:t xml:space="preserve">small lorries (88%; 14, one ‘no response’) and coaches (87%; 13, two ‘no responses’),</w:t>
      </w:r>
      <w:r>
        <w:t xml:space="preserve"> </w:t>
      </w:r>
      <w:r>
        <w:t xml:space="preserve">whereas the majority of vehicle manufacturers (53%; eight, two ‘no responses’) did not</w:t>
      </w:r>
      <w:r>
        <w:t xml:space="preserve"> </w:t>
      </w:r>
      <w:r>
        <w:t xml:space="preserve">agree that the incentive should cover buses. A majority of respondents in all industry sub-</w:t>
      </w:r>
      <w:r>
        <w:t xml:space="preserve"> </w:t>
      </w:r>
      <w:r>
        <w:t xml:space="preserve">categories agreed that the incentive scheme should cover both heavy and medium/small</w:t>
      </w:r>
      <w:r>
        <w:t xml:space="preserve"> </w:t>
      </w:r>
      <w:r>
        <w:t xml:space="preserve">lorries, and at least 50% of respondents in each sub-category agreed that the incentive</w:t>
      </w:r>
      <w:r>
        <w:t xml:space="preserve"> </w:t>
      </w:r>
      <w:r>
        <w:t xml:space="preserve">should cover coaches, with the exception of suppliers of components and materials</w:t>
      </w:r>
      <w:r>
        <w:t xml:space="preserve"> </w:t>
      </w:r>
      <w:r>
        <w:t xml:space="preserve">(33%; three, one ‘no response). Most transport operators (83%; 10, five ‘no responses)</w:t>
      </w:r>
      <w:r>
        <w:t xml:space="preserve"> </w:t>
      </w:r>
      <w:r>
        <w:t xml:space="preserve">agreed that the incentive scheme should cover urban buses, whereas in other sub-</w:t>
      </w:r>
      <w:r>
        <w:t xml:space="preserve"> </w:t>
      </w:r>
      <w:r>
        <w:t xml:space="preserve">categories, agreement was no higher than 50%.</w:t>
      </w:r>
      <w:r>
        <w:br/>
      </w:r>
      <w:r>
        <w:t xml:space="preserve">Additional comments on the ZLEV (or ZEV) incentive system.</w:t>
      </w:r>
      <w:r>
        <w:t xml:space="preserve"> </w:t>
      </w:r>
      <w:r>
        <w:t xml:space="preserve">Finally, on the ZLEV incentive scheme, respondents were asked if they had any</w:t>
      </w:r>
      <w:r>
        <w:t xml:space="preserve"> </w:t>
      </w:r>
      <w:r>
        <w:t xml:space="preserve">additional comments on the ZLEV (or ZEV) incentive system. A common theme raised</w:t>
      </w:r>
      <w:r>
        <w:t xml:space="preserve"> </w:t>
      </w:r>
      <w:r>
        <w:t xml:space="preserve">by vehicle manufacturers was the importance of increasing (or removing) the cap</w:t>
      </w:r>
      <w:r>
        <w:t xml:space="preserve"> </w:t>
      </w:r>
      <w:r>
        <w:t xml:space="preserve">associated with the benchmark, and of ensuring that the incentive system “meaningfully</w:t>
      </w:r>
      <w:r>
        <w:t xml:space="preserve"> </w:t>
      </w:r>
      <w:r>
        <w:t xml:space="preserve">and effectively” incentivised ZEVs. Many suppliers of fuels and gases (large companies,</w:t>
      </w:r>
      <w:r>
        <w:t xml:space="preserve"> </w:t>
      </w:r>
      <w:r>
        <w:t xml:space="preserve">SMEs and their representative organisations) made comments similar to those that they</w:t>
      </w:r>
      <w:r>
        <w:t xml:space="preserve"> </w:t>
      </w:r>
      <w:r>
        <w:t xml:space="preserve">had made in response to previous questions, as they called for a move away from the</w:t>
      </w:r>
      <w:r>
        <w:t xml:space="preserve"> </w:t>
      </w:r>
      <w:r>
        <w:t xml:space="preserve">focus on tailpipe emissions towards an approach that took account of the potential</w:t>
      </w:r>
      <w:r>
        <w:t xml:space="preserve"> </w:t>
      </w:r>
      <w:r>
        <w:t xml:space="preserve">benefits of renewable and low carbon fuels. Many NGOs also reiterated previous</w:t>
      </w:r>
      <w:r>
        <w:t xml:space="preserve"> </w:t>
      </w:r>
      <w:r>
        <w:t xml:space="preserve">comments, although one noted that, as manufacturer commitments were already way</w:t>
      </w:r>
      <w:r>
        <w:t xml:space="preserve"> </w:t>
      </w:r>
      <w:r>
        <w:t xml:space="preserve">more than the benchmark, the current ZLEV incentive system was no longer needed,</w:t>
      </w:r>
      <w:r>
        <w:t xml:space="preserve"> </w:t>
      </w:r>
      <w:r>
        <w:t xml:space="preserve">although a bonus/malus (with a suitably high benchmark) and a mandate for HDV</w:t>
      </w:r>
      <w:r>
        <w:t xml:space="preserve"> </w:t>
      </w:r>
      <w:r>
        <w:t xml:space="preserve">categories not covered by VECTO could be useful. A supplier of electricity and</w:t>
      </w:r>
      <w:r>
        <w:t xml:space="preserve"> </w:t>
      </w:r>
      <w:r>
        <w:t xml:space="preserve">hydrogen suggested that mandatory ZEV sales targets should be set (50% by 2030; 100%</w:t>
      </w:r>
      <w:r>
        <w:t xml:space="preserve"> </w:t>
      </w:r>
      <w:r>
        <w:t xml:space="preserve">by 2040), supported by a flexible credit-trading scheme, or failing that a bonus/malus</w:t>
      </w:r>
      <w:r>
        <w:t xml:space="preserve"> </w:t>
      </w:r>
      <w:r>
        <w:t xml:space="preserve">scheme should be introduced.</w:t>
      </w:r>
      <w:r>
        <w:br/>
      </w:r>
      <w:r>
        <w:t xml:space="preserve">It was suggested by some respondents that there was no need to incentivise the uptake of</w:t>
      </w:r>
      <w:r>
        <w:t xml:space="preserve"> </w:t>
      </w:r>
      <w:r>
        <w:t xml:space="preserve">low and zero emission buses in the HDV CO2 Regulation, as the uptake of these vehicles</w:t>
      </w:r>
      <w:r>
        <w:t xml:space="preserve"> </w:t>
      </w:r>
      <w:r>
        <w:t xml:space="preserve">was already covered by the Clean Vehicle Directive, while others argued that the</w:t>
      </w:r>
      <w:r>
        <w:t xml:space="preserve"> </w:t>
      </w:r>
      <w:r>
        <w:t xml:space="preserve">incentive should not incentivise technologies that are already common. Other comments</w:t>
      </w:r>
      <w:r>
        <w:t xml:space="preserve"> </w:t>
      </w:r>
      <w:r>
        <w:t xml:space="preserve">repeated calls to only focus on ZEV or argued that there was no need for a ZLEV</w:t>
      </w:r>
      <w:r>
        <w:t xml:space="preserve"> </w:t>
      </w:r>
      <w:r>
        <w:t xml:space="preserve">incentive from 2030.</w:t>
      </w:r>
      <w:r>
        <w:t xml:space="preserve"> </w:t>
      </w:r>
      <w:r>
        <w:t xml:space="preserve">CONTRIBUTION OF RENEWABLE AND LOW CARBON FUELS</w:t>
      </w:r>
      <w:r>
        <w:t xml:space="preserve"> </w:t>
      </w:r>
      <w:r>
        <w:t xml:space="preserve">In relation to renewable and low carbon fuels, stakeholders were first asked to express</w:t>
      </w:r>
      <w:r>
        <w:t xml:space="preserve"> </w:t>
      </w:r>
      <w:r>
        <w:t xml:space="preserve">their level of agreement (on a scale of 1 to 5, where ‘5’ represented the highest agreement</w:t>
      </w:r>
      <w:r>
        <w:t xml:space="preserve"> </w:t>
      </w:r>
      <w:r>
        <w:t xml:space="preserve">and ‘1’ indicated ‘no agreement’) with the statement: A mechanism should be</w:t>
      </w:r>
      <w:r>
        <w:t xml:space="preserve"> </w:t>
      </w:r>
      <w:r>
        <w:t xml:space="preserve">introduced in the HDV Regulation so that compliance assessment considers the</w:t>
      </w:r>
      <w:r>
        <w:t xml:space="preserve"> </w:t>
      </w:r>
      <w:r>
        <w:t xml:space="preserve">contribution of renewable and low-carbon fuels. Over two-thirds (68%; 90, four ‘no</w:t>
      </w:r>
      <w:r>
        <w:t xml:space="preserve"> </w:t>
      </w:r>
      <w:r>
        <w:t xml:space="preserve">responses) of respondents agreed that such a mechanism should be introduced, which</w:t>
      </w:r>
      <w:r>
        <w:t xml:space="preserve"> </w:t>
      </w:r>
      <w:r>
        <w:t xml:space="preserve">was driven by the responses from industry, of which nearly three-quarters (73%; 77,</w:t>
      </w:r>
      <w:r>
        <w:t xml:space="preserve"> </w:t>
      </w:r>
      <w:r>
        <w:t xml:space="preserve">three ‘no responses) supported the introduction of such a mechanism. On the other hand,</w:t>
      </w:r>
      <w:r>
        <w:t xml:space="preserve"> </w:t>
      </w:r>
      <w:r>
        <w:t xml:space="preserve">public authorities were split 50-50 (three in agreement, three that disagreed; zero ‘no</w:t>
      </w:r>
      <w:r>
        <w:t xml:space="preserve"> </w:t>
      </w:r>
      <w:r>
        <w:t xml:space="preserve">responses’), and ‘Other’ stakeholders disagreed with the introduction of such a</w:t>
      </w:r>
      <w:r>
        <w:t xml:space="preserve"> </w:t>
      </w:r>
      <w:r>
        <w:t xml:space="preserve">mechanism (60%; six, one ‘no response’). Respondents in the majority of the industry</w:t>
      </w:r>
      <w:r>
        <w:t xml:space="preserve"> </w:t>
      </w:r>
      <w:r>
        <w:t xml:space="preserve">sub-categories were generally strongly in favour of the inclusion of such a mechanism,</w:t>
      </w:r>
      <w:r>
        <w:t xml:space="preserve"> </w:t>
      </w:r>
      <w:r>
        <w:t xml:space="preserve">with the support greatest including all suppliers of fuels and gases (100%; 41, zero ‘no</w:t>
      </w:r>
      <w:r>
        <w:t xml:space="preserve"> </w:t>
      </w:r>
      <w:r>
        <w:t xml:space="preserve">responses’). The exception was vehicle manufacturers, who were more ambivalent about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the inclusion of a renewable/low carbon fuel mechanism, as less than a third (29%; five,</w:t>
      </w:r>
      <w:r>
        <w:t xml:space="preserve"> </w:t>
      </w:r>
      <w:r>
        <w:t xml:space="preserve">zero ‘no responses) agreed with this and nearly half (47%; eight) disagreed.</w:t>
      </w:r>
      <w:r>
        <w:t xml:space="preserve"> </w:t>
      </w:r>
      <w:r>
        <w:t xml:space="preserve">Effects of a system to account for renewable and low carbon fuels</w:t>
      </w:r>
      <w:r>
        <w:t xml:space="preserve"> </w:t>
      </w:r>
      <w:r>
        <w:t xml:space="preserve">Stakeholders were then asked to express their level of agreement (on a scale of 1 to 5,</w:t>
      </w:r>
      <w:r>
        <w:t xml:space="preserve"> </w:t>
      </w:r>
      <w:r>
        <w:t xml:space="preserve">where ‘5’ represented the highest agreement and ‘1’ indicated ‘no agreement’) with</w:t>
      </w:r>
      <w:r>
        <w:t xml:space="preserve"> </w:t>
      </w:r>
      <w:r>
        <w:t xml:space="preserve">seven statements on the potential effects of introducing a system to account for</w:t>
      </w:r>
      <w:r>
        <w:t xml:space="preserve"> </w:t>
      </w:r>
      <w:r>
        <w:t xml:space="preserve">renewable and low-carbon fuels.</w:t>
      </w:r>
      <w:r>
        <w:t xml:space="preserve"> </w:t>
      </w:r>
      <w:r>
        <w:t xml:space="preserve">The majority of respondents agreed with only one of the seven statements; between 64%</w:t>
      </w:r>
      <w:r>
        <w:t xml:space="preserve"> </w:t>
      </w:r>
      <w:r>
        <w:t xml:space="preserve">and 75% of respondents disagreed with each of the other statements. The one statement</w:t>
      </w:r>
      <w:r>
        <w:t xml:space="preserve"> </w:t>
      </w:r>
      <w:r>
        <w:t xml:space="preserve">with which the majority agreed was that more renewable and low-carbon fuels will be</w:t>
      </w:r>
      <w:r>
        <w:t xml:space="preserve"> </w:t>
      </w:r>
      <w:r>
        <w:t xml:space="preserve">made available for road transport if a system to account for renewable and low-carbon</w:t>
      </w:r>
      <w:r>
        <w:t xml:space="preserve"> </w:t>
      </w:r>
      <w:r>
        <w:t xml:space="preserve">fuels was introduced. Three-quarters of respondents (75%; 97, seven ‘no responses’)</w:t>
      </w:r>
      <w:r>
        <w:t xml:space="preserve"> </w:t>
      </w:r>
      <w:r>
        <w:t xml:space="preserve">agreed with this statement, which was driven by responses from industry (81%; 83, six</w:t>
      </w:r>
      <w:r>
        <w:t xml:space="preserve"> </w:t>
      </w:r>
      <w:r>
        <w:t xml:space="preserve">‘no responses’) and, to a lesser extent, citizens (58%; seven, zero ‘no responses’), while</w:t>
      </w:r>
      <w:r>
        <w:t xml:space="preserve"> </w:t>
      </w:r>
      <w:r>
        <w:t xml:space="preserve">half of public authority respondents agreed with the statement (50%; six, zero ‘no</w:t>
      </w:r>
      <w:r>
        <w:t xml:space="preserve"> </w:t>
      </w:r>
      <w:r>
        <w:t xml:space="preserve">responses’). On the other hand, half of ‘Other’ stakeholders did not agree with this</w:t>
      </w:r>
      <w:r>
        <w:t xml:space="preserve"> </w:t>
      </w:r>
      <w:r>
        <w:t xml:space="preserve">statement (50%; five, one ‘no response’). Respondents from most industry sectors also</w:t>
      </w:r>
      <w:r>
        <w:t xml:space="preserve"> </w:t>
      </w:r>
      <w:r>
        <w:t xml:space="preserve">agreed with the statement, including all suppliers of fuels and gases (100%; 41, zero ‘no</w:t>
      </w:r>
      <w:r>
        <w:t xml:space="preserve"> </w:t>
      </w:r>
      <w:r>
        <w:t xml:space="preserve">responses’), the exception being vehicle manufacturers, as only two fifths of these agreed</w:t>
      </w:r>
      <w:r>
        <w:t xml:space="preserve"> </w:t>
      </w:r>
      <w:r>
        <w:t xml:space="preserve">(41%; seven, zero ‘no responses’), although only one quarter disagreed (24%; 4).</w:t>
      </w:r>
      <w:r>
        <w:t xml:space="preserve"> </w:t>
      </w:r>
      <w:r>
        <w:t xml:space="preserve">The overall negative response for each of the other statements was driven in each case by</w:t>
      </w:r>
      <w:r>
        <w:t xml:space="preserve"> </w:t>
      </w:r>
      <w:r>
        <w:t xml:space="preserve">industry respondents, as half or more of ‘Other’ stakeholders agreed with each statement,</w:t>
      </w:r>
      <w:r>
        <w:t xml:space="preserve"> </w:t>
      </w:r>
      <w:r>
        <w:t xml:space="preserve">whereas public authorities and citizens were more evenly divided. Most respondents</w:t>
      </w:r>
      <w:r>
        <w:t xml:space="preserve"> </w:t>
      </w:r>
      <w:r>
        <w:t xml:space="preserve">from most industry sectors disagreed with each statement, with the exception of suppliers</w:t>
      </w:r>
      <w:r>
        <w:t xml:space="preserve"> </w:t>
      </w:r>
      <w:r>
        <w:t xml:space="preserve">of electricity and hydrogen and vehicle manufacturers, who tended to be more</w:t>
      </w:r>
      <w:r>
        <w:t xml:space="preserve"> </w:t>
      </w:r>
      <w:r>
        <w:t xml:space="preserve">ambivalent than respondents from other industry sub-categories and they even agreed</w:t>
      </w:r>
      <w:r>
        <w:t xml:space="preserve"> </w:t>
      </w:r>
      <w:r>
        <w:t xml:space="preserve">with at least one of the six statements.</w:t>
      </w:r>
      <w:r>
        <w:br/>
      </w:r>
      <w:r>
        <w:t xml:space="preserve">For these six other statements, the least negative response, if a system to account for</w:t>
      </w:r>
      <w:r>
        <w:t xml:space="preserve"> </w:t>
      </w:r>
      <w:r>
        <w:t xml:space="preserve">renewable and low-carbon fuels was introduced was for: Renewable and low-carbon</w:t>
      </w:r>
      <w:r>
        <w:t xml:space="preserve"> </w:t>
      </w:r>
      <w:r>
        <w:t xml:space="preserve">fuels in road transport will come at the expense of other sectors facing steeper</w:t>
      </w:r>
      <w:r>
        <w:t xml:space="preserve"> </w:t>
      </w:r>
      <w:r>
        <w:t xml:space="preserve">challenges to decarbonise (e.g. aviation/maritime). Nearly two thirds of respondents</w:t>
      </w:r>
      <w:r>
        <w:t xml:space="preserve"> </w:t>
      </w:r>
      <w:r>
        <w:t xml:space="preserve">overall (64%; 82, nine ‘no responses’), and nearly three-quarters of industry respondents</w:t>
      </w:r>
      <w:r>
        <w:t xml:space="preserve"> </w:t>
      </w:r>
      <w:r>
        <w:t xml:space="preserve">(73%; 73, eight ‘no responses’), disagreed with this statement. Respondents in most of</w:t>
      </w:r>
      <w:r>
        <w:t xml:space="preserve"> </w:t>
      </w:r>
      <w:r>
        <w:t xml:space="preserve">the main industry categories also disagreed, the exception being transport operators,</w:t>
      </w:r>
      <w:r>
        <w:t xml:space="preserve"> </w:t>
      </w:r>
      <w:r>
        <w:t xml:space="preserve">who were more ambivalent (20% (three, two ‘no responses’) disagreed, whereas 27%</w:t>
      </w:r>
      <w:r>
        <w:t xml:space="preserve"> </w:t>
      </w:r>
      <w:r>
        <w:t xml:space="preserve">(two) agreed). On the other hand, public authorities and ‘Other’ stakeholders were more</w:t>
      </w:r>
      <w:r>
        <w:t xml:space="preserve"> </w:t>
      </w:r>
      <w:r>
        <w:t xml:space="preserve">likely to agree with this statement (66% (four, zero ‘no responses’) and 60% (six, one ‘no</w:t>
      </w:r>
      <w:r>
        <w:t xml:space="preserve"> </w:t>
      </w:r>
      <w:r>
        <w:t xml:space="preserve">response’), respectively).</w:t>
      </w:r>
      <w:r>
        <w:t xml:space="preserve"> </w:t>
      </w:r>
      <w:r>
        <w:t xml:space="preserve">Overall, two-thirds of respondents disagreed with the following statements, if a system to</w:t>
      </w:r>
      <w:r>
        <w:t xml:space="preserve"> </w:t>
      </w:r>
      <w:r>
        <w:t xml:space="preserve">account for renewable and low-carbon fuels was introduced:</w:t>
      </w:r>
      <w:r>
        <w:t xml:space="preserve"> </w:t>
      </w:r>
      <w:r>
        <w:t xml:space="preserve"> Such an accounting system will no longer ensure clear responsibilities and</w:t>
      </w:r>
      <w:r>
        <w:t xml:space="preserve"> </w:t>
      </w:r>
      <w:r>
        <w:t xml:space="preserve">accountability for vehicle manufacturers and fuel suppliers (66%; 82, 13 ‘no</w:t>
      </w:r>
      <w:r>
        <w:t xml:space="preserve"> </w:t>
      </w:r>
      <w:r>
        <w:t xml:space="preserve">responses’).</w:t>
      </w:r>
      <w:r>
        <w:t xml:space="preserve"> </w:t>
      </w:r>
      <w:r>
        <w:t xml:space="preserve"> Air pollution co-benefits would not be achieved in the same degree (67%; 84, 11</w:t>
      </w:r>
      <w:r>
        <w:t xml:space="preserve"> </w:t>
      </w:r>
      <w:r>
        <w:t xml:space="preserve">‘no responses’).</w:t>
      </w:r>
      <w:r>
        <w:t xml:space="preserve"> </w:t>
      </w:r>
      <w:r>
        <w:t xml:space="preserve">Again, for both of these, results were driven by a negative response from industry</w:t>
      </w:r>
      <w:r>
        <w:t xml:space="preserve"> </w:t>
      </w:r>
      <w:r>
        <w:t xml:space="preserve">stakeholders (73% (71, 11 ‘no responses’) and 75% (74, nine ‘no responses’),</w:t>
      </w:r>
      <w:r>
        <w:t xml:space="preserve"> </w:t>
      </w:r>
      <w:r>
        <w:t xml:space="preserve">respectively). Similarly, respondents from most industry sub-categories disagreed with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both statements, the exceptions being vehicle manufacturers, as a majority agreed with</w:t>
      </w:r>
      <w:r>
        <w:t xml:space="preserve"> </w:t>
      </w:r>
      <w:r>
        <w:t xml:space="preserve">that such a system would lead to unclear responsibilities (60%; nine, two ‘no responses’),</w:t>
      </w:r>
      <w:r>
        <w:t xml:space="preserve"> </w:t>
      </w:r>
      <w:r>
        <w:t xml:space="preserve">and suppliers of electricity and hydrogen, a majority of which agreed that there would be</w:t>
      </w:r>
      <w:r>
        <w:t xml:space="preserve"> </w:t>
      </w:r>
      <w:r>
        <w:t xml:space="preserve">air pollution co-benefits (63%; five, one ‘no response’). ‘Other’ stakeholders agreed with</w:t>
      </w:r>
      <w:r>
        <w:t xml:space="preserve"> </w:t>
      </w:r>
      <w:r>
        <w:t xml:space="preserve">both statements (60%; six, one ‘no response’ in both cases), while half (50%; three, zero</w:t>
      </w:r>
      <w:r>
        <w:t xml:space="preserve"> </w:t>
      </w:r>
      <w:r>
        <w:t xml:space="preserve">‘no responses’) of public authorities agreed with each statement.</w:t>
      </w:r>
      <w:r>
        <w:br/>
      </w:r>
      <w:r>
        <w:t xml:space="preserve">The rate of negative responses was slightly higher for the final three statements, if a</w:t>
      </w:r>
      <w:r>
        <w:t xml:space="preserve"> </w:t>
      </w:r>
      <w:r>
        <w:t xml:space="preserve">system to account for renewable and low-carbon fuels was introduced:</w:t>
      </w:r>
      <w:r>
        <w:t xml:space="preserve"> </w:t>
      </w:r>
      <w:r>
        <w:t xml:space="preserve"> The HDV Regulation would need to be made stricter more rapidly to foster the</w:t>
      </w:r>
      <w:r>
        <w:t xml:space="preserve"> </w:t>
      </w:r>
      <w:r>
        <w:t xml:space="preserve">deployment of ZEV (70%; 87, 12 ‘no responses’).</w:t>
      </w:r>
      <w:r>
        <w:t xml:space="preserve"> </w:t>
      </w:r>
      <w:r>
        <w:t xml:space="preserve"> These incentives for deploying low-carbon and renewable fuels could weaken</w:t>
      </w:r>
      <w:r>
        <w:t xml:space="preserve"> </w:t>
      </w:r>
      <w:r>
        <w:t xml:space="preserve">the development of innovation in zero-emission technologies (71%; 91, eight ‘no</w:t>
      </w:r>
      <w:r>
        <w:t xml:space="preserve"> </w:t>
      </w:r>
      <w:r>
        <w:t xml:space="preserve">responses’).</w:t>
      </w:r>
      <w:r>
        <w:t xml:space="preserve"> </w:t>
      </w:r>
      <w:r>
        <w:t xml:space="preserve"> Incentives for these fuels will be incompatible with EU efforts to increase</w:t>
      </w:r>
      <w:r>
        <w:t xml:space="preserve"> </w:t>
      </w:r>
      <w:r>
        <w:t xml:space="preserve">efficiency and reduce energy consumption in HDV (75%; 96, nine ‘no</w:t>
      </w:r>
      <w:r>
        <w:t xml:space="preserve"> </w:t>
      </w:r>
      <w:r>
        <w:t xml:space="preserve">responses’).</w:t>
      </w:r>
      <w:r>
        <w:t xml:space="preserve"> </w:t>
      </w:r>
      <w:r>
        <w:t xml:space="preserve">The pattern by stakeholder group was similar, in that the negative responses were driven</w:t>
      </w:r>
      <w:r>
        <w:t xml:space="preserve"> </w:t>
      </w:r>
      <w:r>
        <w:t xml:space="preserve">by the scale of negative responses from industry respondents, the majority of which from</w:t>
      </w:r>
      <w:r>
        <w:t xml:space="preserve"> </w:t>
      </w:r>
      <w:r>
        <w:t xml:space="preserve">most industry sub-categories also disagreed with each statement. Having said that,</w:t>
      </w:r>
      <w:r>
        <w:t xml:space="preserve"> </w:t>
      </w:r>
      <w:r>
        <w:t xml:space="preserve">vehicle manufacturers (31% (five, one ‘no response’) agreed and 50% (eight) disagreed)</w:t>
      </w:r>
      <w:r>
        <w:t xml:space="preserve"> </w:t>
      </w:r>
      <w:r>
        <w:t xml:space="preserve">and suppliers of electricity and hydrogen (29% (two, three ‘no responses’) both agreed</w:t>
      </w:r>
      <w:r>
        <w:t xml:space="preserve"> </w:t>
      </w:r>
      <w:r>
        <w:t xml:space="preserve">and disagreed) were more ambivalent for the second statement, that such a system could</w:t>
      </w:r>
      <w:r>
        <w:t xml:space="preserve"> </w:t>
      </w:r>
      <w:r>
        <w:t xml:space="preserve">weaken the development of zero emission technologies. Furthermore, a majority of</w:t>
      </w:r>
      <w:r>
        <w:t xml:space="preserve"> </w:t>
      </w:r>
      <w:r>
        <w:t xml:space="preserve">suppliers of electricity and hydrogen (57% (four, two ‘no responses’) agreed with the</w:t>
      </w:r>
      <w:r>
        <w:t xml:space="preserve"> </w:t>
      </w:r>
      <w:r>
        <w:t xml:space="preserve">first statement, that, if such a system was introduced, the HDV Regulation would need to</w:t>
      </w:r>
      <w:r>
        <w:t xml:space="preserve"> </w:t>
      </w:r>
      <w:r>
        <w:t xml:space="preserve">be made stricter to foster the deployment of ZEVs. For each of these three statements,</w:t>
      </w:r>
      <w:r>
        <w:t xml:space="preserve"> </w:t>
      </w:r>
      <w:r>
        <w:t xml:space="preserve">public authorities were split 50:50 (50%; three agreed and three disagreed, zero ‘no</w:t>
      </w:r>
      <w:r>
        <w:t xml:space="preserve"> </w:t>
      </w:r>
      <w:r>
        <w:t xml:space="preserve">responses’), while most ‘Other’ stakeholders agreed with the second and third statements</w:t>
      </w:r>
      <w:r>
        <w:t xml:space="preserve"> </w:t>
      </w:r>
      <w:r>
        <w:t xml:space="preserve">(60%; six, one ‘no response’ in both cases) and half agreed with the first (50%; five, one</w:t>
      </w:r>
      <w:r>
        <w:t xml:space="preserve"> </w:t>
      </w:r>
      <w:r>
        <w:t xml:space="preserve">‘no response’).</w:t>
      </w:r>
      <w:r>
        <w:br/>
      </w:r>
      <w:r>
        <w:t xml:space="preserve">Design of a system to account for renewable and low carbon fuels</w:t>
      </w:r>
      <w:r>
        <w:t xml:space="preserve"> </w:t>
      </w:r>
      <w:r>
        <w:t xml:space="preserve">Stakeholders were asked to express their level of agreement (on a scale of 1 to 5, where</w:t>
      </w:r>
      <w:r>
        <w:t xml:space="preserve"> </w:t>
      </w:r>
      <w:r>
        <w:t xml:space="preserve">‘5’ represented the highest agreement and ‘1’ indicated ‘no agreement’) with two</w:t>
      </w:r>
      <w:r>
        <w:t xml:space="preserve"> </w:t>
      </w:r>
      <w:r>
        <w:t xml:space="preserve">statements on the design of the mechanism to account for renewable and low-carbon</w:t>
      </w:r>
      <w:r>
        <w:t xml:space="preserve"> </w:t>
      </w:r>
      <w:r>
        <w:t xml:space="preserve">fuels.</w:t>
      </w:r>
      <w:r>
        <w:t xml:space="preserve"> </w:t>
      </w:r>
      <w:r>
        <w:t xml:space="preserve">Overall, nearly two-thirds of respondents (65%; 75, 22 ‘no responses’) were in favour of</w:t>
      </w:r>
      <w:r>
        <w:t xml:space="preserve"> </w:t>
      </w:r>
      <w:r>
        <w:t xml:space="preserve">a ‘fuel crediting system’, if a system to account for renewable and low-carbon fuels was</w:t>
      </w:r>
      <w:r>
        <w:t xml:space="preserve"> </w:t>
      </w:r>
      <w:r>
        <w:t xml:space="preserve">introduced. This positive response was driven by industry respondents, of which nearly</w:t>
      </w:r>
      <w:r>
        <w:t xml:space="preserve"> </w:t>
      </w:r>
      <w:r>
        <w:t xml:space="preserve">three-quarters (72%; 64, 19 ‘no responses’) agreed with this approach. On the other hand,</w:t>
      </w:r>
      <w:r>
        <w:t xml:space="preserve"> </w:t>
      </w:r>
      <w:r>
        <w:t xml:space="preserve">just short of an overall majority supported the use of ‘carbon correction factors’ (47%;</w:t>
      </w:r>
      <w:r>
        <w:t xml:space="preserve"> </w:t>
      </w:r>
      <w:r>
        <w:t xml:space="preserve">52, 26 ‘no responses’), which reflected the response of industry stakeholders, as just</w:t>
      </w:r>
      <w:r>
        <w:t xml:space="preserve"> </w:t>
      </w:r>
      <w:r>
        <w:t xml:space="preserve">short of a majority of these (49%; 42, 22 ‘no responses’) agreed with this. A majority of</w:t>
      </w:r>
      <w:r>
        <w:t xml:space="preserve"> </w:t>
      </w:r>
      <w:r>
        <w:t xml:space="preserve">respondents from most industry sectors agreed with the use of a ‘fuel crediting system’,</w:t>
      </w:r>
      <w:r>
        <w:t xml:space="preserve"> </w:t>
      </w:r>
      <w:r>
        <w:t xml:space="preserve">including all fuel and gas suppliers (100%; 37, four ‘no responses’), while agreement</w:t>
      </w:r>
      <w:r>
        <w:t xml:space="preserve"> </w:t>
      </w:r>
      <w:r>
        <w:t xml:space="preserve">with the use of ‘carbon correction factors’ was more ambivalent in most sectors.</w:t>
      </w:r>
      <w:r>
        <w:br/>
      </w:r>
      <w:r>
        <w:t xml:space="preserve">The notable exception, for both options, were vehicle manufacturers, the majority of</w:t>
      </w:r>
      <w:r>
        <w:t xml:space="preserve"> </w:t>
      </w:r>
      <w:r>
        <w:t xml:space="preserve">which disagreed with introducing both a ‘fuel crediting system’ (67%; eight, five ‘no</w:t>
      </w:r>
      <w:r>
        <w:t xml:space="preserve"> </w:t>
      </w:r>
      <w:r>
        <w:t xml:space="preserve">responses’) and ‘carbon correction factors’ (64%; seven, six ‘no responses’). Similarly, a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majority of ‘Other’ stakeholders disagreed with the introduction of both options (56%</w:t>
      </w:r>
      <w:r>
        <w:t xml:space="preserve"> </w:t>
      </w:r>
      <w:r>
        <w:t xml:space="preserve">(five, two ‘no responses’) and 63% (five, three ‘no responses’), respectively), while a</w:t>
      </w:r>
      <w:r>
        <w:t xml:space="preserve"> </w:t>
      </w:r>
      <w:r>
        <w:t xml:space="preserve">majority of public authority respondents disagreed with the introduction of a ‘fuel</w:t>
      </w:r>
      <w:r>
        <w:t xml:space="preserve"> </w:t>
      </w:r>
      <w:r>
        <w:t xml:space="preserve">crediting system’ (67%; four, zero ‘no responses’) and half disagreed with the use of</w:t>
      </w:r>
      <w:r>
        <w:t xml:space="preserve"> </w:t>
      </w:r>
      <w:r>
        <w:t xml:space="preserve">‘carbon correction factors’ (50%; three, zero ‘no responses’).</w:t>
      </w:r>
      <w:r>
        <w:t xml:space="preserve"> </w:t>
      </w:r>
      <w:r>
        <w:t xml:space="preserve">Finally, respondents were asked if they had any additional comments on the</w:t>
      </w:r>
      <w:r>
        <w:t xml:space="preserve"> </w:t>
      </w:r>
      <w:r>
        <w:t xml:space="preserve">introduction of a possible mechanism for renewable and low carbon fuels under the</w:t>
      </w:r>
      <w:r>
        <w:t xml:space="preserve"> </w:t>
      </w:r>
      <w:r>
        <w:t xml:space="preserve">HDV CO2 Regulation. Responses from fuel and gases suppliers (including SMEs) re-</w:t>
      </w:r>
      <w:r>
        <w:t xml:space="preserve"> </w:t>
      </w:r>
      <w:r>
        <w:t xml:space="preserve">emphasised their support for a crediting system to account for renewable and low carbon</w:t>
      </w:r>
      <w:r>
        <w:t xml:space="preserve"> </w:t>
      </w:r>
      <w:r>
        <w:t xml:space="preserve">fuels, to respect technology neutrality and take account of WTW or lifecycle emissions.</w:t>
      </w:r>
      <w:r>
        <w:t xml:space="preserve"> </w:t>
      </w:r>
      <w:r>
        <w:t xml:space="preserve">Most additional comments from vehicle manufacturers suggested that renewable and low</w:t>
      </w:r>
      <w:r>
        <w:t xml:space="preserve"> </w:t>
      </w:r>
      <w:r>
        <w:t xml:space="preserve">carbon fuels had a role to play in decarbonising transport, so supported the introduction</w:t>
      </w:r>
      <w:r>
        <w:t xml:space="preserve"> </w:t>
      </w:r>
      <w:r>
        <w:t xml:space="preserve">of a mechanism that accounted for these to provide more flexibility for manufacturers to</w:t>
      </w:r>
      <w:r>
        <w:t xml:space="preserve"> </w:t>
      </w:r>
      <w:r>
        <w:t xml:space="preserve">comply with the overall CO2 reduction targets, as long as the issue of responsibility was</w:t>
      </w:r>
      <w:r>
        <w:t xml:space="preserve"> </w:t>
      </w:r>
      <w:r>
        <w:t xml:space="preserve">sufficiently considered. Other manufacturers were concerned with how the division of</w:t>
      </w:r>
      <w:r>
        <w:t xml:space="preserve"> </w:t>
      </w:r>
      <w:r>
        <w:t xml:space="preserve">responsibilities between manufacturers and fuel suppliers would be addressed, so</w:t>
      </w:r>
      <w:r>
        <w:t xml:space="preserve"> </w:t>
      </w:r>
      <w:r>
        <w:t xml:space="preserve">supported the continued focus of the Regulation on tailpipe emissions.</w:t>
      </w:r>
      <w:r>
        <w:t xml:space="preserve"> </w:t>
      </w:r>
      <w:r>
        <w:t xml:space="preserve">Responses from transport operators also took different perspectives, with some</w:t>
      </w:r>
      <w:r>
        <w:t xml:space="preserve"> </w:t>
      </w:r>
      <w:r>
        <w:t xml:space="preserve">supporting the introduction of a mechanism to account for the use of renewable and low</w:t>
      </w:r>
      <w:r>
        <w:t xml:space="preserve"> </w:t>
      </w:r>
      <w:r>
        <w:t xml:space="preserve">carbon fuels, while others were concerned that this would make the legislation more</w:t>
      </w:r>
      <w:r>
        <w:t xml:space="preserve"> </w:t>
      </w:r>
      <w:r>
        <w:t xml:space="preserve">complex and reduce transparency. Some suppliers of components and materials</w:t>
      </w:r>
      <w:r>
        <w:t xml:space="preserve"> </w:t>
      </w:r>
      <w:r>
        <w:t xml:space="preserve">supported the introduction of a mechanism, as they saw an important role for renewable</w:t>
      </w:r>
      <w:r>
        <w:t xml:space="preserve"> </w:t>
      </w:r>
      <w:r>
        <w:t xml:space="preserve">and low carbon fuels in decarbonising transport, whereas others were concerned that such</w:t>
      </w:r>
      <w:r>
        <w:t xml:space="preserve"> </w:t>
      </w:r>
      <w:r>
        <w:t xml:space="preserve">a mechanism might slow down the transition to ZEVs. Several suppliers of electricity</w:t>
      </w:r>
      <w:r>
        <w:t xml:space="preserve"> </w:t>
      </w:r>
      <w:r>
        <w:t xml:space="preserve">and hydrogen noted that such a mechanism was needed to establish a link between the</w:t>
      </w:r>
      <w:r>
        <w:t xml:space="preserve"> </w:t>
      </w:r>
      <w:r>
        <w:t xml:space="preserve">HDV CO2 Regulation and the Renewable Energy Directive, although another felt that</w:t>
      </w:r>
      <w:r>
        <w:t xml:space="preserve"> </w:t>
      </w:r>
      <w:r>
        <w:t xml:space="preserve">encouraging cleaner fuels should be left to the latter Directive.</w:t>
      </w:r>
      <w:r>
        <w:t xml:space="preserve"> </w:t>
      </w:r>
      <w:r>
        <w:t xml:space="preserve">Several responses from NGOs argued that the inclusion of such a mechanism would risk</w:t>
      </w:r>
      <w:r>
        <w:t xml:space="preserve"> </w:t>
      </w:r>
      <w:r>
        <w:t xml:space="preserve">undermining the effectiveness of the HDV CO2 Regulation and that such fuels should be</w:t>
      </w:r>
      <w:r>
        <w:t xml:space="preserve"> </w:t>
      </w:r>
      <w:r>
        <w:t xml:space="preserve">governed by the Renewable Energy and Fuel Quality Directives, while others underlined</w:t>
      </w:r>
      <w:r>
        <w:t xml:space="preserve"> </w:t>
      </w:r>
      <w:r>
        <w:t xml:space="preserve">that such fuels were more urgently needed in other sectors. On the other hand, a minority</w:t>
      </w:r>
      <w:r>
        <w:t xml:space="preserve"> </w:t>
      </w:r>
      <w:r>
        <w:t xml:space="preserve">of NGO respondents supported such a mechanism, as such fuels could help to</w:t>
      </w:r>
      <w:r>
        <w:t xml:space="preserve"> </w:t>
      </w:r>
      <w:r>
        <w:t xml:space="preserve">decarbonise transport. From the perspective of public authorities, such a mechanism was</w:t>
      </w:r>
      <w:r>
        <w:t xml:space="preserve"> </w:t>
      </w:r>
      <w:r>
        <w:t xml:space="preserve">supported due to the perceived need to continue to use gas-powered vehicles beyond</w:t>
      </w:r>
      <w:r>
        <w:t xml:space="preserve"> </w:t>
      </w:r>
      <w:r>
        <w:t xml:space="preserve">2035, whereas others argued that these fuels were needed more in other sectors and that</w:t>
      </w:r>
      <w:r>
        <w:t xml:space="preserve"> </w:t>
      </w:r>
      <w:r>
        <w:t xml:space="preserve">such a mechanism would over-complicate the HDV CO2 Regulation. Responses from</w:t>
      </w:r>
      <w:r>
        <w:t xml:space="preserve"> </w:t>
      </w:r>
      <w:r>
        <w:t xml:space="preserve">citizens ranged from underlining the potential of such fuels to suggesting that what was</w:t>
      </w:r>
      <w:r>
        <w:t xml:space="preserve"> </w:t>
      </w:r>
      <w:r>
        <w:t xml:space="preserve">needed was a clear roadmap to phasing out fossil fuels.</w:t>
      </w:r>
      <w:r>
        <w:br/>
      </w:r>
      <w:r>
        <w:t xml:space="preserve">OTHER ELEMENTS OF THE REGULATORY APPROACH</w:t>
      </w:r>
      <w:r>
        <w:t xml:space="preserve"> </w:t>
      </w:r>
      <w:r>
        <w:t xml:space="preserve">Stakeholders were asked to express their opinion on other elements of the potential</w:t>
      </w:r>
      <w:r>
        <w:t xml:space="preserve"> </w:t>
      </w:r>
      <w:r>
        <w:t xml:space="preserve">regulatory approach for the future HDV CO2 Regulation. First, stakeholders were asked</w:t>
      </w:r>
      <w:r>
        <w:t xml:space="preserve"> </w:t>
      </w:r>
      <w:r>
        <w:t xml:space="preserve">whether, in their opinion, provisions on pooling should be included. Only a minority of</w:t>
      </w:r>
      <w:r>
        <w:t xml:space="preserve"> </w:t>
      </w:r>
      <w:r>
        <w:t xml:space="preserve">those who responded expressed a view one way or the other (41%, 47, 23 ‘no</w:t>
      </w:r>
      <w:r>
        <w:t xml:space="preserve"> </w:t>
      </w:r>
      <w:r>
        <w:t xml:space="preserve">responses’), with a quarter (26%; 30 responses) supporting the inclusion of provisions on</w:t>
      </w:r>
      <w:r>
        <w:t xml:space="preserve"> </w:t>
      </w:r>
      <w:r>
        <w:t xml:space="preserve">pooling and fewer against (15%; 17 responses; the remainder were ‘neutral’). By</w:t>
      </w:r>
      <w:r>
        <w:t xml:space="preserve"> </w:t>
      </w:r>
      <w:r>
        <w:t xml:space="preserve">stakeholder category, industry respondents were less in favour of including provisions on</w:t>
      </w:r>
      <w:r>
        <w:t xml:space="preserve"> </w:t>
      </w:r>
      <w:r>
        <w:t xml:space="preserve">pooling (22%, 19, 20 ‘no responses’), than other categories, e.g. a majority of ‘Other’</w:t>
      </w:r>
      <w:r>
        <w:t xml:space="preserve"> </w:t>
      </w:r>
      <w:r>
        <w:t xml:space="preserve">stakeholders (56%; five, two ‘no responses’) and half of public authorities (50%; six,</w:t>
      </w:r>
      <w:r>
        <w:t xml:space="preserve"> </w:t>
      </w:r>
      <w:r>
        <w:t xml:space="preserve">zero ‘no responses’) supported the inclusion of such provisions. However, by industry</w:t>
      </w:r>
      <w:r>
        <w:t xml:space="preserve"> </w:t>
      </w:r>
      <w:r>
        <w:t xml:space="preserve">sub-category, nearly half of the responses from vehicle manufacturers (47%; seven, two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‘no responses’) were in favour of including provisions on pooling, as opposed to less</w:t>
      </w:r>
      <w:r>
        <w:t xml:space="preserve"> </w:t>
      </w:r>
      <w:r>
        <w:t xml:space="preserve">than one quarter that opposed this (20%; three).</w:t>
      </w:r>
      <w:r>
        <w:br/>
      </w:r>
      <w:r>
        <w:t xml:space="preserve">Those who agreed with the inclusion of the provisions on pooling were asked how a</w:t>
      </w:r>
      <w:r>
        <w:t xml:space="preserve"> </w:t>
      </w:r>
      <w:r>
        <w:t xml:space="preserve">pooling mechanism would need to be designed. Seventeen respondents – 11 from</w:t>
      </w:r>
      <w:r>
        <w:t xml:space="preserve"> </w:t>
      </w:r>
      <w:r>
        <w:t xml:space="preserve">industry (of which six were vehicle manufacturers), five NGOs and one citizen –</w:t>
      </w:r>
      <w:r>
        <w:t xml:space="preserve"> </w:t>
      </w:r>
      <w:r>
        <w:t xml:space="preserve">supplied additional comments. Similar responses from vehicle manufacturers supported</w:t>
      </w:r>
      <w:r>
        <w:t xml:space="preserve"> </w:t>
      </w:r>
      <w:r>
        <w:t xml:space="preserve">pooling within legal entities, in order to take account of the different product cycles for</w:t>
      </w:r>
      <w:r>
        <w:t xml:space="preserve"> </w:t>
      </w:r>
      <w:r>
        <w:t xml:space="preserve">different types of HDV and noted that this should be based on CO2 emissions (not ZEVs)</w:t>
      </w:r>
      <w:r>
        <w:t xml:space="preserve"> </w:t>
      </w:r>
      <w:r>
        <w:t xml:space="preserve">and not distort the market. Another manufacturer proposed that a credit trading system be</w:t>
      </w:r>
      <w:r>
        <w:t xml:space="preserve"> </w:t>
      </w:r>
      <w:r>
        <w:t xml:space="preserve">introduced, as exists in California. An industry stakeholder warned against allowing</w:t>
      </w:r>
      <w:r>
        <w:t xml:space="preserve"> </w:t>
      </w:r>
      <w:r>
        <w:t xml:space="preserve">pooling between large companies and suggested that, if pooling were allowed, it should</w:t>
      </w:r>
      <w:r>
        <w:t xml:space="preserve"> </w:t>
      </w:r>
      <w:r>
        <w:t xml:space="preserve">be between a large manufacturer and a small-scale manufacturer, which would</w:t>
      </w:r>
      <w:r>
        <w:t xml:space="preserve"> </w:t>
      </w:r>
      <w:r>
        <w:t xml:space="preserve">incentivise the latter. Some of the NGO respondents made a similar suggestion, i.e., that</w:t>
      </w:r>
      <w:r>
        <w:t xml:space="preserve"> </w:t>
      </w:r>
      <w:r>
        <w:t xml:space="preserve">pooling between new and established manufacturers could be explored.</w:t>
      </w:r>
      <w:r>
        <w:br/>
      </w:r>
      <w:r>
        <w:t xml:space="preserve">Those who disagreed with the inclusion of the provisions on pooling were asked for</w:t>
      </w:r>
      <w:r>
        <w:t xml:space="preserve"> </w:t>
      </w:r>
      <w:r>
        <w:t xml:space="preserve">their reasons. Twelve respondents – eight from industry, two public authorities and two</w:t>
      </w:r>
      <w:r>
        <w:t xml:space="preserve"> </w:t>
      </w:r>
      <w:r>
        <w:t xml:space="preserve">citizens – explained their position, some of which mirrored the comments from those</w:t>
      </w:r>
      <w:r>
        <w:t xml:space="preserve"> </w:t>
      </w:r>
      <w:r>
        <w:t xml:space="preserve">who supported the inclusion of provisions on pooling, i.e., that there was a risk that</w:t>
      </w:r>
      <w:r>
        <w:t xml:space="preserve"> </w:t>
      </w:r>
      <w:r>
        <w:t xml:space="preserve">pooling could distort the market, that only pooling within legal entities be allowed; and</w:t>
      </w:r>
      <w:r>
        <w:t xml:space="preserve"> </w:t>
      </w:r>
      <w:r>
        <w:t xml:space="preserve">that a credit trading system would be preferable (coupled with mandatory ZEV targets).</w:t>
      </w:r>
      <w:r>
        <w:t xml:space="preserve"> </w:t>
      </w:r>
      <w:r>
        <w:t xml:space="preserve">An SME supplier of components and materials noted that small volume manufacturers</w:t>
      </w:r>
      <w:r>
        <w:t xml:space="preserve"> </w:t>
      </w:r>
      <w:r>
        <w:t xml:space="preserve">could benefit from pooling, if it helped them form partnerships with larger</w:t>
      </w:r>
      <w:r>
        <w:t xml:space="preserve"> </w:t>
      </w:r>
      <w:r>
        <w:t xml:space="preserve">manufacturers. It was alternatively suggested that pooling between HDVs and LDVs not</w:t>
      </w:r>
      <w:r>
        <w:t xml:space="preserve"> </w:t>
      </w:r>
      <w:r>
        <w:t xml:space="preserve">be allowed or would be welcomed. Others argued that, while pooling was economically</w:t>
      </w:r>
      <w:r>
        <w:t xml:space="preserve"> </w:t>
      </w:r>
      <w:r>
        <w:t xml:space="preserve">efficient, it did not help to reduce CO2 emissions, and so pooling could undermine CO2</w:t>
      </w:r>
      <w:r>
        <w:t xml:space="preserve"> </w:t>
      </w:r>
      <w:r>
        <w:t xml:space="preserve">emissions reduction.</w:t>
      </w:r>
      <w:r>
        <w:br/>
      </w:r>
      <w:r>
        <w:t xml:space="preserve">Second, stakeholders were asked for their opinion on whether an exemption for small</w:t>
      </w:r>
      <w:r>
        <w:t xml:space="preserve"> </w:t>
      </w:r>
      <w:r>
        <w:t xml:space="preserve">volume manufacturers should be included in the Regulation. Again, only a minority of</w:t>
      </w:r>
      <w:r>
        <w:t xml:space="preserve"> </w:t>
      </w:r>
      <w:r>
        <w:t xml:space="preserve">respondents (35%, 40, 23 ‘no responses’) expressed a view one way or the other, with</w:t>
      </w:r>
      <w:r>
        <w:t xml:space="preserve"> </w:t>
      </w:r>
      <w:r>
        <w:t xml:space="preserve">less than one quarter (20%; 23 responses) supporting the inclusion of an exemption for</w:t>
      </w:r>
      <w:r>
        <w:t xml:space="preserve"> </w:t>
      </w:r>
      <w:r>
        <w:t xml:space="preserve">small volume manufacturers and fewer against (15%; 17 responses). As with pooling, by</w:t>
      </w:r>
      <w:r>
        <w:t xml:space="preserve"> </w:t>
      </w:r>
      <w:r>
        <w:t xml:space="preserve">stakeholder category, industry respondents were less in favour of an exemption for small</w:t>
      </w:r>
      <w:r>
        <w:t xml:space="preserve"> </w:t>
      </w:r>
      <w:r>
        <w:t xml:space="preserve">volume manufacturers (17%, 15, 21 ‘no responses’), than some other stakeholders, e.g., a</w:t>
      </w:r>
      <w:r>
        <w:t xml:space="preserve"> </w:t>
      </w:r>
      <w:r>
        <w:t xml:space="preserve">third of both citizens (33%; four responses, zero ‘no responses) and ‘Other’ stakeholders</w:t>
      </w:r>
      <w:r>
        <w:t xml:space="preserve"> </w:t>
      </w:r>
      <w:r>
        <w:t xml:space="preserve">(33%; three, two ‘no responses’) supported an exemption for small volume</w:t>
      </w:r>
      <w:r>
        <w:t xml:space="preserve"> </w:t>
      </w:r>
      <w:r>
        <w:t xml:space="preserve">manufacturers. The industry sub-category that was most in favour of an exemption for</w:t>
      </w:r>
      <w:r>
        <w:t xml:space="preserve"> </w:t>
      </w:r>
      <w:r>
        <w:t xml:space="preserve">small volume manufacturers were transport operators, although even amongst these only</w:t>
      </w:r>
      <w:r>
        <w:t xml:space="preserve"> </w:t>
      </w:r>
      <w:r>
        <w:t xml:space="preserve">a minority supported such an exemption (40%, 6, two ‘no responses’).</w:t>
      </w:r>
      <w:r>
        <w:br/>
      </w:r>
      <w:r>
        <w:t xml:space="preserve">Those who agreed with an exemption for small volume manufacturer were asked what</w:t>
      </w:r>
      <w:r>
        <w:t xml:space="preserve"> </w:t>
      </w:r>
      <w:r>
        <w:t xml:space="preserve">for their views on the volume that would be appropriate for the threshold for such a</w:t>
      </w:r>
      <w:r>
        <w:t xml:space="preserve"> </w:t>
      </w:r>
      <w:r>
        <w:t xml:space="preserve">derogation. Ten respondents – six from industry (of which three were from transport</w:t>
      </w:r>
      <w:r>
        <w:t xml:space="preserve"> </w:t>
      </w:r>
      <w:r>
        <w:t xml:space="preserve">operators), two NGOs, one public authority and one citizen – shared their views on the</w:t>
      </w:r>
      <w:r>
        <w:t xml:space="preserve"> </w:t>
      </w:r>
      <w:r>
        <w:t xml:space="preserve">relevant volume threshold for such an exemption. The most common proposal was 200</w:t>
      </w:r>
      <w:r>
        <w:t xml:space="preserve"> </w:t>
      </w:r>
      <w:r>
        <w:t xml:space="preserve">vehicles a year, which was suggested by several transport operators, while a vehicle</w:t>
      </w:r>
      <w:r>
        <w:t xml:space="preserve"> </w:t>
      </w:r>
      <w:r>
        <w:t xml:space="preserve">manufacturer proposed 1000 vehicles a year. Responses from the NGOs and a citizen</w:t>
      </w:r>
      <w:r>
        <w:t xml:space="preserve"> </w:t>
      </w:r>
      <w:r>
        <w:t xml:space="preserve">proposed that exemptions be explored for small-volume manufacturers of specific</w:t>
      </w:r>
      <w:r>
        <w:t xml:space="preserve"> </w:t>
      </w:r>
      <w:r>
        <w:t xml:space="preserve">vehicles, e.g., small lorries, urban buses, coaches, trailers or vocational vehicles, without</w:t>
      </w:r>
      <w:r>
        <w:t xml:space="preserve"> </w:t>
      </w:r>
      <w:r>
        <w:t xml:space="preserve">specifying a threshold.</w:t>
      </w:r>
      <w:r>
        <w:br/>
      </w:r>
      <w:r>
        <w:t xml:space="preserve">Those who disagreed with an exemption for small volume manufacturer were asked for</w:t>
      </w:r>
      <w:r>
        <w:t xml:space="preserve"> </w:t>
      </w:r>
      <w:r>
        <w:t xml:space="preserve">their reasons. Five respondents – two from industry, two NGOs and a public authority –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explained their reasons for opposing such an exemption. The two arguments against an</w:t>
      </w:r>
      <w:r>
        <w:t xml:space="preserve"> </w:t>
      </w:r>
      <w:r>
        <w:t xml:space="preserve">exemption for small volume manufacturers that were raised were that we are moving</w:t>
      </w:r>
      <w:r>
        <w:t xml:space="preserve"> </w:t>
      </w:r>
      <w:r>
        <w:t xml:space="preserve">towards a net zero society, so no one should be exempted as this risked giving mixed</w:t>
      </w:r>
      <w:r>
        <w:t xml:space="preserve"> </w:t>
      </w:r>
      <w:r>
        <w:t xml:space="preserve">messages, and that small scale manufacturers were already innovative, so do (or should)</w:t>
      </w:r>
      <w:r>
        <w:t xml:space="preserve"> </w:t>
      </w:r>
      <w:r>
        <w:t xml:space="preserve">comply with the overall CO2 reduction standards.</w:t>
      </w:r>
      <w:r>
        <w:t xml:space="preserve"> </w:t>
      </w:r>
      <w:r>
        <w:t xml:space="preserve">Third, stakeholders were asked whether, in their opinion, energy efficiency standards</w:t>
      </w:r>
      <w:r>
        <w:t xml:space="preserve"> </w:t>
      </w:r>
      <w:r>
        <w:t xml:space="preserve">should be set for trailers and semi-trailers. Of those that expressed an opinion, just short</w:t>
      </w:r>
      <w:r>
        <w:t xml:space="preserve"> </w:t>
      </w:r>
      <w:r>
        <w:t xml:space="preserve">of a majority agreed with the setting of energy efficiency standards (44%; 49, 25 ‘no</w:t>
      </w:r>
      <w:r>
        <w:t xml:space="preserve"> </w:t>
      </w:r>
      <w:r>
        <w:t xml:space="preserve">responses’), whereas a small proportion disagreed (6%; seven). Between half and two-</w:t>
      </w:r>
      <w:r>
        <w:t xml:space="preserve"> </w:t>
      </w:r>
      <w:r>
        <w:t xml:space="preserve">thirds of responses in each stakeholder category supported the setting of energy</w:t>
      </w:r>
      <w:r>
        <w:t xml:space="preserve"> </w:t>
      </w:r>
      <w:r>
        <w:t xml:space="preserve">efficiency standards for trailers and semi-trailers, except for industry stakeholders, of</w:t>
      </w:r>
      <w:r>
        <w:t xml:space="preserve"> </w:t>
      </w:r>
      <w:r>
        <w:t xml:space="preserve">which only two-fifths agreed (39%; 33, 23 ‘no responses’). However, vehicle</w:t>
      </w:r>
      <w:r>
        <w:t xml:space="preserve"> </w:t>
      </w:r>
      <w:r>
        <w:t xml:space="preserve">manufacturers overwhelmingly supported the setting of energy efficiency for trailers and</w:t>
      </w:r>
      <w:r>
        <w:t xml:space="preserve"> </w:t>
      </w:r>
      <w:r>
        <w:t xml:space="preserve">semi-trailers (87%, 13, two ‘no responses’).</w:t>
      </w:r>
      <w:r>
        <w:br/>
      </w:r>
      <w:r>
        <w:t xml:space="preserve">Those who agreed with the setting of energy efficiency standards for trailers and semi-</w:t>
      </w:r>
      <w:r>
        <w:t xml:space="preserve"> </w:t>
      </w:r>
      <w:r>
        <w:t xml:space="preserve">trailers were asked for their views on the standards that should be set. Thirty respondents</w:t>
      </w:r>
      <w:r>
        <w:t xml:space="preserve"> </w:t>
      </w:r>
      <w:r>
        <w:t xml:space="preserve">– 22 from industry (of which nine were vehicle manufacturers), four NGOs, two public</w:t>
      </w:r>
      <w:r>
        <w:t xml:space="preserve"> </w:t>
      </w:r>
      <w:r>
        <w:t xml:space="preserve">authorities, one citizen and one ‘other’ – expanded on their views. Vehicle manufacturers</w:t>
      </w:r>
      <w:r>
        <w:t xml:space="preserve"> </w:t>
      </w:r>
      <w:r>
        <w:t xml:space="preserve">– as well as other respondents (including SMEs) – highlighted that the energy efficiency</w:t>
      </w:r>
      <w:r>
        <w:t xml:space="preserve"> </w:t>
      </w:r>
      <w:r>
        <w:t xml:space="preserve">of road transport also depended on the trailers used (as well as the motor vehicles), and</w:t>
      </w:r>
      <w:r>
        <w:t xml:space="preserve"> </w:t>
      </w:r>
      <w:r>
        <w:t xml:space="preserve">so called for transport operators to be given transparent information about the energy</w:t>
      </w:r>
      <w:r>
        <w:t xml:space="preserve"> </w:t>
      </w:r>
      <w:r>
        <w:t xml:space="preserve">performance of trailers, based on appropriately updated VECTO information. An SME</w:t>
      </w:r>
      <w:r>
        <w:t xml:space="preserve"> </w:t>
      </w:r>
      <w:r>
        <w:t xml:space="preserve">supplier of components and materials suggested that auxiliaries on trailers, such as</w:t>
      </w:r>
      <w:r>
        <w:t xml:space="preserve"> </w:t>
      </w:r>
      <w:r>
        <w:t xml:space="preserve">cooling units, should be zero emission. NGO respondents supported the setting of such</w:t>
      </w:r>
      <w:r>
        <w:t xml:space="preserve"> </w:t>
      </w:r>
      <w:r>
        <w:t xml:space="preserve">standards, as a result of their potential CO2 emissions savings.</w:t>
      </w:r>
      <w:r>
        <w:br/>
      </w:r>
      <w:r>
        <w:t xml:space="preserve">Those who disagreed with the setting of energy efficiency standards for trailers and</w:t>
      </w:r>
      <w:r>
        <w:t xml:space="preserve"> </w:t>
      </w:r>
      <w:r>
        <w:t xml:space="preserve">semi-trailers were asked for their reasons. Six respondents – five industry and a citizen –</w:t>
      </w:r>
      <w:r>
        <w:t xml:space="preserve"> </w:t>
      </w:r>
      <w:r>
        <w:t xml:space="preserve">explained their reasons for opposing such standards. The two arguments for raised were</w:t>
      </w:r>
      <w:r>
        <w:t xml:space="preserve"> </w:t>
      </w:r>
      <w:r>
        <w:t xml:space="preserve">that the focus of legislation should be on the main source of CO2 emissions, i.e., the</w:t>
      </w:r>
      <w:r>
        <w:t xml:space="preserve"> </w:t>
      </w:r>
      <w:r>
        <w:t xml:space="preserve">vehicle, and that this would amount to over-regulation.</w:t>
      </w:r>
      <w:r>
        <w:t xml:space="preserve"> </w:t>
      </w:r>
      <w:r>
        <w:t xml:space="preserve">With respect to the allocation of revenues from excess premiums, stakeholders were</w:t>
      </w:r>
      <w:r>
        <w:t xml:space="preserve"> </w:t>
      </w:r>
      <w:r>
        <w:t xml:space="preserve">asked to express their level of agreement (on a scale of 1 to 5, where ‘5’ represented the</w:t>
      </w:r>
      <w:r>
        <w:t xml:space="preserve"> </w:t>
      </w:r>
      <w:r>
        <w:t xml:space="preserve">highest agreement and ‘1’ indicated ‘no agreement’) with three statements. Over three-</w:t>
      </w:r>
      <w:r>
        <w:t xml:space="preserve"> </w:t>
      </w:r>
      <w:r>
        <w:t xml:space="preserve">quarters of respondents agreed12 (79%, 89, 24 ‘no responses’) that these should be</w:t>
      </w:r>
      <w:r>
        <w:t xml:space="preserve"> </w:t>
      </w:r>
      <w:r>
        <w:t xml:space="preserve">allocated to a new or existing specific fund or programme that aimed to support the</w:t>
      </w:r>
      <w:r>
        <w:t xml:space="preserve"> </w:t>
      </w:r>
      <w:r>
        <w:t xml:space="preserve">just transition by reskilling, upskilling, training and reallocation of workers in the</w:t>
      </w:r>
      <w:r>
        <w:t xml:space="preserve"> </w:t>
      </w:r>
      <w:r>
        <w:t xml:space="preserve">transport sector. Of the main stakeholder categories, there was most support for this</w:t>
      </w:r>
      <w:r>
        <w:t xml:space="preserve"> </w:t>
      </w:r>
      <w:r>
        <w:t xml:space="preserve">amongst industry respondents (80%, 70, 21 ‘no responses’) and least amongst public</w:t>
      </w:r>
      <w:r>
        <w:t xml:space="preserve"> </w:t>
      </w:r>
      <w:r>
        <w:t xml:space="preserve">authorities (60%, three, one ‘no response’). Amongst the different industry sub-sectors,</w:t>
      </w:r>
      <w:r>
        <w:t xml:space="preserve"> </w:t>
      </w:r>
      <w:r>
        <w:t xml:space="preserve">there was almost overwhelming support for this option, with the exception being</w:t>
      </w:r>
      <w:r>
        <w:t xml:space="preserve"> </w:t>
      </w:r>
      <w:r>
        <w:t xml:space="preserve">transport operators, even though a majority of these (58; seven, five ‘no responses’) still</w:t>
      </w:r>
      <w:r>
        <w:t xml:space="preserve"> </w:t>
      </w:r>
      <w:r>
        <w:t xml:space="preserve">agreed with this approach.</w:t>
      </w:r>
      <w:r>
        <w:t xml:space="preserve"> </w:t>
      </w:r>
      <w:r>
        <w:t xml:space="preserve">On the other hand, most respondents (88%, 94, 30 ‘no responses’) did not agree with</w:t>
      </w:r>
      <w:r>
        <w:t xml:space="preserve"> </w:t>
      </w:r>
      <w:r>
        <w:t xml:space="preserve">excess emissions premiums being allocated to the general budget of the Union.</w:t>
      </w:r>
      <w:r>
        <w:t xml:space="preserve"> </w:t>
      </w:r>
      <w:r>
        <w:t xml:space="preserve">Industry respondents were most in disagreement (93%, 78, 24 ‘no responses’), whereas</w:t>
      </w:r>
      <w:r>
        <w:t xml:space="preserve"> </w:t>
      </w:r>
      <w:r>
        <w:t xml:space="preserve">only a minority of citizens disagreed with this option (45%, five, one ‘no response’),</w:t>
      </w:r>
    </w:p>
    <w:p>
      <w:pPr>
        <w:pStyle w:val="BodyText"/>
      </w:pPr>
      <w:r>
        <w:t xml:space="preserve">12 i.e. respondents that gave this a rating of either a ‘4’ or ‘5’.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although fewer agreed with it (27%; three). At least 87% of each of the main industry</w:t>
      </w:r>
      <w:r>
        <w:t xml:space="preserve"> </w:t>
      </w:r>
      <w:r>
        <w:t xml:space="preserve">sub-groups disagreed with this option.</w:t>
      </w:r>
      <w:r>
        <w:br/>
      </w:r>
      <w:r>
        <w:t xml:space="preserve">Stakeholders were also asked to indicate other means for allocating excess emissions</w:t>
      </w:r>
      <w:r>
        <w:t xml:space="preserve"> </w:t>
      </w:r>
      <w:r>
        <w:t xml:space="preserve">premiums. Thirty-eight respondents selected an ‘other’ means of allocating excess</w:t>
      </w:r>
      <w:r>
        <w:t xml:space="preserve"> </w:t>
      </w:r>
      <w:r>
        <w:t xml:space="preserve">emissions premiums, of which 34 were industry respondents (10 of these were transport</w:t>
      </w:r>
      <w:r>
        <w:t xml:space="preserve"> </w:t>
      </w:r>
      <w:r>
        <w:t xml:space="preserve">operators, nine were fuel and gas suppliers and eight were vehicle manufacturers). From</w:t>
      </w:r>
      <w:r>
        <w:t xml:space="preserve"> </w:t>
      </w:r>
      <w:r>
        <w:t xml:space="preserve">the perspective of transport operators, suggestions were to use the premiums to: support</w:t>
      </w:r>
      <w:r>
        <w:t xml:space="preserve"> </w:t>
      </w:r>
      <w:r>
        <w:t xml:space="preserve">innovation in the industry (including in the development of ZEVs; support hauliers in the</w:t>
      </w:r>
      <w:r>
        <w:t xml:space="preserve"> </w:t>
      </w:r>
      <w:r>
        <w:t xml:space="preserve">purchase of ZLEVs; or allocate the revenues to road transport in general to ensure a just</w:t>
      </w:r>
      <w:r>
        <w:t xml:space="preserve"> </w:t>
      </w:r>
      <w:r>
        <w:t xml:space="preserve">transition, or to road construction, in particular. Fuel and gas suppliers called for the</w:t>
      </w:r>
      <w:r>
        <w:t xml:space="preserve"> </w:t>
      </w:r>
      <w:r>
        <w:t xml:space="preserve">premiums to be allocated to support the development and use of renewable and low</w:t>
      </w:r>
      <w:r>
        <w:t xml:space="preserve"> </w:t>
      </w:r>
      <w:r>
        <w:t xml:space="preserve">carbon fuels in the transport sector. Vehicle manufacturers called for the premiums to be</w:t>
      </w:r>
      <w:r>
        <w:t xml:space="preserve"> </w:t>
      </w:r>
      <w:r>
        <w:t xml:space="preserve">used to develop the necessary refuelling and recharging infrastructure and to provide</w:t>
      </w:r>
      <w:r>
        <w:t xml:space="preserve"> </w:t>
      </w:r>
      <w:r>
        <w:t xml:space="preserve">market incentives, e.g., to reduce the cost of purchasing ZLEVs.</w:t>
      </w:r>
      <w:r>
        <w:br/>
      </w:r>
      <w:r>
        <w:t xml:space="preserve">Stakeholders were also asked whether there were other aspects of the Regulation that</w:t>
      </w:r>
      <w:r>
        <w:t xml:space="preserve"> </w:t>
      </w:r>
      <w:r>
        <w:t xml:space="preserve">needed to be addressed in response to which 35 respondents provided suggestions (of</w:t>
      </w:r>
      <w:r>
        <w:t xml:space="preserve"> </w:t>
      </w:r>
      <w:r>
        <w:t xml:space="preserve">which 29 were from industry and five were from NGOs). Many of the twelve fuel and</w:t>
      </w:r>
      <w:r>
        <w:t xml:space="preserve"> </w:t>
      </w:r>
      <w:r>
        <w:t xml:space="preserve">gas suppliers underlined that a WTW perspective or a technology-neutral approach</w:t>
      </w:r>
      <w:r>
        <w:t xml:space="preserve"> </w:t>
      </w:r>
      <w:r>
        <w:t xml:space="preserve">should underpin the approach taken in the Regulation, to support the uptake of various</w:t>
      </w:r>
      <w:r>
        <w:t xml:space="preserve"> </w:t>
      </w:r>
      <w:r>
        <w:t xml:space="preserve">renewable and/or low carbon fuels. Another common theme that was raised by different</w:t>
      </w:r>
      <w:r>
        <w:t xml:space="preserve"> </w:t>
      </w:r>
      <w:r>
        <w:t xml:space="preserve">respondents was the importance of there being coherence between the revised HDV CO2</w:t>
      </w:r>
      <w:r>
        <w:t xml:space="preserve"> </w:t>
      </w:r>
      <w:r>
        <w:t xml:space="preserve">Regulation and other EU legislation, such as: the infrastructure uptake requirements in</w:t>
      </w:r>
      <w:r>
        <w:t xml:space="preserve"> </w:t>
      </w:r>
      <w:r>
        <w:t xml:space="preserve">the AFIR being consistent with the revised HDV CO2 standards; the Energy Tax</w:t>
      </w:r>
      <w:r>
        <w:t xml:space="preserve"> </w:t>
      </w:r>
      <w:r>
        <w:t xml:space="preserve">Directive; the Renewable Energy Directive; and the potential inclusion of transport in the</w:t>
      </w:r>
      <w:r>
        <w:t xml:space="preserve"> </w:t>
      </w:r>
      <w:r>
        <w:t xml:space="preserve">EU emissions trading scheme. Other broader policy issues that were raised included: the</w:t>
      </w:r>
      <w:r>
        <w:t xml:space="preserve"> </w:t>
      </w:r>
      <w:r>
        <w:t xml:space="preserve">importance of providing more renewable energy; a call to ‘industrialise’ the recycling of</w:t>
      </w:r>
      <w:r>
        <w:t xml:space="preserve"> </w:t>
      </w:r>
      <w:r>
        <w:t xml:space="preserve">batteries in order to increase their overall sustainability; and that the Energy Efficiency</w:t>
      </w:r>
      <w:r>
        <w:t xml:space="preserve"> </w:t>
      </w:r>
      <w:r>
        <w:t xml:space="preserve">First principle, as required by the Energy Efficiency Directive, be considered in the</w:t>
      </w:r>
      <w:r>
        <w:t xml:space="preserve"> </w:t>
      </w:r>
      <w:r>
        <w:t xml:space="preserve">revision of the HDV CO2 Regulation (on a WTW basis).</w:t>
      </w:r>
      <w:r>
        <w:br/>
      </w:r>
      <w:r>
        <w:t xml:space="preserve">Various issues were raised by vehicle manufacturers and suppliers of components and</w:t>
      </w:r>
      <w:r>
        <w:t xml:space="preserve"> </w:t>
      </w:r>
      <w:r>
        <w:t xml:space="preserve">materials, including that: it might be appropriate to treat niches or (unspecified) special</w:t>
      </w:r>
      <w:r>
        <w:t xml:space="preserve"> </w:t>
      </w:r>
      <w:r>
        <w:t xml:space="preserve">vehicles differently; the introduction of engine CO2 emission performance standards, in</w:t>
      </w:r>
      <w:r>
        <w:t xml:space="preserve"> </w:t>
      </w:r>
      <w:r>
        <w:t xml:space="preserve">particular for vocational vehicles, be considered; and that some smaller end users may</w:t>
      </w:r>
      <w:r>
        <w:t xml:space="preserve"> </w:t>
      </w:r>
      <w:r>
        <w:t xml:space="preserve">not be able to handle a complex regulatory system. It was also suggested that it was</w:t>
      </w:r>
      <w:r>
        <w:t xml:space="preserve"> </w:t>
      </w:r>
      <w:r>
        <w:t xml:space="preserve">important to recognise an ICE vehicle using hydrogen as a ZEV, and that the current</w:t>
      </w:r>
      <w:r>
        <w:t xml:space="preserve"> </w:t>
      </w:r>
      <w:r>
        <w:t xml:space="preserve">banking and borrowing mechanism in the Regulation be extended beyond 2030. Finally,</w:t>
      </w:r>
      <w:r>
        <w:t xml:space="preserve"> </w:t>
      </w:r>
      <w:r>
        <w:t xml:space="preserve">it was suggested that the Commission should ensure that haulage companies based within</w:t>
      </w:r>
      <w:r>
        <w:t xml:space="preserve"> </w:t>
      </w:r>
      <w:r>
        <w:t xml:space="preserve">the EU were not disadvantaged by the HDV CO2 Regulation compared to haulage</w:t>
      </w:r>
      <w:r>
        <w:t xml:space="preserve"> </w:t>
      </w:r>
      <w:r>
        <w:t xml:space="preserve">companies registered outside of the EU.</w:t>
      </w:r>
      <w:r>
        <w:t xml:space="preserve"> </w:t>
      </w:r>
      <w:r>
        <w:t xml:space="preserve">IMPACTS OF STRENGTHENING THE CO2 EMISSION STANDARDS</w:t>
      </w:r>
      <w:r>
        <w:t xml:space="preserve"> </w:t>
      </w:r>
      <w:r>
        <w:t xml:space="preserve">Stakeholders were asked to express their level of agreement (on a scale of 1 to 5, where</w:t>
      </w:r>
      <w:r>
        <w:t xml:space="preserve"> </w:t>
      </w:r>
      <w:r>
        <w:t xml:space="preserve">‘5’ represented the highest agreement and ‘1’ indicated ‘no agreement’) with fourteen</w:t>
      </w:r>
      <w:r>
        <w:t xml:space="preserve"> </w:t>
      </w:r>
      <w:r>
        <w:t xml:space="preserve">statements on the likely impacts of strengthened CO2 standards for HDVs.</w:t>
      </w:r>
      <w:r>
        <w:t xml:space="preserve"> </w:t>
      </w:r>
      <w:r>
        <w:t xml:space="preserve">The majority of respondents overall, and in each stakeholder category, agreed with the</w:t>
      </w:r>
      <w:r>
        <w:t xml:space="preserve"> </w:t>
      </w:r>
      <w:r>
        <w:t xml:space="preserve">following statements on impacts:</w:t>
      </w:r>
      <w:r>
        <w:t xml:space="preserve"> </w:t>
      </w:r>
      <w:r>
        <w:t xml:space="preserve"></w:t>
      </w:r>
      <w:r>
        <w:t xml:space="preserve"> </w:t>
      </w:r>
      <w:r>
        <w:t xml:space="preserve">New skills and qualifications for workers will be needed (90%; 109, 16 ‘no</w:t>
      </w:r>
      <w:r>
        <w:t xml:space="preserve"> </w:t>
      </w:r>
      <w:r>
        <w:t xml:space="preserve">responses’).</w:t>
      </w:r>
      <w:r>
        <w:t xml:space="preserve"> </w:t>
      </w:r>
      <w:r>
        <w:t xml:space="preserve"></w:t>
      </w:r>
      <w:r>
        <w:t xml:space="preserve"> </w:t>
      </w:r>
      <w:r>
        <w:t xml:space="preserve">Innovative SMEs will benefit from new business opportunities (65%; 74, 23 ‘no</w:t>
      </w:r>
      <w:r>
        <w:t xml:space="preserve"> </w:t>
      </w:r>
      <w:r>
        <w:t xml:space="preserve">responses’).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EU industry will increase investments in zero-emission technologies (64%; 82,</w:t>
      </w:r>
      <w:r>
        <w:t xml:space="preserve"> </w:t>
      </w:r>
      <w:r>
        <w:t xml:space="preserve">eight ‘no responses’).</w:t>
      </w:r>
      <w:r>
        <w:t xml:space="preserve"> </w:t>
      </w:r>
      <w:r>
        <w:t xml:space="preserve"></w:t>
      </w:r>
      <w:r>
        <w:t xml:space="preserve"> </w:t>
      </w:r>
      <w:r>
        <w:t xml:space="preserve">EU import dependence on fossil fuels will decrease (64%; 82, eight ‘no</w:t>
      </w:r>
      <w:r>
        <w:t xml:space="preserve"> </w:t>
      </w:r>
      <w:r>
        <w:t xml:space="preserve">responses’).</w:t>
      </w:r>
      <w:r>
        <w:t xml:space="preserve"> </w:t>
      </w:r>
      <w:r>
        <w:t xml:space="preserve"></w:t>
      </w:r>
      <w:r>
        <w:t xml:space="preserve"> </w:t>
      </w:r>
      <w:r>
        <w:t xml:space="preserve">Co-benefits in terms of better air quality can be expected (61%; 78, nine ‘no</w:t>
      </w:r>
      <w:r>
        <w:t xml:space="preserve"> </w:t>
      </w:r>
      <w:r>
        <w:t xml:space="preserve">responses’).</w:t>
      </w:r>
      <w:r>
        <w:t xml:space="preserve"> </w:t>
      </w:r>
      <w:r>
        <w:t xml:space="preserve"></w:t>
      </w:r>
      <w:r>
        <w:t xml:space="preserve"> </w:t>
      </w:r>
      <w:r>
        <w:t xml:space="preserve">Growing offers of ZEV, combined with other measures strengthening</w:t>
      </w:r>
      <w:r>
        <w:t xml:space="preserve"> </w:t>
      </w:r>
      <w:r>
        <w:t xml:space="preserve">sustainable corporate governance, will influence transport operators to</w:t>
      </w:r>
      <w:r>
        <w:t xml:space="preserve"> </w:t>
      </w:r>
      <w:r>
        <w:t xml:space="preserve">purchase more ZEV (58%; 71, 15 ‘no responses’).</w:t>
      </w:r>
      <w:r>
        <w:t xml:space="preserve"> </w:t>
      </w:r>
      <w:r>
        <w:t xml:space="preserve"></w:t>
      </w:r>
      <w:r>
        <w:t xml:space="preserve"> </w:t>
      </w:r>
      <w:r>
        <w:t xml:space="preserve">New jobs would be to produce different power trains and batteries or to provide</w:t>
      </w:r>
      <w:r>
        <w:t xml:space="preserve"> </w:t>
      </w:r>
      <w:r>
        <w:t xml:space="preserve">new services (57%; 70, 14 ‘no responses’).</w:t>
      </w:r>
      <w:r>
        <w:t xml:space="preserve"> </w:t>
      </w:r>
      <w:r>
        <w:t xml:space="preserve">In addition, the majority of responses overall, and in most of the main stakeholder</w:t>
      </w:r>
      <w:r>
        <w:t xml:space="preserve"> </w:t>
      </w:r>
      <w:r>
        <w:t xml:space="preserve">categories (other than industry), agreed that a growing supply of zero-emission HDV</w:t>
      </w:r>
      <w:r>
        <w:t xml:space="preserve"> </w:t>
      </w:r>
      <w:r>
        <w:t xml:space="preserve">will bring down their costs over time (52%; 67, nine ‘no responses’). A minority of</w:t>
      </w:r>
      <w:r>
        <w:t xml:space="preserve"> </w:t>
      </w:r>
      <w:r>
        <w:t xml:space="preserve">respondents agreed with three other impacts, although this was driven by the responses</w:t>
      </w:r>
      <w:r>
        <w:t xml:space="preserve"> </w:t>
      </w:r>
      <w:r>
        <w:t xml:space="preserve">from industry, as in each of the other stakeholder categories, at least 50% agreed with the</w:t>
      </w:r>
      <w:r>
        <w:t xml:space="preserve"> </w:t>
      </w:r>
      <w:r>
        <w:t xml:space="preserve">impact. These impacts were:</w:t>
      </w:r>
      <w:r>
        <w:t xml:space="preserve"> </w:t>
      </w:r>
      <w:r>
        <w:t xml:space="preserve"></w:t>
      </w:r>
      <w:r>
        <w:t xml:space="preserve"> </w:t>
      </w:r>
      <w:r>
        <w:t xml:space="preserve">Co-benefits in terms of energy dependency can be expected (45%; 56, 12 ‘no</w:t>
      </w:r>
      <w:r>
        <w:t xml:space="preserve"> </w:t>
      </w:r>
      <w:r>
        <w:t xml:space="preserve">responses’).</w:t>
      </w:r>
      <w:r>
        <w:t xml:space="preserve"> </w:t>
      </w:r>
      <w:r>
        <w:t xml:space="preserve"></w:t>
      </w:r>
      <w:r>
        <w:t xml:space="preserve"> </w:t>
      </w:r>
      <w:r>
        <w:t xml:space="preserve">EU industry competitiveness on the global market will increase (41%; 50, 15</w:t>
      </w:r>
      <w:r>
        <w:t xml:space="preserve"> </w:t>
      </w:r>
      <w:r>
        <w:t xml:space="preserve">‘no responses’).</w:t>
      </w:r>
      <w:r>
        <w:t xml:space="preserve"> </w:t>
      </w:r>
      <w:r>
        <w:t xml:space="preserve"></w:t>
      </w:r>
      <w:r>
        <w:t xml:space="preserve"> </w:t>
      </w:r>
      <w:r>
        <w:t xml:space="preserve">Macroeconomic benefits can be expected (32%; 39, 16 ‘no responses’).</w:t>
      </w:r>
      <w:r>
        <w:t xml:space="preserve"> </w:t>
      </w:r>
      <w:r>
        <w:t xml:space="preserve">For two impacts, there was little agreement (other than from citizens, of which 50%</w:t>
      </w:r>
      <w:r>
        <w:t xml:space="preserve"> </w:t>
      </w:r>
      <w:r>
        <w:t xml:space="preserve">agreed in each case). Hence, there was a low level of agreement that sufficient training</w:t>
      </w:r>
      <w:r>
        <w:t xml:space="preserve"> </w:t>
      </w:r>
      <w:r>
        <w:t xml:space="preserve">is provided to ensure the necessary reskilling and upskilling of the existing workforce</w:t>
      </w:r>
      <w:r>
        <w:t xml:space="preserve"> </w:t>
      </w:r>
      <w:r>
        <w:t xml:space="preserve">in the transport sector (29%; 33, 24 ‘no responses’) and that sufficient measures are in</w:t>
      </w:r>
      <w:r>
        <w:t xml:space="preserve"> </w:t>
      </w:r>
      <w:r>
        <w:t xml:space="preserve">place to attract skilled workers to the transport sector, helping to deploy fully the</w:t>
      </w:r>
      <w:r>
        <w:t xml:space="preserve"> </w:t>
      </w:r>
      <w:r>
        <w:t xml:space="preserve">potential of ZEV (14%; 16, 26 ‘no responses’), both overall, as well as from industry,</w:t>
      </w:r>
      <w:r>
        <w:t xml:space="preserve"> </w:t>
      </w:r>
      <w:r>
        <w:t xml:space="preserve">public authorities and ‘Other’ stakeholders. Finally, while overall there was a strong</w:t>
      </w:r>
      <w:r>
        <w:t xml:space="preserve"> </w:t>
      </w:r>
      <w:r>
        <w:t xml:space="preserve">agreement that manufacturing job losses can occur due to decreasing production of</w:t>
      </w:r>
      <w:r>
        <w:t xml:space="preserve"> </w:t>
      </w:r>
      <w:r>
        <w:t xml:space="preserve">conventional powertrains (72%; 86, 17 ‘no responses’), this was driven by industry</w:t>
      </w:r>
      <w:r>
        <w:t xml:space="preserve"> </w:t>
      </w:r>
      <w:r>
        <w:t xml:space="preserve">respondents, as other stakeholders were more ambivalent.</w:t>
      </w:r>
      <w:r>
        <w:br/>
      </w:r>
      <w:r>
        <w:t xml:space="preserve">Stakeholders were also asked whether there were any other relevant impacts. Many</w:t>
      </w:r>
      <w:r>
        <w:t xml:space="preserve"> </w:t>
      </w:r>
      <w:r>
        <w:t xml:space="preserve">suppliers of fuels and gases argued that relying on tailpipe emissions may not be the</w:t>
      </w:r>
      <w:r>
        <w:t xml:space="preserve"> </w:t>
      </w:r>
      <w:r>
        <w:t xml:space="preserve">most effective means of reducing CO2 emissions from HDVs. They also argued that the</w:t>
      </w:r>
      <w:r>
        <w:t xml:space="preserve"> </w:t>
      </w:r>
      <w:r>
        <w:t xml:space="preserve">impacts and security of supply issues regarding the rare earth metals needed for ZEVs</w:t>
      </w:r>
      <w:r>
        <w:t xml:space="preserve"> </w:t>
      </w:r>
      <w:r>
        <w:t xml:space="preserve">needed to be considered, whereas some renewable and low carbon fuels were already</w:t>
      </w:r>
      <w:r>
        <w:t xml:space="preserve"> </w:t>
      </w:r>
      <w:r>
        <w:t xml:space="preserve">produced abundantly in Europe, such as biomethane. From the perspective of vehicle</w:t>
      </w:r>
      <w:r>
        <w:t xml:space="preserve"> </w:t>
      </w:r>
      <w:r>
        <w:t xml:space="preserve">manufacturers, on the one hand it was considered that stronger targets would lead to</w:t>
      </w:r>
      <w:r>
        <w:t xml:space="preserve"> </w:t>
      </w:r>
      <w:r>
        <w:t xml:space="preserve">more innovation, whereas on the other it was suggested that improved global</w:t>
      </w:r>
      <w:r>
        <w:t xml:space="preserve"> </w:t>
      </w:r>
      <w:r>
        <w:t xml:space="preserve">competitiveness would only be achieved if all ZLEV options were kept open.</w:t>
      </w:r>
      <w:r>
        <w:t xml:space="preserve"> </w:t>
      </w:r>
      <w:r>
        <w:t xml:space="preserve">Transport operators were concerned with the availability of vehicles, and the potential</w:t>
      </w:r>
      <w:r>
        <w:t xml:space="preserve"> </w:t>
      </w:r>
      <w:r>
        <w:t xml:space="preserve">negative impacts on costs, government revenues and EU competitiveness were also</w:t>
      </w:r>
      <w:r>
        <w:t xml:space="preserve"> </w:t>
      </w:r>
      <w:r>
        <w:t xml:space="preserve">feared. Suppliers of components and materials raised similar concerns to those from</w:t>
      </w:r>
      <w:r>
        <w:t xml:space="preserve"> </w:t>
      </w:r>
      <w:r>
        <w:t xml:space="preserve">other sectors, e.g. that improved global competitiveness would only be achieved if all</w:t>
      </w:r>
      <w:r>
        <w:t xml:space="preserve"> </w:t>
      </w:r>
      <w:r>
        <w:t xml:space="preserve">ZLEV options were kept open and that the impacts and security of supply issues</w:t>
      </w:r>
      <w:r>
        <w:t xml:space="preserve"> </w:t>
      </w:r>
      <w:r>
        <w:t xml:space="preserve">regarding the rare earth metals needed for ZEVs needed to be considered. From the</w:t>
      </w:r>
      <w:r>
        <w:t xml:space="preserve"> </w:t>
      </w:r>
      <w:r>
        <w:t xml:space="preserve">perspective of NGOs, there could potentially be economic benefits for the consumer from</w:t>
      </w:r>
      <w:r>
        <w:t xml:space="preserve"> </w:t>
      </w:r>
      <w:r>
        <w:t xml:space="preserve">the lower operational costs associated with ZEVs, as well as a reduction in noise</w:t>
      </w:r>
      <w:r>
        <w:t xml:space="preserve"> </w:t>
      </w:r>
      <w:r>
        <w:t xml:space="preserve">pollution, while it was also suggested that a focus on lifecycle emissions could help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diversify the agriculture sector.</w:t>
      </w:r>
      <w:r>
        <w:br/>
      </w:r>
      <w:r>
        <w:t xml:space="preserve">Finally, stakeholders were asked whether additional measures should be set up to</w:t>
      </w:r>
      <w:r>
        <w:t xml:space="preserve"> </w:t>
      </w:r>
      <w:r>
        <w:t xml:space="preserve">ensure a just transition towards zero-emission mobility. Several responses from fuel and</w:t>
      </w:r>
      <w:r>
        <w:t xml:space="preserve"> </w:t>
      </w:r>
      <w:r>
        <w:t xml:space="preserve">gas suppliers underlined that the transition could only be considered to be ‘just’ if it was</w:t>
      </w:r>
      <w:r>
        <w:t xml:space="preserve"> </w:t>
      </w:r>
      <w:r>
        <w:t xml:space="preserve">open to the use of all potential technologies, while a concern was raised that focusing</w:t>
      </w:r>
      <w:r>
        <w:t xml:space="preserve"> </w:t>
      </w:r>
      <w:r>
        <w:t xml:space="preserve">only on ZEVs could prove to be financially unsustainable and so a broader approach,</w:t>
      </w:r>
      <w:r>
        <w:t xml:space="preserve"> </w:t>
      </w:r>
      <w:r>
        <w:t xml:space="preserve">which involved the use of other vehicles, was needed. From the perspective of vehicle</w:t>
      </w:r>
      <w:r>
        <w:t xml:space="preserve"> </w:t>
      </w:r>
      <w:r>
        <w:t xml:space="preserve">manufacturers, it was suggested: that it was necessary to focus on requalification and</w:t>
      </w:r>
      <w:r>
        <w:t xml:space="preserve"> </w:t>
      </w:r>
      <w:r>
        <w:t xml:space="preserve">support measures for the new jobs that would be needed; financial support be given to</w:t>
      </w:r>
      <w:r>
        <w:t xml:space="preserve"> </w:t>
      </w:r>
      <w:r>
        <w:t xml:space="preserve">innovative European manufacturers (such as grants and tax exemptions); and more</w:t>
      </w:r>
      <w:r>
        <w:t xml:space="preserve"> </w:t>
      </w:r>
      <w:r>
        <w:t xml:space="preserve">attention be paid to the provision of recharging and refuelling infrastructure.</w:t>
      </w:r>
      <w:r>
        <w:br/>
      </w:r>
      <w:r>
        <w:t xml:space="preserve">From the perspective of transport operators, support was needed to help operators</w:t>
      </w:r>
      <w:r>
        <w:t xml:space="preserve"> </w:t>
      </w:r>
      <w:r>
        <w:t xml:space="preserve">purchase ZEVs, as was the deployment of the necessary recharging and refuelling</w:t>
      </w:r>
      <w:r>
        <w:t xml:space="preserve"> </w:t>
      </w:r>
      <w:r>
        <w:t xml:space="preserve">infrastructure for ZEVs. From the perspective of smaller operators, there was a call for</w:t>
      </w:r>
      <w:r>
        <w:t xml:space="preserve"> </w:t>
      </w:r>
      <w:r>
        <w:t xml:space="preserve">action to address the ongoing driver shortage, to simplify the truck driver licencing</w:t>
      </w:r>
      <w:r>
        <w:t xml:space="preserve"> </w:t>
      </w:r>
      <w:r>
        <w:t xml:space="preserve">regime and to develop customs regimes that did not distort competition. From the</w:t>
      </w:r>
      <w:r>
        <w:t xml:space="preserve"> </w:t>
      </w:r>
      <w:r>
        <w:t xml:space="preserve">perspective of suppliers of components and materials, there was a concern about the scale</w:t>
      </w:r>
      <w:r>
        <w:t xml:space="preserve"> </w:t>
      </w:r>
      <w:r>
        <w:t xml:space="preserve">of job losses that would result from the transition to ZEVs, which underlined the</w:t>
      </w:r>
      <w:r>
        <w:t xml:space="preserve"> </w:t>
      </w:r>
      <w:r>
        <w:t xml:space="preserve">importance of requalification and support measures. This was also a concern of suppliers</w:t>
      </w:r>
      <w:r>
        <w:t xml:space="preserve"> </w:t>
      </w:r>
      <w:r>
        <w:t xml:space="preserve">of electricity and hydrogen, as well as NGOs, some of which called on the Commission</w:t>
      </w:r>
      <w:r>
        <w:t xml:space="preserve"> </w:t>
      </w:r>
      <w:r>
        <w:t xml:space="preserve">to develop an automotive transition agenda and establish a dedicated fund to finance the</w:t>
      </w:r>
      <w:r>
        <w:t xml:space="preserve"> </w:t>
      </w:r>
      <w:r>
        <w:t xml:space="preserve">re-skilling of the workforce. From the perspective of public authorities, it was considered</w:t>
      </w:r>
      <w:r>
        <w:t xml:space="preserve"> </w:t>
      </w:r>
      <w:r>
        <w:t xml:space="preserve">necessary to support all parts of the EU in the transition, and also to ensure the</w:t>
      </w:r>
      <w:r>
        <w:t xml:space="preserve"> </w:t>
      </w:r>
      <w:r>
        <w:t xml:space="preserve">deployment of adequate infrastructure for recharging/refuelling for all alternative fuels</w:t>
      </w:r>
      <w:r>
        <w:t xml:space="preserve"> </w:t>
      </w:r>
      <w:r>
        <w:t xml:space="preserve">and energy sources.</w:t>
      </w:r>
      <w:r>
        <w:t xml:space="preserve"> </w:t>
      </w:r>
      <w:r>
        <w:t xml:space="preserve">ADDITIONAL COMMENTS PROVIDED BY RESPONDENTS</w:t>
      </w:r>
      <w:r>
        <w:t xml:space="preserve"> </w:t>
      </w:r>
      <w:r>
        <w:t xml:space="preserve">To conclude the consultation, stakeholders were asked whether they had any additional</w:t>
      </w:r>
      <w:r>
        <w:t xml:space="preserve"> </w:t>
      </w:r>
      <w:r>
        <w:t xml:space="preserve">comments.</w:t>
      </w:r>
      <w:r>
        <w:t xml:space="preserve"> </w:t>
      </w:r>
      <w:r>
        <w:t xml:space="preserve">Many suppliers of fuels and gases reiterated their call for a WTW or lifecycle approach</w:t>
      </w:r>
      <w:r>
        <w:t xml:space="preserve"> </w:t>
      </w:r>
      <w:r>
        <w:t xml:space="preserve">to determining CO2 emissions in the context of the HDV CO2 Regulation. In addition,</w:t>
      </w:r>
      <w:r>
        <w:t xml:space="preserve"> </w:t>
      </w:r>
      <w:r>
        <w:t xml:space="preserve">some called for the setting of post-2030 standards to be delayed in order to wait for the</w:t>
      </w:r>
      <w:r>
        <w:t xml:space="preserve"> </w:t>
      </w:r>
      <w:r>
        <w:t xml:space="preserve">advice from the newly established European Scientific Advisory Board on Climate</w:t>
      </w:r>
      <w:r>
        <w:t xml:space="preserve"> </w:t>
      </w:r>
      <w:r>
        <w:t xml:space="preserve">Change and others referred to a study that had been commissioned that shows how a</w:t>
      </w:r>
      <w:r>
        <w:t xml:space="preserve"> </w:t>
      </w:r>
      <w:r>
        <w:t xml:space="preserve">crediting system could work13. In addition, advocates of biomethane welcomed the boost</w:t>
      </w:r>
      <w:r>
        <w:t xml:space="preserve"> </w:t>
      </w:r>
      <w:r>
        <w:t xml:space="preserve">in its production as foreseen by the REPowerEU initiative, although they feared that this</w:t>
      </w:r>
      <w:r>
        <w:t xml:space="preserve"> </w:t>
      </w:r>
      <w:r>
        <w:t xml:space="preserve">could be hampered if the HDV CO2 Regulation did not support the use of biomethane in</w:t>
      </w:r>
      <w:r>
        <w:t xml:space="preserve"> </w:t>
      </w:r>
      <w:r>
        <w:t xml:space="preserve">HDVs.</w:t>
      </w:r>
      <w:r>
        <w:t xml:space="preserve"> </w:t>
      </w:r>
      <w:r>
        <w:t xml:space="preserve">Many vehicle manufacturers underlined that the rapid uptake of ZEVs depended on</w:t>
      </w:r>
      <w:r>
        <w:t xml:space="preserve"> </w:t>
      </w:r>
      <w:r>
        <w:t xml:space="preserve">vehicle availability, a dense network of recharging and refuelling infrastructure and TCO</w:t>
      </w:r>
      <w:r>
        <w:t xml:space="preserve"> </w:t>
      </w:r>
      <w:r>
        <w:t xml:space="preserve">parity, which required carbon pricing. In this context, they underlined the importance of</w:t>
      </w:r>
      <w:r>
        <w:t xml:space="preserve"> </w:t>
      </w:r>
      <w:r>
        <w:t xml:space="preserve">the revised HDV CO2 Regulation being consistent with the inter-institutional agreements</w:t>
      </w:r>
      <w:r>
        <w:t xml:space="preserve"> </w:t>
      </w:r>
      <w:r>
        <w:t xml:space="preserve">on the Alternative Fuels Infrastructure Regulation, the EU emissions trading scheme and</w:t>
      </w:r>
      <w:r>
        <w:t xml:space="preserve"> </w:t>
      </w:r>
      <w:r>
        <w:t xml:space="preserve">the Energy Tax Directive. They also noted that manufacturers must be able to move with</w:t>
      </w:r>
      <w:r>
        <w:t xml:space="preserve"> </w:t>
      </w:r>
      <w:r>
        <w:t xml:space="preserve">and push the market, rather than being pushed to meet targets that cannot be delivered by</w:t>
      </w:r>
      <w:r>
        <w:t xml:space="preserve"> </w:t>
      </w:r>
      <w:r>
        <w:t xml:space="preserve">demand. Alternatively, another manufacturer called for the electrification of trucks to be</w:t>
      </w:r>
    </w:p>
    <w:p>
      <w:pPr>
        <w:pStyle w:val="BodyText"/>
      </w:pPr>
      <w:r>
        <w:t xml:space="preserve">13 www.crediting-system-for-renewable-fuels.eu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recognised as the most efficient technology to deliver zero emission HDVs. They also</w:t>
      </w:r>
      <w:r>
        <w:t xml:space="preserve"> </w:t>
      </w:r>
      <w:r>
        <w:t xml:space="preserve">called for a phase out date for the sale of new non-zero emission HDVs to be set for 2035</w:t>
      </w:r>
      <w:r>
        <w:t xml:space="preserve"> </w:t>
      </w:r>
      <w:r>
        <w:t xml:space="preserve">at the latest and for the revised HDV CO2 Regulation to include an easy and well-</w:t>
      </w:r>
      <w:r>
        <w:t xml:space="preserve"> </w:t>
      </w:r>
      <w:r>
        <w:t xml:space="preserve">designed credit trading mechanism.</w:t>
      </w:r>
      <w:r>
        <w:br/>
      </w:r>
      <w:r>
        <w:t xml:space="preserve">Some transport operators reflected the concerns of many vehicle manufacturers (see</w:t>
      </w:r>
      <w:r>
        <w:t xml:space="preserve"> </w:t>
      </w:r>
      <w:r>
        <w:t xml:space="preserve">above) and others again called for a mechanism to account for renewable and low carbon</w:t>
      </w:r>
      <w:r>
        <w:t xml:space="preserve"> </w:t>
      </w:r>
      <w:r>
        <w:t xml:space="preserve">fuels. In addition, there was a call to adjust the weights and dimensions legislation to</w:t>
      </w:r>
      <w:r>
        <w:t xml:space="preserve"> </w:t>
      </w:r>
      <w:r>
        <w:t xml:space="preserve">enable potential emissions savings, a warning that the forthcoming Euro 7 emissions</w:t>
      </w:r>
      <w:r>
        <w:t xml:space="preserve"> </w:t>
      </w:r>
      <w:r>
        <w:t xml:space="preserve">legislation should not threaten the transition to ZEVs by being too strict or effectively</w:t>
      </w:r>
      <w:r>
        <w:t xml:space="preserve"> </w:t>
      </w:r>
      <w:r>
        <w:t xml:space="preserve">requiring ZEVs before the market was ready, and a call for the revenues from the</w:t>
      </w:r>
      <w:r>
        <w:t xml:space="preserve"> </w:t>
      </w:r>
      <w:r>
        <w:t xml:space="preserve">expansion of the EU ETS to transport to be used to scale up the production of ZLEVs.</w:t>
      </w:r>
      <w:r>
        <w:br/>
      </w:r>
      <w:r>
        <w:t xml:space="preserve">From the perspective of components and materials suppliers, the importance of</w:t>
      </w:r>
      <w:r>
        <w:t xml:space="preserve"> </w:t>
      </w:r>
      <w:r>
        <w:t xml:space="preserve">technology neutrality was also emphasised, while others noted that the CO2 emissions</w:t>
      </w:r>
      <w:r>
        <w:t xml:space="preserve"> </w:t>
      </w:r>
      <w:r>
        <w:t xml:space="preserve">from ICEVs could be substantially reduced with new technology. It was also suggested</w:t>
      </w:r>
      <w:r>
        <w:t xml:space="preserve"> </w:t>
      </w:r>
      <w:r>
        <w:t xml:space="preserve">that the revised HDV CO2 Regulation could give an additional bonus for ZEVs with</w:t>
      </w:r>
      <w:r>
        <w:t xml:space="preserve"> </w:t>
      </w:r>
      <w:r>
        <w:t xml:space="preserve">highly recyclable fuel cells or batteries, in order to counter the price increases in some</w:t>
      </w:r>
      <w:r>
        <w:t xml:space="preserve"> </w:t>
      </w:r>
      <w:r>
        <w:t xml:space="preserve">raw materials. From the perspective of electricity and hydrogen suppliers, there was a</w:t>
      </w:r>
      <w:r>
        <w:t xml:space="preserve"> </w:t>
      </w:r>
      <w:r>
        <w:t xml:space="preserve">call for the revised HDV CO2 Regulation to consider only ZEVs (rather than ZLEVs). A</w:t>
      </w:r>
      <w:r>
        <w:t xml:space="preserve"> </w:t>
      </w:r>
      <w:r>
        <w:t xml:space="preserve">public authority called on the revised HDV CO2 Regulation to continue to allow</w:t>
      </w:r>
      <w:r>
        <w:t xml:space="preserve"> </w:t>
      </w:r>
      <w:r>
        <w:t xml:space="preserve">manufacturers to heavy ICEVs.</w:t>
      </w:r>
      <w:r>
        <w:br/>
      </w:r>
      <w:r>
        <w:t xml:space="preserve">1.8.</w:t>
      </w:r>
      <w:r>
        <w:t xml:space="preserve"> </w:t>
      </w:r>
      <w:r>
        <w:t xml:space="preserve">11.4</w:t>
      </w:r>
      <w:r>
        <w:t xml:space="preserve"> </w:t>
      </w:r>
      <w:r>
        <w:t xml:space="preserve">Summary of the feedback received on the Call for Evidence</w:t>
      </w:r>
      <w:r>
        <w:t xml:space="preserve"> </w:t>
      </w:r>
      <w:r>
        <w:t xml:space="preserve">The feedback process on the Call for Evidence for the impact assessment sought to</w:t>
      </w:r>
      <w:r>
        <w:t xml:space="preserve"> </w:t>
      </w:r>
      <w:r>
        <w:t xml:space="preserve">inform stakeholders of the substance of the initiative whilst inviting them to provide</w:t>
      </w:r>
      <w:r>
        <w:t xml:space="preserve"> </w:t>
      </w:r>
      <w:r>
        <w:t xml:space="preserve">opinions on the proposed initiative and its potential economic, social and environmental</w:t>
      </w:r>
      <w:r>
        <w:t xml:space="preserve"> </w:t>
      </w:r>
      <w:r>
        <w:t xml:space="preserve">impacts. It was timely coincidental to the public consultation from 20 December 2020 to</w:t>
      </w:r>
      <w:r>
        <w:t xml:space="preserve"> </w:t>
      </w:r>
      <w:r>
        <w:t xml:space="preserve">14 March 2021. As a good number of stakeholders provided contributions to both the call</w:t>
      </w:r>
      <w:r>
        <w:t xml:space="preserve"> </w:t>
      </w:r>
      <w:r>
        <w:t xml:space="preserve">for evidence and the public consultation (21 out of 45 non-citizens responses), the</w:t>
      </w:r>
      <w:r>
        <w:t xml:space="preserve"> </w:t>
      </w:r>
      <w:r>
        <w:t xml:space="preserve">general trends in views represented in this feedback process are similar to those given to</w:t>
      </w:r>
      <w:r>
        <w:t xml:space="preserve"> </w:t>
      </w:r>
      <w:r>
        <w:t xml:space="preserve">the public consultation.</w:t>
      </w:r>
      <w:r>
        <w:t xml:space="preserve"> </w:t>
      </w:r>
      <w:r>
        <w:t xml:space="preserve">The initiative received 55 valid contributions in total14, of which 22 (40%) by companies</w:t>
      </w:r>
      <w:r>
        <w:t xml:space="preserve"> </w:t>
      </w:r>
      <w:r>
        <w:t xml:space="preserve">or business organisations, 10 (18%) by EU citizens, 7 (13%) by NGOs (including</w:t>
      </w:r>
      <w:r>
        <w:t xml:space="preserve"> </w:t>
      </w:r>
      <w:r>
        <w:t xml:space="preserve">environmental organisations), 8 (14%) by companies and business associations, 4 (7%)</w:t>
      </w:r>
      <w:r>
        <w:t xml:space="preserve"> </w:t>
      </w:r>
      <w:r>
        <w:t xml:space="preserve">by public authorities, 1 (2%) by non-EU citizens and 3 (6%) by ‘other’ stakeholders.</w:t>
      </w:r>
      <w:r>
        <w:t xml:space="preserve"> </w:t>
      </w:r>
      <w:r>
        <w:t xml:space="preserve">Contrarily to the public consultation, none of the larger manufacturers of HDVs neither</w:t>
      </w:r>
      <w:r>
        <w:t xml:space="preserve"> </w:t>
      </w:r>
      <w:r>
        <w:t xml:space="preserve">their European Association responded to this call for evidence.</w:t>
      </w:r>
      <w:r>
        <w:t xml:space="preserve"> </w:t>
      </w:r>
      <w:r>
        <w:t xml:space="preserve">A very large majority of respondents agreed on the need to increase ambition of the</w:t>
      </w:r>
      <w:r>
        <w:t xml:space="preserve"> </w:t>
      </w:r>
      <w:r>
        <w:t xml:space="preserve">revised legislation, both on expanding the scope to currently unregulated vehicles and</w:t>
      </w:r>
      <w:r>
        <w:t xml:space="preserve"> </w:t>
      </w:r>
      <w:r>
        <w:t xml:space="preserve">strengthening the CO2 standards. NGOs, ZEV manufacturers, electricity and hydrogen</w:t>
      </w:r>
      <w:r>
        <w:t xml:space="preserve"> </w:t>
      </w:r>
      <w:r>
        <w:t xml:space="preserve">suppliers and some public authorities showed larger ambition, even by proposing setting</w:t>
      </w:r>
      <w:r>
        <w:t xml:space="preserve"> </w:t>
      </w:r>
      <w:r>
        <w:t xml:space="preserve">intermediate standards before 2030 and supporting a 95-100% reduction by 2035, while</w:t>
      </w:r>
      <w:r>
        <w:t xml:space="preserve"> </w:t>
      </w:r>
      <w:r>
        <w:t xml:space="preserve">other industry representatives, fuel suppliers and transport operators called for a more</w:t>
      </w:r>
      <w:r>
        <w:t xml:space="preserve"> </w:t>
      </w:r>
      <w:r>
        <w:t xml:space="preserve">prudent approach.</w:t>
      </w:r>
      <w:r>
        <w:t xml:space="preserve"> </w:t>
      </w:r>
      <w:r>
        <w:t xml:space="preserve">Environmental NGOs, ZEV and small manufacturers, some public authorities and</w:t>
      </w:r>
      <w:r>
        <w:t xml:space="preserve"> </w:t>
      </w:r>
      <w:r>
        <w:t xml:space="preserve">electricity and hydrogen suppliers were in favour of setting a 100% CO2 reduction target</w:t>
      </w:r>
      <w:r>
        <w:t xml:space="preserve"> </w:t>
      </w:r>
      <w:r>
        <w:t xml:space="preserve">or setting ZEV mandates for a certain date in several or all vehicle categories. Fuel</w:t>
      </w:r>
    </w:p>
    <w:p>
      <w:pPr>
        <w:pStyle w:val="BodyText"/>
      </w:pPr>
      <w:r>
        <w:t xml:space="preserve">14 A total of 127 contributions arrived the feedback process, but 72 of them were submitted more than once.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suppliers and their associations together with some public authorities and transport</w:t>
      </w:r>
      <w:r>
        <w:t xml:space="preserve"> </w:t>
      </w:r>
      <w:r>
        <w:t xml:space="preserve">operators, on the other hand, called for adopting a technology-neutral approach by</w:t>
      </w:r>
      <w:r>
        <w:t xml:space="preserve"> </w:t>
      </w:r>
      <w:r>
        <w:t xml:space="preserve">including all technologies beyond zero-emission powertrains to contribute to reach</w:t>
      </w:r>
      <w:r>
        <w:t xml:space="preserve"> </w:t>
      </w:r>
      <w:r>
        <w:t xml:space="preserve">carbon neutrality, i.e., adopting well-to-wheel or life-cycle analysis on climate emissions</w:t>
      </w:r>
      <w:r>
        <w:t xml:space="preserve"> </w:t>
      </w:r>
      <w:r>
        <w:t xml:space="preserve">against the current tailpipe approach to enable accounting the use of renewable and low-</w:t>
      </w:r>
      <w:r>
        <w:t xml:space="preserve"> </w:t>
      </w:r>
      <w:r>
        <w:t xml:space="preserve">carbon fuels in the compliance mechanism.</w:t>
      </w:r>
      <w:r>
        <w:t xml:space="preserve"> </w:t>
      </w:r>
      <w:r>
        <w:t xml:space="preserve">Many respondents called for setting an adequate policy environment for the transition</w:t>
      </w:r>
      <w:r>
        <w:t xml:space="preserve"> </w:t>
      </w:r>
      <w:r>
        <w:t xml:space="preserve">towards stricter targets by securing the sufficient and adequate recharging and refuelling</w:t>
      </w:r>
      <w:r>
        <w:t xml:space="preserve"> </w:t>
      </w:r>
      <w:r>
        <w:t xml:space="preserve">infrastructure and setting up carbon pricing framework conditions to enable positive TCO</w:t>
      </w:r>
      <w:r>
        <w:t xml:space="preserve"> </w:t>
      </w:r>
      <w:r>
        <w:t xml:space="preserve">for transport operators.</w:t>
      </w:r>
      <w:r>
        <w:t xml:space="preserve"> </w:t>
      </w:r>
      <w:r>
        <w:t xml:space="preserve">Mixed views were recorded as regards the incentive mechanism for zero and low</w:t>
      </w:r>
      <w:r>
        <w:t xml:space="preserve"> </w:t>
      </w:r>
      <w:r>
        <w:t xml:space="preserve">emission vehicles. Several respondents, as environmental NGOs, ZEV manufacturers,</w:t>
      </w:r>
      <w:r>
        <w:t xml:space="preserve"> </w:t>
      </w:r>
      <w:r>
        <w:t xml:space="preserve">hydrogen and power suppliers and some public authorities considered that the current</w:t>
      </w:r>
      <w:r>
        <w:t xml:space="preserve"> </w:t>
      </w:r>
      <w:r>
        <w:t xml:space="preserve">manufacturer’s ambition on ZEV is sufficiently high that the current system should be no</w:t>
      </w:r>
      <w:r>
        <w:t xml:space="preserve"> </w:t>
      </w:r>
      <w:r>
        <w:t xml:space="preserve">longer kept or that the current benchmark should be highly upgraded. At the same time,</w:t>
      </w:r>
      <w:r>
        <w:t xml:space="preserve"> </w:t>
      </w:r>
      <w:r>
        <w:t xml:space="preserve">fuel suppliers, some components suppliers were in favour of keeping the current</w:t>
      </w:r>
      <w:r>
        <w:t xml:space="preserve"> </w:t>
      </w:r>
      <w:r>
        <w:t xml:space="preserve">incentive, ensuring the continued eligibility of low-emission vehicles and considering</w:t>
      </w:r>
      <w:r>
        <w:t xml:space="preserve"> </w:t>
      </w:r>
      <w:r>
        <w:t xml:space="preserve">how low-carbon and renewable fuels may score for this purpose.</w:t>
      </w:r>
      <w:r>
        <w:t xml:space="preserve"> </w:t>
      </w:r>
      <w:r>
        <w:t xml:space="preserve">Finally, there were concrete particular suggestions from small manufacturers and their</w:t>
      </w:r>
      <w:r>
        <w:t xml:space="preserve"> </w:t>
      </w:r>
      <w:r>
        <w:t xml:space="preserve">associations, i.e., the possibility to retrofitting ICE vehicles with zero-emission</w:t>
      </w:r>
      <w:r>
        <w:t xml:space="preserve"> </w:t>
      </w:r>
      <w:r>
        <w:t xml:space="preserve">powertrains to contribute to decarbonizing existing fleet, currently outside of the</w:t>
      </w:r>
      <w:r>
        <w:t xml:space="preserve"> </w:t>
      </w:r>
      <w:r>
        <w:t xml:space="preserve">regulatory scope and to enable multi-stage manufacturers work recognition to contribute</w:t>
      </w:r>
      <w:r>
        <w:t xml:space="preserve"> </w:t>
      </w:r>
      <w:r>
        <w:t xml:space="preserve">to reducing CO2 emissions by setting a CO2 credits system to which the ZEV vehicles</w:t>
      </w:r>
      <w:r>
        <w:t xml:space="preserve"> </w:t>
      </w:r>
      <w:r>
        <w:t xml:space="preserve">could fully contribute to.</w:t>
      </w:r>
      <w:r>
        <w:br/>
      </w:r>
      <w:r>
        <w:t xml:space="preserve">1.9.</w:t>
      </w:r>
      <w:r>
        <w:t xml:space="preserve"> </w:t>
      </w:r>
      <w:r>
        <w:t xml:space="preserve">11.5</w:t>
      </w:r>
      <w:r>
        <w:t xml:space="preserve"> </w:t>
      </w:r>
      <w:r>
        <w:t xml:space="preserve">Position papers on the revision</w:t>
      </w:r>
      <w:r>
        <w:t xml:space="preserve"> </w:t>
      </w:r>
      <w:r>
        <w:t xml:space="preserve">The following stakeholders complemented their views with position papers:</w:t>
      </w:r>
      <w:r>
        <w:t xml:space="preserve"> </w:t>
      </w:r>
      <w:r>
        <w:t xml:space="preserve"></w:t>
      </w:r>
      <w:r>
        <w:t xml:space="preserve"> </w:t>
      </w:r>
      <w:r>
        <w:t xml:space="preserve">AFGNV</w:t>
      </w:r>
      <w:r>
        <w:t xml:space="preserve"> </w:t>
      </w:r>
      <w:r>
        <w:t xml:space="preserve"></w:t>
      </w:r>
      <w:r>
        <w:t xml:space="preserve"> </w:t>
      </w:r>
      <w:r>
        <w:t xml:space="preserve">Amazon</w:t>
      </w:r>
      <w:r>
        <w:t xml:space="preserve"> </w:t>
      </w:r>
      <w:r>
        <w:t xml:space="preserve"></w:t>
      </w:r>
      <w:r>
        <w:t xml:space="preserve"> </w:t>
      </w:r>
      <w:r>
        <w:t xml:space="preserve">European Biodiesel Board</w:t>
      </w:r>
      <w:r>
        <w:t xml:space="preserve"> </w:t>
      </w:r>
      <w:r>
        <w:t xml:space="preserve"></w:t>
      </w:r>
      <w:r>
        <w:t xml:space="preserve"> </w:t>
      </w:r>
      <w:r>
        <w:t xml:space="preserve">Bosch</w:t>
      </w:r>
      <w:r>
        <w:t xml:space="preserve"> </w:t>
      </w:r>
      <w:r>
        <w:t xml:space="preserve"></w:t>
      </w:r>
      <w:r>
        <w:t xml:space="preserve"> </w:t>
      </w:r>
      <w:r>
        <w:t xml:space="preserve">Clean Air Task Force</w:t>
      </w:r>
      <w:r>
        <w:t xml:space="preserve"> </w:t>
      </w:r>
      <w:r>
        <w:t xml:space="preserve"></w:t>
      </w:r>
      <w:r>
        <w:t xml:space="preserve"> </w:t>
      </w:r>
      <w:r>
        <w:t xml:space="preserve">Confartigianato</w:t>
      </w:r>
      <w:r>
        <w:t xml:space="preserve"> </w:t>
      </w:r>
      <w:r>
        <w:t xml:space="preserve"></w:t>
      </w:r>
      <w:r>
        <w:t xml:space="preserve"> </w:t>
      </w:r>
      <w:r>
        <w:t xml:space="preserve">Danish Ministry of Climate, Energy and Utilities</w:t>
      </w:r>
      <w:r>
        <w:t xml:space="preserve"> </w:t>
      </w:r>
      <w:r>
        <w:t xml:space="preserve"></w:t>
      </w:r>
      <w:r>
        <w:t xml:space="preserve"> </w:t>
      </w:r>
      <w:r>
        <w:t xml:space="preserve">ENI</w:t>
      </w:r>
      <w:r>
        <w:t xml:space="preserve"> </w:t>
      </w:r>
      <w:r>
        <w:t xml:space="preserve"></w:t>
      </w:r>
      <w:r>
        <w:t xml:space="preserve"> </w:t>
      </w:r>
      <w:r>
        <w:t xml:space="preserve">E-Pure</w:t>
      </w:r>
      <w:r>
        <w:t xml:space="preserve"> </w:t>
      </w:r>
      <w:r>
        <w:t xml:space="preserve"></w:t>
      </w:r>
      <w:r>
        <w:t xml:space="preserve"> </w:t>
      </w:r>
      <w:r>
        <w:t xml:space="preserve">European Copper Institute</w:t>
      </w:r>
      <w:r>
        <w:t xml:space="preserve"> </w:t>
      </w:r>
      <w:r>
        <w:t xml:space="preserve"></w:t>
      </w:r>
      <w:r>
        <w:t xml:space="preserve"> </w:t>
      </w:r>
      <w:r>
        <w:t xml:space="preserve">Germany Federal Environmental Agency</w:t>
      </w:r>
      <w:r>
        <w:t xml:space="preserve"> </w:t>
      </w:r>
      <w:r>
        <w:t xml:space="preserve"></w:t>
      </w:r>
      <w:r>
        <w:t xml:space="preserve"> </w:t>
      </w:r>
      <w:r>
        <w:t xml:space="preserve">Federmetano</w:t>
      </w:r>
      <w:r>
        <w:t xml:space="preserve"> </w:t>
      </w:r>
      <w:r>
        <w:t xml:space="preserve"></w:t>
      </w:r>
      <w:r>
        <w:t xml:space="preserve"> </w:t>
      </w:r>
      <w:r>
        <w:t xml:space="preserve">FEV</w:t>
      </w:r>
      <w:r>
        <w:t xml:space="preserve"> </w:t>
      </w:r>
      <w:r>
        <w:t xml:space="preserve"></w:t>
      </w:r>
      <w:r>
        <w:t xml:space="preserve"> </w:t>
      </w:r>
      <w:r>
        <w:t xml:space="preserve">Fuels European Commission</w:t>
      </w:r>
      <w:r>
        <w:t xml:space="preserve"> </w:t>
      </w:r>
      <w:r>
        <w:t xml:space="preserve"></w:t>
      </w:r>
      <w:r>
        <w:t xml:space="preserve"> </w:t>
      </w:r>
      <w:r>
        <w:t xml:space="preserve">Hydrogen Denmark (Brintbranchen)</w:t>
      </w:r>
      <w:r>
        <w:t xml:space="preserve"> </w:t>
      </w:r>
      <w:r>
        <w:t xml:space="preserve"></w:t>
      </w:r>
      <w:r>
        <w:t xml:space="preserve"> </w:t>
      </w:r>
      <w:r>
        <w:t xml:space="preserve">Iberdrola</w:t>
      </w:r>
      <w:r>
        <w:t xml:space="preserve"> </w:t>
      </w:r>
      <w:r>
        <w:t xml:space="preserve"></w:t>
      </w:r>
      <w:r>
        <w:t xml:space="preserve"> </w:t>
      </w:r>
      <w:r>
        <w:t xml:space="preserve">ICCT</w:t>
      </w:r>
      <w:r>
        <w:t xml:space="preserve"> </w:t>
      </w:r>
      <w:r>
        <w:t xml:space="preserve"></w:t>
      </w:r>
      <w:r>
        <w:t xml:space="preserve"> </w:t>
      </w:r>
      <w:r>
        <w:t xml:space="preserve">MAN</w:t>
      </w:r>
      <w:r>
        <w:t xml:space="preserve"> </w:t>
      </w:r>
      <w:r>
        <w:t xml:space="preserve"></w:t>
      </w:r>
      <w:r>
        <w:t xml:space="preserve"> </w:t>
      </w:r>
      <w:r>
        <w:t xml:space="preserve">MOL Group</w:t>
      </w:r>
      <w:r>
        <w:t xml:space="preserve"> </w:t>
      </w:r>
      <w:r>
        <w:t xml:space="preserve"></w:t>
      </w:r>
      <w:r>
        <w:t xml:space="preserve"> </w:t>
      </w:r>
      <w:r>
        <w:t xml:space="preserve">Neste</w:t>
      </w:r>
      <w:r>
        <w:t xml:space="preserve"> </w:t>
      </w:r>
      <w:r>
        <w:t xml:space="preserve"></w:t>
      </w:r>
      <w:r>
        <w:t xml:space="preserve"> </w:t>
      </w:r>
      <w:r>
        <w:t xml:space="preserve">NGVA</w:t>
      </w:r>
      <w:r>
        <w:t xml:space="preserve"> </w:t>
      </w:r>
      <w:r>
        <w:t xml:space="preserve"></w:t>
      </w:r>
      <w:r>
        <w:t xml:space="preserve"> </w:t>
      </w:r>
      <w:r>
        <w:t xml:space="preserve">Pepper Motion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Platform for Electromobility</w:t>
      </w:r>
      <w:r>
        <w:t xml:space="preserve"> </w:t>
      </w:r>
      <w:r>
        <w:t xml:space="preserve"></w:t>
      </w:r>
      <w:r>
        <w:t xml:space="preserve"> </w:t>
      </w:r>
      <w:r>
        <w:t xml:space="preserve">Region Östergötland</w:t>
      </w:r>
      <w:r>
        <w:t xml:space="preserve"> </w:t>
      </w:r>
      <w:r>
        <w:t xml:space="preserve"></w:t>
      </w:r>
      <w:r>
        <w:t xml:space="preserve"> </w:t>
      </w:r>
      <w:r>
        <w:t xml:space="preserve">Transport &amp; Environment</w:t>
      </w:r>
      <w:r>
        <w:t xml:space="preserve"> </w:t>
      </w:r>
      <w:r>
        <w:t xml:space="preserve"></w:t>
      </w:r>
      <w:r>
        <w:t xml:space="preserve"> </w:t>
      </w:r>
      <w:r>
        <w:t xml:space="preserve">UNITI</w:t>
      </w:r>
      <w:r>
        <w:t xml:space="preserve"> </w:t>
      </w:r>
      <w:r>
        <w:t xml:space="preserve"></w:t>
      </w:r>
      <w:r>
        <w:t xml:space="preserve"> </w:t>
      </w:r>
      <w:r>
        <w:t xml:space="preserve">VDB - Association of the German Biofuel Industry</w:t>
      </w:r>
      <w:r>
        <w:t xml:space="preserve"> </w:t>
      </w:r>
      <w:r>
        <w:t xml:space="preserve"></w:t>
      </w:r>
      <w:r>
        <w:t xml:space="preserve"> </w:t>
      </w:r>
      <w:r>
        <w:t xml:space="preserve">Volta Trucks</w:t>
      </w:r>
      <w:r>
        <w:t xml:space="preserve"> </w:t>
      </w:r>
      <w:r>
        <w:t xml:space="preserve"></w:t>
      </w:r>
      <w:r>
        <w:t xml:space="preserve"> </w:t>
      </w:r>
      <w:r>
        <w:t xml:space="preserve">Zürich 5 coalition</w:t>
      </w:r>
      <w:r>
        <w:t xml:space="preserve"> </w:t>
      </w:r>
      <w:r>
        <w:t xml:space="preserve">In addition, the following stakeholders submitted by email ad-hoc position papers that</w:t>
      </w:r>
      <w:r>
        <w:t xml:space="preserve"> </w:t>
      </w:r>
      <w:r>
        <w:t xml:space="preserve">were also considered in this impact assessment:</w:t>
      </w:r>
      <w:r>
        <w:br/>
      </w:r>
      <w:r>
        <w:t xml:space="preserve"></w:t>
      </w:r>
      <w:r>
        <w:t xml:space="preserve"> </w:t>
      </w:r>
      <w:r>
        <w:t xml:space="preserve">ACEA</w:t>
      </w:r>
      <w:r>
        <w:t xml:space="preserve"> </w:t>
      </w:r>
      <w:r>
        <w:t xml:space="preserve"></w:t>
      </w:r>
      <w:r>
        <w:t xml:space="preserve"> </w:t>
      </w:r>
      <w:r>
        <w:t xml:space="preserve">CLEPA (European Association of Automotive Suppliers)</w:t>
      </w:r>
      <w:r>
        <w:t xml:space="preserve"> </w:t>
      </w:r>
      <w:r>
        <w:t xml:space="preserve"></w:t>
      </w:r>
      <w:r>
        <w:t xml:space="preserve"> </w:t>
      </w:r>
      <w:r>
        <w:t xml:space="preserve">EURAMET (European Association of National Metrology Institutes)</w:t>
      </w:r>
      <w:r>
        <w:t xml:space="preserve"> </w:t>
      </w:r>
      <w:r>
        <w:t xml:space="preserve"></w:t>
      </w:r>
      <w:r>
        <w:t xml:space="preserve"> </w:t>
      </w:r>
      <w:r>
        <w:t xml:space="preserve">Johnson Matthey (components’ supplier)</w:t>
      </w:r>
      <w:r>
        <w:t xml:space="preserve"> </w:t>
      </w:r>
      <w:r>
        <w:t xml:space="preserve"></w:t>
      </w:r>
      <w:r>
        <w:t xml:space="preserve"> </w:t>
      </w:r>
      <w:r>
        <w:t xml:space="preserve">IRU (International Road Transport Union)</w:t>
      </w:r>
      <w:r>
        <w:t xml:space="preserve"> </w:t>
      </w:r>
      <w:r>
        <w:t xml:space="preserve"></w:t>
      </w:r>
      <w:r>
        <w:t xml:space="preserve"> </w:t>
      </w:r>
      <w:r>
        <w:t xml:space="preserve">Westport Fuel Systems (components’ supplier)</w:t>
      </w:r>
      <w:r>
        <w:t xml:space="preserve"> </w:t>
      </w:r>
      <w:r>
        <w:t xml:space="preserve">1.10. 11.6</w:t>
      </w:r>
      <w:r>
        <w:t xml:space="preserve"> </w:t>
      </w:r>
      <w:r>
        <w:t xml:space="preserve">SMEs feedback</w:t>
      </w:r>
      <w:r>
        <w:t xml:space="preserve"> </w:t>
      </w:r>
      <w:r>
        <w:t xml:space="preserve">As this initiative is considered relevant for SMEs, their feedback was actively sought and</w:t>
      </w:r>
      <w:r>
        <w:t xml:space="preserve"> </w:t>
      </w:r>
      <w:r>
        <w:t xml:space="preserve">their participation in the consultation process was especially encouraged. Several small</w:t>
      </w:r>
      <w:r>
        <w:t xml:space="preserve"> </w:t>
      </w:r>
      <w:r>
        <w:t xml:space="preserve">companies and of their representative business organizations (e.g., CLCCR for small</w:t>
      </w:r>
      <w:r>
        <w:t xml:space="preserve"> </w:t>
      </w:r>
      <w:r>
        <w:t xml:space="preserve">manufacturers, UETS for transport operators) were invited to provide opinions on the</w:t>
      </w:r>
      <w:r>
        <w:t xml:space="preserve"> </w:t>
      </w:r>
      <w:r>
        <w:t xml:space="preserve">several options impacting directly and indirectly into their respective business.</w:t>
      </w:r>
      <w:r>
        <w:t xml:space="preserve"> </w:t>
      </w:r>
      <w:r>
        <w:t xml:space="preserve">Furthermore, in addition to public consultation, several targeted round table discussions</w:t>
      </w:r>
      <w:r>
        <w:t xml:space="preserve"> </w:t>
      </w:r>
      <w:r>
        <w:t xml:space="preserve">and hearings involving small and medium manufacturers (mostly specialized in</w:t>
      </w:r>
      <w:r>
        <w:t xml:space="preserve"> </w:t>
      </w:r>
      <w:r>
        <w:t xml:space="preserve">manufacturing ZEV, buses and coaches and niche applications) and associations of small</w:t>
      </w:r>
      <w:r>
        <w:t xml:space="preserve"> </w:t>
      </w:r>
      <w:r>
        <w:t xml:space="preserve">and medium transport operators were held during and after the consultation period.</w:t>
      </w:r>
      <w:r>
        <w:t xml:space="preserve"> </w:t>
      </w:r>
      <w:r>
        <w:t xml:space="preserve">The feedback from smaller companies has been used for assessing the impact of the</w:t>
      </w:r>
      <w:r>
        <w:t xml:space="preserve"> </w:t>
      </w:r>
      <w:r>
        <w:t xml:space="preserve">initiative on their business and the design of options targeting them, namely the Small</w:t>
      </w:r>
      <w:r>
        <w:t xml:space="preserve"> </w:t>
      </w:r>
      <w:r>
        <w:t xml:space="preserve">Volume Manufacturer exemption, the ZEV incentive for other vehicles and the</w:t>
      </w:r>
      <w:r>
        <w:t xml:space="preserve"> </w:t>
      </w:r>
      <w:r>
        <w:t xml:space="preserve">flexibilities between manufacturers for compliance assessment.</w:t>
      </w:r>
      <w:r>
        <w:t xml:space="preserve"> </w:t>
      </w:r>
      <w:r>
        <w:t xml:space="preserve">1.11. 11.7</w:t>
      </w:r>
      <w:r>
        <w:t xml:space="preserve"> </w:t>
      </w:r>
      <w:r>
        <w:t xml:space="preserve">Use of stakeholder input for the impact assessment</w:t>
      </w:r>
      <w:r>
        <w:t xml:space="preserve"> </w:t>
      </w:r>
      <w:r>
        <w:t xml:space="preserve">Stakeholder inputs received across the several stakeholder consultation activities has</w:t>
      </w:r>
      <w:r>
        <w:t xml:space="preserve"> </w:t>
      </w:r>
      <w:r>
        <w:t xml:space="preserve">been key to the impact assessment. The results from the analysis of the public</w:t>
      </w:r>
      <w:r>
        <w:t xml:space="preserve"> </w:t>
      </w:r>
      <w:r>
        <w:t xml:space="preserve">consultation, the input provided through the feedback process on the Call for Evidence,</w:t>
      </w:r>
      <w:r>
        <w:t xml:space="preserve"> </w:t>
      </w:r>
      <w:r>
        <w:t xml:space="preserve">as well as stakeholder views provided in position papers have been used to develop and</w:t>
      </w:r>
      <w:r>
        <w:t xml:space="preserve"> </w:t>
      </w:r>
      <w:r>
        <w:t xml:space="preserve">assess the policy options. Statements or positions brought forward by stakeholders have</w:t>
      </w:r>
      <w:r>
        <w:t xml:space="preserve"> </w:t>
      </w:r>
      <w:r>
        <w:t xml:space="preserve">been highlighted as such.</w:t>
      </w:r>
    </w:p>
    <w:p>
      <w:pPr>
        <w:pStyle w:val="BodyText"/>
      </w:pPr>
      <w:r>
        <w:t xml:space="preserve">38</w:t>
      </w:r>
    </w:p>
    <w:p>
      <w:pPr>
        <w:pStyle w:val="Compact"/>
        <w:numPr>
          <w:ilvl w:val="0"/>
          <w:numId w:val="1004"/>
        </w:numPr>
      </w:pPr>
      <w:r>
        <w:t xml:space="preserve">ANNEX 3: WHO IS AFFECTED AND HOW?</w:t>
      </w:r>
      <w:r>
        <w:t xml:space="preserve"> </w:t>
      </w:r>
      <w:r>
        <w:t xml:space="preserve">1.12. 12.1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following key target groups of this initiative have been identified.</w:t>
      </w:r>
      <w:r>
        <w:t xml:space="preserve"> </w:t>
      </w:r>
      <w:r>
        <w:t xml:space="preserve"></w:t>
      </w:r>
      <w:r>
        <w:t xml:space="preserve"> </w:t>
      </w:r>
      <w:r>
        <w:t xml:space="preserve">Society at large</w:t>
      </w:r>
      <w:r>
        <w:t xml:space="preserve"> </w:t>
      </w:r>
      <w:r>
        <w:t xml:space="preserve"></w:t>
      </w:r>
      <w:r>
        <w:t xml:space="preserve"> </w:t>
      </w:r>
      <w:r>
        <w:t xml:space="preserve">Transport operators</w:t>
      </w:r>
      <w:r>
        <w:t xml:space="preserve"> </w:t>
      </w:r>
      <w:r>
        <w:t xml:space="preserve"></w:t>
      </w:r>
      <w:r>
        <w:t xml:space="preserve"> </w:t>
      </w:r>
      <w:r>
        <w:t xml:space="preserve">Vehicle manufacturers</w:t>
      </w:r>
      <w:r>
        <w:br/>
      </w:r>
      <w:r>
        <w:t xml:space="preserve"></w:t>
      </w:r>
      <w:r>
        <w:t xml:space="preserve"> </w:t>
      </w:r>
      <w:r>
        <w:t xml:space="preserve">Suppliers of components and materials</w:t>
      </w:r>
      <w:r>
        <w:br/>
      </w:r>
      <w:r>
        <w:t xml:space="preserve"></w:t>
      </w:r>
      <w:r>
        <w:t xml:space="preserve"> </w:t>
      </w:r>
      <w:r>
        <w:t xml:space="preserve">Automotive sector workforce</w:t>
      </w:r>
      <w:r>
        <w:t xml:space="preserve"> </w:t>
      </w:r>
      <w:r>
        <w:t xml:space="preserve"></w:t>
      </w:r>
      <w:r>
        <w:t xml:space="preserve"> </w:t>
      </w:r>
      <w:r>
        <w:t xml:space="preserve">Suppliers of fuels and energy</w:t>
      </w:r>
      <w:r>
        <w:t xml:space="preserve"> </w:t>
      </w:r>
      <w:r>
        <w:t xml:space="preserve"></w:t>
      </w:r>
      <w:r>
        <w:t xml:space="preserve"> </w:t>
      </w:r>
      <w:r>
        <w:t xml:space="preserve">Other users of fuel and oil-related products</w:t>
      </w:r>
    </w:p>
    <w:p>
      <w:pPr>
        <w:pStyle w:val="FirstParagraph"/>
      </w:pPr>
      <w:r>
        <w:t xml:space="preserve">The below table summarises how these target groups are affected by this policy initiative</w:t>
      </w:r>
      <w:r>
        <w:t xml:space="preserve"> </w:t>
      </w:r>
      <w:r>
        <w:t xml:space="preserve">and the corresponding impacts. In some cases the analysis showed overlaps between</w:t>
      </w:r>
      <w:r>
        <w:t xml:space="preserve"> </w:t>
      </w:r>
      <w:r>
        <w:t xml:space="preserve">identified target groups (e.g. vehicle manufacturers and suppliers of components and</w:t>
      </w:r>
      <w:r>
        <w:t xml:space="preserve"> </w:t>
      </w:r>
      <w:r>
        <w:t xml:space="preserve">materials) as a result of which certain effects may be repeated.</w:t>
      </w:r>
    </w:p>
    <w:p>
      <w:pPr>
        <w:pStyle w:val="BodyText"/>
      </w:pPr>
      <w:r>
        <w:t xml:space="preserve">Type of</w:t>
      </w:r>
      <w:r>
        <w:t xml:space="preserve"> </w:t>
      </w:r>
      <w:r>
        <w:t xml:space="preserve">stakeholder</w:t>
      </w:r>
      <w:r>
        <w:t xml:space="preserve"> </w:t>
      </w:r>
      <w:r>
        <w:t xml:space="preserve">Practical implications</w:t>
      </w:r>
      <w:r>
        <w:t xml:space="preserve"> </w:t>
      </w:r>
      <w:r>
        <w:t xml:space="preserve">Society at large EU population. Citizens are being increasingly and negatively affected</w:t>
      </w:r>
      <w:r>
        <w:t xml:space="preserve"> </w:t>
      </w:r>
      <w:r>
        <w:t xml:space="preserve">by climate change. Lowering air pollution will improve their health</w:t>
      </w:r>
      <w:r>
        <w:t xml:space="preserve"> </w:t>
      </w:r>
      <w:r>
        <w:t xml:space="preserve">and wellbeing from better air quality, especially for those living in</w:t>
      </w:r>
      <w:r>
        <w:t xml:space="preserve"> </w:t>
      </w:r>
      <w:r>
        <w:t xml:space="preserve">urban areas and when the uptake of zero-emission vehicles increases.</w:t>
      </w:r>
      <w:r>
        <w:t xml:space="preserve"> </w:t>
      </w:r>
      <w:r>
        <w:t xml:space="preserve">Energy security of the EU will improve, as the import of fossil fuels will</w:t>
      </w:r>
      <w:r>
        <w:t xml:space="preserve"> </w:t>
      </w:r>
      <w:r>
        <w:t xml:space="preserve">decrease with lower fuel consumption.</w:t>
      </w:r>
      <w:r>
        <w:br/>
      </w:r>
      <w:r>
        <w:t xml:space="preserve">Transport</w:t>
      </w:r>
      <w:r>
        <w:t xml:space="preserve"> </w:t>
      </w:r>
      <w:r>
        <w:t xml:space="preserve">operators</w:t>
      </w:r>
      <w:r>
        <w:t xml:space="preserve"> </w:t>
      </w:r>
      <w:r>
        <w:t xml:space="preserve">Costs</w:t>
      </w:r>
      <w:r>
        <w:t xml:space="preserve"> </w:t>
      </w:r>
      <w:r>
        <w:t xml:space="preserve">Transport operators will see their capital expenditures arise as the</w:t>
      </w:r>
      <w:r>
        <w:t xml:space="preserve"> </w:t>
      </w:r>
      <w:r>
        <w:t xml:space="preserve">purchase cost of more fuel-efficient vehicles, and especially ZEV, is</w:t>
      </w:r>
      <w:r>
        <w:t xml:space="preserve"> </w:t>
      </w:r>
      <w:r>
        <w:t xml:space="preserve">expected to be higher than conventional vehicles in the short term (and</w:t>
      </w:r>
      <w:r>
        <w:t xml:space="preserve"> </w:t>
      </w:r>
      <w:r>
        <w:t xml:space="preserve">these costs would be passed on from the manufacturer to the buyer).</w:t>
      </w:r>
      <w:r>
        <w:br/>
      </w:r>
      <w:r>
        <w:t xml:space="preserve">Benefits</w:t>
      </w:r>
      <w:r>
        <w:t xml:space="preserve"> </w:t>
      </w:r>
      <w:r>
        <w:t xml:space="preserve">Transport operators will benefit from lower operational costs.</w:t>
      </w:r>
      <w:r>
        <w:t xml:space="preserve"> </w:t>
      </w:r>
      <w:r>
        <w:t xml:space="preserve">Reducing CO2 emissions leads to lower fuel costs, especially for zero-</w:t>
      </w:r>
      <w:r>
        <w:t xml:space="preserve"> </w:t>
      </w:r>
      <w:r>
        <w:t xml:space="preserve">emission vehicles. In addition, ZEV maintenance costs are lower than</w:t>
      </w:r>
      <w:r>
        <w:t xml:space="preserve"> </w:t>
      </w:r>
      <w:r>
        <w:t xml:space="preserve">for conventional HDV. Over the vehicles’ lifetime, operational cost</w:t>
      </w:r>
      <w:r>
        <w:t xml:space="preserve"> </w:t>
      </w:r>
      <w:r>
        <w:t xml:space="preserve">savings compensate the higher upfront costs, lowering the total cost of</w:t>
      </w:r>
      <w:r>
        <w:t xml:space="preserve"> </w:t>
      </w:r>
      <w:r>
        <w:t xml:space="preserve">vehicle ownership (TCO).</w:t>
      </w:r>
    </w:p>
    <w:p>
      <w:pPr>
        <w:pStyle w:val="BodyText"/>
      </w:pPr>
      <w:r>
        <w:t xml:space="preserve">Vehicle</w:t>
      </w:r>
      <w:r>
        <w:t xml:space="preserve"> </w:t>
      </w:r>
      <w:r>
        <w:t xml:space="preserve">manufacturers</w:t>
      </w:r>
      <w:r>
        <w:br/>
      </w:r>
      <w:r>
        <w:t xml:space="preserve">Investment / manufacturing costs</w:t>
      </w:r>
      <w:r>
        <w:br/>
      </w:r>
      <w:r>
        <w:t xml:space="preserve">Vehicle manufacturers will be required to introduce technologies,</w:t>
      </w:r>
      <w:r>
        <w:t xml:space="preserve"> </w:t>
      </w:r>
      <w:r>
        <w:t xml:space="preserve">including zero-emission powertrains, to reduce CO2 emissions from</w:t>
      </w:r>
      <w:r>
        <w:t xml:space="preserve"> </w:t>
      </w:r>
      <w:r>
        <w:t xml:space="preserve">their vehicles. In the short term this is likely to result in increased</w:t>
      </w:r>
      <w:r>
        <w:t xml:space="preserve"> </w:t>
      </w:r>
      <w:r>
        <w:t xml:space="preserve">production costs and investment needs for production capacity and</w:t>
      </w:r>
      <w:r>
        <w:t xml:space="preserve"> </w:t>
      </w:r>
      <w:r>
        <w:t xml:space="preserve">new technologies.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Since ZEV demand is expected to increase worldwide as climate and</w:t>
      </w:r>
      <w:r>
        <w:t xml:space="preserve"> </w:t>
      </w:r>
      <w:r>
        <w:t xml:space="preserve">air quality policies develop and many jurisdictions introduce</w:t>
      </w:r>
      <w:r>
        <w:t xml:space="preserve"> </w:t>
      </w:r>
      <w:r>
        <w:t xml:space="preserve">ambitious emission standards, manufacturers in the EU will have an</w:t>
      </w:r>
      <w:r>
        <w:t xml:space="preserve"> </w:t>
      </w:r>
      <w:r>
        <w:t xml:space="preserve">opportunity to gain first mover advantage and the potential to sell</w:t>
      </w:r>
      <w:r>
        <w:t xml:space="preserve"> </w:t>
      </w:r>
      <w:r>
        <w:t xml:space="preserve">advanced vehicles in other markets. The revised regulatory framework</w:t>
      </w:r>
      <w:r>
        <w:t xml:space="preserve"> </w:t>
      </w:r>
      <w:r>
        <w:t xml:space="preserve">will help them to retain or even increase their global market presence</w:t>
      </w:r>
      <w:r>
        <w:br/>
      </w:r>
      <w:r>
        <w:t xml:space="preserve">Suppliers of</w:t>
      </w:r>
      <w:r>
        <w:t xml:space="preserve"> </w:t>
      </w:r>
      <w:r>
        <w:t xml:space="preserve">components</w:t>
      </w:r>
      <w:r>
        <w:t xml:space="preserve"> </w:t>
      </w:r>
      <w:r>
        <w:t xml:space="preserve">and materials</w:t>
      </w:r>
      <w:r>
        <w:br/>
      </w:r>
      <w:r>
        <w:t xml:space="preserve">Investment and R&amp;D</w:t>
      </w:r>
      <w:r>
        <w:br/>
      </w:r>
      <w:r>
        <w:t xml:space="preserve">Suppliers will be differently affected by changing demands depending</w:t>
      </w:r>
      <w:r>
        <w:t xml:space="preserve"> </w:t>
      </w:r>
      <w:r>
        <w:t xml:space="preserve">on their position in the supply chain and their ability to adapt to the</w:t>
      </w:r>
      <w:r>
        <w:t xml:space="preserve"> </w:t>
      </w:r>
      <w:r>
        <w:t xml:space="preserve">need for new powertrains and technologies. Suppliers of components</w:t>
      </w:r>
      <w:r>
        <w:t xml:space="preserve"> </w:t>
      </w:r>
      <w:r>
        <w:t xml:space="preserve">that are only used in conventional vehicles will have to adapt their</w:t>
      </w:r>
      <w:r>
        <w:t xml:space="preserve"> </w:t>
      </w:r>
      <w:r>
        <w:t xml:space="preserve">production by investing in new or modified production lines and in the</w:t>
      </w:r>
      <w:r>
        <w:t xml:space="preserve"> </w:t>
      </w:r>
      <w:r>
        <w:t xml:space="preserve">reskilling of their workforce. Suppliers of components of zero- and</w:t>
      </w:r>
      <w:r>
        <w:t xml:space="preserve"> </w:t>
      </w:r>
      <w:r>
        <w:t xml:space="preserve">low-emission technologies will have to invest in increased production</w:t>
      </w:r>
      <w:r>
        <w:t xml:space="preserve"> </w:t>
      </w:r>
      <w:r>
        <w:t xml:space="preserve">capacity and adaptation of the manufacturing processes, as well as in</w:t>
      </w:r>
      <w:r>
        <w:t xml:space="preserve"> </w:t>
      </w:r>
      <w:r>
        <w:t xml:space="preserve">research and development</w:t>
      </w:r>
      <w:r>
        <w:br/>
      </w:r>
      <w:r>
        <w:t xml:space="preserve">Benefits</w:t>
      </w:r>
      <w:r>
        <w:t xml:space="preserve"> </w:t>
      </w:r>
      <w:r>
        <w:t xml:space="preserve">Requirements leading to the uptake of ZEV may create new business</w:t>
      </w:r>
      <w:r>
        <w:t xml:space="preserve"> </w:t>
      </w:r>
      <w:r>
        <w:t xml:space="preserve">activity for current and new suppliers, since they are expected to</w:t>
      </w:r>
      <w:r>
        <w:t xml:space="preserve"> </w:t>
      </w:r>
      <w:r>
        <w:t xml:space="preserve">benefit from higher demand for advanced technologies.</w:t>
      </w:r>
      <w:r>
        <w:br/>
      </w:r>
      <w:r>
        <w:t xml:space="preserve">Workforce</w:t>
      </w:r>
      <w:r>
        <w:t xml:space="preserve"> </w:t>
      </w:r>
      <w:r>
        <w:t xml:space="preserve">Jobs losses may occur in areas related to conventional fuel supply due</w:t>
      </w:r>
      <w:r>
        <w:t xml:space="preserve"> </w:t>
      </w:r>
      <w:r>
        <w:t xml:space="preserve">to reduction in energy demand, including extraction, refining and</w:t>
      </w:r>
      <w:r>
        <w:t xml:space="preserve"> </w:t>
      </w:r>
      <w:r>
        <w:t xml:space="preserve">supply of crude petroleum and its products, as well as in the</w:t>
      </w:r>
      <w:r>
        <w:t xml:space="preserve"> </w:t>
      </w:r>
      <w:r>
        <w:t xml:space="preserve">manufacturing of conventional powertrains, as internal combustion</w:t>
      </w:r>
      <w:r>
        <w:t xml:space="preserve"> </w:t>
      </w:r>
      <w:r>
        <w:t xml:space="preserve">engines. The uptake of ZEVs will lower demand for vehicle engines</w:t>
      </w:r>
      <w:r>
        <w:t xml:space="preserve"> </w:t>
      </w:r>
      <w:r>
        <w:t xml:space="preserve">maintenance which will negatively affect related repairing and</w:t>
      </w:r>
      <w:r>
        <w:t xml:space="preserve"> </w:t>
      </w:r>
      <w:r>
        <w:t xml:space="preserve">maintenance businesses.</w:t>
      </w:r>
      <w:r>
        <w:t xml:space="preserve"> </w:t>
      </w:r>
      <w:r>
        <w:t xml:space="preserve">The need for reskilling and upskilling to provide future employees</w:t>
      </w:r>
      <w:r>
        <w:t xml:space="preserve"> </w:t>
      </w:r>
      <w:r>
        <w:t xml:space="preserve">with a set of skills needed for the larger scale deployment of ZEV and</w:t>
      </w:r>
      <w:r>
        <w:t xml:space="preserve"> </w:t>
      </w:r>
      <w:r>
        <w:t xml:space="preserve">innovative fuel-saving technologies is of great importance</w:t>
      </w:r>
      <w:r>
        <w:br/>
      </w:r>
      <w:r>
        <w:t xml:space="preserve">New job opportunities will arise for power and hydrogen sectors,</w:t>
      </w:r>
      <w:r>
        <w:t xml:space="preserve"> </w:t>
      </w:r>
      <w:r>
        <w:t xml:space="preserve">innovative vehicles components (such as batteries and fuel cells, and</w:t>
      </w:r>
      <w:r>
        <w:t xml:space="preserve"> </w:t>
      </w:r>
      <w:r>
        <w:t xml:space="preserve">the general expansion of the automotive value chain to new sectors</w:t>
      </w:r>
      <w:r>
        <w:t xml:space="preserve"> </w:t>
      </w:r>
      <w:r>
        <w:t xml:space="preserve">(electronics, electrical equipment in general, software, etc.)</w:t>
      </w:r>
      <w:r>
        <w:t xml:space="preserve"> </w:t>
      </w:r>
      <w:r>
        <w:t xml:space="preserve">Suppliers of</w:t>
      </w:r>
      <w:r>
        <w:t xml:space="preserve"> </w:t>
      </w:r>
      <w:r>
        <w:t xml:space="preserve">fuels and</w:t>
      </w:r>
      <w:r>
        <w:t xml:space="preserve"> </w:t>
      </w:r>
      <w:r>
        <w:t xml:space="preserve">energy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Conventional fuel suppliers will notice a reduced demand leading to</w:t>
      </w:r>
      <w:r>
        <w:t xml:space="preserve"> </w:t>
      </w:r>
      <w:r>
        <w:t xml:space="preserve">less utilisation of existing infrastructure and possible decrease in</w:t>
      </w:r>
      <w:r>
        <w:t xml:space="preserve"> </w:t>
      </w:r>
      <w:r>
        <w:t xml:space="preserve">revenues. The shift to zero emission will require them to to adapt the</w:t>
      </w:r>
      <w:r>
        <w:t xml:space="preserve"> </w:t>
      </w:r>
      <w:r>
        <w:t xml:space="preserve">refuelling infrastructure.</w:t>
      </w:r>
      <w:r>
        <w:br/>
      </w:r>
      <w:r>
        <w:t xml:space="preserve">Investment needs in new infrastructure</w:t>
      </w:r>
      <w:r>
        <w:t xml:space="preserve"> </w:t>
      </w:r>
      <w:r>
        <w:t xml:space="preserve">The need for investing in refuelling and recharging infrastructure and</w:t>
      </w:r>
      <w:r>
        <w:t xml:space="preserve"> </w:t>
      </w:r>
      <w:r>
        <w:t xml:space="preserve">smart grids will make energy suppliers/grid operators to invest into</w:t>
      </w:r>
      <w:r>
        <w:t xml:space="preserve"> </w:t>
      </w:r>
      <w:r>
        <w:t xml:space="preserve">grid expansion and innovative technologies to cope with increased</w:t>
      </w:r>
      <w:r>
        <w:t xml:space="preserve"> </w:t>
      </w:r>
      <w:r>
        <w:t xml:space="preserve">demand from ZEV.</w:t>
      </w:r>
      <w:r>
        <w:t xml:space="preserve"> </w:t>
      </w:r>
      <w:r>
        <w:t xml:space="preserve">Benefits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There will be new business opportunities for suppliers of electricity</w:t>
      </w:r>
      <w:r>
        <w:t xml:space="preserve"> </w:t>
      </w:r>
      <w:r>
        <w:t xml:space="preserve">and hydrogen as a result of the increased demand for such energy</w:t>
      </w:r>
      <w:r>
        <w:t xml:space="preserve"> </w:t>
      </w:r>
      <w:r>
        <w:t xml:space="preserve">sources.</w:t>
      </w:r>
      <w:r>
        <w:t xml:space="preserve"> </w:t>
      </w:r>
      <w:r>
        <w:t xml:space="preserve">Other users of</w:t>
      </w:r>
      <w:r>
        <w:t xml:space="preserve"> </w:t>
      </w:r>
      <w:r>
        <w:t xml:space="preserve">fuel and oil-</w:t>
      </w:r>
      <w:r>
        <w:t xml:space="preserve"> </w:t>
      </w:r>
      <w:r>
        <w:t xml:space="preserve">related</w:t>
      </w:r>
      <w:r>
        <w:t xml:space="preserve"> </w:t>
      </w:r>
      <w:r>
        <w:t xml:space="preserve">products</w:t>
      </w:r>
      <w:r>
        <w:t xml:space="preserve"> </w:t>
      </w:r>
      <w:r>
        <w:t xml:space="preserve">Benefits from reduced oil prices</w:t>
      </w:r>
      <w:r>
        <w:t xml:space="preserve"> </w:t>
      </w:r>
      <w:r>
        <w:t xml:space="preserve">Sectors other than road transport that emit GHGs (e.g. industry,</w:t>
      </w:r>
      <w:r>
        <w:t xml:space="preserve"> </w:t>
      </w:r>
      <w:r>
        <w:t xml:space="preserve">heating) products are expected to benefit from lower energy prices if</w:t>
      </w:r>
      <w:r>
        <w:t xml:space="preserve"> </w:t>
      </w:r>
      <w:r>
        <w:t xml:space="preserve">demand from the transport sector decreases. This will be important for</w:t>
      </w:r>
      <w:r>
        <w:t xml:space="preserve"> </w:t>
      </w:r>
      <w:r>
        <w:t xml:space="preserve">their competitiveness.</w:t>
      </w:r>
    </w:p>
    <w:p>
      <w:pPr>
        <w:pStyle w:val="BodyText"/>
      </w:pPr>
      <w:r>
        <w:t xml:space="preserve">SENSITIVE</w:t>
      </w:r>
    </w:p>
    <w:p>
      <w:pPr>
        <w:pStyle w:val="BodyText"/>
      </w:pPr>
      <w:r>
        <w:t xml:space="preserve">1.13. 12.2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</w:p>
    <w:p>
      <w:pPr>
        <w:pStyle w:val="BodyText"/>
      </w:pPr>
      <w:r>
        <w:t xml:space="preserve">Reducing CO2 emissions from</w:t>
      </w:r>
      <w:r>
        <w:t xml:space="preserve"> </w:t>
      </w:r>
      <w:r>
        <w:t xml:space="preserve">HDV cost-effectively, in line with</w:t>
      </w:r>
      <w:r>
        <w:t xml:space="preserve"> </w:t>
      </w:r>
      <w:r>
        <w:t xml:space="preserve">the EU climate goals while</w:t>
      </w:r>
      <w:r>
        <w:t xml:space="preserve"> </w:t>
      </w:r>
      <w:r>
        <w:t xml:space="preserve">contributing to improve EU energy</w:t>
      </w:r>
      <w:r>
        <w:t xml:space="preserve"> </w:t>
      </w:r>
      <w:r>
        <w:t xml:space="preserve">security.</w:t>
      </w:r>
    </w:p>
    <w:p>
      <w:pPr>
        <w:pStyle w:val="BodyText"/>
      </w:pPr>
      <w:r>
        <w:t xml:space="preserve">CO2 emissions</w:t>
      </w:r>
      <w:r>
        <w:t xml:space="preserve"> </w:t>
      </w:r>
      <w:r>
        <w:t xml:space="preserve">CO2 (tailpipe) emissions from heavy-duty motor vehicles, lorries, buses and coaches, are projected to</w:t>
      </w:r>
      <w:r>
        <w:t xml:space="preserve"> </w:t>
      </w:r>
      <w:r>
        <w:t xml:space="preserve">decrease by around 730-996 Mton between 2031 and 2050, representing 35%-48% reduction compared to the</w:t>
      </w:r>
      <w:r>
        <w:t xml:space="preserve"> </w:t>
      </w:r>
      <w:r>
        <w:t xml:space="preserve">baseline scenario.</w:t>
      </w:r>
      <w:r>
        <w:br/>
      </w:r>
      <w:r>
        <w:t xml:space="preserve">On trailers and semi-trailers, the energy efficiency standards are expected to reduce cumulative tailpipe CO2</w:t>
      </w:r>
      <w:r>
        <w:t xml:space="preserve"> </w:t>
      </w:r>
      <w:r>
        <w:t xml:space="preserve">emissions by nearly 45 Mton between 2031 and 2050 compared to medium scenario. This represents 1.9% of</w:t>
      </w:r>
      <w:r>
        <w:t xml:space="preserve"> </w:t>
      </w:r>
      <w:r>
        <w:t xml:space="preserve">CO2 emissions reduction of the vehicle groups 4, 5, 9 and 10 or about 1.4% over HDV total.</w:t>
      </w:r>
      <w:r>
        <w:t xml:space="preserve"> </w:t>
      </w:r>
      <w:r>
        <w:t xml:space="preserve">Setting a zero-emission mandate by 2030 for urban buses would save additional 9 Mton of CO2 between 2031</w:t>
      </w:r>
      <w:r>
        <w:t xml:space="preserve"> </w:t>
      </w:r>
      <w:r>
        <w:t xml:space="preserve">and 2050, as compared to the medium ambition scenario, which is equal to almost half of the emissions of the</w:t>
      </w:r>
      <w:r>
        <w:t xml:space="preserve"> </w:t>
      </w:r>
      <w:r>
        <w:t xml:space="preserve">regulated buses sector.</w:t>
      </w:r>
      <w:r>
        <w:br/>
      </w:r>
      <w:r>
        <w:t xml:space="preserve">Contribution to EU energy security</w:t>
      </w:r>
      <w:r>
        <w:t xml:space="preserve"> </w:t>
      </w:r>
      <w:r>
        <w:t xml:space="preserve">Demand of fossil fuels (mostly oil products as diesel) from lorries, buses and coaches is expected to decrease</w:t>
      </w:r>
      <w:r>
        <w:t xml:space="preserve"> </w:t>
      </w:r>
      <w:r>
        <w:t xml:space="preserve">by 215-281 Mtoe over the period 2031 to 2050 as compared to baseline and additionally about 23 Mtoe over</w:t>
      </w:r>
      <w:r>
        <w:t xml:space="preserve"> </w:t>
      </w:r>
      <w:r>
        <w:t xml:space="preserve">the period 2031 to 2050 from setting energy efficiency standards for trailers, as compared to the medium</w:t>
      </w:r>
      <w:r>
        <w:t xml:space="preserve"> </w:t>
      </w:r>
      <w:r>
        <w:t xml:space="preserve">ambition scenario. This is equivalent to, respectively, around €150-200 bn from motor vehicles and additional</w:t>
      </w:r>
      <w:r>
        <w:t xml:space="preserve"> </w:t>
      </w:r>
      <w:r>
        <w:t xml:space="preserve">€16 bn from setting energy efficiency standards for trailers, at current oil prices (95 EUR / Brent barrel).</w:t>
      </w:r>
      <w:r>
        <w:t xml:space="preserve"> </w:t>
      </w:r>
      <w:r>
        <w:t xml:space="preserve">Reduction of energy demand</w:t>
      </w:r>
      <w:r>
        <w:t xml:space="preserve"> </w:t>
      </w:r>
      <w:r>
        <w:t xml:space="preserve">Final energy demand from lorries, buses and coaches is expected to decrease by nearly 131-220 Mtoe over the</w:t>
      </w:r>
      <w:r>
        <w:t xml:space="preserve"> </w:t>
      </w:r>
      <w:r>
        <w:t xml:space="preserve">period 2031-2050. The cumulative expected reduction by 2050 represents savings of 11-19% with respect to</w:t>
      </w:r>
      <w:r>
        <w:t xml:space="preserve"> </w:t>
      </w:r>
      <w:r>
        <w:t xml:space="preserve">baseline scenario. Additionally, nearly 42 Mtoe will be saved by more energy efficient trailers during 2031-</w:t>
      </w:r>
      <w:r>
        <w:t xml:space="preserve"> </w:t>
      </w:r>
      <w:r>
        <w:t xml:space="preserve">2050 compared to the medium ambition scenario, equivalent to about 3.7% of CO2 emissions reduction of the</w:t>
      </w:r>
      <w:r>
        <w:t xml:space="preserve"> </w:t>
      </w:r>
      <w:r>
        <w:t xml:space="preserve">vehicle groups 4, 5, 9 and 10 or about 2.7% over HDV total.</w:t>
      </w:r>
      <w:r>
        <w:t xml:space="preserve"> </w:t>
      </w:r>
      <w:r>
        <w:t xml:space="preserve">By</w:t>
      </w:r>
      <w:r>
        <w:t xml:space="preserve"> </w:t>
      </w:r>
      <w:r>
        <w:t xml:space="preserve">reducing</w:t>
      </w:r>
      <w:r>
        <w:t xml:space="preserve"> </w:t>
      </w:r>
      <w:r>
        <w:t xml:space="preserve">CO2</w:t>
      </w:r>
      <w:r>
        <w:t xml:space="preserve"> </w:t>
      </w:r>
      <w:r>
        <w:t xml:space="preserve">emissions, the revised</w:t>
      </w:r>
      <w:r>
        <w:t xml:space="preserve"> </w:t>
      </w:r>
      <w:r>
        <w:t xml:space="preserve">HDV Regulation will</w:t>
      </w:r>
      <w:r>
        <w:t xml:space="preserve"> </w:t>
      </w:r>
      <w:r>
        <w:t xml:space="preserve">directly contribute to</w:t>
      </w:r>
      <w:r>
        <w:t xml:space="preserve"> </w:t>
      </w:r>
      <w:r>
        <w:t xml:space="preserve">meeting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climate target goals</w:t>
      </w:r>
      <w:r>
        <w:t xml:space="preserve"> </w:t>
      </w:r>
      <w:r>
        <w:t xml:space="preserve">both for 2030 and</w:t>
      </w:r>
      <w:r>
        <w:t xml:space="preserve"> </w:t>
      </w:r>
      <w:r>
        <w:t xml:space="preserve">2050.</w:t>
      </w:r>
      <w:r>
        <w:t xml:space="preserve"> </w:t>
      </w:r>
      <w:r>
        <w:t xml:space="preserve">Main</w:t>
      </w:r>
      <w:r>
        <w:t xml:space="preserve"> </w:t>
      </w:r>
      <w:r>
        <w:t xml:space="preserve">beneficiaries</w:t>
      </w:r>
      <w:r>
        <w:t xml:space="preserve"> </w:t>
      </w:r>
      <w:r>
        <w:t xml:space="preserve">are</w:t>
      </w:r>
      <w:r>
        <w:t xml:space="preserve"> </w:t>
      </w:r>
      <w:r>
        <w:t xml:space="preserve">society overall</w:t>
      </w:r>
    </w:p>
    <w:p>
      <w:pPr>
        <w:pStyle w:val="BodyText"/>
      </w:pPr>
      <w:r>
        <w:t xml:space="preserve">Energy security of the</w:t>
      </w:r>
      <w:r>
        <w:t xml:space="preserve"> </w:t>
      </w:r>
      <w:r>
        <w:t xml:space="preserve">EU will improve, as</w:t>
      </w:r>
      <w:r>
        <w:t xml:space="preserve"> </w:t>
      </w:r>
      <w:r>
        <w:t xml:space="preserve">the import of fossil</w:t>
      </w:r>
      <w:r>
        <w:t xml:space="preserve"> </w:t>
      </w:r>
      <w:r>
        <w:t xml:space="preserve">fuels</w:t>
      </w:r>
      <w:r>
        <w:t xml:space="preserve"> </w:t>
      </w:r>
      <w:r>
        <w:t xml:space="preserve">will</w:t>
      </w:r>
      <w:r>
        <w:t xml:space="preserve"> </w:t>
      </w:r>
      <w:r>
        <w:t xml:space="preserve">decrease</w:t>
      </w:r>
      <w:r>
        <w:t xml:space="preserve"> </w:t>
      </w:r>
      <w:r>
        <w:t xml:space="preserve">with</w:t>
      </w:r>
      <w:r>
        <w:t xml:space="preserve"> </w:t>
      </w:r>
      <w:r>
        <w:t xml:space="preserve">lower</w:t>
      </w:r>
      <w:r>
        <w:t xml:space="preserve"> </w:t>
      </w:r>
      <w:r>
        <w:t xml:space="preserve">fuel</w:t>
      </w:r>
      <w:r>
        <w:t xml:space="preserve"> </w:t>
      </w:r>
      <w:r>
        <w:t xml:space="preserve">consumption.</w:t>
      </w:r>
      <w:r>
        <w:t xml:space="preserve"> </w:t>
      </w:r>
      <w:r>
        <w:t xml:space="preserve">Benefits for European transport</w:t>
      </w:r>
      <w:r>
        <w:t xml:space="preserve"> </w:t>
      </w:r>
      <w:r>
        <w:t xml:space="preserve">operators and users from a wider</w:t>
      </w:r>
      <w:r>
        <w:t xml:space="preserve"> </w:t>
      </w:r>
      <w:r>
        <w:t xml:space="preserve">deployment</w:t>
      </w:r>
      <w:r>
        <w:t xml:space="preserve"> </w:t>
      </w:r>
      <w:r>
        <w:t xml:space="preserve">of</w:t>
      </w:r>
      <w:r>
        <w:t xml:space="preserve"> </w:t>
      </w:r>
      <w:r>
        <w:t xml:space="preserve">more</w:t>
      </w:r>
      <w:r>
        <w:t xml:space="preserve"> </w:t>
      </w:r>
      <w:r>
        <w:t xml:space="preserve">energy-</w:t>
      </w:r>
      <w:r>
        <w:t xml:space="preserve"> </w:t>
      </w:r>
      <w:r>
        <w:t xml:space="preserve">efficient vehicles: improvements in</w:t>
      </w:r>
      <w:r>
        <w:t xml:space="preserve"> </w:t>
      </w:r>
      <w:r>
        <w:t xml:space="preserve">Net economic savings</w:t>
      </w:r>
      <w:r>
        <w:t xml:space="preserve"> </w:t>
      </w:r>
      <w:r>
        <w:t xml:space="preserve">Net economic savings for motor vehicles from different perspectives are calculated as the difference, between</w:t>
      </w:r>
      <w:r>
        <w:t xml:space="preserve"> </w:t>
      </w:r>
      <w:r>
        <w:t xml:space="preserve">the policy options and the baseline, of the total costs, averaged over the new EU vehicle fleet of lorries, buses</w:t>
      </w:r>
      <w:r>
        <w:t xml:space="preserve"> </w:t>
      </w:r>
      <w:r>
        <w:t xml:space="preserve">The</w:t>
      </w:r>
      <w:r>
        <w:t xml:space="preserve"> </w:t>
      </w:r>
      <w:r>
        <w:t xml:space="preserve">deployment</w:t>
      </w:r>
      <w:r>
        <w:t xml:space="preserve"> </w:t>
      </w:r>
      <w:r>
        <w:t xml:space="preserve">of</w:t>
      </w:r>
      <w:r>
        <w:t xml:space="preserve"> </w:t>
      </w:r>
      <w:r>
        <w:t xml:space="preserve">energy-efficient</w:t>
      </w:r>
      <w:r>
        <w:t xml:space="preserve"> </w:t>
      </w:r>
      <w:r>
        <w:t xml:space="preserve">vehicles,</w:t>
      </w:r>
      <w:r>
        <w:t xml:space="preserve"> </w:t>
      </w:r>
      <w:r>
        <w:t xml:space="preserve">including</w:t>
      </w:r>
      <w:r>
        <w:t xml:space="preserve"> </w:t>
      </w:r>
      <w:r>
        <w:t xml:space="preserve">zero-emission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42</w:t>
      </w:r>
    </w:p>
    <w:p>
      <w:pPr>
        <w:pStyle w:val="BodyText"/>
      </w:pPr>
      <w:r>
        <w:t xml:space="preserve">fuel savings from reduction in</w:t>
      </w:r>
      <w:r>
        <w:t xml:space="preserve"> </w:t>
      </w:r>
      <w:r>
        <w:t xml:space="preserve">energy consumption and in air</w:t>
      </w:r>
      <w:r>
        <w:t xml:space="preserve"> </w:t>
      </w:r>
      <w:r>
        <w:t xml:space="preserve">quality</w:t>
      </w:r>
    </w:p>
    <w:p>
      <w:pPr>
        <w:pStyle w:val="BodyText"/>
      </w:pPr>
      <w:r>
        <w:t xml:space="preserve">and coaches registered in 2030, 2035 or 2040. The total costs include the capital costs, the fuel or energy carrier</w:t>
      </w:r>
      <w:r>
        <w:t xml:space="preserve"> </w:t>
      </w:r>
      <w:r>
        <w:t xml:space="preserve">costs and the operation and maintenance (O&amp;M) costs of the vehicles. For the societal perspective, they also</w:t>
      </w:r>
      <w:r>
        <w:t xml:space="preserve"> </w:t>
      </w:r>
      <w:r>
        <w:t xml:space="preserve">include the external cost of CO2 emissions15. The end-user perspective is presented for the first user (first 5</w:t>
      </w:r>
      <w:r>
        <w:t xml:space="preserve"> </w:t>
      </w:r>
      <w:r>
        <w:t xml:space="preserve">years after first registeration), the second user (years 6-10) and the third user (years 11-15).</w:t>
      </w:r>
      <w:r>
        <w:t xml:space="preserve"> </w:t>
      </w:r>
      <w:r>
        <w:t xml:space="preserve">TCO (total cost of ownership) for first users of new HDV show the following economic savings ranges: 6 000</w:t>
      </w:r>
      <w:r>
        <w:t xml:space="preserve"> </w:t>
      </w:r>
      <w:r>
        <w:t xml:space="preserve">- 9 800; 17 400 - 25 800 and 29 100 - 47 000 EUR/vehicle in 2030, 2035 and 2040.</w:t>
      </w:r>
      <w:r>
        <w:br/>
      </w:r>
      <w:r>
        <w:t xml:space="preserve">TCO for second users and third users of new HDV shows similar trends, with smaller benefits. Achieved</w:t>
      </w:r>
      <w:r>
        <w:t xml:space="preserve"> </w:t>
      </w:r>
      <w:r>
        <w:t xml:space="preserve">savings for second users equal to the ranges 5 900 - 10 900; 15 200 - 22 800 and 20 500 - 31 400 EUR/vehicle</w:t>
      </w:r>
      <w:r>
        <w:t xml:space="preserve"> </w:t>
      </w:r>
      <w:r>
        <w:t xml:space="preserve">in 2030, 2035 and 2040, while for third users are 5 800 - 9 400; 11 000 - 15 100 and 12 200 - 17 100</w:t>
      </w:r>
      <w:r>
        <w:t xml:space="preserve"> </w:t>
      </w:r>
      <w:r>
        <w:t xml:space="preserve">EUR/vehicle in 2030, 2035 and 2040.</w:t>
      </w:r>
      <w:r>
        <w:t xml:space="preserve"> </w:t>
      </w:r>
      <w:r>
        <w:t xml:space="preserve">Net economic savings from a societal perspective over the vehicle lifetime for the average HDV amount to the</w:t>
      </w:r>
      <w:r>
        <w:t xml:space="preserve"> </w:t>
      </w:r>
      <w:r>
        <w:t xml:space="preserve">ranges 2 400 - 6 300; 18 300 - 31 900 and 33 700 - 59 800 EUR/vehicle in 2030, 2035 and 2040.</w:t>
      </w:r>
      <w:r>
        <w:t xml:space="preserve"> </w:t>
      </w:r>
      <w:r>
        <w:t xml:space="preserve">Net economic savings from reduction in energy consumption in trailers and semi-trailers</w:t>
      </w:r>
      <w:r>
        <w:t xml:space="preserve"> </w:t>
      </w:r>
      <w:r>
        <w:t xml:space="preserve">Net economic savings for trailers and semi-trailers from different perspectives are calculated as the difference,</w:t>
      </w:r>
      <w:r>
        <w:t xml:space="preserve"> </w:t>
      </w:r>
      <w:r>
        <w:t xml:space="preserve">between the policy options and the baseline, of the total costs, averaged over the new EU vehicle fleet of</w:t>
      </w:r>
      <w:r>
        <w:t xml:space="preserve"> </w:t>
      </w:r>
      <w:r>
        <w:t xml:space="preserve">trailers and semi-trailers registered in 2030 compared to a 2020 baseline trailer.</w:t>
      </w:r>
      <w:r>
        <w:t xml:space="preserve"> </w:t>
      </w:r>
      <w:r>
        <w:t xml:space="preserve">TCO for first users of new trailers registered in 2030 show savings ranging from nearly EUR 9 000 for reefer</w:t>
      </w:r>
      <w:r>
        <w:t xml:space="preserve"> </w:t>
      </w:r>
      <w:r>
        <w:t xml:space="preserve">drawbar trailers to EUR 29 000 semi-trailer with box body.</w:t>
      </w:r>
      <w:r>
        <w:t xml:space="preserve"> </w:t>
      </w:r>
      <w:r>
        <w:t xml:space="preserve">Net economic savings over the vehicle lifetime from a societal perspective scale up from nearly EUR 11 500</w:t>
      </w:r>
      <w:r>
        <w:t xml:space="preserve"> </w:t>
      </w:r>
      <w:r>
        <w:t xml:space="preserve">in the case of reefer drawbar trailers to over EUR 42 500 from an average semi-trailer with box body.</w:t>
      </w:r>
      <w:r>
        <w:t xml:space="preserve"> </w:t>
      </w:r>
      <w:r>
        <w:t xml:space="preserve">Net economic savings from reduction in energy consumption in buses</w:t>
      </w:r>
      <w:r>
        <w:t xml:space="preserve"> </w:t>
      </w:r>
      <w:r>
        <w:t xml:space="preserve">Net economic savings from setting a 100% mandate for new urban buses by 2030 for 1st, 2nd and 3rd owners</w:t>
      </w:r>
      <w:r>
        <w:t xml:space="preserve"> </w:t>
      </w:r>
      <w:r>
        <w:t xml:space="preserve">are positive and respectively around 21 500, 20 000 and 17 000 EUR higher than for the medium ambition</w:t>
      </w:r>
      <w:r>
        <w:t xml:space="preserve"> </w:t>
      </w:r>
      <w:r>
        <w:t xml:space="preserve">scenario. From a societal perspective, the additional average saving brings an additional benefit of 37 000 EUR</w:t>
      </w:r>
      <w:r>
        <w:t xml:space="preserve"> </w:t>
      </w:r>
      <w:r>
        <w:t xml:space="preserve">per regulated bus in the 2030 new fleet.</w:t>
      </w:r>
      <w:r>
        <w:t xml:space="preserve"> </w:t>
      </w:r>
      <w:r>
        <w:t xml:space="preserve">Air quality impoovements</w:t>
      </w:r>
      <w:r>
        <w:t xml:space="preserve"> </w:t>
      </w:r>
      <w:r>
        <w:t xml:space="preserve">vehicles, will provide</w:t>
      </w:r>
      <w:r>
        <w:t xml:space="preserve"> </w:t>
      </w:r>
      <w:r>
        <w:t xml:space="preserve">energy-related</w:t>
      </w:r>
      <w:r>
        <w:t xml:space="preserve"> </w:t>
      </w:r>
      <w:r>
        <w:t xml:space="preserve">benefits.</w:t>
      </w:r>
      <w:r>
        <w:t xml:space="preserve"> </w:t>
      </w:r>
      <w:r>
        <w:t xml:space="preserve">Transport</w:t>
      </w:r>
      <w:r>
        <w:t xml:space="preserve"> </w:t>
      </w:r>
      <w:r>
        <w:t xml:space="preserve">operators</w:t>
      </w:r>
      <w:r>
        <w:t xml:space="preserve"> </w:t>
      </w:r>
      <w:r>
        <w:t xml:space="preserve">and</w:t>
      </w:r>
      <w:r>
        <w:t xml:space="preserve"> </w:t>
      </w:r>
      <w:r>
        <w:t xml:space="preserve">passengers</w:t>
      </w:r>
      <w:r>
        <w:t xml:space="preserve"> </w:t>
      </w:r>
      <w:r>
        <w:t xml:space="preserve">will</w:t>
      </w:r>
      <w:r>
        <w:t xml:space="preserve"> </w:t>
      </w:r>
      <w:r>
        <w:t xml:space="preserve">get</w:t>
      </w:r>
      <w:r>
        <w:t xml:space="preserve"> </w:t>
      </w:r>
      <w:r>
        <w:t xml:space="preserve">lower</w:t>
      </w:r>
      <w:r>
        <w:t xml:space="preserve"> </w:t>
      </w:r>
      <w:r>
        <w:t xml:space="preserve">energy</w:t>
      </w:r>
      <w:r>
        <w:t xml:space="preserve"> </w:t>
      </w:r>
      <w:r>
        <w:t xml:space="preserve">bills.</w:t>
      </w:r>
      <w:r>
        <w:t xml:space="preserve"> </w:t>
      </w:r>
      <w:r>
        <w:t xml:space="preserve">Consumers</w:t>
      </w:r>
      <w:r>
        <w:t xml:space="preserve"> </w:t>
      </w:r>
      <w:r>
        <w:t xml:space="preserve">will get</w:t>
      </w:r>
      <w:r>
        <w:t xml:space="preserve"> </w:t>
      </w:r>
      <w:r>
        <w:t xml:space="preserve">indirect benefits too</w:t>
      </w:r>
      <w:r>
        <w:t xml:space="preserve"> </w:t>
      </w:r>
      <w:r>
        <w:t xml:space="preserve">through</w:t>
      </w:r>
      <w:r>
        <w:t xml:space="preserve"> </w:t>
      </w:r>
      <w:r>
        <w:t xml:space="preserve">reduced</w:t>
      </w:r>
      <w:r>
        <w:t xml:space="preserve"> </w:t>
      </w:r>
      <w:r>
        <w:t xml:space="preserve">transportation costs as</w:t>
      </w:r>
      <w:r>
        <w:t xml:space="preserve"> </w:t>
      </w:r>
      <w:r>
        <w:t xml:space="preserve">a result of lower fuel</w:t>
      </w:r>
      <w:r>
        <w:t xml:space="preserve"> </w:t>
      </w:r>
      <w:r>
        <w:t xml:space="preserve">expenditures by the</w:t>
      </w:r>
      <w:r>
        <w:t xml:space="preserve"> </w:t>
      </w:r>
      <w:r>
        <w:t xml:space="preserve">transport operators.</w:t>
      </w:r>
    </w:p>
    <w:p>
      <w:pPr>
        <w:pStyle w:val="BodyText"/>
      </w:pPr>
      <w:r>
        <w:t xml:space="preserve">15 Based on “Handbook on the external costs of transport – Version 2019 – 1.1 (CE Delft) - https://op.europa.eu/en/publication-detail/-/publication/9781f65f-8448-11ea-bf12-</w:t>
      </w:r>
      <w:r>
        <w:t xml:space="preserve"> </w:t>
      </w:r>
      <w:r>
        <w:t xml:space="preserve">01aa75ed71a1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43</w:t>
      </w:r>
    </w:p>
    <w:p>
      <w:pPr>
        <w:pStyle w:val="BodyText"/>
      </w:pPr>
      <w:r>
        <w:t xml:space="preserve">A higher share of ZEVs will reduce the emission of air pollutants. Emissions of CO, NOx, PM2.5 and SO2</w:t>
      </w:r>
      <w:r>
        <w:t xml:space="preserve"> </w:t>
      </w:r>
      <w:r>
        <w:t xml:space="preserve">from heavy duty vehicles are expected to decrease by 7 to 17% in 2035, by 15% to around 38% in 2040 and by</w:t>
      </w:r>
      <w:r>
        <w:t xml:space="preserve"> </w:t>
      </w:r>
      <w:r>
        <w:t xml:space="preserve">66 to 80% in 2050, compared to the baseline. Additional savings of air pollutants, in particular in urban areas,</w:t>
      </w:r>
      <w:r>
        <w:t xml:space="preserve"> </w:t>
      </w:r>
      <w:r>
        <w:t xml:space="preserve">would appear also from setting a zero-emission mandate for urban buses.</w:t>
      </w:r>
      <w:r>
        <w:t xml:space="preserve"> </w:t>
      </w:r>
      <w:r>
        <w:t xml:space="preserve">Overall costs and benefits of the most relevant combinations of options</w:t>
      </w:r>
      <w:r>
        <w:t xml:space="preserve"> </w:t>
      </w:r>
      <w:r>
        <w:t xml:space="preserve">When applied to the extended scope, TL_Low, TL_Med and TL_High show an overall benefit of</w:t>
      </w:r>
      <w:r>
        <w:t xml:space="preserve"> </w:t>
      </w:r>
      <w:r>
        <w:t xml:space="preserve">approximatively EUR 136, 161 and 199 billion. Setting an additional 100% mandate for regulated buses in</w:t>
      </w:r>
      <w:r>
        <w:t xml:space="preserve"> </w:t>
      </w:r>
      <w:r>
        <w:t xml:space="preserve">2030 would increase such benefits by EUR 4 and 1 billion, in TL_Med and TL_High respectively.</w:t>
      </w:r>
      <w:r>
        <w:t xml:space="preserve"> </w:t>
      </w:r>
      <w:r>
        <w:t xml:space="preserve">Technological</w:t>
      </w:r>
      <w:r>
        <w:t xml:space="preserve"> </w:t>
      </w:r>
      <w:r>
        <w:t xml:space="preserve">and</w:t>
      </w:r>
      <w:r>
        <w:t xml:space="preserve"> </w:t>
      </w:r>
      <w:r>
        <w:t xml:space="preserve">innovation</w:t>
      </w:r>
      <w:r>
        <w:t xml:space="preserve"> </w:t>
      </w:r>
      <w:r>
        <w:t xml:space="preserve">leadership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industry</w:t>
      </w:r>
      <w:r>
        <w:t xml:space="preserve"> </w:t>
      </w:r>
      <w:r>
        <w:t xml:space="preserve">strengthening</w:t>
      </w:r>
      <w:r>
        <w:t xml:space="preserve"> </w:t>
      </w:r>
      <w:r>
        <w:t xml:space="preserve">by</w:t>
      </w:r>
      <w:r>
        <w:t xml:space="preserve"> </w:t>
      </w:r>
      <w:r>
        <w:t xml:space="preserve">channelling</w:t>
      </w:r>
      <w:r>
        <w:t xml:space="preserve"> </w:t>
      </w:r>
      <w:r>
        <w:t xml:space="preserve">investments</w:t>
      </w:r>
      <w:r>
        <w:t xml:space="preserve"> </w:t>
      </w:r>
      <w:r>
        <w:t xml:space="preserve">into</w:t>
      </w:r>
      <w:r>
        <w:t xml:space="preserve"> </w:t>
      </w:r>
      <w:r>
        <w:t xml:space="preserve">zero-emission</w:t>
      </w:r>
      <w:r>
        <w:t xml:space="preserve"> </w:t>
      </w:r>
      <w:r>
        <w:t xml:space="preserve">technologies.</w:t>
      </w:r>
    </w:p>
    <w:p>
      <w:pPr>
        <w:pStyle w:val="BodyText"/>
      </w:pPr>
      <w:r>
        <w:t xml:space="preserve">Stricter CO2 target levels are expected to drive the development and supply of zero-emission technologies,</w:t>
      </w:r>
      <w:r>
        <w:t xml:space="preserve"> </w:t>
      </w:r>
      <w:r>
        <w:t xml:space="preserve">leading to a positive impact on innovation and industry’s technological leadership and competitiveness. ZEV</w:t>
      </w:r>
      <w:r>
        <w:t xml:space="preserve"> </w:t>
      </w:r>
      <w:r>
        <w:t xml:space="preserve">shares will raise to around (%) 20-35, 35-57 and 57-100 by 2030, 2035 and 2040 respectively.</w:t>
      </w:r>
      <w:r>
        <w:br/>
      </w:r>
      <w:r>
        <w:t xml:space="preserve">The number of additional jobs spurred by the increased economic output are estimated among the ranges 9 - 13,</w:t>
      </w:r>
      <w:r>
        <w:t xml:space="preserve"> </w:t>
      </w:r>
      <w:r>
        <w:t xml:space="preserve">22 - 41 and 38 - 83 thousand in 2030, 2035 and 2040, respectively.</w:t>
      </w:r>
    </w:p>
    <w:p>
      <w:pPr>
        <w:pStyle w:val="BodyText"/>
      </w:pPr>
      <w:r>
        <w:t xml:space="preserve">Manufacturers,</w:t>
      </w:r>
      <w:r>
        <w:t xml:space="preserve"> </w:t>
      </w:r>
      <w:r>
        <w:t xml:space="preserve">component</w:t>
      </w:r>
      <w:r>
        <w:t xml:space="preserve"> </w:t>
      </w:r>
      <w:r>
        <w:t xml:space="preserve">suppliers,</w:t>
      </w:r>
      <w:r>
        <w:t xml:space="preserve"> </w:t>
      </w:r>
      <w:r>
        <w:t xml:space="preserve">petroleum</w:t>
      </w:r>
      <w:r>
        <w:t xml:space="preserve"> </w:t>
      </w:r>
      <w:r>
        <w:t xml:space="preserve">refining,</w:t>
      </w:r>
      <w:r>
        <w:t xml:space="preserve"> </w:t>
      </w:r>
      <w:r>
        <w:t xml:space="preserve">power and hydrogen</w:t>
      </w:r>
      <w:r>
        <w:t xml:space="preserve"> </w:t>
      </w:r>
      <w:r>
        <w:t xml:space="preserve">suppliers,</w:t>
      </w:r>
      <w:r>
        <w:t xml:space="preserve"> </w:t>
      </w:r>
      <w:r>
        <w:t xml:space="preserve">electronics</w:t>
      </w:r>
      <w:r>
        <w:t xml:space="preserve"> </w:t>
      </w:r>
      <w:r>
        <w:t xml:space="preserve">and</w:t>
      </w:r>
      <w:r>
        <w:t xml:space="preserve"> </w:t>
      </w:r>
      <w:r>
        <w:t xml:space="preserve">electrical</w:t>
      </w:r>
      <w:r>
        <w:t xml:space="preserve"> </w:t>
      </w:r>
      <w:r>
        <w:t xml:space="preserve">equipment</w:t>
      </w:r>
      <w:r>
        <w:t xml:space="preserve"> </w:t>
      </w:r>
      <w:r>
        <w:t xml:space="preserve">suppliers,</w:t>
      </w:r>
      <w:r>
        <w:t xml:space="preserve"> </w:t>
      </w:r>
      <w:r>
        <w:t xml:space="preserve">metal.</w:t>
      </w:r>
      <w:r>
        <w:t xml:space="preserve"> </w:t>
      </w:r>
      <w:r>
        <w:t xml:space="preserve">Costs faced by manufacturers</w:t>
      </w:r>
      <w:r>
        <w:t xml:space="preserve"> </w:t>
      </w:r>
      <w:r>
        <w:t xml:space="preserve">Manufacturing costs per motor vehicle</w:t>
      </w:r>
      <w:r>
        <w:t xml:space="preserve"> </w:t>
      </w:r>
      <w:r>
        <w:t xml:space="preserve">The costs for manufacturers, averaged over the EU-wide new lorries, buses and coaches, correspond to 3 400 -</w:t>
      </w:r>
      <w:r>
        <w:t xml:space="preserve"> </w:t>
      </w:r>
      <w:r>
        <w:t xml:space="preserve">9 700, 5 300 – 11 800 and 6 500 - 13 100 EUR/vehicle in 2030, 2035 and 2040, respectively.</w:t>
      </w:r>
      <w:r>
        <w:t xml:space="preserve"> </w:t>
      </w:r>
      <w:r>
        <w:t xml:space="preserve">Manufacturing costs per trailer</w:t>
      </w:r>
      <w:r>
        <w:t xml:space="preserve"> </w:t>
      </w:r>
      <w:r>
        <w:t xml:space="preserve">The extra 2030 costs for manufacturers from average trailers and semi-trailers compared to a 2020 baseline</w:t>
      </w:r>
      <w:r>
        <w:t xml:space="preserve"> </w:t>
      </w:r>
      <w:r>
        <w:t xml:space="preserve">vehicle are between over EUR 2 500 for drawbar trailers with box body and EUR 5 250 for a reefer semi-</w:t>
      </w:r>
      <w:r>
        <w:t xml:space="preserve"> </w:t>
      </w:r>
      <w:r>
        <w:t xml:space="preserve">trailer.</w:t>
      </w:r>
      <w:r>
        <w:t xml:space="preserve"> </w:t>
      </w:r>
      <w:r>
        <w:t xml:space="preserve">Additional investments by manufacturers</w:t>
      </w:r>
      <w:r>
        <w:t xml:space="preserve"> </w:t>
      </w:r>
      <w:r>
        <w:t xml:space="preserve">The HDV motor vehicles manufacturing sector is expected to need additional investments of around (billion</w:t>
      </w:r>
      <w:r>
        <w:t xml:space="preserve"> </w:t>
      </w:r>
      <w:r>
        <w:t xml:space="preserve">EUR per year) 0.46-0.98 across the period 2021-2030 and 4.36 - 8.55 for 2021-2040. This represents an</w:t>
      </w:r>
      <w:r>
        <w:t xml:space="preserve"> </w:t>
      </w:r>
      <w:r>
        <w:t xml:space="preserve">increase of around (%) 0.5-1.1 for the period 2021-2030 and 4.0-7.8 for 2021-2040, compared to the annual</w:t>
      </w:r>
      <w:r>
        <w:t xml:space="preserve"> </w:t>
      </w:r>
      <w:r>
        <w:t xml:space="preserve">investments needed to meet the current CO2 emission standards.</w:t>
      </w:r>
      <w:r>
        <w:t xml:space="preserve"> </w:t>
      </w:r>
      <w:r>
        <w:t xml:space="preserve">The considered costs comprise direct manufacturing costs, including materials and labour, and indirect</w:t>
      </w:r>
      <w:r>
        <w:t xml:space="preserve"> </w:t>
      </w:r>
      <w:r>
        <w:t xml:space="preserve">manufacturing costs (R&amp;D, warranty costs, depreciation and amortisation, maintenance and repair, general</w:t>
      </w:r>
      <w:r>
        <w:t xml:space="preserve"> </w:t>
      </w:r>
      <w:r>
        <w:t xml:space="preserve">Manufacturers</w:t>
      </w:r>
      <w:r>
        <w:t xml:space="preserve"> </w:t>
      </w:r>
      <w:r>
        <w:t xml:space="preserve">of</w:t>
      </w:r>
      <w:r>
        <w:t xml:space="preserve"> </w:t>
      </w:r>
      <w:r>
        <w:t xml:space="preserve">lorries, buses, coaches</w:t>
      </w:r>
      <w:r>
        <w:t xml:space="preserve"> </w:t>
      </w:r>
      <w:r>
        <w:t xml:space="preserve">and trailers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44</w:t>
      </w:r>
    </w:p>
    <w:p>
      <w:pPr>
        <w:pStyle w:val="BodyText"/>
      </w:pPr>
      <w:r>
        <w:t xml:space="preserve">other overhead costs).</w:t>
      </w:r>
      <w:r>
        <w:t xml:space="preserve"> </w:t>
      </w:r>
      <w:r>
        <w:t xml:space="preserve">Macro-economic impact (GDP)</w:t>
      </w:r>
      <w:r>
        <w:t xml:space="preserve"> </w:t>
      </w:r>
      <w:r>
        <w:t xml:space="preserve">The CO2 emissions standards alone will contribute to increase the EU-27 GDP by around (%) 0.01-0.02, 0.04-</w:t>
      </w:r>
      <w:r>
        <w:t xml:space="preserve"> </w:t>
      </w:r>
      <w:r>
        <w:t xml:space="preserve">0.07 and 0.06-0.11 in 2030, 2035 and 2040, compared to the baseline.</w:t>
      </w:r>
      <w:r>
        <w:t xml:space="preserve"> </w:t>
      </w:r>
      <w:r>
        <w:t xml:space="preserve">Society as a whole</w:t>
      </w:r>
      <w:r>
        <w:t xml:space="preserve"> </w:t>
      </w:r>
      <w:r>
        <w:t xml:space="preserve">Impact on SMEs operators</w:t>
      </w:r>
      <w:r>
        <w:t xml:space="preserve"> </w:t>
      </w:r>
      <w:r>
        <w:t xml:space="preserve">Medium and small enterprises find no affordability restrictions across any of the three ambition target scenarios</w:t>
      </w:r>
      <w:r>
        <w:t xml:space="preserve"> </w:t>
      </w:r>
      <w:r>
        <w:t xml:space="preserve">and different vehicles classes. Only microenterprises may find some affordability issue for purchasing new</w:t>
      </w:r>
      <w:r>
        <w:t xml:space="preserve"> </w:t>
      </w:r>
      <w:r>
        <w:t xml:space="preserve">ZEV in group 5 (long haul, &gt; 16 ton), and only in 2030 and 2035. This issue is not present for purchasing ZEV</w:t>
      </w:r>
      <w:r>
        <w:t xml:space="preserve"> </w:t>
      </w:r>
      <w:r>
        <w:t xml:space="preserve">on the second-hand market. Furthermore, also thanks to the effect of stricter CO2 standards, ZEV become more</w:t>
      </w:r>
      <w:r>
        <w:t xml:space="preserve"> </w:t>
      </w:r>
      <w:r>
        <w:t xml:space="preserve">affordable with time, benefitting also micro enterprises</w:t>
      </w:r>
      <w:r>
        <w:t xml:space="preserve"> </w:t>
      </w:r>
      <w:r>
        <w:t xml:space="preserve">Small</w:t>
      </w:r>
      <w:r>
        <w:t xml:space="preserve"> </w:t>
      </w:r>
      <w:r>
        <w:t xml:space="preserve">and</w:t>
      </w:r>
      <w:r>
        <w:t xml:space="preserve"> </w:t>
      </w:r>
      <w:r>
        <w:t xml:space="preserve">medium</w:t>
      </w:r>
      <w:r>
        <w:t xml:space="preserve"> </w:t>
      </w:r>
      <w:r>
        <w:t xml:space="preserve">transport operators</w:t>
      </w:r>
      <w:r>
        <w:t xml:space="preserve"> </w:t>
      </w:r>
      <w:r>
        <w:t xml:space="preserve">Investment</w:t>
      </w:r>
      <w:r>
        <w:t xml:space="preserve"> </w:t>
      </w:r>
      <w:r>
        <w:t xml:space="preserve">in</w:t>
      </w:r>
      <w:r>
        <w:t xml:space="preserve"> </w:t>
      </w:r>
      <w:r>
        <w:t xml:space="preserve">zero-emission</w:t>
      </w:r>
      <w:r>
        <w:t xml:space="preserve"> </w:t>
      </w:r>
      <w:r>
        <w:t xml:space="preserve">alternative fuels infrastructure</w:t>
      </w:r>
      <w:r>
        <w:t xml:space="preserve"> </w:t>
      </w:r>
      <w:r>
        <w:t xml:space="preserve">It is estimated that investments needed in publicly accessible recharging and refuelling infrastructure to support</w:t>
      </w:r>
      <w:r>
        <w:t xml:space="preserve"> </w:t>
      </w:r>
      <w:r>
        <w:t xml:space="preserve">the projected market uptake of ZEV vehicles will amount to around EUR 0.16-0.5 bn per year over the period</w:t>
      </w:r>
      <w:r>
        <w:t xml:space="preserve"> </w:t>
      </w:r>
      <w:r>
        <w:t xml:space="preserve">2021-2040</w:t>
      </w:r>
      <w:r>
        <w:t xml:space="preserve"> </w:t>
      </w:r>
      <w:r>
        <w:t xml:space="preserve">Installers of recharging</w:t>
      </w:r>
      <w:r>
        <w:t xml:space="preserve"> </w:t>
      </w:r>
      <w:r>
        <w:t xml:space="preserve">and refuelling zero-</w:t>
      </w:r>
      <w:r>
        <w:t xml:space="preserve"> </w:t>
      </w:r>
      <w:r>
        <w:t xml:space="preserve">emission</w:t>
      </w:r>
      <w:r>
        <w:t xml:space="preserve"> </w:t>
      </w:r>
      <w:r>
        <w:t xml:space="preserve">alternative</w:t>
      </w:r>
      <w:r>
        <w:t xml:space="preserve"> </w:t>
      </w:r>
      <w:r>
        <w:t xml:space="preserve">fuel infrastructure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(direct/indirect)</w:t>
      </w:r>
      <w:r>
        <w:t xml:space="preserve"> </w:t>
      </w:r>
      <w:r>
        <w:t xml:space="preserve">The proposal is not leading to any significant administrative costs. The certification, monitoring and reporting</w:t>
      </w:r>
      <w:r>
        <w:t xml:space="preserve"> </w:t>
      </w:r>
      <w:r>
        <w:t xml:space="preserve">obligations, which drive the administrative burden, are already set in different regulations. The heavy-duty</w:t>
      </w:r>
      <w:r>
        <w:t xml:space="preserve"> </w:t>
      </w:r>
      <w:r>
        <w:t xml:space="preserve">vehicles currently not regulated are already subject to the same requirements as the regulated ones. In addition,</w:t>
      </w:r>
      <w:r>
        <w:t xml:space="preserve"> </w:t>
      </w:r>
      <w:r>
        <w:t xml:space="preserve">the few policy options (Fuel2 and the flexibility options), in which an additional administrative burden could be</w:t>
      </w:r>
      <w:r>
        <w:t xml:space="preserve"> </w:t>
      </w:r>
      <w:r>
        <w:t xml:space="preserve">created, would set up voluntary mechanisms, i.e. manufacturers would make use of such provisions only on a</w:t>
      </w:r>
      <w:r>
        <w:t xml:space="preserve"> </w:t>
      </w:r>
      <w:r>
        <w:t xml:space="preserve">voluntary basis.</w:t>
      </w:r>
    </w:p>
    <w:p>
      <w:pPr>
        <w:pStyle w:val="BodyText"/>
      </w:pPr>
      <w:r>
        <w:t xml:space="preserve">SENSITIVE</w:t>
      </w:r>
    </w:p>
    <w:p>
      <w:pPr>
        <w:pStyle w:val="Compact"/>
        <w:numPr>
          <w:ilvl w:val="0"/>
          <w:numId w:val="1005"/>
        </w:numPr>
      </w:pPr>
      <w:r>
        <w:t xml:space="preserve">Overview of costs –</w:t>
      </w:r>
    </w:p>
    <w:p>
      <w:pPr>
        <w:pStyle w:val="FirstParagraph"/>
      </w:pPr>
      <w:r>
        <w:t xml:space="preserve">Citizens/Con</w:t>
      </w:r>
      <w:r>
        <w:t xml:space="preserve"> </w:t>
      </w:r>
      <w:r>
        <w:t xml:space="preserve">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</w:t>
      </w:r>
      <w:r>
        <w:t xml:space="preserve"> </w:t>
      </w:r>
      <w:r>
        <w:t xml:space="preserve">ns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</w:t>
      </w:r>
      <w:r>
        <w:t xml:space="preserve"> </w:t>
      </w:r>
      <w:r>
        <w:t xml:space="preserve">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</w:t>
      </w:r>
      <w:r>
        <w:t xml:space="preserve"> </w:t>
      </w:r>
      <w:r>
        <w:t xml:space="preserve">nt</w:t>
      </w:r>
      <w:r>
        <w:t xml:space="preserve"> </w:t>
      </w:r>
      <w:r>
        <w:t xml:space="preserve">Action (a)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Manufacturing costs per motor vehicles</w:t>
      </w:r>
      <w:r>
        <w:t xml:space="preserve"> </w:t>
      </w:r>
      <w:r>
        <w:t xml:space="preserve">Projected costs for manufacturers and</w:t>
      </w:r>
      <w:r>
        <w:t xml:space="preserve"> </w:t>
      </w:r>
      <w:r>
        <w:t xml:space="preserve">average heavy-duty vehicle (lorries,</w:t>
      </w:r>
      <w:r>
        <w:t xml:space="preserve"> </w:t>
      </w:r>
      <w:r>
        <w:t xml:space="preserve">buses and coaches) are between 3 400 -9</w:t>
      </w:r>
      <w:r>
        <w:t xml:space="preserve"> </w:t>
      </w:r>
      <w:r>
        <w:t xml:space="preserve">700;5 300 – 11 800 and 6 500-13 100</w:t>
      </w:r>
      <w:r>
        <w:t xml:space="preserve"> </w:t>
      </w:r>
      <w:r>
        <w:t xml:space="preserve">EUR/vehicle in 2030, 2035 and 2040.</w:t>
      </w:r>
      <w:r>
        <w:t xml:space="preserve"> </w:t>
      </w:r>
      <w:r>
        <w:t xml:space="preserve">The additional annual investment costs</w:t>
      </w:r>
      <w:r>
        <w:t xml:space="preserve"> </w:t>
      </w:r>
      <w:r>
        <w:t xml:space="preserve">are projected to be (billion Euro per</w:t>
      </w:r>
      <w:r>
        <w:t xml:space="preserve"> </w:t>
      </w:r>
      <w:r>
        <w:t xml:space="preserve">year): 0.46 - 0.98 across the period 2021</w:t>
      </w:r>
      <w:r>
        <w:t xml:space="preserve"> </w:t>
      </w:r>
      <w:r>
        <w:t xml:space="preserve">- 2030 and 4.36 - 8.55 for 2021 - 2040.</w:t>
      </w:r>
      <w:r>
        <w:t xml:space="preserve"> </w:t>
      </w:r>
      <w:r>
        <w:t xml:space="preserve">Manufacturing costs per trailer</w:t>
      </w:r>
      <w:r>
        <w:t xml:space="preserve"> </w:t>
      </w:r>
      <w:r>
        <w:t xml:space="preserve">Projected costs for manufacturers for</w:t>
      </w:r>
      <w:r>
        <w:t xml:space="preserve"> </w:t>
      </w:r>
      <w:r>
        <w:t xml:space="preserve">average trailers and semi-trailers,</w:t>
      </w:r>
      <w:r>
        <w:t xml:space="preserve"> </w:t>
      </w:r>
      <w:r>
        <w:t xml:space="preserve">compared to a 2020 baseline vehicle, are</w:t>
      </w:r>
      <w:r>
        <w:t xml:space="preserve"> </w:t>
      </w:r>
      <w:r>
        <w:t xml:space="preserve">2 500-5 250 EUR/vehicle.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 and</w:t>
      </w:r>
      <w:r>
        <w:t xml:space="preserve"> </w:t>
      </w:r>
      <w:r>
        <w:t xml:space="preserve">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</w:t>
      </w:r>
      <w:r>
        <w:t xml:space="preserve"> </w:t>
      </w:r>
      <w:r>
        <w:t xml:space="preserve">investments</w:t>
      </w:r>
      <w:r>
        <w:t xml:space="preserve"> </w:t>
      </w:r>
      <w:r>
        <w:t xml:space="preserve">needed</w:t>
      </w:r>
      <w:r>
        <w:t xml:space="preserve"> </w:t>
      </w:r>
      <w:r>
        <w:t xml:space="preserve">in</w:t>
      </w:r>
      <w:r>
        <w:t xml:space="preserve"> </w:t>
      </w:r>
      <w:r>
        <w:t xml:space="preserve">publicly</w:t>
      </w:r>
      <w:r>
        <w:t xml:space="preserve"> </w:t>
      </w:r>
      <w:r>
        <w:t xml:space="preserve">accessible recharging</w:t>
      </w:r>
      <w:r>
        <w:t xml:space="preserve"> </w:t>
      </w:r>
      <w:r>
        <w:t xml:space="preserve">and</w:t>
      </w:r>
      <w:r>
        <w:t xml:space="preserve"> </w:t>
      </w:r>
      <w:r>
        <w:t xml:space="preserve">refuelling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to</w:t>
      </w:r>
      <w:r>
        <w:t xml:space="preserve"> </w:t>
      </w:r>
      <w:r>
        <w:t xml:space="preserve">support the projected</w:t>
      </w:r>
      <w:r>
        <w:t xml:space="preserve"> </w:t>
      </w:r>
      <w:r>
        <w:t xml:space="preserve">market uptake of ZEV</w:t>
      </w:r>
      <w:r>
        <w:t xml:space="preserve"> </w:t>
      </w:r>
      <w:r>
        <w:t xml:space="preserve">vehicles will amount</w:t>
      </w:r>
      <w:r>
        <w:t xml:space="preserve"> </w:t>
      </w:r>
      <w:r>
        <w:t xml:space="preserve">to</w:t>
      </w:r>
      <w:r>
        <w:t xml:space="preserve"> </w:t>
      </w:r>
      <w:r>
        <w:t xml:space="preserve">around</w:t>
      </w:r>
      <w:r>
        <w:t xml:space="preserve"> </w:t>
      </w:r>
      <w:r>
        <w:t xml:space="preserve">0.16-0.5</w:t>
      </w:r>
      <w:r>
        <w:t xml:space="preserve"> </w:t>
      </w:r>
      <w:r>
        <w:t xml:space="preserve">billion Euro per year</w:t>
      </w:r>
      <w:r>
        <w:t xml:space="preserve"> </w:t>
      </w:r>
      <w:r>
        <w:t xml:space="preserve">over the period 2021-</w:t>
      </w:r>
      <w:r>
        <w:t xml:space="preserve"> </w:t>
      </w:r>
      <w:r>
        <w:t xml:space="preserve">2040.</w:t>
      </w:r>
      <w:r>
        <w:t xml:space="preserve"> </w:t>
      </w:r>
      <w:r>
        <w:t xml:space="preserve">See qualitative assessment in section 3.1</w:t>
      </w:r>
      <w:r>
        <w:t xml:space="preserve"> </w:t>
      </w:r>
      <w:r>
        <w:t xml:space="preserve">of this Annex.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Administrativ</w:t>
      </w:r>
      <w:r>
        <w:t xml:space="preserve"> </w:t>
      </w:r>
      <w:r>
        <w:t xml:space="preserve">e 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SENSITIVE</w:t>
      </w:r>
    </w:p>
    <w:p>
      <w:pPr>
        <w:pStyle w:val="BodyText"/>
      </w:pPr>
      <w:r>
        <w:t xml:space="preserve">1.14. 12.3</w:t>
      </w:r>
      <w:r>
        <w:t xml:space="preserve"> </w:t>
      </w:r>
      <w:r>
        <w:t xml:space="preserve">Relevant sustainable development goals (SDG)</w:t>
      </w:r>
      <w:r>
        <w:t xml:space="preserve"> </w:t>
      </w:r>
      <w:r>
        <w:t xml:space="preserve">III. Overview of relevant Sustainable Development Goals –</w:t>
      </w:r>
      <w:r>
        <w:br/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3</w:t>
      </w:r>
    </w:p>
    <w:p>
      <w:pPr>
        <w:pStyle w:val="BodyText"/>
      </w:pPr>
      <w:r>
        <w:t xml:space="preserve">Good health and well-</w:t>
      </w:r>
      <w:r>
        <w:t xml:space="preserve"> </w:t>
      </w:r>
      <w:r>
        <w:t xml:space="preserve">being</w:t>
      </w:r>
      <w:r>
        <w:t xml:space="preserve"> </w:t>
      </w:r>
      <w:r>
        <w:t xml:space="preserve">Reduce the number of deaths and illnesses from air pollution</w:t>
      </w:r>
      <w:r>
        <w:t xml:space="preserve"> </w:t>
      </w:r>
      <w:r>
        <w:t xml:space="preserve">Higher penetration of zero-emission HDVs will reduce the emission of air pollutants. The HDV standards contribute to</w:t>
      </w:r>
      <w:r>
        <w:t xml:space="preserve"> </w:t>
      </w:r>
      <w:r>
        <w:t xml:space="preserve">reducing air pollutant by 7 to 17% in 2035, by 15% to around 38% in 2040 and by 66 to 80% in 2050, compared to the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SDG no. 7</w:t>
      </w:r>
    </w:p>
    <w:p>
      <w:pPr>
        <w:pStyle w:val="BodyText"/>
      </w:pPr>
      <w:r>
        <w:t xml:space="preserve">Affordable and clean</w:t>
      </w:r>
      <w:r>
        <w:t xml:space="preserve"> </w:t>
      </w:r>
      <w:r>
        <w:t xml:space="preserve">energy</w:t>
      </w:r>
      <w:r>
        <w:t xml:space="preserve"> </w:t>
      </w:r>
      <w:r>
        <w:t xml:space="preserve">Sustainable energy infrastructure</w:t>
      </w:r>
      <w:r>
        <w:t xml:space="preserve"> </w:t>
      </w:r>
      <w:r>
        <w:t xml:space="preserve">Investments in publicly accessible recharging and refuelling zero-emission infrastructure, electricity and hydrogen, in</w:t>
      </w:r>
      <w:r>
        <w:t xml:space="preserve"> </w:t>
      </w:r>
      <w:r>
        <w:t xml:space="preserve">order to support the market uptake of ZEV will amount to around (billion EUR per year): 0.16-0.5 over the period 2021-</w:t>
      </w:r>
      <w:r>
        <w:t xml:space="preserve"> </w:t>
      </w:r>
      <w:r>
        <w:t xml:space="preserve">2040.</w:t>
      </w:r>
      <w:r>
        <w:t xml:space="preserve"> </w:t>
      </w:r>
      <w:r>
        <w:t xml:space="preserve">Energy demand</w:t>
      </w:r>
      <w:r>
        <w:t xml:space="preserve"> </w:t>
      </w:r>
      <w:r>
        <w:t xml:space="preserve">Under the different TL options, final energy demand decreases further, and such trends become more visible from 2035</w:t>
      </w:r>
      <w:r>
        <w:t xml:space="preserve"> </w:t>
      </w:r>
      <w:r>
        <w:t xml:space="preserve">as a result of the fleet renewal. By 2040, demand is reduced by between 9%, 14% and 21% for the different TL levels,</w:t>
      </w:r>
      <w:r>
        <w:t xml:space="preserve"> </w:t>
      </w:r>
      <w:r>
        <w:t xml:space="preserve">as compared to the baseline.</w:t>
      </w:r>
      <w:r>
        <w:t xml:space="preserve"> </w:t>
      </w:r>
      <w:r>
        <w:t xml:space="preserve">HDV in general will demand additional 4 – 8; 20 – 51; 69 – 84 GWh of electricity in 2030, 2040 and 2050, compared to</w:t>
      </w:r>
      <w:r>
        <w:t xml:space="preserve"> </w:t>
      </w:r>
      <w:r>
        <w:t xml:space="preserve">the baseline. This represents approximatively (%) 0.4-0.5; 1.4-2.3 and 3.1-3.5 of the total electricity consumption in</w:t>
      </w:r>
      <w:r>
        <w:t xml:space="preserve"> </w:t>
      </w:r>
      <w:r>
        <w:t xml:space="preserve">those years. The CO2 emission standards alone will increase the demand of hydrogen to nearly 450 – 950; 2 400 – 6</w:t>
      </w:r>
      <w:r>
        <w:t xml:space="preserve"> </w:t>
      </w:r>
      <w:r>
        <w:t xml:space="preserve">600; 8 300 – 10 100 ktoe by 2030, 2040 and 2050, compared to the baseline.</w:t>
      </w:r>
      <w:r>
        <w:br/>
      </w:r>
      <w:r>
        <w:t xml:space="preserve">Benefits from reduction of fossil energy demand</w:t>
      </w:r>
      <w:r>
        <w:t xml:space="preserve"> </w:t>
      </w:r>
      <w:r>
        <w:t xml:space="preserve">The reduction in the demand of fossil fuels (mostly oil products as diesel) from lorries, buses and coaches is expected</w:t>
      </w:r>
      <w:r>
        <w:t xml:space="preserve"> </w:t>
      </w:r>
      <w:r>
        <w:t xml:space="preserve">to provide savings of €150-200 bn at current oil prices (95 EUR / Brent barrel) by 2050. Additionally, EUR 16 bn can</w:t>
      </w:r>
      <w:r>
        <w:t xml:space="preserve"> </w:t>
      </w:r>
      <w:r>
        <w:t xml:space="preserve">be saved by setting energy efficiency standards for trailers.</w:t>
      </w:r>
    </w:p>
    <w:p>
      <w:pPr>
        <w:pStyle w:val="BodyText"/>
      </w:pPr>
      <w:r>
        <w:t xml:space="preserve">SDG no.8</w:t>
      </w:r>
    </w:p>
    <w:p>
      <w:pPr>
        <w:pStyle w:val="BodyText"/>
      </w:pPr>
      <w:r>
        <w:t xml:space="preserve">Decent</w:t>
      </w:r>
      <w:r>
        <w:t xml:space="preserve"> </w:t>
      </w:r>
      <w:r>
        <w:t xml:space="preserve">work</w:t>
      </w:r>
      <w:r>
        <w:t xml:space="preserve"> </w:t>
      </w:r>
      <w:r>
        <w:t xml:space="preserve">and</w:t>
      </w:r>
      <w:r>
        <w:t xml:space="preserve"> </w:t>
      </w:r>
      <w:r>
        <w:t xml:space="preserve">economic growth</w:t>
      </w:r>
      <w:r>
        <w:t xml:space="preserve"> </w:t>
      </w:r>
      <w:r>
        <w:t xml:space="preserve">Economic growth</w:t>
      </w:r>
      <w:r>
        <w:t xml:space="preserve"> </w:t>
      </w:r>
      <w:r>
        <w:t xml:space="preserve">The CO2 emissions standards alone will contribute to increase by around (%) 0.01-0.02, 0.04-0.07 and 0.06-0.11 the</w:t>
      </w:r>
      <w:r>
        <w:t xml:space="preserve"> </w:t>
      </w:r>
      <w:r>
        <w:t xml:space="preserve">EU-27 GDP in 2030, 2035 and 2040 compared to the baseline.</w:t>
      </w:r>
      <w:r>
        <w:t xml:space="preserve"> </w:t>
      </w:r>
      <w:r>
        <w:t xml:space="preserve">Net jobs created</w:t>
      </w:r>
      <w:r>
        <w:t xml:space="preserve"> </w:t>
      </w:r>
      <w:r>
        <w:t xml:space="preserve">Stringer CO2 targets delivery positive GDP</w:t>
      </w:r>
      <w:r>
        <w:t xml:space="preserve"> </w:t>
      </w:r>
      <w:r>
        <w:t xml:space="preserve">output and net jobs creation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47</w:t>
      </w:r>
    </w:p>
    <w:p>
      <w:pPr>
        <w:pStyle w:val="BodyText"/>
      </w:pPr>
      <w:r>
        <w:t xml:space="preserve">The number of additional jobs spurred by the increased economic output from the revised HDV CO2 Regulation is</w:t>
      </w:r>
      <w:r>
        <w:t xml:space="preserve"> </w:t>
      </w:r>
      <w:r>
        <w:t xml:space="preserve">estimated to be in the ranges of 9-13, 22-41 and 38-83 thousand in 2030, 2035 and 2040, respectively.</w:t>
      </w:r>
      <w:r>
        <w:br/>
      </w:r>
      <w:r>
        <w:t xml:space="preserve">SDG no. 9</w:t>
      </w:r>
    </w:p>
    <w:p>
      <w:pPr>
        <w:pStyle w:val="BodyText"/>
      </w:pPr>
      <w:r>
        <w:t xml:space="preserve">Industry</w:t>
      </w:r>
      <w:r>
        <w:t xml:space="preserve"> </w:t>
      </w:r>
      <w:r>
        <w:t xml:space="preserve">innovation</w:t>
      </w:r>
      <w:r>
        <w:t xml:space="preserve"> </w:t>
      </w:r>
      <w:r>
        <w:t xml:space="preserve">and infrastructure</w:t>
      </w:r>
      <w:r>
        <w:t xml:space="preserve"> </w:t>
      </w:r>
      <w:r>
        <w:t xml:space="preserve">Sustainable industrialization</w:t>
      </w:r>
      <w:r>
        <w:t xml:space="preserve"> </w:t>
      </w:r>
      <w:r>
        <w:t xml:space="preserve">The HDV CO2 standards provide a clear regulatory signal and predictability for industry and research in the shift to</w:t>
      </w:r>
      <w:r>
        <w:t xml:space="preserve"> </w:t>
      </w:r>
      <w:r>
        <w:t xml:space="preserve">zero-emission mobility.This will foster research and innovation in related technologies and encourage channelling</w:t>
      </w:r>
      <w:r>
        <w:t xml:space="preserve"> </w:t>
      </w:r>
      <w:r>
        <w:t xml:space="preserve">investments to adapt technological capability to deliver, more resource-efficient vehicles.</w:t>
      </w:r>
      <w:r>
        <w:t xml:space="preserve"> </w:t>
      </w:r>
      <w:r>
        <w:t xml:space="preserve">ZEV shares are expected to raise to around (%): 20-35, 35-57 and 57-100 by 2030, 2035 and 2040 respectively.</w:t>
      </w:r>
      <w:r>
        <w:t xml:space="preserve"> </w:t>
      </w:r>
      <w:r>
        <w:t xml:space="preserve">Additional investments by manufacturers</w:t>
      </w:r>
      <w:r>
        <w:t xml:space="preserve"> </w:t>
      </w:r>
      <w:r>
        <w:t xml:space="preserve">The HDV motor vehicles sector is expected to carry out additional investments to meet the stringer targets of around</w:t>
      </w:r>
      <w:r>
        <w:t xml:space="preserve"> </w:t>
      </w:r>
      <w:r>
        <w:t xml:space="preserve">(billion EUR per year): 0.46-0.98 across the period 2021-2030 and 4.36-8.55 for 2021-2040. This represents an increase</w:t>
      </w:r>
      <w:r>
        <w:t xml:space="preserve"> </w:t>
      </w:r>
      <w:r>
        <w:t xml:space="preserve">of around (%) 0.5-1.1 for the period 2021-2030 and 4.0-7.8 for 2021-2040, compared to the annual investments needed</w:t>
      </w:r>
      <w:r>
        <w:t xml:space="preserve"> </w:t>
      </w:r>
      <w:r>
        <w:t xml:space="preserve">to meet the current CO2 emission standards.</w:t>
      </w:r>
    </w:p>
    <w:p>
      <w:pPr>
        <w:pStyle w:val="BodyText"/>
      </w:pPr>
      <w:r>
        <w:t xml:space="preserve">SDG no. 11</w:t>
      </w:r>
    </w:p>
    <w:p>
      <w:pPr>
        <w:pStyle w:val="BodyText"/>
      </w:pPr>
      <w:r>
        <w:t xml:space="preserve">Sustainable cities and</w:t>
      </w:r>
      <w:r>
        <w:t xml:space="preserve"> </w:t>
      </w:r>
      <w:r>
        <w:t xml:space="preserve">communities</w:t>
      </w:r>
      <w:r>
        <w:t xml:space="preserve"> </w:t>
      </w:r>
      <w:r>
        <w:t xml:space="preserve">Sustainable public transport</w:t>
      </w:r>
      <w:r>
        <w:t xml:space="preserve"> </w:t>
      </w:r>
      <w:r>
        <w:t xml:space="preserve">In a medium ambition scenario (TL_Med), the share of new urban zero emission share by 2030 is above 80%.</w:t>
      </w:r>
      <w:r>
        <w:t xml:space="preserve"> </w:t>
      </w:r>
      <w:r>
        <w:t xml:space="preserve">Additional measures would increase this ambition to 100%. As most urban buses are operated in urban areas, the access</w:t>
      </w:r>
      <w:r>
        <w:t xml:space="preserve"> </w:t>
      </w:r>
      <w:r>
        <w:t xml:space="preserve">to more sustainable public passenger transport will be increased and additional savings of air pollutants would also</w:t>
      </w:r>
      <w:r>
        <w:t xml:space="preserve"> </w:t>
      </w:r>
      <w:r>
        <w:t xml:space="preserve">appear.</w:t>
      </w:r>
    </w:p>
    <w:p>
      <w:pPr>
        <w:pStyle w:val="BodyText"/>
      </w:pPr>
      <w:r>
        <w:t xml:space="preserve">SDG no. 12</w:t>
      </w:r>
    </w:p>
    <w:p>
      <w:pPr>
        <w:pStyle w:val="BodyText"/>
      </w:pPr>
      <w:r>
        <w:t xml:space="preserve">Responsible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</w:t>
      </w:r>
      <w:r>
        <w:t xml:space="preserve"> </w:t>
      </w:r>
      <w:r>
        <w:t xml:space="preserve">Responsible procurement</w:t>
      </w:r>
      <w:r>
        <w:t xml:space="preserve"> </w:t>
      </w:r>
      <w:r>
        <w:t xml:space="preserve">In a medium ambition scenario (TL_Med), the share of zero emissions urban buses is above 80%. Additional measures</w:t>
      </w:r>
      <w:r>
        <w:t xml:space="preserve"> </w:t>
      </w:r>
      <w:r>
        <w:t xml:space="preserve">would increase this ambition to 100%. As most urban buses are publicly procured and managed in the EU, this will</w:t>
      </w:r>
      <w:r>
        <w:t xml:space="preserve"> </w:t>
      </w:r>
      <w:r>
        <w:t xml:space="preserve">promote more sustainable procurement of public services among local authorities.</w:t>
      </w:r>
      <w:r>
        <w:t xml:space="preserve"> </w:t>
      </w:r>
      <w:r>
        <w:t xml:space="preserve">In the EU, more than 55% of all public</w:t>
      </w:r>
      <w:r>
        <w:t xml:space="preserve"> </w:t>
      </w:r>
      <w:r>
        <w:t xml:space="preserve">transport journeys (or 32.1 billion passenger</w:t>
      </w:r>
      <w:r>
        <w:t xml:space="preserve"> </w:t>
      </w:r>
      <w:r>
        <w:t xml:space="preserve">journeys per year) are currently made by</w:t>
      </w:r>
      <w:r>
        <w:t xml:space="preserve"> </w:t>
      </w:r>
      <w:r>
        <w:t xml:space="preserve">urban and suburban buses.16</w:t>
      </w:r>
      <w:r>
        <w:t xml:space="preserve"> </w:t>
      </w:r>
      <w:r>
        <w:t xml:space="preserve">SDG no. 13</w:t>
      </w:r>
    </w:p>
    <w:p>
      <w:pPr>
        <w:pStyle w:val="BodyText"/>
      </w:pPr>
      <w:r>
        <w:t xml:space="preserve">Climate action</w:t>
      </w:r>
      <w:r>
        <w:t xml:space="preserve"> </w:t>
      </w:r>
      <w:r>
        <w:t xml:space="preserve">CO2 emissions reduction</w:t>
      </w:r>
      <w:r>
        <w:t xml:space="preserve"> </w:t>
      </w:r>
      <w:r>
        <w:t xml:space="preserve">Tailpipe CO2 emissions from motor vehicles are expected to decrease between 2031 and 2050 by 730-996 Mton as</w:t>
      </w:r>
      <w:r>
        <w:t xml:space="preserve"> </w:t>
      </w:r>
      <w:r>
        <w:t xml:space="preserve">The revised HDV CO2 Regulation will</w:t>
      </w:r>
      <w:r>
        <w:t xml:space="preserve"> </w:t>
      </w:r>
      <w:r>
        <w:t xml:space="preserve">reduce CO2 emissions contributing hence</w:t>
      </w:r>
      <w:r>
        <w:t xml:space="preserve"> </w:t>
      </w:r>
      <w:r>
        <w:t xml:space="preserve">directly to the EU climate targets of -55%</w:t>
      </w:r>
    </w:p>
    <w:p>
      <w:pPr>
        <w:pStyle w:val="BodyText"/>
      </w:pPr>
      <w:r>
        <w:t xml:space="preserve">16 ACEA. Buses: what they are and why they are so important.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48</w:t>
      </w:r>
    </w:p>
    <w:p>
      <w:pPr>
        <w:pStyle w:val="BodyText"/>
      </w:pPr>
      <w:r>
        <w:t xml:space="preserve">compared to the baseline. This represents respectively 35%-48% reduction of the projected emissions in the baseline</w:t>
      </w:r>
      <w:r>
        <w:t xml:space="preserve"> </w:t>
      </w:r>
      <w:r>
        <w:t xml:space="preserve">scenario.</w:t>
      </w:r>
      <w:r>
        <w:t xml:space="preserve"> </w:t>
      </w:r>
      <w:r>
        <w:t xml:space="preserve">On top, energy efficiency standards in trailers and semi-trailers will reduce accumulated CO2 emissions by more than</w:t>
      </w:r>
      <w:r>
        <w:t xml:space="preserve"> </w:t>
      </w:r>
      <w:r>
        <w:t xml:space="preserve">nearly 45 Mton between 2031 and 2050 compared to medium scenario, equivalent to 1.4% of total HDV CO2 emissions.</w:t>
      </w:r>
      <w:r>
        <w:t xml:space="preserve"> </w:t>
      </w:r>
      <w:r>
        <w:t xml:space="preserve">reduction by 2030 and climate neutrality by</w:t>
      </w:r>
      <w:r>
        <w:t xml:space="preserve"> </w:t>
      </w:r>
      <w:r>
        <w:t xml:space="preserve">2050,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Paris</w:t>
      </w:r>
      <w:r>
        <w:t xml:space="preserve"> </w:t>
      </w:r>
      <w:r>
        <w:t xml:space="preserve">Agreement.</w:t>
      </w:r>
      <w:r>
        <w:t xml:space="preserve"> </w:t>
      </w:r>
      <w:r>
        <w:t xml:space="preserve">Potential emissions trade-off because of</w:t>
      </w:r>
      <w:r>
        <w:t xml:space="preserve"> </w:t>
      </w:r>
      <w:r>
        <w:t xml:space="preserve">larger carbon footprint of batteries and fuel</w:t>
      </w:r>
      <w:r>
        <w:t xml:space="preserve"> </w:t>
      </w:r>
      <w:r>
        <w:t xml:space="preserve">cells manufacturing: see comment above.</w:t>
      </w:r>
    </w:p>
    <w:p>
      <w:pPr>
        <w:pStyle w:val="BodyText"/>
      </w:pPr>
      <w:r>
        <w:t xml:space="preserve">SENSITIVE</w:t>
      </w:r>
    </w:p>
    <w:p>
      <w:pPr>
        <w:pStyle w:val="Compact"/>
        <w:numPr>
          <w:ilvl w:val="0"/>
          <w:numId w:val="1006"/>
        </w:numPr>
      </w:pPr>
      <w:r>
        <w:t xml:space="preserve">ANNEX 4: ANALYTICAL METHODS</w:t>
      </w:r>
      <w:r>
        <w:t xml:space="preserve"> </w:t>
      </w:r>
      <w:r>
        <w:t xml:space="preserve">The analytical work underpinning this Impact Assessment uses a series of models:</w:t>
      </w:r>
      <w:r>
        <w:t xml:space="preserve"> </w:t>
      </w:r>
      <w:r>
        <w:t xml:space="preserve">PRIMES, PRIMES-TREMOVE, E3ME, JRC DIONE. They have a successful record of</w:t>
      </w:r>
      <w:r>
        <w:t xml:space="preserve"> </w:t>
      </w:r>
      <w:r>
        <w:t xml:space="preserve">use in the Commission’s transport, energy and climate policy impact assessments.</w:t>
      </w:r>
      <w:r>
        <w:t xml:space="preserve"> </w:t>
      </w:r>
      <w:r>
        <w:t xml:space="preserve">A brief description of each model is provided below.</w:t>
      </w:r>
      <w:r>
        <w:t xml:space="preserve"> </w:t>
      </w:r>
      <w:r>
        <w:t xml:space="preserve">1.15. 13.1</w:t>
      </w:r>
      <w:r>
        <w:t xml:space="preserve"> </w:t>
      </w:r>
      <w:r>
        <w:t xml:space="preserve">Common analytical framework</w:t>
      </w:r>
      <w:r>
        <w:br/>
      </w:r>
      <w:r>
        <w:t xml:space="preserve">13.1.1</w:t>
      </w:r>
      <w:r>
        <w:t xml:space="preserve"> </w:t>
      </w:r>
      <w:r>
        <w:t xml:space="preserve">Introduction</w:t>
      </w:r>
      <w:r>
        <w:t xml:space="preserve"> </w:t>
      </w:r>
      <w:r>
        <w:t xml:space="preserve">Aiming at covering the entire GHG emissions from the EU economy, and combining</w:t>
      </w:r>
      <w:r>
        <w:t xml:space="preserve"> </w:t>
      </w:r>
      <w:r>
        <w:t xml:space="preserve">horizontal and sectoral instruments, the various pieces of legislation under the “Fit for</w:t>
      </w:r>
      <w:r>
        <w:t xml:space="preserve"> </w:t>
      </w:r>
      <w:r>
        <w:t xml:space="preserve">55” package and the REPowerEU plan strongly interlink, either because they cover</w:t>
      </w:r>
      <w:r>
        <w:t xml:space="preserve"> </w:t>
      </w:r>
      <w:r>
        <w:t xml:space="preserve">common economic sectors (e.g. the transport sector is currently addressed by energy</w:t>
      </w:r>
      <w:r>
        <w:t xml:space="preserve"> </w:t>
      </w:r>
      <w:r>
        <w:t xml:space="preserve">efficiency and renewables policies but it also falls in the scope of ETS) or by the direct</w:t>
      </w:r>
      <w:r>
        <w:t xml:space="preserve"> </w:t>
      </w:r>
      <w:r>
        <w:t xml:space="preserve">and indirect interactions between these sectors (e.g. electricity supply sector and final</w:t>
      </w:r>
      <w:r>
        <w:t xml:space="preserve"> </w:t>
      </w:r>
      <w:r>
        <w:t xml:space="preserve">demand sectors using electricity).</w:t>
      </w:r>
      <w:r>
        <w:t xml:space="preserve"> </w:t>
      </w:r>
      <w:r>
        <w:t xml:space="preserve">As a consequence, it is crucial to ensure consistency of the analysis across all initiatives.</w:t>
      </w:r>
      <w:r>
        <w:t xml:space="preserve"> </w:t>
      </w:r>
      <w:r>
        <w:t xml:space="preserve">For this purpose, this impact assessment uses models which are part a collection of</w:t>
      </w:r>
      <w:r>
        <w:t xml:space="preserve"> </w:t>
      </w:r>
      <w:r>
        <w:t xml:space="preserve">integrated modelling tools covering the entire GHG emissions of the EU economy and</w:t>
      </w:r>
      <w:r>
        <w:t xml:space="preserve"> </w:t>
      </w:r>
      <w:r>
        <w:t xml:space="preserve">that underpinned the “Fit for 55” policy package as well as the REPowerEU plan17.</w:t>
      </w:r>
      <w:r>
        <w:br/>
      </w:r>
      <w:r>
        <w:t xml:space="preserve">These tools are used to produce a Baseline and a set of scenarios reflecting internally</w:t>
      </w:r>
      <w:r>
        <w:t xml:space="preserve"> </w:t>
      </w:r>
      <w:r>
        <w:t xml:space="preserve">coherent policy packages aligned with the scenario underpinning the REPowerEU plan</w:t>
      </w:r>
      <w:r>
        <w:t xml:space="preserve"> </w:t>
      </w:r>
      <w:r>
        <w:t xml:space="preserve">and building on the Reference Scenario 2020, a projection of the evolution of EU and</w:t>
      </w:r>
      <w:r>
        <w:t xml:space="preserve"> </w:t>
      </w:r>
      <w:r>
        <w:t xml:space="preserve">national energy systems and GHG emissions under the current policy framework18.</w:t>
      </w:r>
      <w:r>
        <w:t xml:space="preserve"> </w:t>
      </w:r>
      <w:r>
        <w:t xml:space="preserve">This Annex describes the tools used to produce the and the policy scenarios and the key</w:t>
      </w:r>
      <w:r>
        <w:t xml:space="preserve"> </w:t>
      </w:r>
      <w:r>
        <w:t xml:space="preserve">assumptions underpinning the analysis, as well as the main assumptions and results of the</w:t>
      </w:r>
      <w:r>
        <w:t xml:space="preserve"> </w:t>
      </w:r>
      <w:r>
        <w:t xml:space="preserve">scenario underpinning the REPowerEU SWD.</w:t>
      </w:r>
      <w:r>
        <w:br/>
      </w:r>
      <w:r>
        <w:t xml:space="preserve">13.1.2</w:t>
      </w:r>
      <w:r>
        <w:t xml:space="preserve"> </w:t>
      </w:r>
      <w:r>
        <w:t xml:space="preserve">Modelling tools for assessments of policies</w:t>
      </w:r>
      <w:r>
        <w:t xml:space="preserve"> </w:t>
      </w:r>
      <w:r>
        <w:t xml:space="preserve">13.1.1.1</w:t>
      </w:r>
      <w:r>
        <w:t xml:space="preserve"> </w:t>
      </w:r>
      <w:r>
        <w:t xml:space="preserve">Main modelling suite</w:t>
      </w:r>
      <w:r>
        <w:br/>
      </w:r>
      <w:r>
        <w:t xml:space="preserve">The main models used to produce the scenarios presented in this impact assessment have</w:t>
      </w:r>
      <w:r>
        <w:t xml:space="preserve"> </w:t>
      </w:r>
      <w:r>
        <w:t xml:space="preserve">a successful record of use in the Commission’s energy, transport and climate policy</w:t>
      </w:r>
      <w:r>
        <w:t xml:space="preserve"> </w:t>
      </w:r>
      <w:r>
        <w:t xml:space="preserve">assessments. In particular, they has been recently used for the Commission’s proposals</w:t>
      </w:r>
      <w:r>
        <w:t xml:space="preserve"> </w:t>
      </w:r>
      <w:r>
        <w:t xml:space="preserve">for the REPowerEU Plan and for the “Fit for 55”.</w:t>
      </w:r>
      <w:r>
        <w:br/>
      </w:r>
      <w:r>
        <w:t xml:space="preserve">The models cover:</w:t>
      </w:r>
      <w:r>
        <w:t xml:space="preserve"> </w:t>
      </w:r>
      <w:r>
        <w:t xml:space="preserve"> The entire energy system (energy demand, supply, prices and investments to</w:t>
      </w:r>
      <w:r>
        <w:t xml:space="preserve"> </w:t>
      </w:r>
      <w:r>
        <w:t xml:space="preserve">the future) and all GHG emissions and removals from the EU economy.</w:t>
      </w:r>
      <w:r>
        <w:t xml:space="preserve"> </w:t>
      </w:r>
      <w:r>
        <w:t xml:space="preserve"> Time horizon: 1990 to 2070 (5-year time steps).</w:t>
      </w:r>
    </w:p>
    <w:p>
      <w:pPr>
        <w:pStyle w:val="FirstParagraph"/>
      </w:pPr>
      <w:r>
        <w:t xml:space="preserve">17 Note that the scenario underpinning the REPowerEU plan builds on the scenarios supporting the “Fit for</w:t>
      </w:r>
      <w:r>
        <w:t xml:space="preserve"> </w:t>
      </w:r>
      <w:r>
        <w:t xml:space="preserve">55” package. For simplicity we will refer simply to the REPowerEU scenario</w:t>
      </w:r>
      <w:r>
        <w:br/>
      </w:r>
      <w:r>
        <w:t xml:space="preserve">18 The “current policy framework” includes EU initiatives adopted as part of the “Fit for 55 package”, the</w:t>
      </w:r>
      <w:r>
        <w:t xml:space="preserve"> </w:t>
      </w:r>
      <w:r>
        <w:t xml:space="preserve">REPowerEU plan and the national objectives and policies and measures as set out in the final National</w:t>
      </w:r>
      <w:r>
        <w:t xml:space="preserve"> </w:t>
      </w:r>
      <w:r>
        <w:t xml:space="preserve">Energy and Climate Plans 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50</w:t>
      </w:r>
    </w:p>
    <w:p>
      <w:pPr>
        <w:pStyle w:val="BodyText"/>
      </w:pPr>
      <w:r>
        <w:t xml:space="preserve"> Geography: individually all EU Member States, EU candidate countries and,</w:t>
      </w:r>
      <w:r>
        <w:t xml:space="preserve"> </w:t>
      </w:r>
      <w:r>
        <w:t xml:space="preserve">where relevant the United Kingdom, Norway, Switzerland and Bosnia and</w:t>
      </w:r>
      <w:r>
        <w:t xml:space="preserve"> </w:t>
      </w:r>
      <w:r>
        <w:t xml:space="preserve">Herzegovina.</w:t>
      </w:r>
      <w:r>
        <w:t xml:space="preserve"> </w:t>
      </w:r>
      <w:r>
        <w:t xml:space="preserve"> Impacts: energy system (PRIMES and its satellite model on biomass),</w:t>
      </w:r>
      <w:r>
        <w:t xml:space="preserve"> </w:t>
      </w:r>
      <w:r>
        <w:t xml:space="preserve">transport (PRIMES-TREMOVE).</w:t>
      </w:r>
      <w:r>
        <w:t xml:space="preserve"> </w:t>
      </w:r>
      <w:r>
        <w:t xml:space="preserve">The models have been continuously updated over the past decade. Very recently,</w:t>
      </w:r>
      <w:r>
        <w:t xml:space="preserve"> </w:t>
      </w:r>
      <w:r>
        <w:t xml:space="preserve">technology costs of heavy-duty vehicles and fuel prices have been revised (see sections</w:t>
      </w:r>
      <w:r>
        <w:t xml:space="preserve"> </w:t>
      </w:r>
      <w:r>
        <w:t xml:space="preserve">6.1.2 and 13.1 respectively).</w:t>
      </w:r>
      <w:r>
        <w:t xml:space="preserve"> </w:t>
      </w:r>
      <w:r>
        <w:t xml:space="preserve">13.1.1.2</w:t>
      </w:r>
      <w:r>
        <w:t xml:space="preserve"> </w:t>
      </w:r>
      <w:r>
        <w:t xml:space="preserve">Energy: the PRIMES model</w:t>
      </w:r>
      <w:r>
        <w:t xml:space="preserve"> </w:t>
      </w:r>
      <w:r>
        <w:t xml:space="preserve">The PRIMES model (Price-Induced Market Equilibrium System)19 is a large scale</w:t>
      </w:r>
      <w:r>
        <w:t xml:space="preserve"> </w:t>
      </w:r>
      <w:r>
        <w:t xml:space="preserve">applied energy system model that provides detailed projections of energy demand,</w:t>
      </w:r>
      <w:r>
        <w:t xml:space="preserve"> </w:t>
      </w:r>
      <w:r>
        <w:t xml:space="preserve">supply, prices and investment to the future, covering the entire energy system including</w:t>
      </w:r>
      <w:r>
        <w:t xml:space="preserve"> </w:t>
      </w:r>
      <w:r>
        <w:t xml:space="preserve">emissions. The distinctive feature of PRIMES is the combination of behavioural</w:t>
      </w:r>
      <w:r>
        <w:t xml:space="preserve"> </w:t>
      </w:r>
      <w:r>
        <w:t xml:space="preserve">modelling (following a micro-economic foundation) with engineering aspects, covering</w:t>
      </w:r>
      <w:r>
        <w:t xml:space="preserve"> </w:t>
      </w:r>
      <w:r>
        <w:t xml:space="preserve">all energy sectors and markets.</w:t>
      </w:r>
      <w:r>
        <w:br/>
      </w:r>
      <w:r>
        <w:t xml:space="preserve">The model has a detailed representation of policy instruments related to energy markets</w:t>
      </w:r>
      <w:r>
        <w:t xml:space="preserve"> </w:t>
      </w:r>
      <w:r>
        <w:t xml:space="preserve">and climate, including market drivers, standards, and targets by sector or overall. It</w:t>
      </w:r>
      <w:r>
        <w:t xml:space="preserve"> </w:t>
      </w:r>
      <w:r>
        <w:t xml:space="preserve">simulates the EU Emissions Trading System. It handles multiple policy objectives, such</w:t>
      </w:r>
      <w:r>
        <w:t xml:space="preserve"> </w:t>
      </w:r>
      <w:r>
        <w:t xml:space="preserve">as GHG emissions reductions, energy efficiency, and renewable energy targets, and</w:t>
      </w:r>
      <w:r>
        <w:t xml:space="preserve"> </w:t>
      </w:r>
      <w:r>
        <w:t xml:space="preserve">provides pan-European simulation of internal markets for electricity and gas.</w:t>
      </w:r>
      <w:r>
        <w:t xml:space="preserve"> </w:t>
      </w:r>
      <w:r>
        <w:t xml:space="preserve">The model covers the horizon up to 2070 in 5-year interval periods and includes all</w:t>
      </w:r>
      <w:r>
        <w:t xml:space="preserve"> </w:t>
      </w:r>
      <w:r>
        <w:t xml:space="preserve">Member States of the EU individually, as well as neighbouring and candidate countries.</w:t>
      </w:r>
      <w:r>
        <w:br/>
      </w:r>
      <w:r>
        <w:t xml:space="preserve">PRIMES offer the possibility of handling market distortions, barriers to rational</w:t>
      </w:r>
      <w:r>
        <w:t xml:space="preserve"> </w:t>
      </w:r>
      <w:r>
        <w:t xml:space="preserve">decisions, behaviours and market coordination issues and it has full accounting of costs</w:t>
      </w:r>
      <w:r>
        <w:t xml:space="preserve"> </w:t>
      </w:r>
      <w:r>
        <w:t xml:space="preserve">(CAPEX and OPEX) and investment on infrastructure needs.</w:t>
      </w:r>
      <w:r>
        <w:br/>
      </w:r>
      <w:r>
        <w:t xml:space="preserve">PRIMES is designed to analyse complex interactions within the energy system in a</w:t>
      </w:r>
      <w:r>
        <w:t xml:space="preserve"> </w:t>
      </w:r>
      <w:r>
        <w:t xml:space="preserve">multiple agent – multiple markets framework. Decisions by agents are formulated based</w:t>
      </w:r>
      <w:r>
        <w:t xml:space="preserve"> </w:t>
      </w:r>
      <w:r>
        <w:t xml:space="preserve">on microeconomic foundation (utility maximization, cost minimization and market</w:t>
      </w:r>
      <w:r>
        <w:t xml:space="preserve"> </w:t>
      </w:r>
      <w:r>
        <w:t xml:space="preserve">equilibrium) embedding engineering constraints and explicit representation of</w:t>
      </w:r>
      <w:r>
        <w:t xml:space="preserve"> </w:t>
      </w:r>
      <w:r>
        <w:t xml:space="preserve">technologies and vintages, thus allowing for foresight for the modelling of investment in</w:t>
      </w:r>
      <w:r>
        <w:t xml:space="preserve"> </w:t>
      </w:r>
      <w:r>
        <w:t xml:space="preserve">all sectors.</w:t>
      </w:r>
      <w:r>
        <w:t xml:space="preserve"> </w:t>
      </w:r>
      <w:r>
        <w:t xml:space="preserve">PRIMES allows simulating long-term transformations/transitions and includes non-linear</w:t>
      </w:r>
      <w:r>
        <w:t xml:space="preserve"> </w:t>
      </w:r>
      <w:r>
        <w:t xml:space="preserve">formulation of potentials by type (resources, sites, acceptability etc.) and technology</w:t>
      </w:r>
      <w:r>
        <w:t xml:space="preserve"> </w:t>
      </w:r>
      <w:r>
        <w:t xml:space="preserve">learning.</w:t>
      </w:r>
    </w:p>
    <w:p>
      <w:pPr>
        <w:pStyle w:val="BodyText"/>
      </w:pPr>
      <w:r>
        <w:t xml:space="preserve">19 More information and model documentation: https://e3modelling.com/modelling-</w:t>
      </w:r>
      <w:r>
        <w:t xml:space="preserve"> </w:t>
      </w:r>
      <w:r>
        <w:t xml:space="preserve">tools/primes/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51</w:t>
      </w:r>
    </w:p>
    <w:p>
      <w:pPr>
        <w:pStyle w:val="BodyText"/>
      </w:pPr>
      <w:r>
        <w:t xml:space="preserve">Figure 3: Schematic representation of the PRIMES model</w:t>
      </w:r>
    </w:p>
    <w:p>
      <w:pPr>
        <w:pStyle w:val="BodyText"/>
      </w:pPr>
      <w:r>
        <w:t xml:space="preserve">It includes a detailed numerical model on biomass supply, namely PRIMES-Biomass,</w:t>
      </w:r>
      <w:r>
        <w:t xml:space="preserve"> </w:t>
      </w:r>
      <w:r>
        <w:t xml:space="preserve">which simulates the economics of current and future supply of biomass and waste for</w:t>
      </w:r>
      <w:r>
        <w:t xml:space="preserve"> </w:t>
      </w:r>
      <w:r>
        <w:t xml:space="preserve">energy purposes. The model calculates the inputs in terms of primary feedstock of</w:t>
      </w:r>
      <w:r>
        <w:t xml:space="preserve"> </w:t>
      </w:r>
      <w:r>
        <w:t xml:space="preserve">biomass and waste to satisfy a given demand for bio-energy and provides quantification</w:t>
      </w:r>
      <w:r>
        <w:t xml:space="preserve"> </w:t>
      </w:r>
      <w:r>
        <w:t xml:space="preserve">of the required capacity to transform feedstock into bioenergy commodities. The</w:t>
      </w:r>
      <w:r>
        <w:t xml:space="preserve"> </w:t>
      </w:r>
      <w:r>
        <w:t xml:space="preserve">resulting production costs and prices are quantified. The PRIMES-Biomass model is a</w:t>
      </w:r>
      <w:r>
        <w:t xml:space="preserve"> </w:t>
      </w:r>
      <w:r>
        <w:t xml:space="preserve">key link of communication between the energy system projections obtained by the core</w:t>
      </w:r>
      <w:r>
        <w:t xml:space="preserve"> </w:t>
      </w:r>
      <w:r>
        <w:t xml:space="preserve">PRIMES energy system model and the projections on agriculture, forestry and non-CO2</w:t>
      </w:r>
      <w:r>
        <w:t xml:space="preserve"> </w:t>
      </w:r>
      <w:r>
        <w:t xml:space="preserve">emissions provided by other modelling tools participating in the scenario modelling suite</w:t>
      </w:r>
      <w:r>
        <w:t xml:space="preserve"> </w:t>
      </w:r>
      <w:r>
        <w:t xml:space="preserve">(CAPRI, GLOBIOM/G4M, GAINS).</w:t>
      </w:r>
      <w:r>
        <w:br/>
      </w:r>
      <w:r>
        <w:t xml:space="preserve">It also includes a simple module which projects industrial process GHG emissions.</w:t>
      </w:r>
      <w:r>
        <w:br/>
      </w:r>
      <w:r>
        <w:t xml:space="preserve">PRIMES is a private model maintained by E3Modelling20, originally developed in the</w:t>
      </w:r>
      <w:r>
        <w:t xml:space="preserve"> </w:t>
      </w:r>
      <w:r>
        <w:t xml:space="preserve">context of a series of research programmes co-financed by the European Commission.</w:t>
      </w:r>
      <w:r>
        <w:t xml:space="preserve"> </w:t>
      </w:r>
      <w:r>
        <w:t xml:space="preserve">The model has been successfully peer-reviewed, last in 201121; team members regularly</w:t>
      </w:r>
      <w:r>
        <w:t xml:space="preserve"> </w:t>
      </w:r>
      <w:r>
        <w:t xml:space="preserve">participate in international conferences and publish in scientific peer-reviewed journals.</w:t>
      </w:r>
      <w:r>
        <w:t xml:space="preserve"> </w:t>
      </w:r>
      <w:r>
        <w:t xml:space="preserve">Sources for data inputs</w:t>
      </w:r>
      <w:r>
        <w:t xml:space="preserve"> </w:t>
      </w:r>
      <w:r>
        <w:t xml:space="preserve">A summary of database sources, in the current version of PRIMES, is provided below:</w:t>
      </w:r>
      <w:r>
        <w:t xml:space="preserve"> </w:t>
      </w:r>
      <w:r>
        <w:t xml:space="preserve">•</w:t>
      </w:r>
      <w:r>
        <w:t xml:space="preserve"> </w:t>
      </w:r>
      <w:r>
        <w:t xml:space="preserve">Eurostat and EEA: Energy Balance sheets, Energy prices (complemented by</w:t>
      </w:r>
      <w:r>
        <w:t xml:space="preserve"> </w:t>
      </w:r>
      <w:r>
        <w:t xml:space="preserve">other sources, such IEA), macroeconomic and sectoral activity data (PRIMES</w:t>
      </w:r>
      <w:r>
        <w:t xml:space="preserve"> </w:t>
      </w:r>
      <w:r>
        <w:t xml:space="preserve">sectors correspond to NACE 3-digit classification), population data and</w:t>
      </w:r>
    </w:p>
    <w:p>
      <w:pPr>
        <w:pStyle w:val="BodyText"/>
      </w:pPr>
      <w:r>
        <w:t xml:space="preserve">20 E3Modelling (https://e3modelling.com/) is a private consulting, established as a spin-off inheriting staff,</w:t>
      </w:r>
      <w:r>
        <w:t xml:space="preserve"> </w:t>
      </w:r>
      <w:r>
        <w:t xml:space="preserve">knowledge and software-modelling innovation of the laboratory E3MLab from the National Technical</w:t>
      </w:r>
      <w:r>
        <w:t xml:space="preserve"> </w:t>
      </w:r>
      <w:r>
        <w:t xml:space="preserve">University of Athens (NTUA).</w:t>
      </w:r>
      <w:r>
        <w:br/>
      </w:r>
      <w:r>
        <w:t xml:space="preserve">21SEC(2011)1569: https://ec.europa.eu/energy/sites/ener/files/documents/sec_2011_1569_2.pdf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52</w:t>
      </w:r>
    </w:p>
    <w:p>
      <w:pPr>
        <w:pStyle w:val="BodyText"/>
      </w:pPr>
      <w:r>
        <w:t xml:space="preserve">projections, physical activity data (complemented by other sources), CHP</w:t>
      </w:r>
      <w:r>
        <w:t xml:space="preserve"> </w:t>
      </w:r>
      <w:r>
        <w:t xml:space="preserve">surveys, CO2 emission factors (sectoral and reference approaches) and EU</w:t>
      </w:r>
      <w:r>
        <w:t xml:space="preserve"> </w:t>
      </w:r>
      <w:r>
        <w:t xml:space="preserve">ETS registry for allocating emissions between ETS and non ETS</w:t>
      </w:r>
      <w:r>
        <w:t xml:space="preserve"> </w:t>
      </w:r>
      <w:r>
        <w:t xml:space="preserve">•</w:t>
      </w:r>
      <w:r>
        <w:t xml:space="preserve"> </w:t>
      </w:r>
      <w:r>
        <w:t xml:space="preserve">Technology databases: ODYSSEE-MURE22, ICARUS, Eco-design, VGB</w:t>
      </w:r>
      <w:r>
        <w:t xml:space="preserve"> </w:t>
      </w:r>
      <w:r>
        <w:t xml:space="preserve">(power technology costs), TECHPOL – supply sector technologies, NEMS</w:t>
      </w:r>
      <w:r>
        <w:t xml:space="preserve"> </w:t>
      </w:r>
      <w:r>
        <w:t xml:space="preserve">model database23, IPPC BAT Technologies24</w:t>
      </w:r>
      <w:r>
        <w:t xml:space="preserve"> </w:t>
      </w:r>
      <w:r>
        <w:t xml:space="preserve">•</w:t>
      </w:r>
      <w:r>
        <w:t xml:space="preserve"> </w:t>
      </w:r>
      <w:r>
        <w:t xml:space="preserve">Power Plant Inventory: ESAP SA and PLATTS</w:t>
      </w:r>
      <w:r>
        <w:t xml:space="preserve"> </w:t>
      </w:r>
      <w:r>
        <w:t xml:space="preserve">•</w:t>
      </w:r>
      <w:r>
        <w:t xml:space="preserve"> </w:t>
      </w:r>
      <w:r>
        <w:t xml:space="preserve">RES capacities, potential and availability: JRC ENSPRESO25, JRC</w:t>
      </w:r>
      <w:r>
        <w:t xml:space="preserve"> </w:t>
      </w:r>
      <w:r>
        <w:t xml:space="preserve">EMHIRES26, RES ninja27, ECN, DLR and Observer, IRENA</w:t>
      </w:r>
      <w:r>
        <w:t xml:space="preserve"> </w:t>
      </w:r>
      <w:r>
        <w:t xml:space="preserve">•</w:t>
      </w:r>
      <w:r>
        <w:t xml:space="preserve"> </w:t>
      </w:r>
      <w:r>
        <w:t xml:space="preserve">Network infrastructure: ENTSOE, GIE, other operators</w:t>
      </w:r>
      <w:r>
        <w:t xml:space="preserve"> </w:t>
      </w:r>
      <w:r>
        <w:t xml:space="preserve">•</w:t>
      </w:r>
      <w:r>
        <w:t xml:space="preserve"> </w:t>
      </w:r>
      <w:r>
        <w:t xml:space="preserve">Other databases: EU GHG inventories, district heating surveys (e.g. from</w:t>
      </w:r>
      <w:r>
        <w:t xml:space="preserve"> </w:t>
      </w:r>
      <w:r>
        <w:t xml:space="preserve">COGEN), buildings and houses statistics and surveys (various sources,</w:t>
      </w:r>
      <w:r>
        <w:t xml:space="preserve"> </w:t>
      </w:r>
      <w:r>
        <w:t xml:space="preserve">including ENTRANZE project28, INSPIRE archive, BPIE29), JRC-IDEES30,</w:t>
      </w:r>
      <w:r>
        <w:t xml:space="preserve"> </w:t>
      </w:r>
      <w:r>
        <w:t xml:space="preserve">update to the EU Building stock Observatory31</w:t>
      </w:r>
      <w:r>
        <w:t xml:space="preserve"> </w:t>
      </w:r>
      <w:r>
        <w:t xml:space="preserve">13.1.1.3</w:t>
      </w:r>
      <w:r>
        <w:t xml:space="preserve"> </w:t>
      </w:r>
      <w:r>
        <w:t xml:space="preserve">Transport: the PRIMES-TREMOVE model</w:t>
      </w:r>
      <w:r>
        <w:br/>
      </w:r>
      <w:r>
        <w:t xml:space="preserve">The PRIMES-TREMOVE transport model projects the evolution of demand for</w:t>
      </w:r>
      <w:r>
        <w:t xml:space="preserve"> </w:t>
      </w:r>
      <w:r>
        <w:t xml:space="preserve">passengers and freight transport, by transport mode, and transport vehicle/technology,</w:t>
      </w:r>
      <w:r>
        <w:t xml:space="preserve"> </w:t>
      </w:r>
      <w:r>
        <w:t xml:space="preserve">following a formulation based on microeconomic foundation of decisions of multiple</w:t>
      </w:r>
      <w:r>
        <w:t xml:space="preserve"> </w:t>
      </w:r>
      <w:r>
        <w:t xml:space="preserve">actors. Operation, investment and emission costs, various policy measures, utility factors</w:t>
      </w:r>
      <w:r>
        <w:t xml:space="preserve"> </w:t>
      </w:r>
      <w:r>
        <w:t xml:space="preserve">and congestion are among the drivers that influence the projections of the model. The</w:t>
      </w:r>
      <w:r>
        <w:t xml:space="preserve"> </w:t>
      </w:r>
      <w:r>
        <w:t xml:space="preserve">projections of activity, equipment (fleet), usage of equipment, energy consumption and</w:t>
      </w:r>
      <w:r>
        <w:t xml:space="preserve"> </w:t>
      </w:r>
      <w:r>
        <w:t xml:space="preserve">emissions (and other externalities) constitute the set of model outputs. The PRIMES-</w:t>
      </w:r>
      <w:r>
        <w:t xml:space="preserve"> </w:t>
      </w:r>
      <w:r>
        <w:t xml:space="preserve">TREMOVE transport model can therefore provide the quantitative analysis for the</w:t>
      </w:r>
      <w:r>
        <w:t xml:space="preserve"> </w:t>
      </w:r>
      <w:r>
        <w:t xml:space="preserve">transport sector in the EU, candidate and neighbouring countries covering activity,</w:t>
      </w:r>
      <w:r>
        <w:t xml:space="preserve"> </w:t>
      </w:r>
      <w:r>
        <w:t xml:space="preserve">equipment, energy and emissions. The model accounts for each country separately which</w:t>
      </w:r>
      <w:r>
        <w:t xml:space="preserve"> </w:t>
      </w:r>
      <w:r>
        <w:t xml:space="preserve">means that the detailed long-term outlooks are available both for each country and in</w:t>
      </w:r>
      <w:r>
        <w:t xml:space="preserve"> </w:t>
      </w:r>
      <w:r>
        <w:t xml:space="preserve">aggregate forms (e.g. EU level).</w:t>
      </w:r>
      <w:r>
        <w:t xml:space="preserve"> </w:t>
      </w:r>
      <w:r>
        <w:t xml:space="preserve">In the transport field, PRIMES-TREMOVE is suitable for modelling soft measures (e.g. </w:t>
      </w:r>
      <w:r>
        <w:t xml:space="preserve"> </w:t>
      </w:r>
      <w:r>
        <w:t xml:space="preserve">eco-driving, labelling); economic measures (e.g. subsidies and taxes on fuels, vehicles,</w:t>
      </w:r>
      <w:r>
        <w:t xml:space="preserve"> </w:t>
      </w:r>
      <w:r>
        <w:t xml:space="preserve">emissions; ETS for transport when linked with PRIMES; pricing of congestion and other</w:t>
      </w:r>
      <w:r>
        <w:t xml:space="preserve"> </w:t>
      </w:r>
      <w:r>
        <w:t xml:space="preserve">externalities such as air pollution, accidents and noise; measures supporting R&amp;D);</w:t>
      </w:r>
      <w:r>
        <w:t xml:space="preserve"> </w:t>
      </w:r>
      <w:r>
        <w:t xml:space="preserve">regulatory measures (e.g. CO2 emission performance standards for new light duty</w:t>
      </w:r>
      <w:r>
        <w:t xml:space="preserve"> </w:t>
      </w:r>
      <w:r>
        <w:t xml:space="preserve">vehicles and heavy duty vehicles; Euro standards on pollutant emissions from road</w:t>
      </w:r>
      <w:r>
        <w:t xml:space="preserve"> </w:t>
      </w:r>
      <w:r>
        <w:t xml:space="preserve">transport vehicles; technology standards for non-road transport technologies, deployment</w:t>
      </w:r>
      <w:r>
        <w:t xml:space="preserve"> </w:t>
      </w:r>
      <w:r>
        <w:t xml:space="preserve">of Intelligent Transport Systems) and infrastructure policies for alternative fuels (e.g. </w:t>
      </w:r>
      <w:r>
        <w:t xml:space="preserve"> </w:t>
      </w:r>
      <w:r>
        <w:t xml:space="preserve">deployment of refuelling/recharging infrastructure for electricity, hydrogen, LNG, CNG).</w:t>
      </w:r>
      <w:r>
        <w:t xml:space="preserve"> </w:t>
      </w:r>
      <w:r>
        <w:t xml:space="preserve">Used as a module that contributes to the PRIMES model energy system model, PRIMES-</w:t>
      </w:r>
      <w:r>
        <w:t xml:space="preserve"> </w:t>
      </w:r>
      <w:r>
        <w:t xml:space="preserve">TREMOVE can show how policies and trends in the field of transport contribute to</w:t>
      </w:r>
    </w:p>
    <w:p>
      <w:pPr>
        <w:pStyle w:val="BodyText"/>
      </w:pPr>
      <w:r>
        <w:t xml:space="preserve">22 Source: https://www.odyssee-mure.eu</w:t>
      </w:r>
      <w:r>
        <w:br/>
      </w:r>
      <w:r>
        <w:t xml:space="preserve">23 Source: https://www.eia.gov/outlooks/aeo/info_nems_archive.php</w:t>
      </w:r>
      <w:r>
        <w:t xml:space="preserve"> </w:t>
      </w:r>
      <w:r>
        <w:t xml:space="preserve">24 Source: https://eippcb.jrc.ec.europa.eu/reference/</w:t>
      </w:r>
      <w:r>
        <w:br/>
      </w:r>
      <w:r>
        <w:t xml:space="preserve">25 Source: https://data.jrc.ec.europa.eu/collection/id-00138</w:t>
      </w:r>
      <w:r>
        <w:t xml:space="preserve"> </w:t>
      </w:r>
      <w:r>
        <w:t xml:space="preserve">26 Source: https://data.jrc.ec.europa.eu/dataset/jrc-emhires-wind-generation-time-series</w:t>
      </w:r>
      <w:r>
        <w:t xml:space="preserve"> </w:t>
      </w:r>
      <w:r>
        <w:t xml:space="preserve">27 Source: https://www.renewables.ninja/</w:t>
      </w:r>
      <w:r>
        <w:t xml:space="preserve"> </w:t>
      </w:r>
      <w:r>
        <w:t xml:space="preserve">28 Source: https://www.entranze.eu/</w:t>
      </w:r>
      <w:r>
        <w:t xml:space="preserve"> </w:t>
      </w:r>
      <w:r>
        <w:t xml:space="preserve">29 Source: http://bpie.eu/</w:t>
      </w:r>
      <w:r>
        <w:t xml:space="preserve"> </w:t>
      </w:r>
      <w:r>
        <w:t xml:space="preserve">30 Source: https://ec.europa.eu/jrc/en/potencia/jrc-idees</w:t>
      </w:r>
      <w:r>
        <w:br/>
      </w:r>
      <w:r>
        <w:t xml:space="preserve">31 Source: https://ec.europa.eu/energy/en/eubuildings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53</w:t>
      </w:r>
    </w:p>
    <w:p>
      <w:pPr>
        <w:pStyle w:val="BodyText"/>
      </w:pPr>
      <w:r>
        <w:t xml:space="preserve">economy-wide trends in energy use and emissions. Using data disaggregated per Member</w:t>
      </w:r>
      <w:r>
        <w:t xml:space="preserve"> </w:t>
      </w:r>
      <w:r>
        <w:t xml:space="preserve">State, the model can show differentiated trends across Member States.</w:t>
      </w:r>
      <w:r>
        <w:br/>
      </w:r>
      <w:r>
        <w:t xml:space="preserve">The PRIMES-TREMOVE model is used, together with PRIMES, to quantitatively</w:t>
      </w:r>
      <w:r>
        <w:t xml:space="preserve"> </w:t>
      </w:r>
      <w:r>
        <w:t xml:space="preserve">describe the baseline scenario, in a fully consistent way with the REPowerEU, Fit for 55</w:t>
      </w:r>
      <w:r>
        <w:t xml:space="preserve"> </w:t>
      </w:r>
      <w:r>
        <w:t xml:space="preserve">and the Climate target plan analytical scenarios. The model allows for a representation of</w:t>
      </w:r>
      <w:r>
        <w:t xml:space="preserve"> </w:t>
      </w:r>
      <w:r>
        <w:t xml:space="preserve">the market dynamics, projecting demand for freight and passenger transportation services</w:t>
      </w:r>
      <w:r>
        <w:t xml:space="preserve"> </w:t>
      </w:r>
      <w:r>
        <w:t xml:space="preserve">(based on the projected economic activity as in the Reference Scenario 2020) and the</w:t>
      </w:r>
      <w:r>
        <w:t xml:space="preserve"> </w:t>
      </w:r>
      <w:r>
        <w:t xml:space="preserve">projected cost-optimal technology mix (based on the abovementioned technology costs)</w:t>
      </w:r>
      <w:r>
        <w:t xml:space="preserve"> </w:t>
      </w:r>
      <w:r>
        <w:t xml:space="preserve">to produce passenger and freight services which meet such demand. The different</w:t>
      </w:r>
      <w:r>
        <w:t xml:space="preserve"> </w:t>
      </w:r>
      <w:r>
        <w:t xml:space="preserve">categories and powertrain types of HDV are represented in the model and they are an</w:t>
      </w:r>
      <w:r>
        <w:t xml:space="preserve"> </w:t>
      </w:r>
      <w:r>
        <w:t xml:space="preserve">available choice to meet transport demand. In addition, the model formulates the</w:t>
      </w:r>
      <w:r>
        <w:t xml:space="preserve"> </w:t>
      </w:r>
      <w:r>
        <w:t xml:space="preserve">dynamics of vehicle stock turnover.</w:t>
      </w:r>
      <w:r>
        <w:br/>
      </w:r>
      <w:r>
        <w:t xml:space="preserve">The PRIMES-TREMOVE has been developed and is maintained by E3Modelling, based</w:t>
      </w:r>
      <w:r>
        <w:t xml:space="preserve"> </w:t>
      </w:r>
      <w:r>
        <w:t xml:space="preserve">on, but extending features of, the open source TREMOVE model developed by the</w:t>
      </w:r>
      <w:r>
        <w:t xml:space="preserve"> </w:t>
      </w:r>
      <w:r>
        <w:t xml:space="preserve">TREMOVE32 modelling community. Part of the model (e.g. the utility nested tree) was</w:t>
      </w:r>
      <w:r>
        <w:t xml:space="preserve"> </w:t>
      </w:r>
      <w:r>
        <w:t xml:space="preserve">built following the TREMOVE model.33 Other parts, like the component on fuel</w:t>
      </w:r>
      <w:r>
        <w:t xml:space="preserve"> </w:t>
      </w:r>
      <w:r>
        <w:t xml:space="preserve">consumption and emissions, follow the COPERT model.</w:t>
      </w:r>
      <w:r>
        <w:t xml:space="preserve"> </w:t>
      </w:r>
      <w:r>
        <w:t xml:space="preserve">While PRIMES-TREMOVE is privately owned, it is documented in several publications</w:t>
      </w:r>
      <w:r>
        <w:t xml:space="preserve"> </w:t>
      </w:r>
      <w:r>
        <w:t xml:space="preserve">in scientific journals and in the model documentation which is publicly available. It has</w:t>
      </w:r>
      <w:r>
        <w:t xml:space="preserve"> </w:t>
      </w:r>
      <w:r>
        <w:t xml:space="preserve">been extensively used both for scientific publication and for policy assessment (including</w:t>
      </w:r>
      <w:r>
        <w:t xml:space="preserve"> </w:t>
      </w:r>
      <w:r>
        <w:t xml:space="preserve">in the IA supporting the current HDV standards, in different proposal of the Fit-for-55</w:t>
      </w:r>
      <w:r>
        <w:t xml:space="preserve"> </w:t>
      </w:r>
      <w:r>
        <w:t xml:space="preserve">package, including the IA supporting the LDV CO2 standards, and in the REPowerEU</w:t>
      </w:r>
      <w:r>
        <w:t xml:space="preserve"> </w:t>
      </w:r>
      <w:r>
        <w:t xml:space="preserve">Plan), not only by the European Commission in several IA but also by different</w:t>
      </w:r>
      <w:r>
        <w:t xml:space="preserve"> </w:t>
      </w:r>
      <w:r>
        <w:t xml:space="preserve">stakeholders and Member States.</w:t>
      </w:r>
      <w:r>
        <w:br/>
      </w:r>
      <w:r>
        <w:t xml:space="preserve">As a module of the PRIMES energy system model, PRIMES-TREMOVE has been</w:t>
      </w:r>
      <w:r>
        <w:t xml:space="preserve"> </w:t>
      </w:r>
      <w:r>
        <w:t xml:space="preserve">successfully peer reviewed in the past. The model results have been communicated to the</w:t>
      </w:r>
      <w:r>
        <w:t xml:space="preserve"> </w:t>
      </w:r>
      <w:r>
        <w:t xml:space="preserve">scientific audience. Model results have also been reviewed as part of deliverables in</w:t>
      </w:r>
      <w:r>
        <w:t xml:space="preserve"> </w:t>
      </w:r>
      <w:r>
        <w:t xml:space="preserve">Horizon 2020 research projects. Additional information is publicly available on the JRC</w:t>
      </w:r>
      <w:r>
        <w:t xml:space="preserve"> </w:t>
      </w:r>
      <w:r>
        <w:t xml:space="preserve">webpage</w:t>
      </w:r>
      <w:r>
        <w:t xml:space="preserve"> </w:t>
      </w:r>
      <w:r>
        <w:t xml:space="preserve">https://web.jrc.ec.europa.eu/policy-model-inventory/explore/models/model-</w:t>
      </w:r>
      <w:r>
        <w:t xml:space="preserve"> </w:t>
      </w:r>
      <w:r>
        <w:t xml:space="preserve">primes-tremove.</w:t>
      </w:r>
      <w:r>
        <w:t xml:space="preserve"> </w:t>
      </w:r>
      <w:r>
        <w:t xml:space="preserve">Data inputs</w:t>
      </w:r>
      <w:r>
        <w:t xml:space="preserve"> </w:t>
      </w:r>
      <w:r>
        <w:t xml:space="preserve">The main data sources for inputs to the PRIMES-TREMOVE model, such as for activity</w:t>
      </w:r>
      <w:r>
        <w:t xml:space="preserve"> </w:t>
      </w:r>
      <w:r>
        <w:t xml:space="preserve">and energy consumption, comes from EUROSTAT database and from the Statistical</w:t>
      </w:r>
      <w:r>
        <w:t xml:space="preserve"> </w:t>
      </w:r>
      <w:r>
        <w:t xml:space="preserve">Pocketbook “EU transport in figures34. Excise taxes are derived from DG TAXUD excise</w:t>
      </w:r>
      <w:r>
        <w:t xml:space="preserve"> </w:t>
      </w:r>
      <w:r>
        <w:t xml:space="preserve">duty tables. Other data comes from different sources such as research projects (e.g. </w:t>
      </w:r>
      <w:r>
        <w:t xml:space="preserve"> </w:t>
      </w:r>
      <w:r>
        <w:t xml:space="preserve">TRACCS project) and reports.</w:t>
      </w:r>
    </w:p>
    <w:p>
      <w:pPr>
        <w:pStyle w:val="BodyText"/>
      </w:pPr>
      <w:r>
        <w:t xml:space="preserve">32 Source: https://www.tmleuven.be/en/navigation/TREMOVE</w:t>
      </w:r>
      <w:r>
        <w:br/>
      </w:r>
      <w:r>
        <w:t xml:space="preserve">33 Several model enhancements were made compared to the standard TREMOVE model, as for example</w:t>
      </w:r>
      <w:r>
        <w:t xml:space="preserve"> </w:t>
      </w:r>
      <w:r>
        <w:t xml:space="preserve">the technology categories which include vehicle types using electricity from the grid and fuel cells. The</w:t>
      </w:r>
      <w:r>
        <w:t xml:space="preserve"> </w:t>
      </w:r>
      <w:r>
        <w:t xml:space="preserve">model also incorporates additional fuel types, such as biofuels (when they differ from standard fossil fuel</w:t>
      </w:r>
      <w:r>
        <w:t xml:space="preserve"> </w:t>
      </w:r>
      <w:r>
        <w:t xml:space="preserve">technologies), LPG, LNG, hydrogen and e-fuels. In addition, representation of infrastructure for refuelling</w:t>
      </w:r>
      <w:r>
        <w:t xml:space="preserve"> </w:t>
      </w:r>
      <w:r>
        <w:t xml:space="preserve">and recharging are among the model refinements, influencing fuel choices. A major model enhancement</w:t>
      </w:r>
      <w:r>
        <w:t xml:space="preserve"> </w:t>
      </w:r>
      <w:r>
        <w:t xml:space="preserve">concerns the inclusion of heterogeneity in the distance of stylised trips; the model considers that the trip</w:t>
      </w:r>
      <w:r>
        <w:t xml:space="preserve"> </w:t>
      </w:r>
      <w:r>
        <w:t xml:space="preserve">distances follow a distribution function with different distances and frequencies. The inclusion of</w:t>
      </w:r>
      <w:r>
        <w:t xml:space="preserve"> </w:t>
      </w:r>
      <w:r>
        <w:t xml:space="preserve">heterogeneity was found to be of significant influence in the choice of vehicle-fuels especially for vehicles-</w:t>
      </w:r>
      <w:r>
        <w:t xml:space="preserve"> </w:t>
      </w:r>
      <w:r>
        <w:t xml:space="preserve">fuels with range limitations.</w:t>
      </w:r>
      <w:r>
        <w:t xml:space="preserve"> </w:t>
      </w:r>
      <w:r>
        <w:t xml:space="preserve">34 Source: https://ec.europa.eu/transport/facts-fundings/statistics_en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54</w:t>
      </w:r>
    </w:p>
    <w:p>
      <w:pPr>
        <w:pStyle w:val="BodyText"/>
      </w:pPr>
      <w:r>
        <w:t xml:space="preserve">In the context of this exercise, the PRIMES-TREMOVE transport model is calibrated to</w:t>
      </w:r>
      <w:r>
        <w:t xml:space="preserve"> </w:t>
      </w:r>
      <w:r>
        <w:t xml:space="preserve">2005, 2010 and 2015 historical data. Available data on 2020 market shares of different</w:t>
      </w:r>
      <w:r>
        <w:t xml:space="preserve"> </w:t>
      </w:r>
      <w:r>
        <w:t xml:space="preserve">powertrain types have also been taken into account.</w:t>
      </w:r>
      <w:r>
        <w:t xml:space="preserve"> </w:t>
      </w:r>
      <w:r>
        <w:t xml:space="preserve">13.1.3</w:t>
      </w:r>
      <w:r>
        <w:t xml:space="preserve"> </w:t>
      </w:r>
      <w:r>
        <w:t xml:space="preserve">Economic assumptions</w:t>
      </w:r>
      <w:r>
        <w:t xml:space="preserve"> </w:t>
      </w:r>
      <w:r>
        <w:t xml:space="preserve">The modelling work is based on socio-economic assumptions describing the expected</w:t>
      </w:r>
      <w:r>
        <w:t xml:space="preserve"> </w:t>
      </w:r>
      <w:r>
        <w:t xml:space="preserve">evolution of the European society. Long-term projections on population dynamics and</w:t>
      </w:r>
      <w:r>
        <w:t xml:space="preserve"> </w:t>
      </w:r>
      <w:r>
        <w:t xml:space="preserve">economic activity form part of the input to the energy model and are used to estimate</w:t>
      </w:r>
      <w:r>
        <w:t xml:space="preserve"> </w:t>
      </w:r>
      <w:r>
        <w:t xml:space="preserve">final energy demand.</w:t>
      </w:r>
      <w:r>
        <w:br/>
      </w:r>
      <w:r>
        <w:t xml:space="preserve">Population projections from Eurostat35 are used to estimate the evolution of the European</w:t>
      </w:r>
      <w:r>
        <w:t xml:space="preserve"> </w:t>
      </w:r>
      <w:r>
        <w:t xml:space="preserve">population, which is expected to change little in total number in the coming decades. The</w:t>
      </w:r>
      <w:r>
        <w:t xml:space="preserve"> </w:t>
      </w:r>
      <w:r>
        <w:t xml:space="preserve">GDP growth projections are from the Ageing Report 202136 by the Directorate General</w:t>
      </w:r>
      <w:r>
        <w:t xml:space="preserve"> </w:t>
      </w:r>
      <w:r>
        <w:t xml:space="preserve">for Economic and Financial Affairs, which are based on the same population growth</w:t>
      </w:r>
      <w:r>
        <w:t xml:space="preserve"> </w:t>
      </w:r>
      <w:r>
        <w:t xml:space="preserve">assumptions.</w:t>
      </w:r>
    </w:p>
    <w:p>
      <w:pPr>
        <w:pStyle w:val="BodyText"/>
      </w:pPr>
      <w:r>
        <w:t xml:space="preserve">35 EUROPOP2019 population projections</w:t>
      </w:r>
      <w:r>
        <w:t xml:space="preserve"> </w:t>
      </w:r>
      <w:r>
        <w:t xml:space="preserve">https://ec.europa.eu/eurostat/web/population-demography-migration-projections/population-projections-</w:t>
      </w:r>
      <w:r>
        <w:t xml:space="preserve"> </w:t>
      </w:r>
      <w:r>
        <w:t xml:space="preserve">data</w:t>
      </w:r>
      <w:r>
        <w:br/>
      </w:r>
      <w:r>
        <w:t xml:space="preserve">36</w:t>
      </w:r>
      <w:r>
        <w:t xml:space="preserve"> </w:t>
      </w:r>
      <w:r>
        <w:t xml:space="preserve">The</w:t>
      </w:r>
      <w:r>
        <w:t xml:space="preserve"> </w:t>
      </w:r>
      <w:r>
        <w:t xml:space="preserve">2021</w:t>
      </w:r>
      <w:r>
        <w:t xml:space="preserve"> </w:t>
      </w:r>
      <w:r>
        <w:t xml:space="preserve">Ageing</w:t>
      </w:r>
      <w:r>
        <w:t xml:space="preserve"> </w:t>
      </w:r>
      <w:r>
        <w:t xml:space="preserve">Report :</w:t>
      </w:r>
      <w:r>
        <w:t xml:space="preserve"> </w:t>
      </w:r>
      <w:r>
        <w:t xml:space="preserve">Underlying</w:t>
      </w:r>
      <w:r>
        <w:t xml:space="preserve"> </w:t>
      </w:r>
      <w:r>
        <w:t xml:space="preserve">assumptions</w:t>
      </w:r>
      <w:r>
        <w:t xml:space="preserve"> </w:t>
      </w:r>
      <w:r>
        <w:t xml:space="preserve">and</w:t>
      </w:r>
      <w:r>
        <w:t xml:space="preserve"> </w:t>
      </w:r>
      <w:r>
        <w:t xml:space="preserve">projection</w:t>
      </w:r>
      <w:r>
        <w:t xml:space="preserve"> </w:t>
      </w:r>
      <w:r>
        <w:t xml:space="preserve">methodologies</w:t>
      </w:r>
      <w:r>
        <w:t xml:space="preserve"> </w:t>
      </w:r>
      <w:r>
        <w:t xml:space="preserve">https://ec.europa.eu/info/publications/2021-ageing-report-underlying-assumptions-and-projection-</w:t>
      </w:r>
      <w:r>
        <w:t xml:space="preserve"> </w:t>
      </w:r>
      <w:r>
        <w:t xml:space="preserve">methodologies_en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55</w:t>
      </w:r>
    </w:p>
    <w:p>
      <w:pPr>
        <w:pStyle w:val="BodyText"/>
      </w:pPr>
      <w:r>
        <w:t xml:space="preserve">Table 3: Projected population and GDP growth per MS</w:t>
      </w:r>
      <w:r>
        <w:t xml:space="preserve"> </w:t>
      </w:r>
      <w:r>
        <w:t xml:space="preserve">Population</w:t>
      </w:r>
      <w:r>
        <w:br/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 2026-‘30</w:t>
      </w:r>
      <w:r>
        <w:t xml:space="preserve"> </w:t>
      </w:r>
      <w:r>
        <w:t xml:space="preserve">EU27</w:t>
      </w:r>
      <w:r>
        <w:t xml:space="preserve"> </w:t>
      </w:r>
      <w:r>
        <w:t xml:space="preserve">447.7 449.3 449.1 0.9%</w:t>
      </w:r>
      <w:r>
        <w:t xml:space="preserve"> </w:t>
      </w:r>
      <w:r>
        <w:t xml:space="preserve">1.1%</w:t>
      </w:r>
      <w:r>
        <w:t xml:space="preserve"> </w:t>
      </w:r>
      <w:r>
        <w:t xml:space="preserve">Austria</w:t>
      </w:r>
      <w:r>
        <w:t xml:space="preserve"> </w:t>
      </w:r>
      <w:r>
        <w:t xml:space="preserve">8.90</w:t>
      </w:r>
      <w:r>
        <w:t xml:space="preserve"> </w:t>
      </w:r>
      <w:r>
        <w:t xml:space="preserve">9.03</w:t>
      </w:r>
      <w:r>
        <w:t xml:space="preserve"> </w:t>
      </w:r>
      <w:r>
        <w:t xml:space="preserve">9.15</w:t>
      </w:r>
      <w:r>
        <w:t xml:space="preserve"> </w:t>
      </w:r>
      <w:r>
        <w:t xml:space="preserve">0.9%</w:t>
      </w:r>
      <w:r>
        <w:t xml:space="preserve"> </w:t>
      </w:r>
      <w:r>
        <w:t xml:space="preserve">1.2%</w:t>
      </w:r>
      <w:r>
        <w:t xml:space="preserve"> </w:t>
      </w:r>
      <w:r>
        <w:t xml:space="preserve">Belgium</w:t>
      </w:r>
      <w:r>
        <w:t xml:space="preserve"> </w:t>
      </w:r>
      <w:r>
        <w:t xml:space="preserve">11.51 11.66 11.76 0.8%</w:t>
      </w:r>
      <w:r>
        <w:t xml:space="preserve"> </w:t>
      </w:r>
      <w:r>
        <w:t xml:space="preserve">0.8%</w:t>
      </w:r>
      <w:r>
        <w:t xml:space="preserve"> </w:t>
      </w:r>
      <w:r>
        <w:t xml:space="preserve">Bulgaria</w:t>
      </w:r>
      <w:r>
        <w:t xml:space="preserve"> </w:t>
      </w:r>
      <w:r>
        <w:t xml:space="preserve">6.95</w:t>
      </w:r>
      <w:r>
        <w:t xml:space="preserve"> </w:t>
      </w:r>
      <w:r>
        <w:t xml:space="preserve">6.69</w:t>
      </w:r>
      <w:r>
        <w:t xml:space="preserve"> </w:t>
      </w:r>
      <w:r>
        <w:t xml:space="preserve">6.45</w:t>
      </w:r>
      <w:r>
        <w:t xml:space="preserve"> </w:t>
      </w:r>
      <w:r>
        <w:t xml:space="preserve">0.7%</w:t>
      </w:r>
      <w:r>
        <w:t xml:space="preserve"> </w:t>
      </w:r>
      <w:r>
        <w:t xml:space="preserve">1.3%</w:t>
      </w:r>
      <w:r>
        <w:t xml:space="preserve"> </w:t>
      </w:r>
      <w:r>
        <w:t xml:space="preserve">Croatia</w:t>
      </w:r>
      <w:r>
        <w:t xml:space="preserve"> </w:t>
      </w:r>
      <w:r>
        <w:t xml:space="preserve">4.06</w:t>
      </w:r>
      <w:r>
        <w:t xml:space="preserve"> </w:t>
      </w:r>
      <w:r>
        <w:t xml:space="preserve">3.94</w:t>
      </w:r>
      <w:r>
        <w:t xml:space="preserve"> </w:t>
      </w:r>
      <w:r>
        <w:t xml:space="preserve">3.83</w:t>
      </w:r>
      <w:r>
        <w:t xml:space="preserve"> </w:t>
      </w:r>
      <w:r>
        <w:t xml:space="preserve">0.2%</w:t>
      </w:r>
      <w:r>
        <w:t xml:space="preserve"> </w:t>
      </w:r>
      <w:r>
        <w:t xml:space="preserve">0.6%</w:t>
      </w:r>
      <w:r>
        <w:t xml:space="preserve"> </w:t>
      </w:r>
      <w:r>
        <w:t xml:space="preserve">Cyprus</w:t>
      </w:r>
      <w:r>
        <w:t xml:space="preserve"> </w:t>
      </w:r>
      <w:r>
        <w:t xml:space="preserve">0.89</w:t>
      </w:r>
      <w:r>
        <w:t xml:space="preserve"> </w:t>
      </w:r>
      <w:r>
        <w:t xml:space="preserve">0.93</w:t>
      </w:r>
      <w:r>
        <w:t xml:space="preserve"> </w:t>
      </w:r>
      <w:r>
        <w:t xml:space="preserve">0.96</w:t>
      </w:r>
      <w:r>
        <w:t xml:space="preserve"> </w:t>
      </w:r>
      <w:r>
        <w:t xml:space="preserve">0.7%</w:t>
      </w:r>
      <w:r>
        <w:t xml:space="preserve"> </w:t>
      </w:r>
      <w:r>
        <w:t xml:space="preserve">1.7%</w:t>
      </w:r>
      <w:r>
        <w:t xml:space="preserve"> </w:t>
      </w:r>
      <w:r>
        <w:t xml:space="preserve">Czechia</w:t>
      </w:r>
      <w:r>
        <w:t xml:space="preserve"> </w:t>
      </w:r>
      <w:r>
        <w:t xml:space="preserve">10.69 10.79 10.76 1.6%</w:t>
      </w:r>
      <w:r>
        <w:t xml:space="preserve"> </w:t>
      </w:r>
      <w:r>
        <w:t xml:space="preserve">2.0%</w:t>
      </w:r>
      <w:r>
        <w:t xml:space="preserve"> </w:t>
      </w:r>
      <w:r>
        <w:t xml:space="preserve">Denmark</w:t>
      </w:r>
      <w:r>
        <w:t xml:space="preserve"> </w:t>
      </w:r>
      <w:r>
        <w:t xml:space="preserve">5.81</w:t>
      </w:r>
      <w:r>
        <w:t xml:space="preserve"> </w:t>
      </w:r>
      <w:r>
        <w:t xml:space="preserve">5.88</w:t>
      </w:r>
      <w:r>
        <w:t xml:space="preserve"> </w:t>
      </w:r>
      <w:r>
        <w:t xml:space="preserve">5.96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Estonia</w:t>
      </w:r>
      <w:r>
        <w:t xml:space="preserve"> </w:t>
      </w:r>
      <w:r>
        <w:t xml:space="preserve">1.33</w:t>
      </w:r>
      <w:r>
        <w:t xml:space="preserve"> </w:t>
      </w:r>
      <w:r>
        <w:t xml:space="preserve">1.32</w:t>
      </w:r>
      <w:r>
        <w:t xml:space="preserve"> </w:t>
      </w:r>
      <w:r>
        <w:t xml:space="preserve">1.31</w:t>
      </w:r>
      <w:r>
        <w:t xml:space="preserve"> </w:t>
      </w:r>
      <w:r>
        <w:t xml:space="preserve">2.2%</w:t>
      </w:r>
      <w:r>
        <w:t xml:space="preserve"> </w:t>
      </w:r>
      <w:r>
        <w:t xml:space="preserve">2.6%</w:t>
      </w:r>
      <w:r>
        <w:t xml:space="preserve"> </w:t>
      </w:r>
      <w:r>
        <w:t xml:space="preserve">Finland</w:t>
      </w:r>
      <w:r>
        <w:t xml:space="preserve"> </w:t>
      </w:r>
      <w:r>
        <w:t xml:space="preserve">5.53</w:t>
      </w:r>
      <w:r>
        <w:t xml:space="preserve"> </w:t>
      </w:r>
      <w:r>
        <w:t xml:space="preserve">5.54</w:t>
      </w:r>
      <w:r>
        <w:t xml:space="preserve"> </w:t>
      </w:r>
      <w:r>
        <w:t xml:space="preserve">5.52</w:t>
      </w:r>
      <w:r>
        <w:t xml:space="preserve"> </w:t>
      </w:r>
      <w:r>
        <w:t xml:space="preserve">0.6%</w:t>
      </w:r>
      <w:r>
        <w:t xml:space="preserve"> </w:t>
      </w:r>
      <w:r>
        <w:t xml:space="preserve">1.2%</w:t>
      </w:r>
      <w:r>
        <w:t xml:space="preserve"> </w:t>
      </w:r>
      <w:r>
        <w:t xml:space="preserve">France</w:t>
      </w:r>
      <w:r>
        <w:t xml:space="preserve"> </w:t>
      </w:r>
      <w:r>
        <w:t xml:space="preserve">67.20 68.04 68.75 0.7%</w:t>
      </w:r>
      <w:r>
        <w:t xml:space="preserve"> </w:t>
      </w:r>
      <w:r>
        <w:t xml:space="preserve">1.0%</w:t>
      </w:r>
      <w:r>
        <w:t xml:space="preserve"> </w:t>
      </w:r>
      <w:r>
        <w:t xml:space="preserve">Germany</w:t>
      </w:r>
      <w:r>
        <w:t xml:space="preserve"> </w:t>
      </w:r>
      <w:r>
        <w:t xml:space="preserve">83.14 83.48 83.45 0.8%</w:t>
      </w:r>
      <w:r>
        <w:t xml:space="preserve"> </w:t>
      </w:r>
      <w:r>
        <w:t xml:space="preserve">0.7%</w:t>
      </w:r>
      <w:r>
        <w:t xml:space="preserve"> </w:t>
      </w:r>
      <w:r>
        <w:t xml:space="preserve">Greece</w:t>
      </w:r>
      <w:r>
        <w:t xml:space="preserve"> </w:t>
      </w:r>
      <w:r>
        <w:t xml:space="preserve">10.70 10.51 10.30 0.7%</w:t>
      </w:r>
      <w:r>
        <w:t xml:space="preserve"> </w:t>
      </w:r>
      <w:r>
        <w:t xml:space="preserve">0.6%</w:t>
      </w:r>
      <w:r>
        <w:t xml:space="preserve"> </w:t>
      </w:r>
      <w:r>
        <w:t xml:space="preserve">Hungary</w:t>
      </w:r>
      <w:r>
        <w:t xml:space="preserve"> </w:t>
      </w:r>
      <w:r>
        <w:t xml:space="preserve">9.77</w:t>
      </w:r>
      <w:r>
        <w:t xml:space="preserve"> </w:t>
      </w:r>
      <w:r>
        <w:t xml:space="preserve">9.70</w:t>
      </w:r>
      <w:r>
        <w:t xml:space="preserve"> </w:t>
      </w:r>
      <w:r>
        <w:t xml:space="preserve">9.62</w:t>
      </w:r>
      <w:r>
        <w:t xml:space="preserve"> </w:t>
      </w:r>
      <w:r>
        <w:t xml:space="preserve">1.8%</w:t>
      </w:r>
      <w:r>
        <w:t xml:space="preserve"> </w:t>
      </w:r>
      <w:r>
        <w:t xml:space="preserve">2.6%</w:t>
      </w:r>
      <w:r>
        <w:t xml:space="preserve"> </w:t>
      </w:r>
      <w:r>
        <w:t xml:space="preserve">Ireland</w:t>
      </w:r>
      <w:r>
        <w:t xml:space="preserve"> </w:t>
      </w:r>
      <w:r>
        <w:t xml:space="preserve">4.97</w:t>
      </w:r>
      <w:r>
        <w:t xml:space="preserve"> </w:t>
      </w:r>
      <w:r>
        <w:t xml:space="preserve">5.27</w:t>
      </w:r>
      <w:r>
        <w:t xml:space="preserve"> </w:t>
      </w:r>
      <w:r>
        <w:t xml:space="preserve">5.50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Italy</w:t>
      </w:r>
      <w:r>
        <w:t xml:space="preserve"> </w:t>
      </w:r>
      <w:r>
        <w:t xml:space="preserve">60.29 60.09 59.94 0.3%</w:t>
      </w:r>
      <w:r>
        <w:t xml:space="preserve"> </w:t>
      </w:r>
      <w:r>
        <w:t xml:space="preserve">0.3%</w:t>
      </w:r>
      <w:r>
        <w:t xml:space="preserve"> </w:t>
      </w:r>
      <w:r>
        <w:t xml:space="preserve">Latvia</w:t>
      </w:r>
      <w:r>
        <w:t xml:space="preserve"> </w:t>
      </w:r>
      <w:r>
        <w:t xml:space="preserve">1.91</w:t>
      </w:r>
      <w:r>
        <w:t xml:space="preserve"> </w:t>
      </w:r>
      <w:r>
        <w:t xml:space="preserve">1.82</w:t>
      </w:r>
      <w:r>
        <w:t xml:space="preserve"> </w:t>
      </w:r>
      <w:r>
        <w:t xml:space="preserve">1.71</w:t>
      </w:r>
      <w:r>
        <w:t xml:space="preserve"> </w:t>
      </w:r>
      <w:r>
        <w:t xml:space="preserve">1.4%</w:t>
      </w:r>
      <w:r>
        <w:t xml:space="preserve"> </w:t>
      </w:r>
      <w:r>
        <w:t xml:space="preserve">1.9%</w:t>
      </w:r>
      <w:r>
        <w:t xml:space="preserve"> </w:t>
      </w:r>
      <w:r>
        <w:t xml:space="preserve">Lithuania</w:t>
      </w:r>
      <w:r>
        <w:t xml:space="preserve"> </w:t>
      </w:r>
      <w:r>
        <w:t xml:space="preserve">2.79</w:t>
      </w:r>
      <w:r>
        <w:t xml:space="preserve"> </w:t>
      </w:r>
      <w:r>
        <w:t xml:space="preserve">2.71</w:t>
      </w:r>
      <w:r>
        <w:t xml:space="preserve"> </w:t>
      </w:r>
      <w:r>
        <w:t xml:space="preserve">2.58</w:t>
      </w:r>
      <w:r>
        <w:t xml:space="preserve"> </w:t>
      </w:r>
      <w:r>
        <w:t xml:space="preserve">1.7%</w:t>
      </w:r>
      <w:r>
        <w:t xml:space="preserve"> </w:t>
      </w:r>
      <w:r>
        <w:t xml:space="preserve">1.5%</w:t>
      </w:r>
      <w:r>
        <w:t xml:space="preserve"> </w:t>
      </w:r>
      <w:r>
        <w:t xml:space="preserve">Luxembourg</w:t>
      </w:r>
      <w:r>
        <w:t xml:space="preserve"> </w:t>
      </w:r>
      <w:r>
        <w:t xml:space="preserve">0.63</w:t>
      </w:r>
      <w:r>
        <w:t xml:space="preserve"> </w:t>
      </w:r>
      <w:r>
        <w:t xml:space="preserve">0.66</w:t>
      </w:r>
      <w:r>
        <w:t xml:space="preserve"> </w:t>
      </w:r>
      <w:r>
        <w:t xml:space="preserve">0.69</w:t>
      </w:r>
      <w:r>
        <w:t xml:space="preserve"> </w:t>
      </w:r>
      <w:r>
        <w:t xml:space="preserve">1.7%</w:t>
      </w:r>
      <w:r>
        <w:t xml:space="preserve"> </w:t>
      </w:r>
      <w:r>
        <w:t xml:space="preserve">2.0%</w:t>
      </w:r>
      <w:r>
        <w:t xml:space="preserve"> </w:t>
      </w:r>
      <w:r>
        <w:t xml:space="preserve">Malta</w:t>
      </w:r>
      <w:r>
        <w:t xml:space="preserve"> </w:t>
      </w:r>
      <w:r>
        <w:t xml:space="preserve">0.51</w:t>
      </w:r>
      <w:r>
        <w:t xml:space="preserve"> </w:t>
      </w:r>
      <w:r>
        <w:t xml:space="preserve">0.56</w:t>
      </w:r>
      <w:r>
        <w:t xml:space="preserve"> </w:t>
      </w:r>
      <w:r>
        <w:t xml:space="preserve">0.59</w:t>
      </w:r>
      <w:r>
        <w:t xml:space="preserve"> </w:t>
      </w:r>
      <w:r>
        <w:t xml:space="preserve">2.7%</w:t>
      </w:r>
      <w:r>
        <w:t xml:space="preserve"> </w:t>
      </w:r>
      <w:r>
        <w:t xml:space="preserve">4.1%</w:t>
      </w:r>
      <w:r>
        <w:t xml:space="preserve"> </w:t>
      </w:r>
      <w:r>
        <w:t xml:space="preserve">Netherlands</w:t>
      </w:r>
      <w:r>
        <w:t xml:space="preserve"> </w:t>
      </w:r>
      <w:r>
        <w:t xml:space="preserve">17.40 17.75 17.97 0.7%</w:t>
      </w:r>
      <w:r>
        <w:t xml:space="preserve"> </w:t>
      </w:r>
      <w:r>
        <w:t xml:space="preserve">0.7%</w:t>
      </w:r>
      <w:r>
        <w:t xml:space="preserve"> </w:t>
      </w:r>
      <w:r>
        <w:t xml:space="preserve">Poland</w:t>
      </w:r>
      <w:r>
        <w:t xml:space="preserve"> </w:t>
      </w:r>
      <w:r>
        <w:t xml:space="preserve">37.94 37.57 37.02 2.1%</w:t>
      </w:r>
      <w:r>
        <w:t xml:space="preserve"> </w:t>
      </w:r>
      <w:r>
        <w:t xml:space="preserve">2.4%</w:t>
      </w:r>
      <w:r>
        <w:t xml:space="preserve"> </w:t>
      </w:r>
      <w:r>
        <w:t xml:space="preserve">Portugal</w:t>
      </w:r>
      <w:r>
        <w:t xml:space="preserve"> </w:t>
      </w:r>
      <w:r>
        <w:t xml:space="preserve">10.29 10.22 10.09 0.8%</w:t>
      </w:r>
      <w:r>
        <w:t xml:space="preserve"> </w:t>
      </w:r>
      <w:r>
        <w:t xml:space="preserve">0.8%</w:t>
      </w:r>
      <w:r>
        <w:t xml:space="preserve"> </w:t>
      </w:r>
      <w:r>
        <w:t xml:space="preserve">Romania</w:t>
      </w:r>
      <w:r>
        <w:t xml:space="preserve"> </w:t>
      </w:r>
      <w:r>
        <w:t xml:space="preserve">19.28 18.51 17.81 2.7%</w:t>
      </w:r>
      <w:r>
        <w:t xml:space="preserve"> </w:t>
      </w:r>
      <w:r>
        <w:t xml:space="preserve">3.0%</w:t>
      </w:r>
      <w:r>
        <w:t xml:space="preserve"> </w:t>
      </w:r>
      <w:r>
        <w:t xml:space="preserve">Slovakia</w:t>
      </w:r>
      <w:r>
        <w:t xml:space="preserve"> </w:t>
      </w:r>
      <w:r>
        <w:t xml:space="preserve">5.46</w:t>
      </w:r>
      <w:r>
        <w:t xml:space="preserve"> </w:t>
      </w:r>
      <w:r>
        <w:t xml:space="preserve">5.47</w:t>
      </w:r>
      <w:r>
        <w:t xml:space="preserve"> </w:t>
      </w:r>
      <w:r>
        <w:t xml:space="preserve">5.44</w:t>
      </w:r>
      <w:r>
        <w:t xml:space="preserve"> </w:t>
      </w:r>
      <w:r>
        <w:t xml:space="preserve">1.1%</w:t>
      </w:r>
      <w:r>
        <w:t xml:space="preserve"> </w:t>
      </w:r>
      <w:r>
        <w:t xml:space="preserve">1.7%</w:t>
      </w:r>
      <w:r>
        <w:t xml:space="preserve"> </w:t>
      </w:r>
      <w:r>
        <w:t xml:space="preserve">Slovenia</w:t>
      </w:r>
      <w:r>
        <w:t xml:space="preserve"> </w:t>
      </w:r>
      <w:r>
        <w:t xml:space="preserve">2.10</w:t>
      </w:r>
      <w:r>
        <w:t xml:space="preserve"> </w:t>
      </w:r>
      <w:r>
        <w:t xml:space="preserve">2.11</w:t>
      </w:r>
      <w:r>
        <w:t xml:space="preserve"> </w:t>
      </w:r>
      <w:r>
        <w:t xml:space="preserve">2.11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Spain</w:t>
      </w:r>
      <w:r>
        <w:t xml:space="preserve"> </w:t>
      </w:r>
      <w:r>
        <w:t xml:space="preserve">47.32 48.31 48.75 0.9%</w:t>
      </w:r>
      <w:r>
        <w:t xml:space="preserve"> </w:t>
      </w:r>
      <w:r>
        <w:t xml:space="preserve">1.6%</w:t>
      </w:r>
      <w:r>
        <w:t xml:space="preserve"> </w:t>
      </w:r>
      <w:r>
        <w:t xml:space="preserve">Sweden</w:t>
      </w:r>
      <w:r>
        <w:t xml:space="preserve"> </w:t>
      </w:r>
      <w:r>
        <w:t xml:space="preserve">10.32 10.75 11.10 1.4%</w:t>
      </w:r>
      <w:r>
        <w:t xml:space="preserve"> </w:t>
      </w:r>
      <w:r>
        <w:t xml:space="preserve">2.2%</w:t>
      </w:r>
    </w:p>
    <w:p>
      <w:pPr>
        <w:pStyle w:val="BodyText"/>
      </w:pPr>
      <w:r>
        <w:t xml:space="preserve">Beyond the update of the population and growth assumptions, an update of the</w:t>
      </w:r>
      <w:r>
        <w:t xml:space="preserve"> </w:t>
      </w:r>
      <w:r>
        <w:t xml:space="preserve">projections on the sectoral composition of GDP was also carried out using the GEM-E3</w:t>
      </w:r>
      <w:r>
        <w:t xml:space="preserve"> </w:t>
      </w:r>
      <w:r>
        <w:t xml:space="preserve">computable general equilibrium model. These projections take into account the potential</w:t>
      </w:r>
      <w:r>
        <w:t xml:space="preserve"> </w:t>
      </w:r>
      <w:r>
        <w:t xml:space="preserve">medium- to long-term impacts of the COVID-19 crisis on the structure of the economy,</w:t>
      </w:r>
      <w:r>
        <w:t xml:space="preserve"> </w:t>
      </w:r>
      <w:r>
        <w:t xml:space="preserve">even though there are inherent uncertainties related to its eventual impacts. Overall,</w:t>
      </w:r>
      <w:r>
        <w:t xml:space="preserve"> </w:t>
      </w:r>
      <w:r>
        <w:t xml:space="preserve">conservative assumptions were made regarding the medium-term impacts of the</w:t>
      </w:r>
      <w:r>
        <w:t xml:space="preserve"> </w:t>
      </w:r>
      <w:r>
        <w:t xml:space="preserve">pandemic on the re-localisation of global value chains, teleworking and teleconferencing</w:t>
      </w:r>
      <w:r>
        <w:t xml:space="preserve"> </w:t>
      </w:r>
      <w:r>
        <w:t xml:space="preserve">and global tourism.</w:t>
      </w:r>
      <w:r>
        <w:t xml:space="preserve"> </w:t>
      </w:r>
      <w:r>
        <w:t xml:space="preserve">13.1.4</w:t>
      </w:r>
      <w:r>
        <w:t xml:space="preserve"> </w:t>
      </w:r>
      <w:r>
        <w:t xml:space="preserve">Energy prices assumptions</w:t>
      </w:r>
      <w:r>
        <w:t xml:space="preserve"> </w:t>
      </w:r>
      <w:r>
        <w:t xml:space="preserve">Alongside socio-economic projections, EU energy modelling requires projections of</w:t>
      </w:r>
      <w:r>
        <w:t xml:space="preserve"> </w:t>
      </w:r>
      <w:r>
        <w:t xml:space="preserve">international fuel prices. The projections used for this impact assessment are fully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56</w:t>
      </w:r>
    </w:p>
    <w:p>
      <w:pPr>
        <w:pStyle w:val="BodyText"/>
      </w:pPr>
      <w:r>
        <w:t xml:space="preserve">consistent with the assumptions in the REPowerEU analysis37: oil and coal prices are</w:t>
      </w:r>
      <w:r>
        <w:t xml:space="preserve"> </w:t>
      </w:r>
      <w:r>
        <w:t xml:space="preserve">based on historical data for 2020-2021, combined with estimates of prices in 2022 and</w:t>
      </w:r>
      <w:r>
        <w:t xml:space="preserve"> </w:t>
      </w:r>
      <w:r>
        <w:t xml:space="preserve">complemented by a linear interpolation to the long-term trajectory assumed in the EU</w:t>
      </w:r>
      <w:r>
        <w:t xml:space="preserve"> </w:t>
      </w:r>
      <w:r>
        <w:t xml:space="preserve">Reference Scenario 202038 for the following years. The same approach is used for gas</w:t>
      </w:r>
      <w:r>
        <w:t xml:space="preserve"> </w:t>
      </w:r>
      <w:r>
        <w:t xml:space="preserve">prices, except that these are expected to remain higher than in the Fit-for-55 scenario39 in</w:t>
      </w:r>
      <w:r>
        <w:t xml:space="preserve"> </w:t>
      </w:r>
      <w:r>
        <w:t xml:space="preserve">the long run.</w:t>
      </w:r>
      <w:r>
        <w:br/>
      </w:r>
      <w:r>
        <w:t xml:space="preserve">Table 4 shows the international fuel price assumptions used in this impact assessment.</w:t>
      </w:r>
      <w:r>
        <w:br/>
      </w:r>
      <w:r>
        <w:t xml:space="preserve">Table 4: International fuel prices assumptions</w:t>
      </w:r>
      <w:r>
        <w:br/>
      </w:r>
      <w:r>
        <w:t xml:space="preserve">13.1.5</w:t>
      </w:r>
      <w:r>
        <w:t xml:space="preserve"> </w:t>
      </w:r>
      <w:r>
        <w:t xml:space="preserve">Assumptions</w:t>
      </w:r>
      <w:r>
        <w:t xml:space="preserve"> </w:t>
      </w:r>
      <w:r>
        <w:t xml:space="preserve">Modelling scenarios on the evolution of the energy system is highly dependent on the</w:t>
      </w:r>
      <w:r>
        <w:t xml:space="preserve"> </w:t>
      </w:r>
      <w:r>
        <w:t xml:space="preserve">assumptions on the development of technologies - both in terms of performance and</w:t>
      </w:r>
      <w:r>
        <w:t xml:space="preserve"> </w:t>
      </w:r>
      <w:r>
        <w:t xml:space="preserve">costs. For the purpose of this impact assessments, these assumptions have been updated</w:t>
      </w:r>
      <w:r>
        <w:t xml:space="preserve"> </w:t>
      </w:r>
      <w:r>
        <w:t xml:space="preserve">based on a rigorous literature review and stakeholder consultation, carried out by external</w:t>
      </w:r>
      <w:r>
        <w:t xml:space="preserve"> </w:t>
      </w:r>
      <w:r>
        <w:t xml:space="preserve">consultants40.</w:t>
      </w:r>
      <w:r>
        <w:br/>
      </w:r>
      <w:r>
        <w:t xml:space="preserve">On the basis of such review and consultation, data have been derived to feed into the</w:t>
      </w:r>
      <w:r>
        <w:t xml:space="preserve"> </w:t>
      </w:r>
      <w:r>
        <w:t xml:space="preserve">analytical procedure which determines the additional vehicle cost. Such procedure has</w:t>
      </w:r>
      <w:r>
        <w:t xml:space="preserve"> </w:t>
      </w:r>
      <w:r>
        <w:t xml:space="preserve">been</w:t>
      </w:r>
      <w:r>
        <w:t xml:space="preserve"> </w:t>
      </w:r>
      <w:r>
        <w:t xml:space="preserve">first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Ricardo</w:t>
      </w:r>
      <w:r>
        <w:t xml:space="preserve"> </w:t>
      </w:r>
      <w:r>
        <w:t xml:space="preserve">Energy</w:t>
      </w:r>
      <w:r>
        <w:t xml:space="preserve"> </w:t>
      </w:r>
      <w:r>
        <w:t xml:space="preserve">&amp;</w:t>
      </w:r>
      <w:r>
        <w:t xml:space="preserve"> </w:t>
      </w:r>
      <w:r>
        <w:t xml:space="preserve">Environment</w:t>
      </w:r>
      <w:r>
        <w:t xml:space="preserve"> </w:t>
      </w:r>
      <w:r>
        <w:t xml:space="preserve">(2016,</w:t>
      </w:r>
      <w:r>
        <w:t xml:space="preserve"> </w:t>
      </w:r>
      <w:r>
        <w:t xml:space="preserve">https://ec.europa.eu/clima/system/files/2017-</w:t>
      </w:r>
      <w:r>
        <w:t xml:space="preserve"> </w:t>
      </w:r>
      <w:r>
        <w:t xml:space="preserve">11/ldv_co2_technologies_and_costs_to_2030_en.pdf). It has been further developed and</w:t>
      </w:r>
      <w:r>
        <w:t xml:space="preserve"> </w:t>
      </w:r>
      <w:r>
        <w:t xml:space="preserve">implemented in the JRC’s DIONE model for Light Duty Vehicles as documented in</w:t>
      </w:r>
      <w:r>
        <w:t xml:space="preserve"> </w:t>
      </w:r>
      <w:r>
        <w:t xml:space="preserve">Krause et al. (2017, https://data.europa.eu/doi/10.2760/87837), and adapted for Heavy</w:t>
      </w:r>
      <w:r>
        <w:t xml:space="preserve"> </w:t>
      </w:r>
      <w:r>
        <w:t xml:space="preserve">Duty</w:t>
      </w:r>
      <w:r>
        <w:t xml:space="preserve"> </w:t>
      </w:r>
      <w:r>
        <w:t xml:space="preserve">Vehicles</w:t>
      </w:r>
      <w:r>
        <w:t xml:space="preserve"> </w:t>
      </w:r>
      <w:r>
        <w:t xml:space="preserve">as</w:t>
      </w:r>
      <w:r>
        <w:t xml:space="preserve"> </w:t>
      </w:r>
      <w:r>
        <w:t xml:space="preserve">in</w:t>
      </w:r>
      <w:r>
        <w:t xml:space="preserve"> </w:t>
      </w:r>
      <w:r>
        <w:t xml:space="preserve">Krause</w:t>
      </w:r>
      <w:r>
        <w:t xml:space="preserve"> </w:t>
      </w:r>
      <w:r>
        <w:t xml:space="preserve">and</w:t>
      </w:r>
      <w:r>
        <w:t xml:space="preserve"> </w:t>
      </w:r>
      <w:r>
        <w:t xml:space="preserve">Donati</w:t>
      </w:r>
      <w:r>
        <w:t xml:space="preserve"> </w:t>
      </w:r>
      <w:r>
        <w:t xml:space="preserve">(2018,</w:t>
      </w:r>
      <w:r>
        <w:t xml:space="preserve"> </w:t>
      </w:r>
      <w:r>
        <w:t xml:space="preserve">https://data.europa.eu/doi/10.2760/555936).</w:t>
      </w:r>
    </w:p>
    <w:p>
      <w:pPr>
        <w:pStyle w:val="BodyText"/>
      </w:pPr>
      <w:r>
        <w:t xml:space="preserve">in</w:t>
      </w:r>
      <w:r>
        <w:t xml:space="preserve"> </w:t>
      </w:r>
      <w:r>
        <w:t xml:space="preserve">$’15</w:t>
      </w:r>
      <w:r>
        <w:t xml:space="preserve"> </w:t>
      </w:r>
      <w:r>
        <w:t xml:space="preserve">per boe</w:t>
      </w:r>
      <w:r>
        <w:t xml:space="preserve"> </w:t>
      </w:r>
      <w:r>
        <w:t xml:space="preserve">2000</w:t>
      </w:r>
      <w:r>
        <w:t xml:space="preserve"> </w:t>
      </w:r>
      <w:r>
        <w:t xml:space="preserve">2005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Oil</w:t>
      </w:r>
      <w:r>
        <w:t xml:space="preserve"> </w:t>
      </w:r>
      <w:r>
        <w:t xml:space="preserve">38.4</w:t>
      </w:r>
      <w:r>
        <w:t xml:space="preserve"> </w:t>
      </w:r>
      <w:r>
        <w:t xml:space="preserve">65.4</w:t>
      </w:r>
      <w:r>
        <w:t xml:space="preserve"> </w:t>
      </w:r>
      <w:r>
        <w:t xml:space="preserve">86.7</w:t>
      </w:r>
      <w:r>
        <w:t xml:space="preserve"> </w:t>
      </w:r>
      <w:r>
        <w:t xml:space="preserve">52.3</w:t>
      </w:r>
      <w:r>
        <w:t xml:space="preserve"> </w:t>
      </w:r>
      <w:r>
        <w:t xml:space="preserve">39.8</w:t>
      </w:r>
      <w:r>
        <w:t xml:space="preserve"> </w:t>
      </w:r>
      <w:r>
        <w:t xml:space="preserve">92.1</w:t>
      </w:r>
      <w:r>
        <w:t xml:space="preserve"> </w:t>
      </w:r>
      <w:r>
        <w:t xml:space="preserve">92.1</w:t>
      </w:r>
      <w:r>
        <w:t xml:space="preserve"> </w:t>
      </w:r>
      <w:r>
        <w:t xml:space="preserve">92.1</w:t>
      </w:r>
      <w:r>
        <w:t xml:space="preserve"> </w:t>
      </w:r>
      <w:r>
        <w:t xml:space="preserve">97.4</w:t>
      </w:r>
      <w:r>
        <w:t xml:space="preserve"> </w:t>
      </w:r>
      <w:r>
        <w:t xml:space="preserve">105.6</w:t>
      </w:r>
      <w:r>
        <w:t xml:space="preserve"> </w:t>
      </w:r>
      <w:r>
        <w:t xml:space="preserve">117.9</w:t>
      </w:r>
      <w:r>
        <w:t xml:space="preserve"> </w:t>
      </w:r>
      <w:r>
        <w:t xml:space="preserve">Gas</w:t>
      </w:r>
      <w:r>
        <w:t xml:space="preserve"> </w:t>
      </w:r>
      <w:r>
        <w:t xml:space="preserve">(NCV)</w:t>
      </w:r>
      <w:r>
        <w:t xml:space="preserve"> </w:t>
      </w:r>
      <w:r>
        <w:t xml:space="preserve">26.5</w:t>
      </w:r>
      <w:r>
        <w:t xml:space="preserve"> </w:t>
      </w:r>
      <w:r>
        <w:t xml:space="preserve">35.8</w:t>
      </w:r>
      <w:r>
        <w:t xml:space="preserve"> </w:t>
      </w:r>
      <w:r>
        <w:t xml:space="preserve">45.8</w:t>
      </w:r>
      <w:r>
        <w:t xml:space="preserve"> </w:t>
      </w:r>
      <w:r>
        <w:t xml:space="preserve">43.7</w:t>
      </w:r>
      <w:r>
        <w:t xml:space="preserve"> </w:t>
      </w:r>
      <w:r>
        <w:t xml:space="preserve">20.1</w:t>
      </w:r>
      <w:r>
        <w:t xml:space="preserve"> </w:t>
      </w:r>
      <w:r>
        <w:t xml:space="preserve">80.6</w:t>
      </w:r>
      <w:r>
        <w:t xml:space="preserve"> </w:t>
      </w:r>
      <w:r>
        <w:t xml:space="preserve">68.9</w:t>
      </w:r>
      <w:r>
        <w:t xml:space="preserve"> </w:t>
      </w:r>
      <w:r>
        <w:t xml:space="preserve">68.9</w:t>
      </w:r>
      <w:r>
        <w:t xml:space="preserve"> </w:t>
      </w:r>
      <w:r>
        <w:t xml:space="preserve">68.9</w:t>
      </w:r>
      <w:r>
        <w:t xml:space="preserve"> </w:t>
      </w:r>
      <w:r>
        <w:t xml:space="preserve">68.9</w:t>
      </w:r>
      <w:r>
        <w:t xml:space="preserve"> </w:t>
      </w:r>
      <w:r>
        <w:t xml:space="preserve">72.1</w:t>
      </w:r>
      <w:r>
        <w:t xml:space="preserve"> </w:t>
      </w:r>
      <w:r>
        <w:t xml:space="preserve">Coal</w:t>
      </w:r>
      <w:r>
        <w:t xml:space="preserve"> </w:t>
      </w:r>
      <w:r>
        <w:t xml:space="preserve">11.2</w:t>
      </w:r>
      <w:r>
        <w:t xml:space="preserve"> </w:t>
      </w:r>
      <w:r>
        <w:t xml:space="preserve">16.9</w:t>
      </w:r>
      <w:r>
        <w:t xml:space="preserve"> </w:t>
      </w:r>
      <w:r>
        <w:t xml:space="preserve">23.2</w:t>
      </w:r>
      <w:r>
        <w:t xml:space="preserve"> </w:t>
      </w:r>
      <w:r>
        <w:t xml:space="preserve">13.1</w:t>
      </w:r>
      <w:r>
        <w:t xml:space="preserve"> </w:t>
      </w:r>
      <w:r>
        <w:t xml:space="preserve">9.5</w:t>
      </w:r>
      <w:r>
        <w:t xml:space="preserve"> </w:t>
      </w:r>
      <w:r>
        <w:t xml:space="preserve">18.6</w:t>
      </w:r>
      <w:r>
        <w:t xml:space="preserve"> </w:t>
      </w:r>
      <w:r>
        <w:t xml:space="preserve">18.9</w:t>
      </w:r>
      <w:r>
        <w:t xml:space="preserve"> </w:t>
      </w:r>
      <w:r>
        <w:t xml:space="preserve">19.1</w:t>
      </w:r>
      <w:r>
        <w:t xml:space="preserve"> </w:t>
      </w:r>
      <w:r>
        <w:t xml:space="preserve">20.3</w:t>
      </w:r>
      <w:r>
        <w:t xml:space="preserve"> </w:t>
      </w:r>
      <w:r>
        <w:t xml:space="preserve">21.3</w:t>
      </w:r>
      <w:r>
        <w:t xml:space="preserve"> </w:t>
      </w:r>
      <w:r>
        <w:t xml:space="preserve">22.3</w:t>
      </w:r>
      <w:r>
        <w:t xml:space="preserve"> </w:t>
      </w:r>
      <w:r>
        <w:t xml:space="preserve">in</w:t>
      </w:r>
      <w:r>
        <w:t xml:space="preserve"> </w:t>
      </w:r>
      <w:r>
        <w:t xml:space="preserve">€’15</w:t>
      </w:r>
      <w:r>
        <w:t xml:space="preserve"> </w:t>
      </w:r>
      <w:r>
        <w:t xml:space="preserve">per boe</w:t>
      </w:r>
      <w:r>
        <w:t xml:space="preserve"> </w:t>
      </w:r>
      <w:r>
        <w:t xml:space="preserve">2000</w:t>
      </w:r>
      <w:r>
        <w:t xml:space="preserve"> </w:t>
      </w:r>
      <w:r>
        <w:t xml:space="preserve">2005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Oil</w:t>
      </w:r>
      <w:r>
        <w:t xml:space="preserve"> </w:t>
      </w:r>
      <w:r>
        <w:t xml:space="preserve">34.6</w:t>
      </w:r>
      <w:r>
        <w:t xml:space="preserve"> </w:t>
      </w:r>
      <w:r>
        <w:t xml:space="preserve">58.9</w:t>
      </w:r>
      <w:r>
        <w:t xml:space="preserve"> </w:t>
      </w:r>
      <w:r>
        <w:t xml:space="preserve">78.2</w:t>
      </w:r>
      <w:r>
        <w:t xml:space="preserve"> </w:t>
      </w:r>
      <w:r>
        <w:t xml:space="preserve">47.2</w:t>
      </w:r>
      <w:r>
        <w:t xml:space="preserve"> </w:t>
      </w:r>
      <w:r>
        <w:t xml:space="preserve">35.8</w:t>
      </w:r>
      <w:r>
        <w:t xml:space="preserve"> </w:t>
      </w:r>
      <w:r>
        <w:t xml:space="preserve">83.0</w:t>
      </w:r>
      <w:r>
        <w:t xml:space="preserve"> </w:t>
      </w:r>
      <w:r>
        <w:t xml:space="preserve">83.0</w:t>
      </w:r>
      <w:r>
        <w:t xml:space="preserve"> </w:t>
      </w:r>
      <w:r>
        <w:t xml:space="preserve">83.0</w:t>
      </w:r>
      <w:r>
        <w:t xml:space="preserve"> </w:t>
      </w:r>
      <w:r>
        <w:t xml:space="preserve">87.8</w:t>
      </w:r>
      <w:r>
        <w:t xml:space="preserve"> </w:t>
      </w:r>
      <w:r>
        <w:t xml:space="preserve">95.2</w:t>
      </w:r>
      <w:r>
        <w:t xml:space="preserve"> </w:t>
      </w:r>
      <w:r>
        <w:t xml:space="preserve">106.3</w:t>
      </w:r>
      <w:r>
        <w:t xml:space="preserve"> </w:t>
      </w:r>
      <w:r>
        <w:t xml:space="preserve">Gas</w:t>
      </w:r>
      <w:r>
        <w:t xml:space="preserve"> </w:t>
      </w:r>
      <w:r>
        <w:t xml:space="preserve">(NCV)</w:t>
      </w:r>
      <w:r>
        <w:t xml:space="preserve"> </w:t>
      </w:r>
      <w:r>
        <w:t xml:space="preserve">23.4</w:t>
      </w:r>
      <w:r>
        <w:t xml:space="preserve"> </w:t>
      </w:r>
      <w:r>
        <w:t xml:space="preserve">31.7</w:t>
      </w:r>
      <w:r>
        <w:t xml:space="preserve"> </w:t>
      </w:r>
      <w:r>
        <w:t xml:space="preserve">40.6</w:t>
      </w:r>
      <w:r>
        <w:t xml:space="preserve"> </w:t>
      </w:r>
      <w:r>
        <w:t xml:space="preserve">38.7</w:t>
      </w:r>
      <w:r>
        <w:t xml:space="preserve"> </w:t>
      </w:r>
      <w:r>
        <w:t xml:space="preserve">17.8</w:t>
      </w:r>
      <w:r>
        <w:t xml:space="preserve"> </w:t>
      </w:r>
      <w:r>
        <w:t xml:space="preserve">71.4</w:t>
      </w:r>
      <w:r>
        <w:t xml:space="preserve"> </w:t>
      </w:r>
      <w:r>
        <w:t xml:space="preserve">61.0</w:t>
      </w:r>
      <w:r>
        <w:t xml:space="preserve"> </w:t>
      </w:r>
      <w:r>
        <w:t xml:space="preserve">61.0</w:t>
      </w:r>
      <w:r>
        <w:t xml:space="preserve"> </w:t>
      </w:r>
      <w:r>
        <w:t xml:space="preserve">61.0</w:t>
      </w:r>
      <w:r>
        <w:t xml:space="preserve"> </w:t>
      </w:r>
      <w:r>
        <w:t xml:space="preserve">61.0</w:t>
      </w:r>
      <w:r>
        <w:t xml:space="preserve"> </w:t>
      </w:r>
      <w:r>
        <w:t xml:space="preserve">63.8</w:t>
      </w:r>
      <w:r>
        <w:t xml:space="preserve"> </w:t>
      </w:r>
      <w:r>
        <w:t xml:space="preserve">Coal</w:t>
      </w:r>
      <w:r>
        <w:t xml:space="preserve"> </w:t>
      </w:r>
      <w:r>
        <w:t xml:space="preserve">9.9</w:t>
      </w:r>
      <w:r>
        <w:t xml:space="preserve"> </w:t>
      </w:r>
      <w:r>
        <w:t xml:space="preserve">15.0</w:t>
      </w:r>
      <w:r>
        <w:t xml:space="preserve"> </w:t>
      </w:r>
      <w:r>
        <w:t xml:space="preserve">20.6</w:t>
      </w:r>
      <w:r>
        <w:t xml:space="preserve"> </w:t>
      </w:r>
      <w:r>
        <w:t xml:space="preserve">11.6</w:t>
      </w:r>
      <w:r>
        <w:t xml:space="preserve"> </w:t>
      </w:r>
      <w:r>
        <w:t xml:space="preserve">8.4</w:t>
      </w:r>
      <w:r>
        <w:t xml:space="preserve"> </w:t>
      </w:r>
      <w:r>
        <w:t xml:space="preserve">16.5</w:t>
      </w:r>
      <w:r>
        <w:t xml:space="preserve"> </w:t>
      </w:r>
      <w:r>
        <w:t xml:space="preserve">16.7</w:t>
      </w:r>
      <w:r>
        <w:t xml:space="preserve"> </w:t>
      </w:r>
      <w:r>
        <w:t xml:space="preserve">16.9</w:t>
      </w:r>
      <w:r>
        <w:t xml:space="preserve"> </w:t>
      </w:r>
      <w:r>
        <w:t xml:space="preserve">18.0</w:t>
      </w:r>
      <w:r>
        <w:t xml:space="preserve"> </w:t>
      </w:r>
      <w:r>
        <w:t xml:space="preserve">18.9</w:t>
      </w:r>
      <w:r>
        <w:t xml:space="preserve"> </w:t>
      </w:r>
      <w:r>
        <w:t xml:space="preserve">19.7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57</w:t>
      </w:r>
    </w:p>
    <w:p>
      <w:pPr>
        <w:pStyle w:val="BodyText"/>
      </w:pPr>
      <w:r>
        <w:t xml:space="preserve">As an example, the figures below show the cost over time for all powertrains, for an</w:t>
      </w:r>
      <w:r>
        <w:t xml:space="preserve"> </w:t>
      </w:r>
      <w:r>
        <w:t xml:space="preserve">articulated lorry above 40t (group 5, which operates predominantly on long-haul and</w:t>
      </w:r>
      <w:r>
        <w:t xml:space="preserve"> </w:t>
      </w:r>
      <w:r>
        <w:t xml:space="preserve">regional delivery cycles and is the group with the highest share of emissions) and of a 12t</w:t>
      </w:r>
      <w:r>
        <w:t xml:space="preserve"> </w:t>
      </w:r>
      <w:r>
        <w:t xml:space="preserve">lorry (group 2). The costs are additional to the costs of a 2019 conventional diesel ICEV</w:t>
      </w:r>
      <w:r>
        <w:t xml:space="preserve"> </w:t>
      </w:r>
      <w:r>
        <w:t xml:space="preserve">of the same group. Similar curves are available for all the relevant groups.</w:t>
      </w:r>
      <w:r>
        <w:br/>
      </w:r>
      <w:r>
        <w:t xml:space="preserve">Figure 4: Additional vehicle costs (vs diesel ICE) for different powertrain types</w:t>
      </w:r>
    </w:p>
    <w:p>
      <w:pPr>
        <w:pStyle w:val="BodyText"/>
      </w:pPr>
      <w:r>
        <w:t xml:space="preserve">See chapter 13.1.6 and 6.1.2 for additional details.</w:t>
      </w:r>
    </w:p>
    <w:p>
      <w:pPr>
        <w:pStyle w:val="BodyText"/>
      </w:pPr>
      <w:r>
        <w:t xml:space="preserve">The baseline</w:t>
      </w:r>
      <w:r>
        <w:br/>
      </w:r>
      <w:r>
        <w:t xml:space="preserve">The baseline (and, as a consequence, the policy scenarios) used in this Impact</w:t>
      </w:r>
      <w:r>
        <w:t xml:space="preserve"> </w:t>
      </w:r>
      <w:r>
        <w:t xml:space="preserve">Assessment builds on the EU Reference Scenario 2020 (REF2020) scenario, which has</w:t>
      </w:r>
      <w:r>
        <w:t xml:space="preserve"> </w:t>
      </w:r>
      <w:r>
        <w:t xml:space="preserve">been updated to take into account the European Green Deal policies and the the increased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58</w:t>
      </w:r>
    </w:p>
    <w:p>
      <w:pPr>
        <w:pStyle w:val="BodyText"/>
      </w:pPr>
      <w:r>
        <w:t xml:space="preserve">Renewable and Energy Efficiency target as proposed by the Commission on 18 May</w:t>
      </w:r>
      <w:r>
        <w:t xml:space="preserve"> </w:t>
      </w:r>
      <w:r>
        <w:t xml:space="preserve">2022 with the REPowerEU plan.</w:t>
      </w:r>
      <w:r>
        <w:t xml:space="preserve"> </w:t>
      </w:r>
      <w:r>
        <w:t xml:space="preserve">The REF2020 provided projections for energy demand and supply, as well as greenhouse</w:t>
      </w:r>
      <w:r>
        <w:t xml:space="preserve"> </w:t>
      </w:r>
      <w:r>
        <w:t xml:space="preserve">gas emissions in all sectors of the European economy under the then current EU and</w:t>
      </w:r>
      <w:r>
        <w:t xml:space="preserve"> </w:t>
      </w:r>
      <w:r>
        <w:t xml:space="preserve">national policy framework. It served then as the common baseline shared by all the</w:t>
      </w:r>
      <w:r>
        <w:t xml:space="preserve"> </w:t>
      </w:r>
      <w:r>
        <w:t xml:space="preserve">initiatives of the “Fit for 55” policy package to assess options in their impact</w:t>
      </w:r>
      <w:r>
        <w:t xml:space="preserve"> </w:t>
      </w:r>
      <w:r>
        <w:t xml:space="preserve">assessments. It was then updated to take into account the recent increase in fuel prices</w:t>
      </w:r>
      <w:r>
        <w:t xml:space="preserve"> </w:t>
      </w:r>
      <w:r>
        <w:t xml:space="preserve">(see Section 13.1.4) and the increased Renewable and Energy Efficiency target as</w:t>
      </w:r>
      <w:r>
        <w:t xml:space="preserve"> </w:t>
      </w:r>
      <w:r>
        <w:t xml:space="preserve">proposed by the Commission on 18 May 2022 with the REPowerEU plan. The</w:t>
      </w:r>
      <w:r>
        <w:t xml:space="preserve"> </w:t>
      </w:r>
      <w:r>
        <w:t xml:space="preserve">description of the Baseline is available in Section 5.1.</w:t>
      </w:r>
      <w:r>
        <w:t xml:space="preserve"> </w:t>
      </w:r>
      <w:r>
        <w:t xml:space="preserve">13.1.6</w:t>
      </w:r>
      <w:r>
        <w:t xml:space="preserve"> </w:t>
      </w:r>
      <w:r>
        <w:t xml:space="preserve">Difference with the scenarios used for the Fit for 55</w:t>
      </w:r>
      <w:r>
        <w:t xml:space="preserve"> </w:t>
      </w:r>
      <w:r>
        <w:t xml:space="preserve">package</w:t>
      </w:r>
      <w:r>
        <w:t xml:space="preserve"> </w:t>
      </w:r>
      <w:r>
        <w:t xml:space="preserve">The baseline used in this Impact Assessment embeds some differences compared to the</w:t>
      </w:r>
      <w:r>
        <w:t xml:space="preserve"> </w:t>
      </w:r>
      <w:r>
        <w:t xml:space="preserve">scenarios used for the Fit for 55 package.</w:t>
      </w:r>
      <w:r>
        <w:br/>
      </w:r>
      <w:r>
        <w:t xml:space="preserve"> The representation of the HDV sector has been improved, to better represent the</w:t>
      </w:r>
      <w:r>
        <w:t xml:space="preserve"> </w:t>
      </w:r>
      <w:r>
        <w:t xml:space="preserve">differentiation of vehicles according to their vehicle group, as defined in the</w:t>
      </w:r>
      <w:r>
        <w:t xml:space="preserve"> </w:t>
      </w:r>
      <w:r>
        <w:t xml:space="preserve">Commission Regulation (EU) 2017/2400.</w:t>
      </w:r>
      <w:r>
        <w:t xml:space="preserve"> </w:t>
      </w:r>
      <w:r>
        <w:t xml:space="preserve"> The technology assumptions and the CO2 reduction potential of the HDV sector</w:t>
      </w:r>
      <w:r>
        <w:t xml:space="preserve"> </w:t>
      </w:r>
      <w:r>
        <w:t xml:space="preserve">have been based on a rigorous literature review and stakeholder consultation41.</w:t>
      </w:r>
      <w:r>
        <w:t xml:space="preserve"> </w:t>
      </w:r>
      <w:r>
        <w:t xml:space="preserve"> The fuel prices have been updated, as described in Section 13.1.4.</w:t>
      </w:r>
      <w:r>
        <w:t xml:space="preserve"> </w:t>
      </w:r>
      <w:r>
        <w:t xml:space="preserve"> The scenarios used in this impact assessment also take into account the revised</w:t>
      </w:r>
      <w:r>
        <w:t xml:space="preserve"> </w:t>
      </w:r>
      <w:r>
        <w:t xml:space="preserve">renewable and energy effieicny targets, proposed by the Commission as part of</w:t>
      </w:r>
      <w:r>
        <w:t xml:space="preserve"> </w:t>
      </w:r>
      <w:r>
        <w:t xml:space="preserve">the REPowerEU plan</w:t>
      </w:r>
      <w:r>
        <w:t xml:space="preserve"> </w:t>
      </w:r>
      <w:r>
        <w:t xml:space="preserve">13.1.7</w:t>
      </w:r>
      <w:r>
        <w:t xml:space="preserve"> </w:t>
      </w:r>
      <w:r>
        <w:t xml:space="preserve">Reference scenario process</w:t>
      </w:r>
      <w:r>
        <w:t xml:space="preserve"> </w:t>
      </w:r>
      <w:r>
        <w:t xml:space="preserve">The scenarios used in the Impact Assessment builds on the REF2020 scenario, which has</w:t>
      </w:r>
      <w:r>
        <w:t xml:space="preserve"> </w:t>
      </w:r>
      <w:r>
        <w:t xml:space="preserve">been prepared by the European Commission services and consultants from E3Modelling,</w:t>
      </w:r>
      <w:r>
        <w:t xml:space="preserve"> </w:t>
      </w:r>
      <w:r>
        <w:t xml:space="preserve">IIASA and EuroCare, in coordination with Member States experts through the Reference</w:t>
      </w:r>
      <w:r>
        <w:t xml:space="preserve"> </w:t>
      </w:r>
      <w:r>
        <w:t xml:space="preserve">Scenario Experts Group.</w:t>
      </w:r>
      <w:r>
        <w:br/>
      </w:r>
      <w:r>
        <w:t xml:space="preserve">It benefitted from a stakeholders consultation (on technologies) and is aligned with other</w:t>
      </w:r>
      <w:r>
        <w:t xml:space="preserve"> </w:t>
      </w:r>
      <w:r>
        <w:t xml:space="preserve">outlooks from Commission services, notably DG ECFIN’s Ageing Report 2021 (see</w:t>
      </w:r>
      <w:r>
        <w:t xml:space="preserve"> </w:t>
      </w:r>
      <w:r>
        <w:t xml:space="preserve">section 0), as well as, to the extent possible, the 2020 edition of the EU Agricultural</w:t>
      </w:r>
      <w:r>
        <w:t xml:space="preserve"> </w:t>
      </w:r>
      <w:r>
        <w:t xml:space="preserve">Outlook 2020-2030 published by DG AGRI in December 202042.</w:t>
      </w:r>
      <w:r>
        <w:br/>
      </w:r>
      <w:r>
        <w:t xml:space="preserve">13.1.8</w:t>
      </w:r>
      <w:r>
        <w:t xml:space="preserve"> </w:t>
      </w:r>
      <w:r>
        <w:t xml:space="preserve">Policies in the baseline</w:t>
      </w:r>
      <w:r>
        <w:br/>
      </w:r>
      <w:r>
        <w:t xml:space="preserve">The baseline is based on the REF2020, which took into account existing policies adopted</w:t>
      </w:r>
      <w:r>
        <w:t xml:space="preserve"> </w:t>
      </w:r>
      <w:r>
        <w:t xml:space="preserve">at national and EU level at the beginning of 2020. At national level, the scenario takes</w:t>
      </w:r>
      <w:r>
        <w:t xml:space="preserve"> </w:t>
      </w:r>
      <w:r>
        <w:t xml:space="preserve">into account the policies and specific targets, in particular in relation with renewable</w:t>
      </w:r>
      <w:r>
        <w:t xml:space="preserve"> </w:t>
      </w:r>
      <w:r>
        <w:t xml:space="preserve">energy and energy efficiency, described in the final National Energy and Climate Plans</w:t>
      </w:r>
      <w:r>
        <w:t xml:space="preserve"> </w:t>
      </w:r>
      <w:r>
        <w:t xml:space="preserve">(NECPs) submitted by Member States at the end of 2019/beginning of 2020.</w:t>
      </w:r>
      <w:r>
        <w:br/>
      </w:r>
      <w:r>
        <w:t xml:space="preserve">The baseline further includes the policies which are part of the European Green Deal,</w:t>
      </w:r>
      <w:r>
        <w:t xml:space="preserve"> </w:t>
      </w:r>
      <w:r>
        <w:t xml:space="preserve">including those part of the Fit for 55 package, as well as the increased renewable and</w:t>
      </w:r>
      <w:r>
        <w:t xml:space="preserve"> </w:t>
      </w:r>
      <w:r>
        <w:t xml:space="preserve">energy efficiency targets as proposed by the Commission on 18 May 2022 under the</w:t>
      </w:r>
    </w:p>
    <w:p>
      <w:pPr>
        <w:pStyle w:val="BodyText"/>
      </w:pPr>
      <w:r>
        <w:t xml:space="preserve">41 Study conducted by Ricardo AEA for DG Climate Action</w:t>
      </w:r>
      <w:r>
        <w:t xml:space="preserve"> </w:t>
      </w:r>
      <w:r>
        <w:t xml:space="preserve">42</w:t>
      </w:r>
      <w:r>
        <w:t xml:space="preserve"> </w:t>
      </w:r>
      <w:r>
        <w:t xml:space="preserve">https://ec.europa.eu/info/news/eu-agricultural-outlook-2020-30-agri-food-sector-shown-resilience-still-</w:t>
      </w:r>
      <w:r>
        <w:t xml:space="preserve"> </w:t>
      </w:r>
      <w:r>
        <w:t xml:space="preserve">covid-19-recovery-have-long-term-impacts-2020-dec-16_en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59</w:t>
      </w:r>
    </w:p>
    <w:p>
      <w:pPr>
        <w:pStyle w:val="BodyText"/>
      </w:pPr>
      <w:r>
        <w:t xml:space="preserve">REPowerEU plan. EURO 7 is also included. It includes the CO2 standards for heavy-</w:t>
      </w:r>
      <w:r>
        <w:t xml:space="preserve"> </w:t>
      </w:r>
      <w:r>
        <w:t xml:space="preserve">duty vehicles that are currently in place, as set out in Regulation (EU) 2019/1242. As it</w:t>
      </w:r>
      <w:r>
        <w:t xml:space="preserve"> </w:t>
      </w:r>
      <w:r>
        <w:t xml:space="preserve">serves as a common baseline with forthcoming initatives, it does not include some</w:t>
      </w:r>
      <w:r>
        <w:t xml:space="preserve"> </w:t>
      </w:r>
      <w:r>
        <w:t xml:space="preserve">initiatives related to multimodal mobility, the revision of the Rail Freight Corridors</w:t>
      </w:r>
      <w:r>
        <w:t xml:space="preserve"> </w:t>
      </w:r>
      <w:r>
        <w:t xml:space="preserve">Regulation and the revision of the Combined Transport Directive.</w:t>
      </w:r>
      <w:r>
        <w:t xml:space="preserve"> </w:t>
      </w:r>
      <w:r>
        <w:t xml:space="preserve">Details on policies and measures represented in the REF2020 can be found in the</w:t>
      </w:r>
      <w:r>
        <w:t xml:space="preserve"> </w:t>
      </w:r>
      <w:r>
        <w:t xml:space="preserve">dedicated “EU Reference Scenario 2020” publication. The scenarios supporting the Fit</w:t>
      </w:r>
      <w:r>
        <w:t xml:space="preserve"> </w:t>
      </w:r>
      <w:r>
        <w:t xml:space="preserve">for 55 package are described in the relevant impact assessments, such as SWD/2021/613.</w:t>
      </w:r>
      <w:r>
        <w:t xml:space="preserve"> </w:t>
      </w:r>
      <w:r>
        <w:t xml:space="preserve">The scenario accompanying the REPowerEU plan is described in the relevant Staff</w:t>
      </w:r>
      <w:r>
        <w:t xml:space="preserve"> </w:t>
      </w:r>
      <w:r>
        <w:t xml:space="preserve">Working Document (SWD/2022/230).</w:t>
      </w:r>
      <w:r>
        <w:t xml:space="preserve"> </w:t>
      </w:r>
      <w:r>
        <w:t xml:space="preserve">13.1.9</w:t>
      </w:r>
      <w:r>
        <w:t xml:space="preserve"> </w:t>
      </w:r>
      <w:r>
        <w:t xml:space="preserve">REPowerEU Scenario</w:t>
      </w:r>
      <w:r>
        <w:t xml:space="preserve"> </w:t>
      </w:r>
      <w:r>
        <w:t xml:space="preserve">The baseline, which the policy scenarios presented in this IA are based on, is built on the</w:t>
      </w:r>
      <w:r>
        <w:t xml:space="preserve"> </w:t>
      </w:r>
      <w:r>
        <w:t xml:space="preserve">scenario underpinning the REPowerEU SWD (COM(2022) 230 final). This section</w:t>
      </w:r>
      <w:r>
        <w:t xml:space="preserve"> </w:t>
      </w:r>
      <w:r>
        <w:t xml:space="preserve">briefly explains the main assumptions and results of the REPowerEU scenario, which</w:t>
      </w:r>
      <w:r>
        <w:t xml:space="preserve"> </w:t>
      </w:r>
      <w:r>
        <w:t xml:space="preserve">was developed with the same models used in this IA (notably PRIMES and PRIMES-</w:t>
      </w:r>
      <w:r>
        <w:t xml:space="preserve"> </w:t>
      </w:r>
      <w:r>
        <w:t xml:space="preserve">TREMOVE).</w:t>
      </w:r>
      <w:r>
        <w:br/>
      </w:r>
      <w:r>
        <w:t xml:space="preserve">Assumptions</w:t>
      </w:r>
      <w:r>
        <w:t xml:space="preserve"> </w:t>
      </w:r>
      <w:r>
        <w:t xml:space="preserve">The REPowerEU Scenario builds on the Fit for 55 proposals and, in line with the core</w:t>
      </w:r>
      <w:r>
        <w:t xml:space="preserve"> </w:t>
      </w:r>
      <w:r>
        <w:t xml:space="preserve">scenarios used to support the IAs of the Fit for 55 package, it assumes more stringent</w:t>
      </w:r>
      <w:r>
        <w:t xml:space="preserve"> </w:t>
      </w:r>
      <w:r>
        <w:t xml:space="preserve">HDV CO2 standards than those currently in place (as set by Regulation (EU) 2019/1242).</w:t>
      </w:r>
      <w:r>
        <w:t xml:space="preserve"> </w:t>
      </w:r>
      <w:r>
        <w:t xml:space="preserve">Furthermore, compared to these core scenarios, it assumes higher energy prices, as</w:t>
      </w:r>
      <w:r>
        <w:t xml:space="preserve"> </w:t>
      </w:r>
      <w:r>
        <w:t xml:space="preserve">presented in Section 13.1.4. As done for this IA, technology assumptions for HDVs have</w:t>
      </w:r>
      <w:r>
        <w:t xml:space="preserve"> </w:t>
      </w:r>
      <w:r>
        <w:t xml:space="preserve">also been updated.</w:t>
      </w:r>
      <w:r>
        <w:t xml:space="preserve"> </w:t>
      </w:r>
      <w:r>
        <w:t xml:space="preserve">The REPowerEU SWD</w:t>
      </w:r>
      <w:r>
        <w:t xml:space="preserve"> </w:t>
      </w:r>
      <w:r>
        <w:t xml:space="preserve">The REPowerEU SWD describes the results and the assumptions of the modelling</w:t>
      </w:r>
      <w:r>
        <w:t xml:space="preserve"> </w:t>
      </w:r>
      <w:r>
        <w:t xml:space="preserve">scenario on how to achieve the objectives of the REPowerEU communication</w:t>
      </w:r>
      <w:r>
        <w:t xml:space="preserve"> </w:t>
      </w:r>
      <w:r>
        <w:t xml:space="preserve">(COM(2022) 108 final) to reduce the dependence of Russian fossil fuels. It will require</w:t>
      </w:r>
      <w:r>
        <w:t xml:space="preserve"> </w:t>
      </w:r>
      <w:r>
        <w:t xml:space="preserve">to reduce faster the EU dependence on fossil fuels while diversifying gas supplies. Both</w:t>
      </w:r>
      <w:r>
        <w:t xml:space="preserve"> </w:t>
      </w:r>
      <w:r>
        <w:t xml:space="preserve">efforts imply investments including to boost energy efficiency gains, increase the share</w:t>
      </w:r>
      <w:r>
        <w:t xml:space="preserve"> </w:t>
      </w:r>
      <w:r>
        <w:t xml:space="preserve">of renewables, address infrastructure bottlenecks, increase LNG imports and pipeline</w:t>
      </w:r>
      <w:r>
        <w:t xml:space="preserve"> </w:t>
      </w:r>
      <w:r>
        <w:t xml:space="preserve">imports from non-Russian suppliers and increase the level of renewable hydrogen and</w:t>
      </w:r>
      <w:r>
        <w:t xml:space="preserve"> </w:t>
      </w:r>
      <w:r>
        <w:t xml:space="preserve">bio-methane.</w:t>
      </w:r>
      <w:r>
        <w:br/>
      </w:r>
      <w:r>
        <w:t xml:space="preserve">Implementing the full potential to reduce the dependence to zero would require EUR 300</w:t>
      </w:r>
      <w:r>
        <w:t xml:space="preserve"> </w:t>
      </w:r>
      <w:r>
        <w:t xml:space="preserve">bn cumulative from now until 2030. These are additional to the Fit for 55 proposals and</w:t>
      </w:r>
      <w:r>
        <w:t xml:space="preserve"> </w:t>
      </w:r>
      <w:r>
        <w:t xml:space="preserve">include the impact of higher fuel costs.</w:t>
      </w:r>
      <w:r>
        <w:br/>
      </w:r>
      <w:r>
        <w:t xml:space="preserve">This is an increase of about 5% of the total Fit for 55 investments until 2030 but would</w:t>
      </w:r>
      <w:r>
        <w:t xml:space="preserve"> </w:t>
      </w:r>
      <w:r>
        <w:t xml:space="preserve">lead, together with the measures of the Fit for 55 package, to savings of approximatively</w:t>
      </w:r>
      <w:r>
        <w:t xml:space="preserve"> </w:t>
      </w:r>
      <w:r>
        <w:t xml:space="preserve">€80 bn on gas import expenditures, €12 bn on oil import expenditures and €1.7 bn on</w:t>
      </w:r>
      <w:r>
        <w:t xml:space="preserve"> </w:t>
      </w:r>
      <w:r>
        <w:t xml:space="preserve">coal import expenditures per year.</w:t>
      </w:r>
      <w:r>
        <w:br/>
      </w:r>
      <w:r>
        <w:t xml:space="preserve">Achieving the objectives of REPowerEU relies notably on scaling up renewable energies</w:t>
      </w:r>
      <w:r>
        <w:t xml:space="preserve"> </w:t>
      </w:r>
      <w:r>
        <w:t xml:space="preserve">as quickly as possible and develop renewable hydrogen and bio-methane and provide a</w:t>
      </w:r>
      <w:r>
        <w:t xml:space="preserve"> </w:t>
      </w:r>
      <w:r>
        <w:t xml:space="preserve">crucial contribution to the effort of reducing the dependence on Russian gas.</w:t>
      </w:r>
      <w:r>
        <w:br/>
      </w:r>
      <w:r>
        <w:t xml:space="preserve">Reducing faster the EU dependence on fossil fuels is done at the level of homes,</w:t>
      </w:r>
      <w:r>
        <w:t xml:space="preserve"> </w:t>
      </w:r>
      <w:r>
        <w:t xml:space="preserve">buildings, transport, industry and the power system by boosting energy efficiency gains,</w:t>
      </w:r>
      <w:r>
        <w:t xml:space="preserve"> </w:t>
      </w:r>
      <w:r>
        <w:t xml:space="preserve">increasing the share of renewables and addressing infrastructure bottlenecks.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60</w:t>
      </w:r>
    </w:p>
    <w:p>
      <w:pPr>
        <w:pStyle w:val="BodyText"/>
      </w:pPr>
      <w:r>
        <w:t xml:space="preserve">Several policy actions are considered both from the supply and demand side, in the short,</w:t>
      </w:r>
      <w:r>
        <w:t xml:space="preserve"> </w:t>
      </w:r>
      <w:r>
        <w:t xml:space="preserve">medium and long term. The most relevant for this IA are the decarbonisation of the</w:t>
      </w:r>
      <w:r>
        <w:t xml:space="preserve"> </w:t>
      </w:r>
      <w:r>
        <w:t xml:space="preserve">power sector, in the short term, as well as the development of renewable hydrogen</w:t>
      </w:r>
      <w:r>
        <w:t xml:space="preserve"> </w:t>
      </w:r>
      <w:r>
        <w:t xml:space="preserve">production and hydrogen infrastructure, which would take place in the long term.</w:t>
      </w:r>
      <w:r>
        <w:t xml:space="preserve"> </w:t>
      </w:r>
      <w:r>
        <w:t xml:space="preserve">Potential measures and investments to reduce dependence on Russian gas are described</w:t>
      </w:r>
      <w:r>
        <w:t xml:space="preserve"> </w:t>
      </w:r>
      <w:r>
        <w:t xml:space="preserve">in Table 1 of the SWD.</w:t>
      </w:r>
      <w:r>
        <w:br/>
      </w:r>
      <w:r>
        <w:t xml:space="preserve">The significant reduction on gas consumption would be achieved by both the impact of</w:t>
      </w:r>
      <w:r>
        <w:t xml:space="preserve"> </w:t>
      </w:r>
      <w:r>
        <w:t xml:space="preserve">higher gas and oil prices and by the implementation of the REPowerEU measures.</w:t>
      </w:r>
      <w:r>
        <w:t xml:space="preserve"> </w:t>
      </w:r>
      <w:r>
        <w:t xml:space="preserve">Three main drivers will change the energy system beyond the Fit-for-55 proposals:</w:t>
      </w:r>
      <w:r>
        <w:t xml:space="preserve"> </w:t>
      </w:r>
      <w:r>
        <w:t xml:space="preserve">1. The decoupling from Russian gas imports;</w:t>
      </w:r>
      <w:r>
        <w:br/>
      </w:r>
      <w:r>
        <w:t xml:space="preserve">2. The REPowerEU plan which further increases the ambition level beyond the Fit</w:t>
      </w:r>
      <w:r>
        <w:t xml:space="preserve"> </w:t>
      </w:r>
      <w:r>
        <w:t xml:space="preserve">for 55 Package for gas alternatives (bio-methane, renewable hydrogen),</w:t>
      </w:r>
      <w:r>
        <w:t xml:space="preserve"> </w:t>
      </w:r>
      <w:r>
        <w:t xml:space="preserve">deployment of renewables, and structural demand measures such as energy</w:t>
      </w:r>
      <w:r>
        <w:t xml:space="preserve"> </w:t>
      </w:r>
      <w:r>
        <w:t xml:space="preserve">efficiency;</w:t>
      </w:r>
      <w:r>
        <w:t xml:space="preserve"> </w:t>
      </w:r>
      <w:r>
        <w:t xml:space="preserve">o The renewables reach a 45% share in 2030;</w:t>
      </w:r>
      <w:r>
        <w:t xml:space="preserve"> </w:t>
      </w:r>
      <w:r>
        <w:t xml:space="preserve">o Energy efficiency reaches a 13% share in 2030;</w:t>
      </w:r>
      <w:r>
        <w:t xml:space="preserve"> </w:t>
      </w:r>
      <w:r>
        <w:t xml:space="preserve">o Bio-methane production reaches 35 bcm in 2030;</w:t>
      </w:r>
      <w:r>
        <w:t xml:space="preserve"> </w:t>
      </w:r>
      <w:r>
        <w:t xml:space="preserve">o Renewable hydrogen use reaches 20 Mt by 2030 (of which about 4 Mt as</w:t>
      </w:r>
      <w:r>
        <w:t xml:space="preserve"> </w:t>
      </w:r>
      <w:r>
        <w:t xml:space="preserve">ammonia);</w:t>
      </w:r>
      <w:r>
        <w:t xml:space="preserve"> </w:t>
      </w:r>
      <w:r>
        <w:t xml:space="preserve">o Respecting the at least -55% GHG objective of the Fit-for-55 package is</w:t>
      </w:r>
      <w:r>
        <w:t xml:space="preserve"> </w:t>
      </w:r>
      <w:r>
        <w:t xml:space="preserve">achieved.</w:t>
      </w:r>
      <w:r>
        <w:t xml:space="preserve"> </w:t>
      </w:r>
      <w:r>
        <w:t xml:space="preserve">3. Prices are expected to be persistently higher than the reference (albeit lower</w:t>
      </w:r>
      <w:r>
        <w:t xml:space="preserve"> </w:t>
      </w:r>
      <w:r>
        <w:t xml:space="preserve">than the peak prices observed in 2021 and 2022).</w:t>
      </w:r>
      <w:r>
        <w:br/>
      </w:r>
      <w:r>
        <w:t xml:space="preserve">Impact on Energy demand</w:t>
      </w:r>
      <w:r>
        <w:t xml:space="preserve"> </w:t>
      </w:r>
      <w:r>
        <w:t xml:space="preserve">Compared to the Fit-for-55 proposals, the SWD shows that there is additional scope for</w:t>
      </w:r>
      <w:r>
        <w:t xml:space="preserve"> </w:t>
      </w:r>
      <w:r>
        <w:t xml:space="preserve">decreasing consumption of natural gas in all industrial sectors by 2030. Implementing</w:t>
      </w:r>
      <w:r>
        <w:t xml:space="preserve"> </w:t>
      </w:r>
      <w:r>
        <w:t xml:space="preserve">REPowerEU would, in addition to higher fuel prices, lead to a switch in the industrial</w:t>
      </w:r>
      <w:r>
        <w:t xml:space="preserve"> </w:t>
      </w:r>
      <w:r>
        <w:t xml:space="preserve">sector from natural gas to hydrogen and coal, and to a lesser extent oil.</w:t>
      </w:r>
      <w:r>
        <w:br/>
      </w:r>
      <w:r>
        <w:t xml:space="preserve">Higher consumption of hydrogen in hard-to-abate transport sectors, especially in heavy</w:t>
      </w:r>
      <w:r>
        <w:t xml:space="preserve"> </w:t>
      </w:r>
      <w:r>
        <w:t xml:space="preserve">duty trucks and through the production of sustainable fuels for aviation and waterborne</w:t>
      </w:r>
      <w:r>
        <w:t xml:space="preserve"> </w:t>
      </w:r>
      <w:r>
        <w:t xml:space="preserve">sectors provides another opportunity to replace Russian fossil fuels. Consumption of</w:t>
      </w:r>
      <w:r>
        <w:t xml:space="preserve"> </w:t>
      </w:r>
      <w:r>
        <w:t xml:space="preserve">hydrogen in the transport sector is higher by 1.4 Mt of hydrogen in REPowerEU, or</w:t>
      </w:r>
      <w:r>
        <w:t xml:space="preserve"> </w:t>
      </w:r>
      <w:r>
        <w:t xml:space="preserve">about 2.5 times what it would be in Fit for 55, with the share of hydrogen and derived</w:t>
      </w:r>
      <w:r>
        <w:t xml:space="preserve"> </w:t>
      </w:r>
      <w:r>
        <w:t xml:space="preserve">fuels (renewable fuels of non-biological origin) in the transport sector increasing to</w:t>
      </w:r>
      <w:r>
        <w:t xml:space="preserve"> </w:t>
      </w:r>
      <w:r>
        <w:t xml:space="preserve">above 5%.</w:t>
      </w:r>
      <w:r>
        <w:br/>
      </w:r>
      <w:r>
        <w:t xml:space="preserve">The SWD also reports on short term and behavioural measures, including the</w:t>
      </w:r>
      <w:r>
        <w:t xml:space="preserve"> </w:t>
      </w:r>
      <w:r>
        <w:t xml:space="preserve">reinforcement of the adoption of electric and more efficient vehicles.</w:t>
      </w:r>
      <w:r>
        <w:t xml:space="preserve"> </w:t>
      </w:r>
      <w:r>
        <w:t xml:space="preserve">Renewables and Energy Efficiency for REPowerEU</w:t>
      </w:r>
      <w:r>
        <w:t xml:space="preserve"> </w:t>
      </w:r>
      <w:r>
        <w:t xml:space="preserve">The REPowerEU scenario shows that the increase of the overall RES to 45% in 2030</w:t>
      </w:r>
      <w:r>
        <w:t xml:space="preserve"> </w:t>
      </w:r>
      <w:r>
        <w:t xml:space="preserve">leads to an increase in all supply and demand renewable sectors – electricity, heating and</w:t>
      </w:r>
      <w:r>
        <w:t xml:space="preserve"> </w:t>
      </w:r>
      <w:r>
        <w:t xml:space="preserve">cooling, industry, buildings and transport. Notably RES-T share in 2030 increases from</w:t>
      </w:r>
      <w:r>
        <w:t xml:space="preserve"> </w:t>
      </w:r>
      <w:r>
        <w:t xml:space="preserve">28% to 32% and GHG intensity reduction in transport increases from 13% to 16%,</w:t>
      </w:r>
      <w:r>
        <w:t xml:space="preserve"> </w:t>
      </w:r>
      <w:r>
        <w:t xml:space="preserve">compared to the results of the Fit for 55 scenario. With respect to the projections in the</w:t>
      </w:r>
      <w:r>
        <w:t xml:space="preserve"> </w:t>
      </w:r>
      <w:r>
        <w:t xml:space="preserve">EU Reference Scenario 2020, final energy consumption is 13% lower (compared to</w:t>
      </w:r>
      <w:r>
        <w:t xml:space="preserve"> </w:t>
      </w:r>
      <w:r>
        <w:t xml:space="preserve">nearly 9% in the Fit for 55 scenario). Similarly, the share of RFNBOs in 2030 (single</w:t>
      </w:r>
      <w:r>
        <w:t xml:space="preserve"> </w:t>
      </w:r>
      <w:r>
        <w:t xml:space="preserve">counted) increases from 2.6% to 5.7%.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61</w:t>
      </w:r>
    </w:p>
    <w:p>
      <w:pPr>
        <w:pStyle w:val="BodyText"/>
      </w:pPr>
      <w:r>
        <w:t xml:space="preserve">1.16. 13.2</w:t>
      </w:r>
      <w:r>
        <w:t xml:space="preserve"> </w:t>
      </w:r>
      <w:r>
        <w:t xml:space="preserve">Specific analytical elements for this impact assessment</w:t>
      </w:r>
      <w:r>
        <w:t xml:space="preserve"> </w:t>
      </w:r>
      <w:r>
        <w:t xml:space="preserve">13.2.1</w:t>
      </w:r>
      <w:r>
        <w:t xml:space="preserve"> </w:t>
      </w:r>
      <w:r>
        <w:t xml:space="preserve">DIONE model (JRC)</w:t>
      </w:r>
      <w:r>
        <w:t xml:space="preserve"> </w:t>
      </w:r>
      <w:r>
        <w:t xml:space="preserve">The DIONE model suite is developed, maintained and run by the European</w:t>
      </w:r>
      <w:r>
        <w:t xml:space="preserve"> </w:t>
      </w:r>
      <w:r>
        <w:t xml:space="preserve">Commission’s Joint Research Centre (JRC). It has been used for the assessment of net</w:t>
      </w:r>
      <w:r>
        <w:t xml:space="preserve"> </w:t>
      </w:r>
      <w:r>
        <w:t xml:space="preserve">economic savings from different perspectives and of costs for automotive manufacturers</w:t>
      </w:r>
      <w:r>
        <w:t xml:space="preserve"> </w:t>
      </w:r>
      <w:r>
        <w:t xml:space="preserve">presented in Chapter 6 of the Impact Assessment. The suite consists of different modules,</w:t>
      </w:r>
      <w:r>
        <w:t xml:space="preserve"> </w:t>
      </w:r>
      <w:r>
        <w:t xml:space="preserve">such as:</w:t>
      </w:r>
      <w:r>
        <w:t xml:space="preserve"> </w:t>
      </w:r>
      <w:r>
        <w:t xml:space="preserve"> DIONE Fleet Impact Model</w:t>
      </w:r>
      <w:r>
        <w:t xml:space="preserve"> </w:t>
      </w:r>
      <w:r>
        <w:t xml:space="preserve"> DIONE Cost Curve Model</w:t>
      </w:r>
      <w:r>
        <w:t xml:space="preserve"> </w:t>
      </w:r>
      <w:r>
        <w:t xml:space="preserve"> DIONE Cross-Optimization Module</w:t>
      </w:r>
      <w:r>
        <w:t xml:space="preserve"> </w:t>
      </w:r>
      <w:r>
        <w:t xml:space="preserve"> DIONE Fuel and Energy Cost Module</w:t>
      </w:r>
      <w:r>
        <w:t xml:space="preserve"> </w:t>
      </w:r>
      <w:r>
        <w:t xml:space="preserve"> DIONE TCO Module</w:t>
      </w:r>
      <w:r>
        <w:t xml:space="preserve"> </w:t>
      </w:r>
      <w:r>
        <w:t xml:space="preserve">Many of them were developed specifically for the analysis of the total cost of ownership</w:t>
      </w:r>
      <w:r>
        <w:t xml:space="preserve"> </w:t>
      </w:r>
      <w:r>
        <w:t xml:space="preserve">of vehicles in the framework of EC impact assessments43. The DIONE model was</w:t>
      </w:r>
      <w:r>
        <w:t xml:space="preserve"> </w:t>
      </w:r>
      <w:r>
        <w:t xml:space="preserve">previously used in support of the analytic work supporting the current regulations setting</w:t>
      </w:r>
      <w:r>
        <w:t xml:space="preserve"> </w:t>
      </w:r>
      <w:r>
        <w:t xml:space="preserve">CO2 standards for light-duty vehicles (Regulation (EU) 2019/631) and heavy-duty</w:t>
      </w:r>
      <w:r>
        <w:t xml:space="preserve"> </w:t>
      </w:r>
      <w:r>
        <w:t xml:space="preserve">vehicles (Regulation (EU) 2019/1242), as well as in support of the impact assessment for</w:t>
      </w:r>
      <w:r>
        <w:t xml:space="preserve"> </w:t>
      </w:r>
      <w:r>
        <w:t xml:space="preserve">strengthening the CO2 emission performance standards for new passenger cars and new</w:t>
      </w:r>
      <w:r>
        <w:t xml:space="preserve"> </w:t>
      </w:r>
      <w:r>
        <w:t xml:space="preserve">light commercial vehicles in line with the Union’s increased climate ambition (SWD</w:t>
      </w:r>
      <w:r>
        <w:t xml:space="preserve"> </w:t>
      </w:r>
      <w:r>
        <w:t xml:space="preserve">(2021) 613). For the present Impact Assessment, the DIONE Model was extended in</w:t>
      </w:r>
      <w:r>
        <w:t xml:space="preserve"> </w:t>
      </w:r>
      <w:r>
        <w:t xml:space="preserve">several ways, to be able to analyze impacts of possible extensions of regulation scope.</w:t>
      </w:r>
      <w:r>
        <w:t xml:space="preserve"> </w:t>
      </w:r>
      <w:r>
        <w:t xml:space="preserve">Previously, DIONE cost curves covered the presently regulated four vehicle groups, i.e.,</w:t>
      </w:r>
      <w:r>
        <w:t xml:space="preserve"> </w:t>
      </w:r>
      <w:r>
        <w:t xml:space="preserve">4, 5, 9 and 10 (as per (EU) 2017/2400), two powertrains (diesel and liquid natural gas</w:t>
      </w:r>
      <w:r>
        <w:t xml:space="preserve"> </w:t>
      </w:r>
      <w:r>
        <w:t xml:space="preserve">combustion engines), and the two years 2025 and 2030.</w:t>
      </w:r>
      <w:r>
        <w:br/>
      </w:r>
      <w:r>
        <w:t xml:space="preserve">Firstly the model was extended to new HDV classes, i.e., large vans and small/medium</w:t>
      </w:r>
      <w:r>
        <w:t xml:space="preserve"> </w:t>
      </w:r>
      <w:r>
        <w:t xml:space="preserve">trucks up to group 3, and additional heavy trucks of groups 11, 12 and 16. Moreover,</w:t>
      </w:r>
      <w:r>
        <w:t xml:space="preserve"> </w:t>
      </w:r>
      <w:r>
        <w:t xml:space="preserve">buses and coaches have been newly included.</w:t>
      </w:r>
      <w:r>
        <w:br/>
      </w:r>
      <w:r>
        <w:t xml:space="preserve">Secondly, a major extension of the powertrain/fuel combinations available was</w:t>
      </w:r>
      <w:r>
        <w:t xml:space="preserve"> </w:t>
      </w:r>
      <w:r>
        <w:t xml:space="preserve">undertaken, extending to both additional combustion engine options fuelled by gaseous</w:t>
      </w:r>
      <w:r>
        <w:t xml:space="preserve"> </w:t>
      </w:r>
      <w:r>
        <w:t xml:space="preserve">fuels such as compressed natural gas and hydrogen, and to the development of cost</w:t>
      </w:r>
      <w:r>
        <w:t xml:space="preserve"> </w:t>
      </w:r>
      <w:r>
        <w:t xml:space="preserve">curves for electrified powertrains, covering hybrids, plug-in hybrids (PHEV), battery</w:t>
      </w:r>
      <w:r>
        <w:t xml:space="preserve"> </w:t>
      </w:r>
      <w:r>
        <w:t xml:space="preserve">electric vehicles (BEV), fuel cell electric vehicles (FCEV), fuel cell range extenders (FC-</w:t>
      </w:r>
      <w:r>
        <w:t xml:space="preserve"> </w:t>
      </w:r>
      <w:r>
        <w:t xml:space="preserve">REEV), and battery catenary electric vehicles (BCEV).</w:t>
      </w:r>
      <w:r>
        <w:br/>
      </w:r>
      <w:r>
        <w:t xml:space="preserve">Thirdly, the DIONE cost curve model has been extended to trailers and has provided the</w:t>
      </w:r>
      <w:r>
        <w:t xml:space="preserve"> </w:t>
      </w:r>
      <w:r>
        <w:t xml:space="preserve">first ever energy consumption reduction cost curves for a variety of trailers of different</w:t>
      </w:r>
      <w:r>
        <w:t xml:space="preserve"> </w:t>
      </w:r>
      <w:r>
        <w:t xml:space="preserve">types, towed by diverse truck types and classes.</w:t>
      </w:r>
    </w:p>
    <w:p>
      <w:pPr>
        <w:pStyle w:val="BodyText"/>
      </w:pPr>
      <w:r>
        <w:t xml:space="preserve">43 Krause, J., Donati, A.V., Thiel, C. (2017), Light-Duty Vehicle CO2 Emission Reduction Cost Curves and</w:t>
      </w:r>
      <w:r>
        <w:t xml:space="preserve"> </w:t>
      </w:r>
      <w:r>
        <w:t xml:space="preserve">Cost Assessment - the DIONE Model, EUR 28821 EN, Publications Office of the European Union,</w:t>
      </w:r>
      <w:r>
        <w:t xml:space="preserve"> </w:t>
      </w:r>
      <w:r>
        <w:t xml:space="preserve">Luxembourg,</w:t>
      </w:r>
      <w:r>
        <w:t xml:space="preserve"> </w:t>
      </w:r>
      <w:r>
        <w:t xml:space="preserve">http://publications.jrc.ec.europa.eu/repository/handle/JRC108725;</w:t>
      </w:r>
      <w:r>
        <w:t xml:space="preserve"> </w:t>
      </w:r>
      <w:r>
        <w:t xml:space="preserve">and</w:t>
      </w:r>
      <w:r>
        <w:t xml:space="preserve"> </w:t>
      </w:r>
      <w:r>
        <w:t xml:space="preserve">Krause, J., Donati, A.V., Heavy-duty vehicle CO2 emission reduction cost curves and cost assessment –</w:t>
      </w:r>
      <w:r>
        <w:t xml:space="preserve"> </w:t>
      </w:r>
      <w:r>
        <w:t xml:space="preserve">enhancement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DIONE</w:t>
      </w:r>
      <w:r>
        <w:t xml:space="preserve"> </w:t>
      </w:r>
      <w:r>
        <w:t xml:space="preserve">model</w:t>
      </w:r>
      <w:r>
        <w:t xml:space="preserve"> </w:t>
      </w:r>
      <w:r>
        <w:t xml:space="preserve">(2018),</w:t>
      </w:r>
      <w:r>
        <w:t xml:space="preserve"> </w:t>
      </w:r>
      <w:r>
        <w:t xml:space="preserve">EUR</w:t>
      </w:r>
      <w:r>
        <w:t xml:space="preserve"> </w:t>
      </w:r>
      <w:r>
        <w:t xml:space="preserve">29284</w:t>
      </w:r>
      <w:r>
        <w:t xml:space="preserve"> </w:t>
      </w:r>
      <w:r>
        <w:t xml:space="preserve">EN,</w:t>
      </w:r>
      <w:r>
        <w:t xml:space="preserve"> </w:t>
      </w:r>
      <w:r>
        <w:t xml:space="preserve">ISBN</w:t>
      </w:r>
      <w:r>
        <w:t xml:space="preserve"> </w:t>
      </w:r>
      <w:r>
        <w:t xml:space="preserve">978-92-79-88812-0,</w:t>
      </w:r>
      <w:r>
        <w:t xml:space="preserve"> </w:t>
      </w:r>
      <w:r>
        <w:t xml:space="preserve">doi:10.2760/555936, JRC112013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62</w:t>
      </w:r>
    </w:p>
    <w:p>
      <w:pPr>
        <w:pStyle w:val="BodyText"/>
      </w:pPr>
      <w:r>
        <w:t xml:space="preserve">Forth, all heavy duty vehicle cost curves have been developed out to 2050 (previously</w:t>
      </w:r>
      <w:r>
        <w:t xml:space="preserve"> </w:t>
      </w:r>
      <w:r>
        <w:t xml:space="preserve">2030).</w:t>
      </w:r>
      <w:r>
        <w:t xml:space="preserve"> </w:t>
      </w:r>
      <w:r>
        <w:t xml:space="preserve">On the basis of the cost curves, the DIONE Cross-Optimization Module determines the</w:t>
      </w:r>
      <w:r>
        <w:t xml:space="preserve"> </w:t>
      </w:r>
      <w:r>
        <w:t xml:space="preserve">optimal (i.e. cost minimizing) CO2 and energy consumption reduction for each</w:t>
      </w:r>
      <w:r>
        <w:t xml:space="preserve"> </w:t>
      </w:r>
      <w:r>
        <w:t xml:space="preserve">powertrain and segment, given the relevant targets, fleet compositions and cost curves.</w:t>
      </w:r>
      <w:r>
        <w:t xml:space="preserve"> </w:t>
      </w:r>
      <w:r>
        <w:t xml:space="preserve">Outputs from the Cross-Optimization Module are optimal CO2 (for combustion engine</w:t>
      </w:r>
      <w:r>
        <w:t xml:space="preserve"> </w:t>
      </w:r>
      <w:r>
        <w:t xml:space="preserve">vehicles using carbon emitting fuels) or energy (for BEV, FCEV, BCEV, FC-REEV,</w:t>
      </w:r>
      <w:r>
        <w:t xml:space="preserve"> </w:t>
      </w:r>
      <w:r>
        <w:t xml:space="preserve">PHEV, and hydrogen combustion engine vehicles) consumption reductions, compared to</w:t>
      </w:r>
      <w:r>
        <w:t xml:space="preserve"> </w:t>
      </w:r>
      <w:r>
        <w:t xml:space="preserve">a baseline vehicle, per vehicle class and powertrain, along with the corresponding</w:t>
      </w:r>
      <w:r>
        <w:t xml:space="preserve"> </w:t>
      </w:r>
      <w:r>
        <w:t xml:space="preserve">additional manufacturing costs.</w:t>
      </w:r>
      <w:r>
        <w:t xml:space="preserve"> </w:t>
      </w:r>
      <w:r>
        <w:t xml:space="preserve">The DIONE Energy Cost Module is used to calculate fuel and energy costs. For each</w:t>
      </w:r>
      <w:r>
        <w:t xml:space="preserve"> </w:t>
      </w:r>
      <w:r>
        <w:t xml:space="preserve">powertrain and vehicle class, the energy consumption (MJ/km) is derived from the CO2</w:t>
      </w:r>
      <w:r>
        <w:t xml:space="preserve"> </w:t>
      </w:r>
      <w:r>
        <w:t xml:space="preserve">emission or energy consumption reduction found in the cross-optimization. The fuel and</w:t>
      </w:r>
      <w:r>
        <w:t xml:space="preserve"> </w:t>
      </w:r>
      <w:r>
        <w:t xml:space="preserve">energy cost is calculated taking into account the specific energy consumption, vehicle</w:t>
      </w:r>
      <w:r>
        <w:t xml:space="preserve"> </w:t>
      </w:r>
      <w:r>
        <w:t xml:space="preserve">mileage and fuel costs per scenario. Costs of conventional fuels, and electricity and</w:t>
      </w:r>
      <w:r>
        <w:t xml:space="preserve"> </w:t>
      </w:r>
      <w:r>
        <w:t xml:space="preserve">hydrogen are aligned with PRIMES outputs for the respective scenarios. They are</w:t>
      </w:r>
      <w:r>
        <w:t xml:space="preserve"> </w:t>
      </w:r>
      <w:r>
        <w:t xml:space="preserve">discounted and weighted by powertrain / class activity over vehicle age.</w:t>
      </w:r>
      <w:r>
        <w:t xml:space="preserve"> </w:t>
      </w:r>
      <w:r>
        <w:t xml:space="preserve">In the DIONE TCO (total cost of ownership) Module, technology costs, fuel/energy and</w:t>
      </w:r>
      <w:r>
        <w:t xml:space="preserve"> </w:t>
      </w:r>
      <w:r>
        <w:t xml:space="preserve">maintenance costs are aggregated, discounted and weighted where appropriate, to</w:t>
      </w:r>
      <w:r>
        <w:t xml:space="preserve"> </w:t>
      </w:r>
      <w:r>
        <w:t xml:space="preserve">calculate total costs of ownership from the perspectives of end-users and society.</w:t>
      </w:r>
      <w:r>
        <w:t xml:space="preserve"> </w:t>
      </w:r>
      <w:r>
        <w:t xml:space="preserve">Main assumptions made for the costs assessment by DIONE are presented in Table 5.</w:t>
      </w:r>
      <w:r>
        <w:br/>
      </w:r>
      <w:r>
        <w:t xml:space="preserve">Table 5: Main assumptions made for HDV cost assessment</w:t>
      </w:r>
    </w:p>
    <w:p>
      <w:pPr>
        <w:pStyle w:val="BodyText"/>
      </w:pPr>
      <w:r>
        <w:t xml:space="preserve">Enduser 1</w:t>
      </w:r>
      <w:r>
        <w:t xml:space="preserve"> </w:t>
      </w:r>
      <w:r>
        <w:t xml:space="preserve">Enduser 2</w:t>
      </w:r>
      <w:r>
        <w:t xml:space="preserve"> </w:t>
      </w:r>
      <w:r>
        <w:t xml:space="preserve">Enduser 3</w:t>
      </w:r>
      <w:r>
        <w:t xml:space="preserve"> </w:t>
      </w:r>
      <w:r>
        <w:t xml:space="preserve">Social Lifetime</w:t>
      </w:r>
      <w:r>
        <w:t xml:space="preserve"> </w:t>
      </w:r>
      <w:r>
        <w:t xml:space="preserve">Vehicle life years</w:t>
      </w:r>
      <w:r>
        <w:t xml:space="preserve"> </w:t>
      </w:r>
      <w:r>
        <w:t xml:space="preserve">1-5</w:t>
      </w:r>
      <w:r>
        <w:t xml:space="preserve"> </w:t>
      </w:r>
      <w:r>
        <w:t xml:space="preserve">6-10</w:t>
      </w:r>
      <w:r>
        <w:t xml:space="preserve"> </w:t>
      </w:r>
      <w:r>
        <w:t xml:space="preserve">11-15</w:t>
      </w:r>
      <w:r>
        <w:t xml:space="preserve"> </w:t>
      </w:r>
      <w:r>
        <w:t xml:space="preserve">1-15</w:t>
      </w:r>
      <w:r>
        <w:t xml:space="preserve"> </w:t>
      </w:r>
      <w:r>
        <w:t xml:space="preserve">Discount rate,</w:t>
      </w:r>
      <w:r>
        <w:t xml:space="preserve"> </w:t>
      </w:r>
      <w:r>
        <w:t xml:space="preserve">applied to</w:t>
      </w:r>
      <w:r>
        <w:t xml:space="preserve"> </w:t>
      </w:r>
      <w:r>
        <w:t xml:space="preserve">fuel/energy,</w:t>
      </w:r>
      <w:r>
        <w:t xml:space="preserve"> </w:t>
      </w:r>
      <w:r>
        <w:t xml:space="preserve">maintenance, and</w:t>
      </w:r>
      <w:r>
        <w:t xml:space="preserve"> </w:t>
      </w:r>
      <w:r>
        <w:t xml:space="preserve">capital costs</w:t>
      </w:r>
      <w:r>
        <w:t xml:space="preserve"> </w:t>
      </w:r>
      <w:r>
        <w:t xml:space="preserve">9.5% trucks</w:t>
      </w:r>
      <w:r>
        <w:t xml:space="preserve"> </w:t>
      </w:r>
      <w:r>
        <w:t xml:space="preserve">7.5%</w:t>
      </w:r>
      <w:r>
        <w:t xml:space="preserve"> </w:t>
      </w:r>
      <w:r>
        <w:t xml:space="preserve">buses/coaches</w:t>
      </w:r>
      <w:r>
        <w:t xml:space="preserve"> </w:t>
      </w:r>
      <w:r>
        <w:t xml:space="preserve">9.5% trucks</w:t>
      </w:r>
      <w:r>
        <w:t xml:space="preserve"> </w:t>
      </w:r>
      <w:r>
        <w:t xml:space="preserve">7.5%</w:t>
      </w:r>
      <w:r>
        <w:t xml:space="preserve"> </w:t>
      </w:r>
      <w:r>
        <w:t xml:space="preserve">buses/coaches</w:t>
      </w:r>
      <w:r>
        <w:t xml:space="preserve"> </w:t>
      </w:r>
      <w:r>
        <w:t xml:space="preserve">9.5% trucks</w:t>
      </w:r>
      <w:r>
        <w:t xml:space="preserve"> </w:t>
      </w:r>
      <w:r>
        <w:t xml:space="preserve">7.5%</w:t>
      </w:r>
      <w:r>
        <w:t xml:space="preserve"> </w:t>
      </w:r>
      <w:r>
        <w:t xml:space="preserve">buses/coaches</w:t>
      </w:r>
      <w:r>
        <w:t xml:space="preserve"> </w:t>
      </w:r>
      <w:r>
        <w:t xml:space="preserve">3% for all</w:t>
      </w:r>
      <w:r>
        <w:t xml:space="preserve"> </w:t>
      </w:r>
      <w:r>
        <w:t xml:space="preserve">User period</w:t>
      </w:r>
      <w:r>
        <w:t xml:space="preserve"> </w:t>
      </w:r>
      <w:r>
        <w:t xml:space="preserve">depreciation of</w:t>
      </w:r>
      <w:r>
        <w:t xml:space="preserve"> </w:t>
      </w:r>
      <w:r>
        <w:t xml:space="preserve">technology value</w:t>
      </w:r>
      <w:r>
        <w:t xml:space="preserve"> </w:t>
      </w:r>
      <w:r>
        <w:t xml:space="preserve">70%</w:t>
      </w:r>
      <w:r>
        <w:t xml:space="preserve"> </w:t>
      </w:r>
      <w:r>
        <w:t xml:space="preserve">16%</w:t>
      </w:r>
      <w:r>
        <w:t xml:space="preserve"> </w:t>
      </w:r>
      <w:r>
        <w:t xml:space="preserve">4%</w:t>
      </w:r>
      <w:r>
        <w:t xml:space="preserve"> </w:t>
      </w:r>
      <w:r>
        <w:t xml:space="preserve">90%</w:t>
      </w:r>
      <w:r>
        <w:t xml:space="preserve"> </w:t>
      </w:r>
      <w:r>
        <w:t xml:space="preserve">Value added tax</w:t>
      </w:r>
      <w:r>
        <w:t xml:space="preserve"> </w:t>
      </w:r>
      <w:r>
        <w:t xml:space="preserve">on all costs</w:t>
      </w:r>
      <w:r>
        <w:t xml:space="preserve"> </w:t>
      </w:r>
      <w:r>
        <w:t xml:space="preserve">excluded</w:t>
      </w:r>
      <w:r>
        <w:t xml:space="preserve"> </w:t>
      </w:r>
      <w:r>
        <w:t xml:space="preserve">excluded</w:t>
      </w:r>
      <w:r>
        <w:t xml:space="preserve"> </w:t>
      </w:r>
      <w:r>
        <w:t xml:space="preserve">excluded</w:t>
      </w:r>
      <w:r>
        <w:t xml:space="preserve"> </w:t>
      </w:r>
      <w:r>
        <w:t xml:space="preserve">excluded</w:t>
      </w:r>
      <w:r>
        <w:t xml:space="preserve"> </w:t>
      </w:r>
      <w:r>
        <w:t xml:space="preserve">Excise duty (on</w:t>
      </w:r>
      <w:r>
        <w:t xml:space="preserve"> </w:t>
      </w:r>
      <w:r>
        <w:t xml:space="preserve">fuels)</w:t>
      </w:r>
      <w:r>
        <w:t xml:space="preserve"> </w:t>
      </w:r>
      <w:r>
        <w:t xml:space="preserve">included</w:t>
      </w:r>
      <w:r>
        <w:t xml:space="preserve"> </w:t>
      </w:r>
      <w:r>
        <w:t xml:space="preserve">included</w:t>
      </w:r>
      <w:r>
        <w:t xml:space="preserve"> </w:t>
      </w:r>
      <w:r>
        <w:t xml:space="preserve">included</w:t>
      </w:r>
      <w:r>
        <w:t xml:space="preserve"> </w:t>
      </w:r>
      <w:r>
        <w:t xml:space="preserve">excluded</w:t>
      </w:r>
      <w:r>
        <w:t xml:space="preserve"> </w:t>
      </w:r>
      <w:r>
        <w:t xml:space="preserve">Capital cost mark-</w:t>
      </w:r>
      <w:r>
        <w:t xml:space="preserve"> </w:t>
      </w:r>
      <w:r>
        <w:t xml:space="preserve">up (price-to-cost</w:t>
      </w:r>
      <w:r>
        <w:t xml:space="preserve"> </w:t>
      </w:r>
      <w:r>
        <w:t xml:space="preserve">ration)</w:t>
      </w:r>
      <w:r>
        <w:t xml:space="preserve"> </w:t>
      </w:r>
      <w:r>
        <w:t xml:space="preserve">1.208</w:t>
      </w:r>
      <w:r>
        <w:t xml:space="preserve"> </w:t>
      </w:r>
      <w:r>
        <w:t xml:space="preserve">1.208</w:t>
      </w:r>
      <w:r>
        <w:t xml:space="preserve"> </w:t>
      </w:r>
      <w:r>
        <w:t xml:space="preserve">1.208</w:t>
      </w:r>
      <w:r>
        <w:t xml:space="preserve"> </w:t>
      </w:r>
      <w:r>
        <w:t xml:space="preserve">1</w:t>
      </w:r>
      <w:r>
        <w:t xml:space="preserve"> </w:t>
      </w:r>
      <w:r>
        <w:t xml:space="preserve">OEM profit</w:t>
      </w:r>
      <w:r>
        <w:t xml:space="preserve"> </w:t>
      </w:r>
      <w:r>
        <w:t xml:space="preserve">margin on capital</w:t>
      </w:r>
      <w:r>
        <w:t xml:space="preserve"> </w:t>
      </w:r>
      <w:r>
        <w:t xml:space="preserve">costs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</w:p>
    <w:p>
      <w:pPr>
        <w:pStyle w:val="BodyText"/>
      </w:pPr>
      <w:r>
        <w:t xml:space="preserve">13.2.2</w:t>
      </w:r>
      <w:r>
        <w:t xml:space="preserve"> </w:t>
      </w:r>
      <w:r>
        <w:t xml:space="preserve">Macroeconomic model E3ME</w:t>
      </w:r>
      <w:r>
        <w:t xml:space="preserve"> </w:t>
      </w:r>
      <w:r>
        <w:t xml:space="preserve">E3ME is a computer-based model of Europe’s economies, linked to their energy systems</w:t>
      </w:r>
      <w:r>
        <w:t xml:space="preserve"> </w:t>
      </w:r>
      <w:r>
        <w:t xml:space="preserve">and the environment. The model was originally developed through the European</w:t>
      </w:r>
      <w:r>
        <w:t xml:space="preserve"> </w:t>
      </w:r>
      <w:r>
        <w:t xml:space="preserve">Commission’s research framework programmes in the 1990s and is now widely used in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63</w:t>
      </w:r>
    </w:p>
    <w:p>
      <w:pPr>
        <w:pStyle w:val="BodyText"/>
      </w:pPr>
      <w:r>
        <w:t xml:space="preserve">collaboration with a range of European institutions for policy assessment, for forecasting</w:t>
      </w:r>
      <w:r>
        <w:t xml:space="preserve"> </w:t>
      </w:r>
      <w:r>
        <w:t xml:space="preserve">and for research purposes.</w:t>
      </w:r>
      <w:r>
        <w:br/>
      </w:r>
      <w:r>
        <w:t xml:space="preserve">The model is run by Cambridge Econometrics, and its detailed manual is available at</w:t>
      </w:r>
      <w:r>
        <w:t xml:space="preserve"> </w:t>
      </w:r>
      <w:r>
        <w:t xml:space="preserve">https://www.e3me.com/wp-content/uploads/2019/09/E3ME-Technical-Manual-v6.1-</w:t>
      </w:r>
      <w:r>
        <w:t xml:space="preserve"> </w:t>
      </w:r>
      <w:r>
        <w:t xml:space="preserve">onlineSML.pdf</w:t>
      </w:r>
      <w:r>
        <w:t xml:space="preserve"> </w:t>
      </w:r>
      <w:r>
        <w:t xml:space="preserve">The economic structure of E3ME is based on the system of national accounts, as defined</w:t>
      </w:r>
      <w:r>
        <w:t xml:space="preserve"> </w:t>
      </w:r>
      <w:r>
        <w:t xml:space="preserve">by ESA2010. In total there are 33 sets of econometrically estimated equations, also</w:t>
      </w:r>
      <w:r>
        <w:t xml:space="preserve"> </w:t>
      </w:r>
      <w:r>
        <w:t xml:space="preserve">including the components of GDP (consumption, investment and international trade),</w:t>
      </w:r>
      <w:r>
        <w:t xml:space="preserve"> </w:t>
      </w:r>
      <w:r>
        <w:t xml:space="preserve">prices, energy demand and materials demand. Each equation set is disaggregated by</w:t>
      </w:r>
      <w:r>
        <w:t xml:space="preserve"> </w:t>
      </w:r>
      <w:r>
        <w:t xml:space="preserve">country and by sector.</w:t>
      </w:r>
      <w:r>
        <w:br/>
      </w:r>
      <w:r>
        <w:t xml:space="preserve">For the analysis presented in Section 6, the E3ME is calibrated to the Primes output for</w:t>
      </w:r>
      <w:r>
        <w:t xml:space="preserve"> </w:t>
      </w:r>
      <w:r>
        <w:t xml:space="preserve">the three scenarios representing different levels of ambition of CO2 emission standards.</w:t>
      </w:r>
      <w:r>
        <w:t xml:space="preserve"> </w:t>
      </w:r>
      <w:r>
        <w:t xml:space="preserve">The PRIMES scenarios consider the effect of different polcies acting on transport.</w:t>
      </w:r>
      <w:r>
        <w:t xml:space="preserve"> </w:t>
      </w:r>
      <w:r>
        <w:t xml:space="preserve">The labour market is also covered in detail, with estimated sets of equations for labour</w:t>
      </w:r>
      <w:r>
        <w:t xml:space="preserve"> </w:t>
      </w:r>
      <w:r>
        <w:t xml:space="preserve">demand, supply, wages and working hours. For the assessment of employment impacts</w:t>
      </w:r>
      <w:r>
        <w:t xml:space="preserve"> </w:t>
      </w:r>
      <w:r>
        <w:t xml:space="preserve">across the different sectors, labour intensities (number of persons per unit of output) are</w:t>
      </w:r>
      <w:r>
        <w:t xml:space="preserve"> </w:t>
      </w:r>
      <w:r>
        <w:t xml:space="preserve">based on Eurostat Structural Business Statistics (sbs_na_ind_r2). As a starting point, the</w:t>
      </w:r>
      <w:r>
        <w:t xml:space="preserve"> </w:t>
      </w:r>
      <w:r>
        <w:t xml:space="preserve">labour intensity of battery manufacture (which is included in the electrical equipment</w:t>
      </w:r>
      <w:r>
        <w:t xml:space="preserve"> </w:t>
      </w:r>
      <w:r>
        <w:t xml:space="preserve">manufacturing sector) at the EU level is around 3 jobs per €1 million output, compared to</w:t>
      </w:r>
      <w:r>
        <w:t xml:space="preserve"> </w:t>
      </w:r>
      <w:r>
        <w:t xml:space="preserve">a labour intensity of around 5 jobs per €1 million output in the wider electrical equipment</w:t>
      </w:r>
      <w:r>
        <w:t xml:space="preserve"> </w:t>
      </w:r>
      <w:r>
        <w:t xml:space="preserve">manufacturing sector. The labour intensity of the automotive sector (excluding the</w:t>
      </w:r>
      <w:r>
        <w:t xml:space="preserve"> </w:t>
      </w:r>
      <w:r>
        <w:t xml:space="preserve">battery manufacturing) is about 3.5 jobs per €1 million output, reflecting a high labour</w:t>
      </w:r>
      <w:r>
        <w:t xml:space="preserve"> </w:t>
      </w:r>
      <w:r>
        <w:t xml:space="preserve">intensity for manufacture of vehicle parts and engines (5 jobs per €1 million output) but</w:t>
      </w:r>
      <w:r>
        <w:t xml:space="preserve"> </w:t>
      </w:r>
      <w:r>
        <w:t xml:space="preserve">lower labour intensity for the assembly of the vehicle itself (less than 2 jobs per €1</w:t>
      </w:r>
      <w:r>
        <w:t xml:space="preserve"> </w:t>
      </w:r>
      <w:r>
        <w:t xml:space="preserve">million output). The model also accounts for labour productivity improvements (i.e. the</w:t>
      </w:r>
      <w:r>
        <w:t xml:space="preserve"> </w:t>
      </w:r>
      <w:r>
        <w:t xml:space="preserve">ratio of sectoral employment to gross output over the projection period), based on</w:t>
      </w:r>
      <w:r>
        <w:t xml:space="preserve"> </w:t>
      </w:r>
      <w:r>
        <w:t xml:space="preserve">PRIMES projections for output by sector and CEDEFOP projections for employment by</w:t>
      </w:r>
      <w:r>
        <w:t xml:space="preserve"> </w:t>
      </w:r>
      <w:r>
        <w:t xml:space="preserve">sector.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64</w:t>
      </w:r>
    </w:p>
    <w:p>
      <w:pPr>
        <w:pStyle w:val="Compact"/>
        <w:numPr>
          <w:ilvl w:val="0"/>
          <w:numId w:val="1007"/>
        </w:numPr>
      </w:pPr>
      <w:r>
        <w:t xml:space="preserve">ANNEX 5: REGULATORY CONTEXT</w:t>
      </w:r>
      <w:r>
        <w:t xml:space="preserve"> </w:t>
      </w:r>
      <w:r>
        <w:t xml:space="preserve">1.17. 14.1</w:t>
      </w:r>
      <w:r>
        <w:t xml:space="preserve"> </w:t>
      </w:r>
      <w:r>
        <w:t xml:space="preserve">Main elements of Regulation (EU) 2019/1242</w:t>
      </w:r>
      <w:r>
        <w:t xml:space="preserve"> </w:t>
      </w:r>
      <w:r>
        <w:t xml:space="preserve">14.1.1</w:t>
      </w:r>
      <w:r>
        <w:t xml:space="preserve"> </w:t>
      </w:r>
      <w:r>
        <w:t xml:space="preserve">CO2 target levels</w:t>
      </w:r>
      <w:r>
        <w:br/>
      </w:r>
      <w:r>
        <w:t xml:space="preserve">EU fleet-wide CO2 emission targets are set to apply to the average specific CO2</w:t>
      </w:r>
      <w:r>
        <w:t xml:space="preserve"> </w:t>
      </w:r>
      <w:r>
        <w:t xml:space="preserve">emissions of the newly registered heavy-duty vehicles44 of each manufacturer falling</w:t>
      </w:r>
      <w:r>
        <w:t xml:space="preserve"> </w:t>
      </w:r>
      <w:r>
        <w:t xml:space="preserve">within the scope of the Regulation, as from the 2025 to 2029 reporting periods and as</w:t>
      </w:r>
      <w:r>
        <w:t xml:space="preserve"> </w:t>
      </w:r>
      <w:r>
        <w:t xml:space="preserve">from the 2030 reporting period onward, respectively. The vehicles within the scope of the</w:t>
      </w:r>
      <w:r>
        <w:t xml:space="preserve"> </w:t>
      </w:r>
      <w:r>
        <w:t xml:space="preserve">Regulation are the VECTO groups 4, 5, 9 and 10, i.e., lorries with TPMLM over 16t and</w:t>
      </w:r>
      <w:r>
        <w:t xml:space="preserve"> </w:t>
      </w:r>
      <w:r>
        <w:t xml:space="preserve">with 4x2 and 6x2 axle configurations. A reporting period of a certain year ‘Y’ lasts from</w:t>
      </w:r>
      <w:r>
        <w:t xml:space="preserve"> </w:t>
      </w:r>
      <w:r>
        <w:t xml:space="preserve">the 1 July until 30 June of the following year.</w:t>
      </w:r>
      <w:r>
        <w:t xml:space="preserve"> </w:t>
      </w:r>
      <w:r>
        <w:t xml:space="preserve">The 2025 and 2030 targets are defined as a percentage reduction with respect to the 2019</w:t>
      </w:r>
      <w:r>
        <w:t xml:space="preserve"> </w:t>
      </w:r>
      <w:r>
        <w:t xml:space="preserve">reference emissions as shown below:</w:t>
      </w:r>
      <w:r>
        <w:br/>
      </w:r>
      <w:r>
        <w:t xml:space="preserve">Table 6. EU fleet-wide CO2 targets</w:t>
      </w:r>
      <w:r>
        <w:t xml:space="preserve"> </w:t>
      </w:r>
      <w:r>
        <w:t xml:space="preserve">EU fleet-wide CO2 targets (% reduction from 2019 reference emissions</w:t>
      </w:r>
    </w:p>
    <w:p>
      <w:pPr>
        <w:pStyle w:val="FirstParagraph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Heavy-duty vehicles</w:t>
      </w:r>
      <w:r>
        <w:t xml:space="preserve"> </w:t>
      </w:r>
      <w:r>
        <w:t xml:space="preserve">15%</w:t>
      </w:r>
      <w:r>
        <w:t xml:space="preserve"> </w:t>
      </w:r>
      <w:r>
        <w:t xml:space="preserve">30%</w:t>
      </w:r>
    </w:p>
    <w:p>
      <w:pPr>
        <w:pStyle w:val="BodyText"/>
      </w:pPr>
      <w:r>
        <w:t xml:space="preserve">The 2019 reference emissions constitute the average specific CO2 emissions of the</w:t>
      </w:r>
      <w:r>
        <w:t xml:space="preserve"> </w:t>
      </w:r>
      <w:r>
        <w:t xml:space="preserve">vehicles of all manufacturers newly registered in the 2019 reporting period. The</w:t>
      </w:r>
      <w:r>
        <w:t xml:space="preserve"> </w:t>
      </w:r>
      <w:r>
        <w:t xml:space="preserve">regulation also provides some incentives for manufacturers to improve the CO2</w:t>
      </w:r>
      <w:r>
        <w:t xml:space="preserve"> </w:t>
      </w:r>
      <w:r>
        <w:t xml:space="preserve">emissions of their vehicles before the 2025 reporting period by allowing them to acquire</w:t>
      </w:r>
      <w:r>
        <w:t xml:space="preserve"> </w:t>
      </w:r>
      <w:r>
        <w:t xml:space="preserve">credits. These credits can be redeemed for compliance in the 2025 reporting period if</w:t>
      </w:r>
      <w:r>
        <w:t xml:space="preserve"> </w:t>
      </w:r>
      <w:r>
        <w:t xml:space="preserve">their CO2 emissions performance is better than a certain emissions reduction trajectory.</w:t>
      </w:r>
      <w:r>
        <w:t xml:space="preserve"> </w:t>
      </w:r>
      <w:r>
        <w:t xml:space="preserve">14.1.2</w:t>
      </w:r>
      <w:r>
        <w:t xml:space="preserve"> </w:t>
      </w:r>
      <w:r>
        <w:t xml:space="preserve">Excess Emission Premiums</w:t>
      </w:r>
      <w:r>
        <w:t xml:space="preserve"> </w:t>
      </w:r>
      <w:r>
        <w:t xml:space="preserve">If the average specific emissions of a certain manufacturer exceed its specific emission</w:t>
      </w:r>
      <w:r>
        <w:t xml:space="preserve"> </w:t>
      </w:r>
      <w:r>
        <w:t xml:space="preserve">target, an excess emission premium is imposed. The underlying assessment is done for</w:t>
      </w:r>
      <w:r>
        <w:t xml:space="preserve"> </w:t>
      </w:r>
      <w:r>
        <w:t xml:space="preserve">each reporting period separately. Nonetheless, manufacturers have certain possibilities</w:t>
      </w:r>
      <w:r>
        <w:t xml:space="preserve"> </w:t>
      </w:r>
      <w:r>
        <w:t xml:space="preserve">for carrying over debits (if not meeting their targets) and credits (if overachieving their</w:t>
      </w:r>
      <w:r>
        <w:t xml:space="preserve"> </w:t>
      </w:r>
      <w:r>
        <w:t xml:space="preserve">targets by a certain benchmark amount defined through an emissions reduction</w:t>
      </w:r>
      <w:r>
        <w:t xml:space="preserve"> </w:t>
      </w:r>
      <w:r>
        <w:t xml:space="preserve">trajectory) of CO2 emissions to the following year.</w:t>
      </w:r>
      <w:r>
        <w:t xml:space="preserve"> </w:t>
      </w:r>
      <w:r>
        <w:t xml:space="preserve">14.1.3</w:t>
      </w:r>
      <w:r>
        <w:t xml:space="preserve"> </w:t>
      </w:r>
      <w:r>
        <w:t xml:space="preserve">Incentive mechanism for zero- and low-emission</w:t>
      </w:r>
      <w:r>
        <w:t xml:space="preserve"> </w:t>
      </w:r>
      <w:r>
        <w:t xml:space="preserve">vehicles (ZLEV)</w:t>
      </w:r>
      <w:r>
        <w:t xml:space="preserve"> </w:t>
      </w:r>
      <w:r>
        <w:t xml:space="preserve">A ZEV is a heavy-duty vehicle with no (tailpipe) CO2 emissions. A LEV is defined as a</w:t>
      </w:r>
      <w:r>
        <w:t xml:space="preserve"> </w:t>
      </w:r>
      <w:r>
        <w:t xml:space="preserve">heavy-duty vehicle which is not a ZEV but has (tailpipe) CO2 emissions of less than half</w:t>
      </w:r>
      <w:r>
        <w:t xml:space="preserve"> </w:t>
      </w:r>
      <w:r>
        <w:t xml:space="preserve">of the average CO2 emissions of all new heavy-duty vehicles in a given vehicle group in</w:t>
      </w:r>
      <w:r>
        <w:t xml:space="preserve"> </w:t>
      </w:r>
      <w:r>
        <w:t xml:space="preserve">the reference period 2019.</w:t>
      </w:r>
    </w:p>
    <w:p>
      <w:pPr>
        <w:pStyle w:val="BodyText"/>
      </w:pPr>
      <w:r>
        <w:t xml:space="preserve">44 These values are determined by simulation with the VECTO tool according to the provisions of type-</w:t>
      </w:r>
      <w:r>
        <w:t xml:space="preserve"> </w:t>
      </w:r>
      <w:r>
        <w:t xml:space="preserve">approval Regulation (E° 2017/2400 and reported to the EEA according to the provisions of the HDV</w:t>
      </w:r>
      <w:r>
        <w:t xml:space="preserve"> </w:t>
      </w:r>
      <w:r>
        <w:t xml:space="preserve">Monitoring and Reporting Regulation (EU) 2018/956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65</w:t>
      </w:r>
    </w:p>
    <w:p>
      <w:pPr>
        <w:pStyle w:val="BodyText"/>
      </w:pPr>
      <w:r>
        <w:t xml:space="preserve">In order to incentivise the uptake of ZLEV, a crediting system is introduced. From the</w:t>
      </w:r>
      <w:r>
        <w:t xml:space="preserve"> </w:t>
      </w:r>
      <w:r>
        <w:t xml:space="preserve">2019 to 2024 reporting periods, each ZEV is counted twice for the conformity</w:t>
      </w:r>
      <w:r>
        <w:t xml:space="preserve"> </w:t>
      </w:r>
      <w:r>
        <w:t xml:space="preserve">assessment of a manufacturer. From 2025 reporting period onwards, each ZEV beyond a</w:t>
      </w:r>
      <w:r>
        <w:t xml:space="preserve"> </w:t>
      </w:r>
      <w:r>
        <w:t xml:space="preserve">ZLEV benchmark of 2% of the manufacturer’s new fleet is counted twice. LEV are</w:t>
      </w:r>
      <w:r>
        <w:t xml:space="preserve"> </w:t>
      </w:r>
      <w:r>
        <w:t xml:space="preserve">counted with a multiplier between 1 and 2, depending on their level of CO2 emissions.</w:t>
      </w:r>
      <w:r>
        <w:br/>
      </w:r>
      <w:r>
        <w:t xml:space="preserve">14.1.4</w:t>
      </w:r>
      <w:r>
        <w:t xml:space="preserve"> </w:t>
      </w:r>
      <w:r>
        <w:t xml:space="preserve">Governance elements</w:t>
      </w:r>
      <w:r>
        <w:t xml:space="preserve"> </w:t>
      </w:r>
      <w:r>
        <w:t xml:space="preserve">In order to reinforce the effectiveness of the Regulation, it provides for (i) the verification</w:t>
      </w:r>
      <w:r>
        <w:t xml:space="preserve"> </w:t>
      </w:r>
      <w:r>
        <w:t xml:space="preserve">of CO2 emissions of vehicles in-service and (ii) measures to ensure that the emission test</w:t>
      </w:r>
      <w:r>
        <w:t xml:space="preserve"> </w:t>
      </w:r>
      <w:r>
        <w:t xml:space="preserve">procedure yields results which are representative of real-world emissions.</w:t>
      </w:r>
      <w:r>
        <w:t xml:space="preserve"> </w:t>
      </w:r>
      <w:r>
        <w:t xml:space="preserve">In-service verification of CO2 emissions</w:t>
      </w:r>
      <w:r>
        <w:t xml:space="preserve"> </w:t>
      </w:r>
      <w:r>
        <w:t xml:space="preserve">Article 13 requires manufacturers to ensure correspondence between the CO2 emissions</w:t>
      </w:r>
      <w:r>
        <w:t xml:space="preserve"> </w:t>
      </w:r>
      <w:r>
        <w:t xml:space="preserve">recorded in the certificates of conformity of the vehicles and the CO2 emissions of in-</w:t>
      </w:r>
      <w:r>
        <w:t xml:space="preserve"> </w:t>
      </w:r>
      <w:r>
        <w:t xml:space="preserve">service vehicles. Type-approval authorities are responsible for verifying this</w:t>
      </w:r>
      <w:r>
        <w:t xml:space="preserve"> </w:t>
      </w:r>
      <w:r>
        <w:t xml:space="preserve">correspondence in selected vehicles and to verify the presence of any strategies</w:t>
      </w:r>
      <w:r>
        <w:t xml:space="preserve"> </w:t>
      </w:r>
      <w:r>
        <w:t xml:space="preserve">artificially improving the vehicle’s performance in the type-approval tests. Based on their</w:t>
      </w:r>
      <w:r>
        <w:t xml:space="preserve"> </w:t>
      </w:r>
      <w:r>
        <w:t xml:space="preserve">findings, type-approval authorities shall, where needed, ensure the correction of the</w:t>
      </w:r>
      <w:r>
        <w:t xml:space="preserve"> </w:t>
      </w:r>
      <w:r>
        <w:t xml:space="preserve">certificates of conformity, and may take other necessary measures set out in the Type-</w:t>
      </w:r>
      <w:r>
        <w:t xml:space="preserve"> </w:t>
      </w:r>
      <w:r>
        <w:t xml:space="preserve">Approval Framework Regulation.</w:t>
      </w:r>
      <w:r>
        <w:t xml:space="preserve"> </w:t>
      </w:r>
      <w:r>
        <w:t xml:space="preserve">The guiding principles and criteria for the procedures for performing the in-service</w:t>
      </w:r>
      <w:r>
        <w:t xml:space="preserve"> </w:t>
      </w:r>
      <w:r>
        <w:t xml:space="preserve">verifications will be set out in a delegated act that will be followed by an implementing</w:t>
      </w:r>
      <w:r>
        <w:t xml:space="preserve"> </w:t>
      </w:r>
      <w:r>
        <w:t xml:space="preserve">act setting out the detailed rules on the procedure itself.</w:t>
      </w:r>
      <w:r>
        <w:t xml:space="preserve"> </w:t>
      </w:r>
      <w:r>
        <w:t xml:space="preserve">Real-world emissions and the use of on-board fuel and/or energy consumption</w:t>
      </w:r>
      <w:r>
        <w:t xml:space="preserve"> </w:t>
      </w:r>
      <w:r>
        <w:t xml:space="preserve">monitoring devices (OBFCM)</w:t>
      </w:r>
      <w:r>
        <w:t xml:space="preserve"> </w:t>
      </w:r>
      <w:r>
        <w:t xml:space="preserve">In order to ensure the real-world representativeness of the CO2 emissions determined</w:t>
      </w:r>
      <w:r>
        <w:t xml:space="preserve"> </w:t>
      </w:r>
      <w:r>
        <w:t xml:space="preserve">using the VECTO certification and to prevent a gap between type approval emissions and</w:t>
      </w:r>
      <w:r>
        <w:t xml:space="preserve"> </w:t>
      </w:r>
      <w:r>
        <w:t xml:space="preserve">real-world emissions, the Commission shall create the necessary technical requirements</w:t>
      </w:r>
      <w:r>
        <w:t xml:space="preserve"> </w:t>
      </w:r>
      <w:r>
        <w:t xml:space="preserve">for monitoring the actual fuel consumption on-board of new heavy-duty vehicles and</w:t>
      </w:r>
      <w:r>
        <w:t xml:space="preserve"> </w:t>
      </w:r>
      <w:r>
        <w:t xml:space="preserve">define procedures for the collection of the related relevant data.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66</w:t>
      </w:r>
    </w:p>
    <w:p>
      <w:pPr>
        <w:pStyle w:val="Compact"/>
        <w:numPr>
          <w:ilvl w:val="0"/>
          <w:numId w:val="1008"/>
        </w:numPr>
      </w:pPr>
      <w:r>
        <w:t xml:space="preserve">ANNEX 6: RESPONSE TO COVID</w:t>
      </w:r>
      <w:r>
        <w:t xml:space="preserve"> </w:t>
      </w:r>
      <w:r>
        <w:t xml:space="preserve">1.18. 15.1</w:t>
      </w:r>
      <w:r>
        <w:t xml:space="preserve"> </w:t>
      </w:r>
      <w:r>
        <w:t xml:space="preserve">Effect of the Covid crisis</w:t>
      </w:r>
      <w:r>
        <w:t xml:space="preserve"> </w:t>
      </w:r>
      <w:r>
        <w:t xml:space="preserve">COVID-19-related measures took their toll on many economic sectors, including the</w:t>
      </w:r>
      <w:r>
        <w:t xml:space="preserve"> </w:t>
      </w:r>
      <w:r>
        <w:t xml:space="preserve">automotive sector. Because of global lockdown measures due to the sanitary crisis,</w:t>
      </w:r>
      <w:r>
        <w:t xml:space="preserve"> </w:t>
      </w:r>
      <w:r>
        <w:t xml:space="preserve">mobility fell by an unprecedented amount in the first half of 2020. Road transport activity</w:t>
      </w:r>
      <w:r>
        <w:t xml:space="preserve"> </w:t>
      </w:r>
      <w:r>
        <w:t xml:space="preserve">in regions with lockdowns in place dropped between 50% and 75%, while global average</w:t>
      </w:r>
      <w:r>
        <w:t xml:space="preserve"> </w:t>
      </w:r>
      <w:r>
        <w:t xml:space="preserve">road transport activity fell to almost 50% of the 2019 level by the end of March 2020.</w:t>
      </w:r>
      <w:r>
        <w:t xml:space="preserve"> </w:t>
      </w:r>
      <w:r>
        <w:t xml:space="preserve">Immediately after the crisis outbreak, public-transit ridership had fallen 70 to 90% in</w:t>
      </w:r>
      <w:r>
        <w:t xml:space="preserve"> </w:t>
      </w:r>
      <w:r>
        <w:t xml:space="preserve">major cities across the world, and operations were significantly impacted by uncertainty</w:t>
      </w:r>
      <w:r>
        <w:t xml:space="preserve"> </w:t>
      </w:r>
      <w:r>
        <w:t xml:space="preserve">and strict hygiene protocols - such as compulsory face masks and health checks for</w:t>
      </w:r>
      <w:r>
        <w:t xml:space="preserve"> </w:t>
      </w:r>
      <w:r>
        <w:t xml:space="preserve">passengers.45</w:t>
      </w:r>
      <w:r>
        <w:t xml:space="preserve"> </w:t>
      </w:r>
      <w:r>
        <w:t xml:space="preserve">Road freight transport was significantly and negatively impacted at global level. The</w:t>
      </w:r>
      <w:r>
        <w:t xml:space="preserve"> </w:t>
      </w:r>
      <w:r>
        <w:t xml:space="preserve">greatest disruption occurred during the first wave of the pandemic, and consequent</w:t>
      </w:r>
      <w:r>
        <w:t xml:space="preserve"> </w:t>
      </w:r>
      <w:r>
        <w:t xml:space="preserve">lockdown, in spring 2020. It brought manufacturers to a standstill for an average of 30</w:t>
      </w:r>
      <w:r>
        <w:t xml:space="preserve"> </w:t>
      </w:r>
      <w:r>
        <w:t xml:space="preserve">working days while demand of vehicles decreased following uncertainty among drivers</w:t>
      </w:r>
      <w:r>
        <w:t xml:space="preserve"> </w:t>
      </w:r>
      <w:r>
        <w:t xml:space="preserve">and transport operators.46</w:t>
      </w:r>
      <w:r>
        <w:br/>
      </w:r>
      <w:r>
        <w:t xml:space="preserve">Although the sector recovered from summer 2020 following the lifting of border closures</w:t>
      </w:r>
      <w:r>
        <w:t xml:space="preserve"> </w:t>
      </w:r>
      <w:r>
        <w:t xml:space="preserve">and the return of business activity and household consumption, the activity underwent</w:t>
      </w:r>
      <w:r>
        <w:t xml:space="preserve"> </w:t>
      </w:r>
      <w:r>
        <w:t xml:space="preserve">another slowdown as the virus rode a second contagion wave during Autumn 2020.47</w:t>
      </w:r>
      <w:r>
        <w:t xml:space="preserve"> </w:t>
      </w:r>
      <w:r>
        <w:t xml:space="preserve">Many European countries were forced to bring back restrictive measures, partially</w:t>
      </w:r>
      <w:r>
        <w:t xml:space="preserve"> </w:t>
      </w:r>
      <w:r>
        <w:t xml:space="preserve">closing economies. Nonetheless, most factories and plants reopened, and have remained</w:t>
      </w:r>
      <w:r>
        <w:t xml:space="preserve"> </w:t>
      </w:r>
      <w:r>
        <w:t xml:space="preserve">in operation since then, relaunching production after the first lockdown.</w:t>
      </w:r>
      <w:r>
        <w:br/>
      </w:r>
      <w:r>
        <w:t xml:space="preserve">The economy recovered gradually along the third quarter of 2020 as containment</w:t>
      </w:r>
      <w:r>
        <w:t xml:space="preserve"> </w:t>
      </w:r>
      <w:r>
        <w:t xml:space="preserve">measures relaxed, allowing businesses and household spending to resume. As a result,</w:t>
      </w:r>
      <w:r>
        <w:t xml:space="preserve"> </w:t>
      </w:r>
      <w:r>
        <w:t xml:space="preserve">EU-27 GDP fell by 5.9% in 2020 in the context of a global GDP contraction of 4.2%.</w:t>
      </w:r>
      <w:r>
        <w:t xml:space="preserve"> </w:t>
      </w:r>
      <w:r>
        <w:t xml:space="preserve">Registration of new lorries and buses over 3.5t decreased by, respectively, -25.7% and -</w:t>
      </w:r>
      <w:r>
        <w:t xml:space="preserve"> </w:t>
      </w:r>
      <w:r>
        <w:t xml:space="preserve">20.3% from 2019 to 2020.</w:t>
      </w:r>
      <w:r>
        <w:t xml:space="preserve"> </w:t>
      </w:r>
      <w:r>
        <w:t xml:space="preserve">As the EU economy recovered its GDP by 5.1% along 2021, the HDV EU registration</w:t>
      </w:r>
      <w:r>
        <w:t xml:space="preserve"> </w:t>
      </w:r>
      <w:r>
        <w:t xml:space="preserve">figures showed reaction in 2021 compared to 2020 (+16.8% lorries and +2.75% buses).48</w:t>
      </w:r>
      <w:r>
        <w:t xml:space="preserve"> </w:t>
      </w:r>
      <w:r>
        <w:t xml:space="preserve">Final 2021 production figures across the factories in the EU (including not only EU</w:t>
      </w:r>
      <w:r>
        <w:t xml:space="preserve"> </w:t>
      </w:r>
      <w:r>
        <w:t xml:space="preserve">registration but also exports) are still below the 2019 watermark: -13.3% for lorries and -</w:t>
      </w:r>
      <w:r>
        <w:t xml:space="preserve"> </w:t>
      </w:r>
      <w:r>
        <w:t xml:space="preserve">12.5% for buses and coaches:49.</w:t>
      </w:r>
      <w:r>
        <w:br/>
      </w:r>
      <w:r>
        <w:t xml:space="preserve">The current situation must be placed in the broader context of the economic crisis</w:t>
      </w:r>
      <w:r>
        <w:t xml:space="preserve"> </w:t>
      </w:r>
      <w:r>
        <w:t xml:space="preserve">worldwide both from the demand- and supply-side perspectives.</w:t>
      </w:r>
    </w:p>
    <w:p>
      <w:pPr>
        <w:pStyle w:val="FirstParagraph"/>
      </w:pPr>
      <w:r>
        <w:t xml:space="preserve">45 McKinsey. https://www.mckinsey.com/industries/automotive-and-assembly/our-insights/the-impact-of-</w:t>
      </w:r>
      <w:r>
        <w:t xml:space="preserve"> </w:t>
      </w:r>
      <w:r>
        <w:t xml:space="preserve">covid-19-on-future-mobility-solutions</w:t>
      </w:r>
      <w:r>
        <w:br/>
      </w:r>
      <w:r>
        <w:t xml:space="preserve">46 ACEA. https://www.acea.auto/press-release/covid-stakes-are-high-for-european-automotive-recovery-</w:t>
      </w:r>
      <w:r>
        <w:t xml:space="preserve"> </w:t>
      </w:r>
      <w:r>
        <w:t xml:space="preserve">new-facts-and-figures-show/</w:t>
      </w:r>
      <w:r>
        <w:br/>
      </w:r>
      <w:r>
        <w:t xml:space="preserve">47 Impacts of the COVID-19 pandemic on EU industries. European Parliament.</w:t>
      </w:r>
      <w:r>
        <w:t xml:space="preserve"> </w:t>
      </w:r>
      <w:r>
        <w:t xml:space="preserve">https://www.europarl.europa.eu/RegData/etudes/STUD/2021/662903/IPOL_STU(2021)662903_EN.pdf</w:t>
      </w:r>
      <w:r>
        <w:br/>
      </w:r>
      <w:r>
        <w:t xml:space="preserve">48 ACEA. EU Commercial vehicle registrations. https://www.acea.auto/cv-registrations/commercial-</w:t>
      </w:r>
      <w:r>
        <w:t xml:space="preserve"> </w:t>
      </w:r>
      <w:r>
        <w:t xml:space="preserve">vehicle-registrations-19-8-five-months-into-2022-17-7-in-may/</w:t>
      </w:r>
      <w:r>
        <w:br/>
      </w:r>
      <w:r>
        <w:t xml:space="preserve">49 ACEA. EU comercial vehicle production. https://www.acea.auto/figure/eu-commercial-vehicle-</w:t>
      </w:r>
      <w:r>
        <w:t xml:space="preserve"> </w:t>
      </w:r>
      <w:r>
        <w:t xml:space="preserve">production/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67</w:t>
      </w:r>
    </w:p>
    <w:p>
      <w:pPr>
        <w:pStyle w:val="BodyText"/>
      </w:pPr>
      <w:r>
        <w:t xml:space="preserve">Sales of semiconductors (chips) to the motor vehicle industry decreased globally during</w:t>
      </w:r>
      <w:r>
        <w:t xml:space="preserve"> </w:t>
      </w:r>
      <w:r>
        <w:t xml:space="preserve">the second quarter of 2020. This shortfall was more than offset by a strong demand for</w:t>
      </w:r>
      <w:r>
        <w:t xml:space="preserve"> </w:t>
      </w:r>
      <w:r>
        <w:t xml:space="preserve">computer and electronic equipment owing to the shift to remote working and distance</w:t>
      </w:r>
      <w:r>
        <w:t xml:space="preserve"> </w:t>
      </w:r>
      <w:r>
        <w:t xml:space="preserve">learning. However, once the global recovery took hold, and though demand for new</w:t>
      </w:r>
      <w:r>
        <w:t xml:space="preserve"> </w:t>
      </w:r>
      <w:r>
        <w:t xml:space="preserve">vehicles picked up again, manufacturers had to deal with shortage of key components</w:t>
      </w:r>
      <w:r>
        <w:t xml:space="preserve"> </w:t>
      </w:r>
      <w:r>
        <w:t xml:space="preserve">including chips among others. The global production of chips was, and still is not,</w:t>
      </w:r>
      <w:r>
        <w:t xml:space="preserve"> </w:t>
      </w:r>
      <w:r>
        <w:t xml:space="preserve">sufficient to meet the global surge in demand from the motor vehicle industry.50</w:t>
      </w:r>
      <w:r>
        <w:t xml:space="preserve"> </w:t>
      </w:r>
      <w:r>
        <w:t xml:space="preserve">The most immediate and obvious consequence of manufacturers not having enough chips</w:t>
      </w:r>
      <w:r>
        <w:t xml:space="preserve"> </w:t>
      </w:r>
      <w:r>
        <w:t xml:space="preserve">to produce electronic products is that there is not enough supply to meet a recovering</w:t>
      </w:r>
      <w:r>
        <w:t xml:space="preserve"> </w:t>
      </w:r>
      <w:r>
        <w:t xml:space="preserve">demand. Vehicles’ production has subsequently faced periodic standstills and periodical</w:t>
      </w:r>
      <w:r>
        <w:t xml:space="preserve"> </w:t>
      </w:r>
      <w:r>
        <w:t xml:space="preserve">and irregular production pauses.51 52 53</w:t>
      </w:r>
      <w:r>
        <w:t xml:space="preserve"> </w:t>
      </w:r>
      <w:r>
        <w:t xml:space="preserve">In order to respond to both the issue of the chips supply chains and the recovery</w:t>
      </w:r>
      <w:r>
        <w:t xml:space="preserve"> </w:t>
      </w:r>
      <w:r>
        <w:t xml:space="preserve">from the Covid crisis, a number of actions have been taken, as summarized</w:t>
      </w:r>
      <w:r>
        <w:t xml:space="preserve"> </w:t>
      </w:r>
      <w:r>
        <w:t xml:space="preserve">hereinafter.</w:t>
      </w:r>
      <w:r>
        <w:br/>
      </w:r>
      <w:r>
        <w:t xml:space="preserve">1.19. 15.2</w:t>
      </w:r>
      <w:r>
        <w:t xml:space="preserve"> </w:t>
      </w:r>
      <w:r>
        <w:t xml:space="preserve">Responses on the issue of securing supply chains: chips</w:t>
      </w:r>
      <w:r>
        <w:t xml:space="preserve"> </w:t>
      </w:r>
      <w:r>
        <w:t xml:space="preserve">Recent global semiconductors shortages made more evident the extreme global</w:t>
      </w:r>
      <w:r>
        <w:t xml:space="preserve"> </w:t>
      </w:r>
      <w:r>
        <w:t xml:space="preserve">dependency of the semiconductor value chain on a very limited number of actors in a</w:t>
      </w:r>
      <w:r>
        <w:t xml:space="preserve"> </w:t>
      </w:r>
      <w:r>
        <w:t xml:space="preserve">complex geopolitical context. Chips are strategic assets for vehicles manufacturing and</w:t>
      </w:r>
      <w:r>
        <w:t xml:space="preserve"> </w:t>
      </w:r>
      <w:r>
        <w:t xml:space="preserve">other key industrial value chains. Semiconductors are also at the centre of strong</w:t>
      </w:r>
      <w:r>
        <w:t xml:space="preserve"> </w:t>
      </w:r>
      <w:r>
        <w:t xml:space="preserve">geopolitical interests, conditioning the capacity of countries to act.</w:t>
      </w:r>
      <w:r>
        <w:t xml:space="preserve"> </w:t>
      </w:r>
      <w:r>
        <w:t xml:space="preserve">Coordinated efforts from Member States resulted in the Joint Declaration on Processors</w:t>
      </w:r>
      <w:r>
        <w:t xml:space="preserve"> </w:t>
      </w:r>
      <w:r>
        <w:t xml:space="preserve">and Semiconductor Technologies signed in December 2020 to working together towards</w:t>
      </w:r>
      <w:r>
        <w:t xml:space="preserve"> </w:t>
      </w:r>
      <w:r>
        <w:t xml:space="preserve">bolstering Europe’s electronics and embedded systems value chain.</w:t>
      </w:r>
      <w:r>
        <w:t xml:space="preserve"> </w:t>
      </w:r>
      <w:r>
        <w:t xml:space="preserve">In July 2021, the European Commission launched the Industrial Alliance on Processors</w:t>
      </w:r>
      <w:r>
        <w:t xml:space="preserve"> </w:t>
      </w:r>
      <w:r>
        <w:t xml:space="preserve">and Semiconductors with the objective to identify current gaps in the production of</w:t>
      </w:r>
      <w:r>
        <w:t xml:space="preserve"> </w:t>
      </w:r>
      <w:r>
        <w:t xml:space="preserve">microchips and the technology developments needed for companies and organisations to</w:t>
      </w:r>
      <w:r>
        <w:t xml:space="preserve"> </w:t>
      </w:r>
      <w:r>
        <w:t xml:space="preserve">thrive. The Alliance will help foster collaboration across existing and future EU</w:t>
      </w:r>
      <w:r>
        <w:t xml:space="preserve"> </w:t>
      </w:r>
      <w:r>
        <w:t xml:space="preserve">initiatives as well as playing an important advisory role and providing a strategic</w:t>
      </w:r>
      <w:r>
        <w:t xml:space="preserve"> </w:t>
      </w:r>
      <w:r>
        <w:t xml:space="preserve">roadmap for the Chips for Europe Initiative, along with other stakeholders.</w:t>
      </w:r>
      <w:r>
        <w:t xml:space="preserve"> </w:t>
      </w:r>
      <w:r>
        <w:t xml:space="preserve">In February 2022 the Commission proposed the European Chips Act comprising three</w:t>
      </w:r>
      <w:r>
        <w:t xml:space="preserve"> </w:t>
      </w:r>
      <w:r>
        <w:t xml:space="preserve">main components:</w:t>
      </w:r>
      <w:r>
        <w:br/>
      </w:r>
      <w:r>
        <w:t xml:space="preserve"> a Chips for Europe Initiative to support large-scale technological capacity</w:t>
      </w:r>
      <w:r>
        <w:t xml:space="preserve"> </w:t>
      </w:r>
      <w:r>
        <w:t xml:space="preserve">building and innovation in cutting-edge chips; this includes the Chips Joint</w:t>
      </w:r>
      <w:r>
        <w:t xml:space="preserve"> </w:t>
      </w:r>
      <w:r>
        <w:t xml:space="preserve">Undertaking resulting from the strategic reorientation of the existing Key Digital</w:t>
      </w:r>
      <w:r>
        <w:t xml:space="preserve"> </w:t>
      </w:r>
      <w:r>
        <w:t xml:space="preserve">Technologies Joint Undertaking making available €11 billion to strengthen</w:t>
      </w:r>
      <w:r>
        <w:t xml:space="preserve"> </w:t>
      </w:r>
      <w:r>
        <w:t xml:space="preserve">existing research, development and innovation on the matter;</w:t>
      </w:r>
      <w:r>
        <w:br/>
      </w:r>
      <w:r>
        <w:t xml:space="preserve"> a new framework to attract large-scale investments in production capacities and</w:t>
      </w:r>
      <w:r>
        <w:t xml:space="preserve"> </w:t>
      </w:r>
      <w:r>
        <w:t xml:space="preserve">ensure the security of supply;</w:t>
      </w:r>
      <w:r>
        <w:t xml:space="preserve"> </w:t>
      </w:r>
      <w:r>
        <w:t xml:space="preserve"> a coordination mechanism between the Member States and the Commission to</w:t>
      </w:r>
      <w:r>
        <w:t xml:space="preserve"> </w:t>
      </w:r>
      <w:r>
        <w:t xml:space="preserve">monitor market developments and anticipate crises.</w:t>
      </w:r>
    </w:p>
    <w:p>
      <w:pPr>
        <w:pStyle w:val="BodyText"/>
      </w:pPr>
      <w:r>
        <w:t xml:space="preserve">50 European Central Bank. Economic Bulletin Issue 4, 2021.</w:t>
      </w:r>
      <w:r>
        <w:br/>
      </w:r>
      <w:r>
        <w:t xml:space="preserve">51. https://traton.com/en/newsroom/press-releases/press-release-22092021.html</w:t>
      </w:r>
      <w:r>
        <w:br/>
      </w:r>
      <w:r>
        <w:t xml:space="preserve">52 Volvo Says Semiconductor Shortage Impacting Truck Production.</w:t>
      </w:r>
      <w:r>
        <w:br/>
      </w:r>
      <w:r>
        <w:t xml:space="preserve">53 https://www.cnbc.com/2022/06/22/daimler-trucks-says-its-facing-enormous-supply-chain-pressure.html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68</w:t>
      </w:r>
    </w:p>
    <w:p>
      <w:pPr>
        <w:pStyle w:val="BodyText"/>
      </w:pPr>
      <w:r>
        <w:t xml:space="preserve">In the short term, the European Chips Act will allow to understand and anticipate future</w:t>
      </w:r>
      <w:r>
        <w:t xml:space="preserve"> </w:t>
      </w:r>
      <w:r>
        <w:t xml:space="preserve">chips crises, addressing them through close coordination with Member States and</w:t>
      </w:r>
      <w:r>
        <w:t xml:space="preserve"> </w:t>
      </w:r>
      <w:r>
        <w:t xml:space="preserve">equipping the Union with the instruments that some like-minded countries have at their</w:t>
      </w:r>
      <w:r>
        <w:t xml:space="preserve"> </w:t>
      </w:r>
      <w:r>
        <w:t xml:space="preserve">disposal. The Act will strengthen manufacturing activities and support scale-up and</w:t>
      </w:r>
      <w:r>
        <w:t xml:space="preserve"> </w:t>
      </w:r>
      <w:r>
        <w:t xml:space="preserve">innovation across the whole value chain addressing security of supply and a more</w:t>
      </w:r>
      <w:r>
        <w:t xml:space="preserve"> </w:t>
      </w:r>
      <w:r>
        <w:t xml:space="preserve">resilient ecosystem. And, in the mid- to long-term, it will reinforce Europe’s</w:t>
      </w:r>
      <w:r>
        <w:t xml:space="preserve"> </w:t>
      </w:r>
      <w:r>
        <w:t xml:space="preserve">technological leadership while preparing the required technological capabilities that</w:t>
      </w:r>
      <w:r>
        <w:t xml:space="preserve"> </w:t>
      </w:r>
      <w:r>
        <w:t xml:space="preserve">would support transfer of knowledge from the lab to the fab and position Europe as a</w:t>
      </w:r>
      <w:r>
        <w:t xml:space="preserve"> </w:t>
      </w:r>
      <w:r>
        <w:t xml:space="preserve">technology leader in innovative downstream markets. This will enable the EU to reach its</w:t>
      </w:r>
      <w:r>
        <w:t xml:space="preserve"> </w:t>
      </w:r>
      <w:r>
        <w:t xml:space="preserve">ambition to double the current chips market share to 20% in 2030 in coherence with the</w:t>
      </w:r>
      <w:r>
        <w:t xml:space="preserve"> </w:t>
      </w:r>
      <w:r>
        <w:t xml:space="preserve">Europe’s Digital Decade Targets.</w:t>
      </w:r>
      <w:r>
        <w:t xml:space="preserve"> </w:t>
      </w:r>
      <w:r>
        <w:t xml:space="preserve">1.20. 15.3</w:t>
      </w:r>
      <w:r>
        <w:t xml:space="preserve"> </w:t>
      </w:r>
      <w:r>
        <w:t xml:space="preserve">Responses in terms of incentives and recovery packages</w:t>
      </w:r>
      <w:r>
        <w:t xml:space="preserve"> </w:t>
      </w:r>
      <w:r>
        <w:t xml:space="preserve">Shortly after the breakout of the pandemic and the deployment of the first containment</w:t>
      </w:r>
      <w:r>
        <w:t xml:space="preserve"> </w:t>
      </w:r>
      <w:r>
        <w:t xml:space="preserve">measures adopted by Member States, the EU brought forward an ambitious support</w:t>
      </w:r>
      <w:r>
        <w:t xml:space="preserve"> </w:t>
      </w:r>
      <w:r>
        <w:t xml:space="preserve">package to repair the economic and social damage triggered by the health crisis and set</w:t>
      </w:r>
      <w:r>
        <w:t xml:space="preserve"> </w:t>
      </w:r>
      <w:r>
        <w:t xml:space="preserve">the Union on the path to a sustainable and resilient recovery.54 Member States and the</w:t>
      </w:r>
      <w:r>
        <w:t xml:space="preserve"> </w:t>
      </w:r>
      <w:r>
        <w:t xml:space="preserve">Commission announced a series of measures to support the economic recovery of the</w:t>
      </w:r>
      <w:r>
        <w:t xml:space="preserve"> </w:t>
      </w:r>
      <w:r>
        <w:t xml:space="preserve">private sector, including the automotive segment. Noticeably, the recession was finally</w:t>
      </w:r>
      <w:r>
        <w:t xml:space="preserve"> </w:t>
      </w:r>
      <w:r>
        <w:t xml:space="preserve">not as deep as expected in 202055 despite reintroduction and tightening of containment</w:t>
      </w:r>
      <w:r>
        <w:t xml:space="preserve"> </w:t>
      </w:r>
      <w:r>
        <w:t xml:space="preserve">measures by Member States along Autumn 2020 in response to the 2nd wave. Stimulus</w:t>
      </w:r>
      <w:r>
        <w:t xml:space="preserve"> </w:t>
      </w:r>
      <w:r>
        <w:t xml:space="preserve">packages and recovery measures have also been instrumental for attenuating the</w:t>
      </w:r>
      <w:r>
        <w:t xml:space="preserve"> </w:t>
      </w:r>
      <w:r>
        <w:t xml:space="preserve">recession.</w:t>
      </w:r>
      <w:r>
        <w:t xml:space="preserve"> </w:t>
      </w:r>
      <w:r>
        <w:t xml:space="preserve">The support package includes the Recovery and Resilience Facility (RRF) as the key</w:t>
      </w:r>
      <w:r>
        <w:t xml:space="preserve"> </w:t>
      </w:r>
      <w:r>
        <w:t xml:space="preserve">instrument at the heart of NextGenerationEU to help the EU emerge stronger and more</w:t>
      </w:r>
      <w:r>
        <w:t xml:space="preserve"> </w:t>
      </w:r>
      <w:r>
        <w:t xml:space="preserve">resilient from the crisis. The RRF is a temporary recovery instrument, fully aligned to the</w:t>
      </w:r>
      <w:r>
        <w:t xml:space="preserve"> </w:t>
      </w:r>
      <w:r>
        <w:t xml:space="preserve">REPowerEU Plan,56 to mitigate the economic and social impact of the coronavirus</w:t>
      </w:r>
      <w:r>
        <w:t xml:space="preserve"> </w:t>
      </w:r>
      <w:r>
        <w:t xml:space="preserve">pandemic and make European economies better prepared for the challenges and</w:t>
      </w:r>
      <w:r>
        <w:t xml:space="preserve"> </w:t>
      </w:r>
      <w:r>
        <w:t xml:space="preserve">opportunities of the green and digital transitions. Lessons have been learned from the</w:t>
      </w:r>
      <w:r>
        <w:t xml:space="preserve"> </w:t>
      </w:r>
      <w:r>
        <w:t xml:space="preserve">2008-2009 crisis in this respect57: Targeted measures towards stimulating the recovery of</w:t>
      </w:r>
      <w:r>
        <w:t xml:space="preserve"> </w:t>
      </w:r>
      <w:r>
        <w:t xml:space="preserve">the automotive sector from different Member States shortly emerged, including the fleet</w:t>
      </w:r>
      <w:r>
        <w:t xml:space="preserve"> </w:t>
      </w:r>
      <w:r>
        <w:t xml:space="preserve">renovation of heavy-duty vehicles.</w:t>
      </w:r>
      <w:r>
        <w:t xml:space="preserve"> </w:t>
      </w:r>
      <w:r>
        <w:t xml:space="preserve">For instance, On June 2020, the German government agreed to a €130 billion COVID-19</w:t>
      </w:r>
      <w:r>
        <w:t xml:space="preserve"> </w:t>
      </w:r>
      <w:r>
        <w:t xml:space="preserve">economic recovery package including about €8 billion to support the automotive industry</w:t>
      </w:r>
      <w:r>
        <w:t xml:space="preserve"> </w:t>
      </w:r>
      <w:r>
        <w:t xml:space="preserve">and accelerate the transition to electric mobility.</w:t>
      </w:r>
      <w:r>
        <w:t xml:space="preserve"> </w:t>
      </w:r>
      <w:r>
        <w:t xml:space="preserve">1.21. 15.4</w:t>
      </w:r>
      <w:r>
        <w:t xml:space="preserve"> </w:t>
      </w:r>
      <w:r>
        <w:t xml:space="preserve">Broader impacts on activity patterns</w:t>
      </w:r>
      <w:r>
        <w:t xml:space="preserve"> </w:t>
      </w:r>
      <w:r>
        <w:t xml:space="preserve">Beside challenges and economic immediate downturn, the COVID-19 has led to an</w:t>
      </w:r>
      <w:r>
        <w:t xml:space="preserve"> </w:t>
      </w:r>
      <w:r>
        <w:t xml:space="preserve">acceleration of the green transition in the automotive sector and to some positive</w:t>
      </w:r>
      <w:r>
        <w:t xml:space="preserve"> </w:t>
      </w:r>
      <w:r>
        <w:t xml:space="preserve">outcome:</w:t>
      </w:r>
      <w:r>
        <w:t xml:space="preserve"> </w:t>
      </w:r>
      <w:r>
        <w:t xml:space="preserve">-</w:t>
      </w:r>
      <w:r>
        <w:t xml:space="preserve"> </w:t>
      </w:r>
      <w:r>
        <w:t xml:space="preserve">There is evidence already that the current crisis will not slow down the zero-</w:t>
      </w:r>
      <w:r>
        <w:t xml:space="preserve"> </w:t>
      </w:r>
      <w:r>
        <w:t xml:space="preserve">emission shift. On the contrary, main manufacturers in the EU have already</w:t>
      </w:r>
    </w:p>
    <w:p>
      <w:pPr>
        <w:pStyle w:val="BodyText"/>
      </w:pPr>
      <w:r>
        <w:t xml:space="preserve">54 Identifying Europe’s recovery needs. SWD(2020) 98 final. Staff Working Document accompanying the</w:t>
      </w:r>
      <w:r>
        <w:t xml:space="preserve"> </w:t>
      </w:r>
      <w:r>
        <w:t xml:space="preserve">Communication “Europe’s moment: Repair and Prepare for the Next Generation”.</w:t>
      </w:r>
      <w:r>
        <w:br/>
      </w:r>
      <w:r>
        <w:t xml:space="preserve">55 See Winter 2021 Economic Forecast: A challenging winter, but light at the end of the tunnel</w:t>
      </w:r>
      <w:r>
        <w:t xml:space="preserve"> </w:t>
      </w:r>
      <w:r>
        <w:t xml:space="preserve">https://ec.europa.eu/commission/presscorner/detail/en/ip_21_504</w:t>
      </w:r>
      <w:r>
        <w:t xml:space="preserve"> </w:t>
      </w:r>
      <w:r>
        <w:t xml:space="preserve">56 COM(2022) 231 final.</w:t>
      </w:r>
      <w:r>
        <w:t xml:space="preserve"> </w:t>
      </w:r>
      <w:r>
        <w:t xml:space="preserve">57 ICCT – Briefing (May 2020) – Green Vehicle Replacement Programs as a response to the COVID-19</w:t>
      </w:r>
      <w:r>
        <w:t xml:space="preserve"> </w:t>
      </w:r>
      <w:r>
        <w:t xml:space="preserve">crisis: Lessons learned from past programs and guidelines for the future.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69</w:t>
      </w:r>
    </w:p>
    <w:p>
      <w:pPr>
        <w:pStyle w:val="BodyText"/>
      </w:pPr>
      <w:r>
        <w:t xml:space="preserve">expressed meaningful ZEV objectives for 2025, 2030 and 2040 (see Annex 7 -</w:t>
      </w:r>
      <w:r>
        <w:t xml:space="preserve"> </w:t>
      </w:r>
      <w:r>
        <w:t xml:space="preserve">Announcements by manufacturers and availability on zero-emission vehicles).</w:t>
      </w:r>
      <w:r>
        <w:t xml:space="preserve"> </w:t>
      </w:r>
      <w:r>
        <w:t xml:space="preserve">-</w:t>
      </w:r>
      <w:r>
        <w:t xml:space="preserve"> </w:t>
      </w:r>
      <w:r>
        <w:t xml:space="preserve">Powertrain electrification: Demand and supply were already shifting towards</w:t>
      </w:r>
      <w:r>
        <w:t xml:space="preserve"> </w:t>
      </w:r>
      <w:r>
        <w:t xml:space="preserve">electric and electrified vehicles, driven by CO2 regulation and technological</w:t>
      </w:r>
      <w:r>
        <w:t xml:space="preserve"> </w:t>
      </w:r>
      <w:r>
        <w:t xml:space="preserve">progress, e.g., improved battery chemistry, increased range, high-performance</w:t>
      </w:r>
      <w:r>
        <w:t xml:space="preserve"> </w:t>
      </w:r>
      <w:r>
        <w:t xml:space="preserve">charging.</w:t>
      </w:r>
      <w:r>
        <w:t xml:space="preserve"> </w:t>
      </w:r>
      <w:r>
        <w:t xml:space="preserve">-</w:t>
      </w:r>
      <w:r>
        <w:t xml:space="preserve"> </w:t>
      </w:r>
      <w:r>
        <w:t xml:space="preserve">Last-mile delivery and autonomous cargo transportation. Companies</w:t>
      </w:r>
      <w:r>
        <w:t xml:space="preserve"> </w:t>
      </w:r>
      <w:r>
        <w:t xml:space="preserve">involved in last-mile delivery, which were quite active prior to the pandemic</w:t>
      </w:r>
      <w:r>
        <w:t xml:space="preserve"> </w:t>
      </w:r>
      <w:r>
        <w:t xml:space="preserve">crisis, are set to gain from the Retail, e-commerce and logistics companies should</w:t>
      </w:r>
      <w:r>
        <w:t xml:space="preserve"> </w:t>
      </w:r>
      <w:r>
        <w:t xml:space="preserve">increase investment in technologies and innovation.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70</w:t>
      </w:r>
    </w:p>
    <w:p>
      <w:pPr>
        <w:pStyle w:val="Compact"/>
        <w:numPr>
          <w:ilvl w:val="0"/>
          <w:numId w:val="1009"/>
        </w:numPr>
      </w:pPr>
      <w:r>
        <w:t xml:space="preserve">ANNEX 7: INTRODUCTION, PROBLEMS AND DRIVERS</w:t>
      </w:r>
    </w:p>
    <w:p>
      <w:pPr>
        <w:pStyle w:val="Compact"/>
        <w:numPr>
          <w:ilvl w:val="0"/>
          <w:numId w:val="1010"/>
        </w:numPr>
      </w:pPr>
      <w:r>
        <w:t xml:space="preserve">COMPLEMENTARY INFORMATION -</w:t>
      </w:r>
      <w:r>
        <w:t xml:space="preserve"> </w:t>
      </w:r>
      <w:r>
        <w:t xml:space="preserve">1.22. 16.1</w:t>
      </w:r>
      <w:r>
        <w:t xml:space="preserve"> </w:t>
      </w:r>
      <w:r>
        <w:t xml:space="preserve">Description of the heavy-duty vehicles sector: complementary</w:t>
      </w:r>
      <w:r>
        <w:t xml:space="preserve"> </w:t>
      </w:r>
      <w:r>
        <w:t xml:space="preserve">data.</w:t>
      </w:r>
      <w:r>
        <w:br/>
      </w:r>
      <w:r>
        <w:t xml:space="preserve">16.1.1</w:t>
      </w:r>
      <w:r>
        <w:t xml:space="preserve"> </w:t>
      </w:r>
      <w:r>
        <w:t xml:space="preserve">Introduction</w:t>
      </w:r>
      <w:r>
        <w:t xml:space="preserve"> </w:t>
      </w:r>
      <w:r>
        <w:t xml:space="preserve">During 2020, 436 000 lorries over 5t were manufactured in the EU across 29 assembly</w:t>
      </w:r>
      <w:r>
        <w:t xml:space="preserve"> </w:t>
      </w:r>
      <w:r>
        <w:t xml:space="preserve">plants concentrated in a few countries, in particular Germany, the Netherlands, Belgium,</w:t>
      </w:r>
      <w:r>
        <w:t xml:space="preserve"> </w:t>
      </w:r>
      <w:r>
        <w:t xml:space="preserve">France, Sweden and Spain. 36.5% of the vehicles were exported worldwide generating a</w:t>
      </w:r>
      <w:r>
        <w:t xml:space="preserve"> </w:t>
      </w:r>
      <w:r>
        <w:t xml:space="preserve">trade surplus of €4.9 billion. Regarding buses, half of the nearly 60 000 units</w:t>
      </w:r>
      <w:r>
        <w:t xml:space="preserve"> </w:t>
      </w:r>
      <w:r>
        <w:t xml:space="preserve">manufactured in the EU were finally exported, representing nearly EUR 1 bn in revenues.</w:t>
      </w:r>
      <w:r>
        <w:t xml:space="preserve"> </w:t>
      </w:r>
      <w:r>
        <w:t xml:space="preserve">In 2021, despite the COVID crisis, the exports generated a trade balance surplus of EUR</w:t>
      </w:r>
      <w:r>
        <w:t xml:space="preserve"> </w:t>
      </w:r>
      <w:r>
        <w:t xml:space="preserve">4.3 billion, compared to EUR 5.2 billion registered during 2019.58</w:t>
      </w:r>
      <w:r>
        <w:t xml:space="preserve"> </w:t>
      </w:r>
      <w:r>
        <w:t xml:space="preserve">16.1.2</w:t>
      </w:r>
      <w:r>
        <w:t xml:space="preserve"> </w:t>
      </w:r>
      <w:r>
        <w:t xml:space="preserve">Heavy-duty vehicle manufacturers</w:t>
      </w:r>
      <w:r>
        <w:t xml:space="preserve"> </w:t>
      </w:r>
      <w:r>
        <w:t xml:space="preserve">The market distribution of the different heavy-duty vehicles segments varies in nature</w:t>
      </w:r>
      <w:r>
        <w:t xml:space="preserve"> </w:t>
      </w:r>
      <w:r>
        <w:t xml:space="preserve">across the several types, sizes, and powertrains of vehicles.59</w:t>
      </w:r>
      <w:r>
        <w:t xml:space="preserve"> </w:t>
      </w:r>
      <w:r>
        <w:t xml:space="preserve">Lorries</w:t>
      </w:r>
      <w:r>
        <w:t xml:space="preserve"> </w:t>
      </w:r>
      <w:r>
        <w:t xml:space="preserve">On lorries covered by SCOPE 1 with TPMLM over 5t., five major manufacturers</w:t>
      </w:r>
      <w:r>
        <w:t xml:space="preserve"> </w:t>
      </w:r>
      <w:r>
        <w:t xml:space="preserve">dominate the EU lorry market summing up to a combined share of over 97%. The picture</w:t>
      </w:r>
      <w:r>
        <w:t xml:space="preserve"> </w:t>
      </w:r>
      <w:r>
        <w:t xml:space="preserve">gets more diverse for unregulated lorries with TPMLM up to 5t, as shown below in</w:t>
      </w:r>
      <w:r>
        <w:t xml:space="preserve"> </w:t>
      </w:r>
      <w:r>
        <w:t xml:space="preserve">Figure 5.</w:t>
      </w:r>
    </w:p>
    <w:p>
      <w:pPr>
        <w:pStyle w:val="FirstParagraph"/>
      </w:pPr>
      <w:r>
        <w:t xml:space="preserve">58 Data source: ACEA.</w:t>
      </w:r>
      <w:r>
        <w:t xml:space="preserve"> </w:t>
      </w:r>
      <w:r>
        <w:t xml:space="preserve">59 Data source: EEA, based on MS reported registration statistics. Second half of 2021 not available when</w:t>
      </w:r>
      <w:r>
        <w:t xml:space="preserve"> </w:t>
      </w:r>
      <w:r>
        <w:t xml:space="preserve">drafting this report.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71</w:t>
      </w:r>
    </w:p>
    <w:p>
      <w:pPr>
        <w:pStyle w:val="BodyText"/>
      </w:pPr>
      <w:r>
        <w:t xml:space="preserve">Figure 5. EU Market share per manufacturer (OEM) - newly registered lorries</w:t>
      </w:r>
      <w:r>
        <w:t xml:space="preserve"> </w:t>
      </w:r>
      <w:r>
        <w:t xml:space="preserve">along 2020 and first half of 2021</w:t>
      </w:r>
    </w:p>
    <w:p>
      <w:pPr>
        <w:pStyle w:val="BodyText"/>
      </w:pPr>
      <w:r>
        <w:t xml:space="preserve">Main lorries’ manufacturers registering vehicles in the EU and common trademarks are:</w:t>
      </w:r>
      <w:r>
        <w:t xml:space="preserve"> </w:t>
      </w:r>
      <w:r>
        <w:t xml:space="preserve"></w:t>
      </w:r>
      <w:r>
        <w:t xml:space="preserve"> </w:t>
      </w:r>
      <w:r>
        <w:t xml:space="preserve">Traton Group: Scania, MAN, Volkswagen</w:t>
      </w:r>
      <w:r>
        <w:t xml:space="preserve"> </w:t>
      </w:r>
      <w:r>
        <w:t xml:space="preserve"></w:t>
      </w:r>
      <w:r>
        <w:t xml:space="preserve"> </w:t>
      </w:r>
      <w:r>
        <w:t xml:space="preserve">Volvo Group: Volvo, Renault</w:t>
      </w:r>
      <w:r>
        <w:t xml:space="preserve"> </w:t>
      </w:r>
      <w:r>
        <w:t xml:space="preserve"></w:t>
      </w:r>
      <w:r>
        <w:t xml:space="preserve"> </w:t>
      </w:r>
      <w:r>
        <w:t xml:space="preserve">Daimler Truck: Daimler, Mercedes-Benz, Fuso</w:t>
      </w:r>
      <w:r>
        <w:t xml:space="preserve"> </w:t>
      </w:r>
      <w:r>
        <w:t xml:space="preserve"></w:t>
      </w:r>
      <w:r>
        <w:t xml:space="preserve"> </w:t>
      </w:r>
      <w:r>
        <w:t xml:space="preserve">PACCAR: DAF</w:t>
      </w:r>
      <w:r>
        <w:t xml:space="preserve"> </w:t>
      </w:r>
      <w:r>
        <w:t xml:space="preserve"></w:t>
      </w:r>
      <w:r>
        <w:t xml:space="preserve"> </w:t>
      </w:r>
      <w:r>
        <w:t xml:space="preserve">CHN Industrial: IVECO</w:t>
      </w:r>
      <w:r>
        <w:t xml:space="preserve"> </w:t>
      </w:r>
      <w:r>
        <w:t xml:space="preserve"></w:t>
      </w:r>
      <w:r>
        <w:t xml:space="preserve"> </w:t>
      </w:r>
      <w:r>
        <w:t xml:space="preserve">Stellantis: FCA, Fiat</w:t>
      </w:r>
    </w:p>
    <w:p>
      <w:pPr>
        <w:pStyle w:val="BodyText"/>
      </w:pPr>
      <w:r>
        <w:t xml:space="preserve">Buses and coaches</w:t>
      </w:r>
      <w:r>
        <w:t xml:space="preserve"> </w:t>
      </w:r>
      <w:r>
        <w:t xml:space="preserve">This trend is also present for the buses and coaches market, where five manufacturers</w:t>
      </w:r>
      <w:r>
        <w:t xml:space="preserve"> </w:t>
      </w:r>
      <w:r>
        <w:t xml:space="preserve">produce up to 85% of primary vehicles registered in the EU, while there is more diversity</w:t>
      </w:r>
      <w:r>
        <w:t xml:space="preserve"> </w:t>
      </w:r>
      <w:r>
        <w:t xml:space="preserve">in unregulated vehicles below 7.5t. 1 out of 4 lorries under 5t are registered by a variety</w:t>
      </w:r>
      <w:r>
        <w:t xml:space="preserve"> </w:t>
      </w:r>
      <w:r>
        <w:t xml:space="preserve">of manufacturers, as illustrated in Figure 6 below.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72</w:t>
      </w:r>
    </w:p>
    <w:p>
      <w:pPr>
        <w:pStyle w:val="BodyText"/>
      </w:pPr>
      <w:r>
        <w:t xml:space="preserve">Figure 6. EU Market share per manufacturer (OEM) - newly registered buses and</w:t>
      </w:r>
      <w:r>
        <w:t xml:space="preserve"> </w:t>
      </w:r>
      <w:r>
        <w:t xml:space="preserve">coaches along 2020 and first half of 2021</w:t>
      </w:r>
    </w:p>
    <w:p>
      <w:pPr>
        <w:pStyle w:val="BodyText"/>
      </w:pPr>
      <w:r>
        <w:t xml:space="preserve">16.1.3</w:t>
      </w:r>
      <w:r>
        <w:t xml:space="preserve"> </w:t>
      </w:r>
      <w:r>
        <w:t xml:space="preserve">Zero-emission heavy-duty vehicles market</w:t>
      </w:r>
      <w:r>
        <w:br/>
      </w:r>
      <w:r>
        <w:t xml:space="preserve">Compared to the general vehicles market dominated by ICE-based models, the zero-</w:t>
      </w:r>
      <w:r>
        <w:t xml:space="preserve"> </w:t>
      </w:r>
      <w:r>
        <w:t xml:space="preserve">emission HDV market in Europe encompass a more varied group of manufacturers with a</w:t>
      </w:r>
      <w:r>
        <w:t xml:space="preserve"> </w:t>
      </w:r>
      <w:r>
        <w:t xml:space="preserve">significant presence in these early market phases.</w:t>
      </w:r>
      <w:r>
        <w:t xml:space="preserve"> </w:t>
      </w:r>
      <w:r>
        <w:t xml:space="preserve">Indeed, the five largest manufacturers hold 72% of the zero-emission lorries market share</w:t>
      </w:r>
      <w:r>
        <w:t xml:space="preserve"> </w:t>
      </w:r>
      <w:r>
        <w:t xml:space="preserve">(compared to 97% when all powertrains are accounted, see previous section) as shown in</w:t>
      </w:r>
      <w:r>
        <w:t xml:space="preserve"> </w:t>
      </w:r>
      <w:r>
        <w:t xml:space="preserve">Figure 7. EU Market share per manufacturer (OEM) - newly registered zero-emission</w:t>
      </w:r>
      <w:r>
        <w:t xml:space="preserve"> </w:t>
      </w:r>
      <w:r>
        <w:t xml:space="preserve">lorries along 2020 and first half of 2021. On smaller lorries up to 5t, Ford holds a</w:t>
      </w:r>
      <w:r>
        <w:t xml:space="preserve"> </w:t>
      </w:r>
      <w:r>
        <w:t xml:space="preserve">significant presence due to a specific ZEV procurement initiative by Deutsche Post in</w:t>
      </w:r>
      <w:r>
        <w:t xml:space="preserve"> </w:t>
      </w:r>
      <w:r>
        <w:t xml:space="preserve">Germany.60</w:t>
      </w:r>
    </w:p>
    <w:p>
      <w:pPr>
        <w:pStyle w:val="BodyText"/>
      </w:pPr>
      <w:r>
        <w:t xml:space="preserve">60 https://www.dw.com/en/ford-deutsche-post-kick-off-streetscooter-xl-production/a-45810020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73</w:t>
      </w:r>
    </w:p>
    <w:p>
      <w:pPr>
        <w:pStyle w:val="BodyText"/>
      </w:pPr>
      <w:r>
        <w:t xml:space="preserve">Figure 7. EU Market share per manufacturer (OEM) - newly registered zero-emission</w:t>
      </w:r>
      <w:r>
        <w:t xml:space="preserve"> </w:t>
      </w:r>
      <w:r>
        <w:t xml:space="preserve">lorries along 2020 and first half of 2021.</w:t>
      </w:r>
    </w:p>
    <w:p>
      <w:pPr>
        <w:pStyle w:val="BodyText"/>
      </w:pPr>
      <w:r>
        <w:t xml:space="preserve">The zero-emission buses and coaches market is particularly varied. Along 2020 and first</w:t>
      </w:r>
      <w:r>
        <w:t xml:space="preserve"> </w:t>
      </w:r>
      <w:r>
        <w:t xml:space="preserve">half of 2021, the key players in zero-emission buses and coaches over 7.5t sales were</w:t>
      </w:r>
      <w:r>
        <w:t xml:space="preserve"> </w:t>
      </w:r>
      <w:r>
        <w:t xml:space="preserve">Solaris (21% share), BYD (14%) and Volvo Group (11%). The complete breakdown is</w:t>
      </w:r>
      <w:r>
        <w:t xml:space="preserve"> </w:t>
      </w:r>
      <w:r>
        <w:t xml:space="preserve">presented in Figure 8. It is noteworthy that, unlike in the general market of buses, non-</w:t>
      </w:r>
      <w:r>
        <w:t xml:space="preserve"> </w:t>
      </w:r>
      <w:r>
        <w:t xml:space="preserve">European manufacturers have a significant market stake - around one fifth.</w:t>
      </w:r>
      <w:r>
        <w:t xml:space="preserve"> </w:t>
      </w:r>
      <w:r>
        <w:t xml:space="preserve">Figure 8. EU Market share per manufacturer (OEM) - newly registered zero-emission</w:t>
      </w:r>
      <w:r>
        <w:t xml:space="preserve"> </w:t>
      </w:r>
      <w:r>
        <w:t xml:space="preserve">buses and coaches along 2020 and first half of 2021.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74</w:t>
      </w:r>
    </w:p>
    <w:p>
      <w:pPr>
        <w:pStyle w:val="BodyText"/>
      </w:pPr>
      <w:r>
        <w:t xml:space="preserve">16.1.4</w:t>
      </w:r>
      <w:r>
        <w:t xml:space="preserve"> </w:t>
      </w:r>
      <w:r>
        <w:t xml:space="preserve">Heavy-duty vehicles registrations per EU-27</w:t>
      </w:r>
      <w:r>
        <w:t xml:space="preserve"> </w:t>
      </w:r>
      <w:r>
        <w:t xml:space="preserve">country</w:t>
      </w:r>
      <w:r>
        <w:br/>
      </w:r>
      <w:r>
        <w:t xml:space="preserve">Figures below represent the market share per Member State for both lorries and buses.</w:t>
      </w:r>
      <w:r>
        <w:t xml:space="preserve"> </w:t>
      </w:r>
      <w:r>
        <w:t xml:space="preserve">The breakdowns are particularised also for those vehicles within SCOPE 1: lorries with</w:t>
      </w:r>
      <w:r>
        <w:t xml:space="preserve"> </w:t>
      </w:r>
      <w:r>
        <w:t xml:space="preserve">TPMLM above 5t and buses and coaches over 7.5t.</w:t>
      </w:r>
      <w:r>
        <w:t xml:space="preserve"> </w:t>
      </w:r>
      <w:r>
        <w:t xml:space="preserve">Figure 9. New lorries over 5t - registration percentage per Member State along 2020</w:t>
      </w:r>
      <w:r>
        <w:t xml:space="preserve"> </w:t>
      </w:r>
      <w:r>
        <w:t xml:space="preserve">and first half of 2021</w:t>
      </w:r>
    </w:p>
    <w:p>
      <w:pPr>
        <w:pStyle w:val="BodyText"/>
      </w:pPr>
      <w:r>
        <w:t xml:space="preserve">Figure 10. New lorries (over 3.5t) - registration percentage per Member State along</w:t>
      </w:r>
      <w:r>
        <w:t xml:space="preserve"> </w:t>
      </w:r>
      <w:r>
        <w:t xml:space="preserve">2020 and first half of 2021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75</w:t>
      </w:r>
    </w:p>
    <w:p>
      <w:pPr>
        <w:pStyle w:val="BodyText"/>
      </w:pPr>
      <w:r>
        <w:t xml:space="preserve">Figure 11. New buses and coaches over 7.5t - registration percentage per Member</w:t>
      </w:r>
      <w:r>
        <w:t xml:space="preserve"> </w:t>
      </w:r>
      <w:r>
        <w:t xml:space="preserve">State along 2020 and first half of 2021</w:t>
      </w:r>
    </w:p>
    <w:p>
      <w:pPr>
        <w:pStyle w:val="BodyText"/>
      </w:pPr>
      <w:r>
        <w:t xml:space="preserve">Figure 12. New buses and coaches (over 3.5t) - registration percentage per Member</w:t>
      </w:r>
      <w:r>
        <w:t xml:space="preserve"> </w:t>
      </w:r>
      <w:r>
        <w:t xml:space="preserve">State along 2020 and first half of 2021</w:t>
      </w:r>
    </w:p>
    <w:p>
      <w:pPr>
        <w:pStyle w:val="BodyText"/>
      </w:pPr>
      <w:r>
        <w:t xml:space="preserve">16.1.5</w:t>
      </w:r>
      <w:r>
        <w:t xml:space="preserve"> </w:t>
      </w:r>
      <w:r>
        <w:t xml:space="preserve">Trailers</w:t>
      </w:r>
      <w:r>
        <w:t xml:space="preserve"> </w:t>
      </w:r>
      <w:r>
        <w:t xml:space="preserve">The largest manufacturers offer a range of standardized vehicles (box-shaped bodywork)</w:t>
      </w:r>
      <w:r>
        <w:t xml:space="preserve"> </w:t>
      </w:r>
      <w:r>
        <w:t xml:space="preserve">produced in large quantities, leaving specialized trailers to smaller companies who build</w:t>
      </w:r>
      <w:r>
        <w:t xml:space="preserve"> </w:t>
      </w:r>
      <w:r>
        <w:t xml:space="preserve">highly customized products. There is also a high number of very small companies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76</w:t>
      </w:r>
    </w:p>
    <w:p>
      <w:pPr>
        <w:pStyle w:val="BodyText"/>
      </w:pPr>
      <w:r>
        <w:t xml:space="preserve">building only a few trailers per year for their customers. Actually, as explained in Annex</w:t>
      </w:r>
      <w:r>
        <w:t xml:space="preserve"> </w:t>
      </w:r>
      <w:r>
        <w:t xml:space="preserve">8, over 90% of companies manufacture only 5% of trailers. The following Figure</w:t>
      </w:r>
      <w:r>
        <w:t xml:space="preserve"> </w:t>
      </w:r>
      <w:r>
        <w:t xml:space="preserve">13Error! Reference source not found. illustrates however, how eight manufacturers only,</w:t>
      </w:r>
      <w:r>
        <w:t xml:space="preserve"> </w:t>
      </w:r>
      <w:r>
        <w:t xml:space="preserve">2% of total, cope with 85% of the market.</w:t>
      </w:r>
      <w:r>
        <w:t xml:space="preserve"> </w:t>
      </w:r>
      <w:r>
        <w:t xml:space="preserve">Figure 13. EU Market share per manufacturer (OEM) - newly registered box-</w:t>
      </w:r>
      <w:r>
        <w:t xml:space="preserve"> </w:t>
      </w:r>
      <w:r>
        <w:t xml:space="preserve">shaped trailers along 2020 and first half of 2021.</w:t>
      </w:r>
    </w:p>
    <w:p>
      <w:pPr>
        <w:pStyle w:val="BodyText"/>
      </w:pPr>
      <w:r>
        <w:t xml:space="preserve">The Figure 14 below shows the market share of box-shaped trailers above 8.0t per</w:t>
      </w:r>
      <w:r>
        <w:t xml:space="preserve"> </w:t>
      </w:r>
      <w:r>
        <w:t xml:space="preserve">Member States for which data are available61.</w:t>
      </w:r>
    </w:p>
    <w:p>
      <w:pPr>
        <w:pStyle w:val="BodyText"/>
      </w:pPr>
      <w:r>
        <w:t xml:space="preserve">61 Data missing or incomplete from the following Member States: BE, CY, DK, HR, HU, IE, IT and MT.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77</w:t>
      </w:r>
    </w:p>
    <w:p>
      <w:pPr>
        <w:pStyle w:val="BodyText"/>
      </w:pPr>
      <w:r>
        <w:t xml:space="preserve">Figure 14. New box-shaped trailer (over 8.0t) - registration percentage per Member</w:t>
      </w:r>
      <w:r>
        <w:t xml:space="preserve"> </w:t>
      </w:r>
      <w:r>
        <w:t xml:space="preserve">State along 2020 and first half of 2021</w:t>
      </w:r>
    </w:p>
    <w:p>
      <w:pPr>
        <w:pStyle w:val="BodyText"/>
      </w:pPr>
      <w:r>
        <w:t xml:space="preserve">16.1.6</w:t>
      </w:r>
      <w:r>
        <w:t xml:space="preserve"> </w:t>
      </w:r>
      <w:r>
        <w:t xml:space="preserve">Transport operators</w:t>
      </w:r>
      <w:r>
        <w:t xml:space="preserve"> </w:t>
      </w:r>
      <w:r>
        <w:t xml:space="preserve">The road freight and passenger transport sector in the EU broadly consists of one million</w:t>
      </w:r>
      <w:r>
        <w:t xml:space="preserve"> </w:t>
      </w:r>
      <w:r>
        <w:t xml:space="preserve">companies from which 80% are SMEs.62 Only the road freight service sector</w:t>
      </w:r>
      <w:r>
        <w:t xml:space="preserve"> </w:t>
      </w:r>
      <w:r>
        <w:t xml:space="preserve">employees 2.85 million people working in more than 550,000 enterprises across the</w:t>
      </w:r>
      <w:r>
        <w:t xml:space="preserve"> </w:t>
      </w:r>
      <w:r>
        <w:t xml:space="preserve">EU.63 Small transport companies holding no more than five HDV in their fleet are quite</w:t>
      </w:r>
      <w:r>
        <w:t xml:space="preserve"> </w:t>
      </w:r>
      <w:r>
        <w:t xml:space="preserve">abundant.64 30% of commercial road transport companies hold no more than 25 vehicles</w:t>
      </w:r>
      <w:r>
        <w:t xml:space="preserve"> </w:t>
      </w:r>
      <w:r>
        <w:t xml:space="preserve">in their fleet (source: IRU)</w:t>
      </w:r>
    </w:p>
    <w:p>
      <w:pPr>
        <w:pStyle w:val="BodyText"/>
      </w:pPr>
      <w:r>
        <w:t xml:space="preserve">62 IRU, December 2021. Position paper on the European Commission proposal on the deployment of AFIR</w:t>
      </w:r>
      <w:r>
        <w:t xml:space="preserve"> </w:t>
      </w:r>
      <w:r>
        <w:t xml:space="preserve">63 The figure includes road haulage together with waste management and removals, but exclude post and</w:t>
      </w:r>
      <w:r>
        <w:t xml:space="preserve"> </w:t>
      </w:r>
      <w:r>
        <w:t xml:space="preserve">courier services, manufacturing or retail. Source: Eurostat.</w:t>
      </w:r>
      <w:r>
        <w:t xml:space="preserve"> </w:t>
      </w:r>
      <w:r>
        <w:t xml:space="preserve">64 IRU, December 2021. Position paper on the European Commission proposal on the deployment of AFIR.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78</w:t>
      </w:r>
    </w:p>
    <w:p>
      <w:pPr>
        <w:pStyle w:val="BodyText"/>
      </w:pPr>
      <w:r>
        <w:t xml:space="preserve">1.23. 16.2</w:t>
      </w:r>
      <w:r>
        <w:t xml:space="preserve"> </w:t>
      </w:r>
      <w:r>
        <w:t xml:space="preserve">Description of the heavy-duty vehicles sector: Announcements</w:t>
      </w:r>
      <w:r>
        <w:t xml:space="preserve"> </w:t>
      </w:r>
      <w:r>
        <w:t xml:space="preserve">by manufacturers and availability on zero-emission vehicles.</w:t>
      </w:r>
      <w:r>
        <w:t xml:space="preserve"> </w:t>
      </w:r>
      <w:r>
        <w:t xml:space="preserve">The below Table 7 presents information on recent announcements by main European</w:t>
      </w:r>
      <w:r>
        <w:t xml:space="preserve"> </w:t>
      </w:r>
      <w:r>
        <w:t xml:space="preserve">manufacturers of heavy-duty vehicles, based on publicly available information and</w:t>
      </w:r>
      <w:r>
        <w:t xml:space="preserve"> </w:t>
      </w:r>
      <w:r>
        <w:t xml:space="preserve">sources. The announcements are very diverse, sometimes published on the official</w:t>
      </w:r>
      <w:r>
        <w:t xml:space="preserve"> </w:t>
      </w:r>
      <w:r>
        <w:t xml:space="preserve">websites, sometimes only referred to in specialised press. They are not always very clear</w:t>
      </w:r>
      <w:r>
        <w:t xml:space="preserve"> </w:t>
      </w:r>
      <w:r>
        <w:t xml:space="preserve">and specific on the type of vehicles (e.g., fossil-free vehicles would well refer either to</w:t>
      </w:r>
      <w:r>
        <w:t xml:space="preserve"> </w:t>
      </w:r>
      <w:r>
        <w:t xml:space="preserve">ZEV or conventional ICE burning only zero-carbon fuels), but they illustrate their</w:t>
      </w:r>
      <w:r>
        <w:t xml:space="preserve"> </w:t>
      </w:r>
      <w:r>
        <w:t xml:space="preserve">technology readiness paving the intention to make zero-emission mobility the backbone</w:t>
      </w:r>
      <w:r>
        <w:t xml:space="preserve"> </w:t>
      </w:r>
      <w:r>
        <w:t xml:space="preserve">of the heavy-duty fleets.</w:t>
      </w:r>
      <w:r>
        <w:t xml:space="preserve"> </w:t>
      </w:r>
      <w:r>
        <w:t xml:space="preserve">Table 7. Summary of manufacturers announcements.</w:t>
      </w:r>
      <w:r>
        <w:t xml:space="preserve"> </w:t>
      </w:r>
      <w:r>
        <w:t xml:space="preserve">Manufacturer</w:t>
      </w:r>
      <w:r>
        <w:t xml:space="preserve"> </w:t>
      </w:r>
      <w:r>
        <w:t xml:space="preserve">Announcements</w:t>
      </w:r>
      <w:r>
        <w:t xml:space="preserve"> </w:t>
      </w:r>
      <w:r>
        <w:t xml:space="preserve">Type of vehicles</w:t>
      </w:r>
      <w:r>
        <w:t xml:space="preserve"> </w:t>
      </w:r>
      <w:r>
        <w:t xml:space="preserve">Year</w:t>
      </w:r>
      <w:r>
        <w:t xml:space="preserve"> </w:t>
      </w:r>
      <w:r>
        <w:t xml:space="preserve">Daimler Trucks</w:t>
      </w:r>
    </w:p>
    <w:p>
      <w:pPr>
        <w:pStyle w:val="BodyText"/>
      </w:pPr>
      <w:r>
        <w:t xml:space="preserve">60%</w:t>
      </w:r>
      <w:r>
        <w:t xml:space="preserve"> </w:t>
      </w:r>
      <w:r>
        <w:t xml:space="preserve">100% buses</w:t>
      </w:r>
      <w:r>
        <w:t xml:space="preserve"> </w:t>
      </w:r>
      <w:r>
        <w:t xml:space="preserve">100%</w:t>
      </w:r>
      <w:r>
        <w:t xml:space="preserve"> </w:t>
      </w:r>
      <w:r>
        <w:t xml:space="preserve">ZEV* (BEV</w:t>
      </w:r>
      <w:r>
        <w:rPr>
          <w:b/>
          <w:bCs/>
        </w:rPr>
        <w:t xml:space="preserve">+FC</w:t>
      </w:r>
      <w:r>
        <w:t xml:space="preserve">*)</w:t>
      </w:r>
      <w:r>
        <w:t xml:space="preserve"> </w:t>
      </w:r>
      <w:r>
        <w:t xml:space="preserve">ZEV</w:t>
      </w:r>
      <w:r>
        <w:t xml:space="preserve"> </w:t>
      </w:r>
      <w:r>
        <w:t xml:space="preserve">CO₂-neutral in driving operation</w:t>
      </w:r>
      <w:r>
        <w:t xml:space="preserve"> </w:t>
      </w:r>
      <w:r>
        <w:t xml:space="preserve">(“from tank to wheel” in Europe,</w:t>
      </w:r>
      <w:r>
        <w:t xml:space="preserve"> </w:t>
      </w:r>
      <w:r>
        <w:t xml:space="preserve">North America and Japan).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2030</w:t>
      </w:r>
      <w:r>
        <w:t xml:space="preserve"> </w:t>
      </w:r>
      <w:r>
        <w:t xml:space="preserve">2039</w:t>
      </w:r>
      <w:r>
        <w:t xml:space="preserve"> </w:t>
      </w:r>
      <w:r>
        <w:t xml:space="preserve">Volvo Group</w:t>
      </w:r>
    </w:p>
    <w:p>
      <w:pPr>
        <w:pStyle w:val="BodyText"/>
      </w:pPr>
      <w:r>
        <w:t xml:space="preserve">Volvo trucks</w:t>
      </w:r>
    </w:p>
    <w:p>
      <w:pPr>
        <w:pStyle w:val="BodyText"/>
      </w:pPr>
      <w:r>
        <w:t xml:space="preserve">Renault trucks</w:t>
      </w:r>
      <w:r>
        <w:t xml:space="preserve"> </w:t>
      </w:r>
      <w:r>
        <w:t xml:space="preserve">35%</w:t>
      </w:r>
      <w:r>
        <w:t xml:space="preserve"> </w:t>
      </w:r>
      <w:r>
        <w:t xml:space="preserve">50%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35%</w:t>
      </w:r>
      <w:r>
        <w:t xml:space="preserve"> </w:t>
      </w:r>
      <w:r>
        <w:t xml:space="preserve">50%</w:t>
      </w:r>
    </w:p>
    <w:p>
      <w:pPr>
        <w:pStyle w:val="BodyText"/>
      </w:pPr>
      <w:r>
        <w:t xml:space="preserve">10%</w:t>
      </w:r>
      <w:r>
        <w:t xml:space="preserve"> </w:t>
      </w:r>
      <w:r>
        <w:t xml:space="preserve">35%</w:t>
      </w:r>
      <w:r>
        <w:t xml:space="preserve"> </w:t>
      </w:r>
      <w:r>
        <w:t xml:space="preserve">100% electric (presumably BEV)</w:t>
      </w:r>
      <w:r>
        <w:t xml:space="preserve"> </w:t>
      </w:r>
      <w:r>
        <w:t xml:space="preserve">ZEV* (BEV + FC)</w:t>
      </w:r>
      <w:r>
        <w:t xml:space="preserve"> </w:t>
      </w:r>
      <w:r>
        <w:t xml:space="preserve">Net-zero GHG emissions</w:t>
      </w:r>
    </w:p>
    <w:p>
      <w:pPr>
        <w:pStyle w:val="BodyText"/>
      </w:pPr>
      <w:r>
        <w:t xml:space="preserve">BEV</w:t>
      </w:r>
      <w:r>
        <w:t xml:space="preserve"> </w:t>
      </w:r>
      <w:r>
        <w:t xml:space="preserve">ZEV (BEV+FC)</w:t>
      </w:r>
    </w:p>
    <w:p>
      <w:pPr>
        <w:pStyle w:val="BodyText"/>
      </w:pPr>
      <w:r>
        <w:t xml:space="preserve">ZEV</w:t>
      </w:r>
      <w:r>
        <w:t xml:space="preserve"> </w:t>
      </w:r>
      <w:r>
        <w:t xml:space="preserve">ZEV</w:t>
      </w:r>
      <w:r>
        <w:t xml:space="preserve"> </w:t>
      </w:r>
      <w:r>
        <w:t xml:space="preserve">2030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Traton Group</w:t>
      </w:r>
    </w:p>
    <w:p>
      <w:pPr>
        <w:pStyle w:val="BodyText"/>
      </w:pPr>
      <w:r>
        <w:t xml:space="preserve">Scania</w:t>
      </w:r>
    </w:p>
    <w:p>
      <w:pPr>
        <w:pStyle w:val="BodyText"/>
      </w:pPr>
      <w:r>
        <w:t xml:space="preserve">MAN</w:t>
      </w:r>
      <w:r>
        <w:t xml:space="preserve"> </w:t>
      </w:r>
      <w:r>
        <w:t xml:space="preserve">50%</w:t>
      </w:r>
    </w:p>
    <w:p>
      <w:pPr>
        <w:pStyle w:val="BodyText"/>
      </w:pPr>
      <w:r>
        <w:t xml:space="preserve">10%</w:t>
      </w:r>
      <w:r>
        <w:t xml:space="preserve"> </w:t>
      </w:r>
      <w:r>
        <w:t xml:space="preserve">50%</w:t>
      </w:r>
      <w:r>
        <w:t xml:space="preserve"> </w:t>
      </w:r>
      <w:r>
        <w:t xml:space="preserve">90%-100%</w:t>
      </w:r>
    </w:p>
    <w:p>
      <w:pPr>
        <w:pStyle w:val="BodyText"/>
      </w:pPr>
      <w:r>
        <w:t xml:space="preserve">50% buses</w:t>
      </w:r>
      <w:r>
        <w:t xml:space="preserve"> </w:t>
      </w:r>
      <w:r>
        <w:t xml:space="preserve">90% buses</w:t>
      </w:r>
      <w:r>
        <w:t xml:space="preserve"> </w:t>
      </w:r>
      <w:r>
        <w:t xml:space="preserve">60% delivery</w:t>
      </w:r>
      <w:r>
        <w:t xml:space="preserve"> </w:t>
      </w:r>
      <w:r>
        <w:t xml:space="preserve">trucks</w:t>
      </w:r>
      <w:r>
        <w:t xml:space="preserve"> </w:t>
      </w:r>
      <w:r>
        <w:t xml:space="preserve">40% long-haul</w:t>
      </w:r>
      <w:r>
        <w:t xml:space="preserve"> </w:t>
      </w:r>
      <w:r>
        <w:t xml:space="preserve">trucks</w:t>
      </w:r>
      <w:r>
        <w:t xml:space="preserve"> </w:t>
      </w:r>
      <w:r>
        <w:t xml:space="preserve">BEV</w:t>
      </w:r>
    </w:p>
    <w:p>
      <w:pPr>
        <w:pStyle w:val="BodyText"/>
      </w:pPr>
      <w:r>
        <w:t xml:space="preserve">BEV</w:t>
      </w:r>
      <w:r>
        <w:t xml:space="preserve"> </w:t>
      </w:r>
      <w:r>
        <w:t xml:space="preserve">BEV</w:t>
      </w:r>
      <w:r>
        <w:t xml:space="preserve"> </w:t>
      </w:r>
      <w:r>
        <w:t xml:space="preserve">BEV</w:t>
      </w:r>
    </w:p>
    <w:p>
      <w:pPr>
        <w:pStyle w:val="BodyText"/>
      </w:pPr>
      <w:r>
        <w:t xml:space="preserve">BEV</w:t>
      </w:r>
      <w:r>
        <w:br/>
      </w:r>
      <w:r>
        <w:t xml:space="preserve">BEV</w:t>
      </w:r>
      <w:r>
        <w:t xml:space="preserve"> </w:t>
      </w:r>
      <w:r>
        <w:t xml:space="preserve">BEV</w:t>
      </w:r>
    </w:p>
    <w:p>
      <w:pPr>
        <w:pStyle w:val="BodyText"/>
      </w:pPr>
      <w:r>
        <w:t xml:space="preserve">BEV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CNH Industrial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PACCAR</w:t>
      </w:r>
    </w:p>
    <w:p>
      <w:pPr>
        <w:pStyle w:val="BodyText"/>
      </w:pPr>
      <w:r>
        <w:t xml:space="preserve">none</w:t>
      </w:r>
    </w:p>
    <w:p>
      <w:pPr>
        <w:pStyle w:val="Compact"/>
        <w:numPr>
          <w:ilvl w:val="0"/>
          <w:numId w:val="1011"/>
        </w:numPr>
      </w:pPr>
      <w:r>
        <w:t xml:space="preserve">zero-emission vehicle (100% electric by any means or hydrogen-powered).</w:t>
      </w:r>
      <w:r>
        <w:t xml:space="preserve"> </w:t>
      </w:r>
      <w:r>
        <w:t xml:space="preserve">** battery-electric vehicle.</w:t>
      </w:r>
      <w:r>
        <w:t xml:space="preserve"> </w:t>
      </w:r>
      <w:r>
        <w:t xml:space="preserve">*** fuel-cell hydrogen powered.</w:t>
      </w:r>
    </w:p>
    <w:p>
      <w:pPr>
        <w:pStyle w:val="FirstParagraph"/>
      </w:pPr>
      <w:r>
        <w:t xml:space="preserve">SENSITIVE</w:t>
      </w:r>
      <w:r>
        <w:t xml:space="preserve"> </w:t>
      </w:r>
      <w:r>
        <w:t xml:space="preserve">79</w:t>
      </w:r>
    </w:p>
    <w:p>
      <w:pPr>
        <w:pStyle w:val="BodyText"/>
      </w:pPr>
      <w:r>
        <w:t xml:space="preserve">The transition to zero-emission HDVs is currently led by BEV since battery-electric</w:t>
      </w:r>
      <w:r>
        <w:t xml:space="preserve"> </w:t>
      </w:r>
      <w:r>
        <w:t xml:space="preserve">powertrains have achieved pilot- or commercialization-stage technological readiness</w:t>
      </w:r>
      <w:r>
        <w:t xml:space="preserve"> </w:t>
      </w:r>
      <w:r>
        <w:t xml:space="preserve">across multiple uses, though limited to certain ranges application (ca. 250-300 km</w:t>
      </w:r>
      <w:r>
        <w:t xml:space="preserve"> </w:t>
      </w:r>
      <w:r>
        <w:t xml:space="preserve">maximum). BEV urban buses, medium-duty delivery lorries and refuse trucks are now</w:t>
      </w:r>
      <w:r>
        <w:t xml:space="preserve"> </w:t>
      </w:r>
      <w:r>
        <w:t xml:space="preserve">being commercialized. Short-range BEV delivery lorries and yard trucks (lorries that</w:t>
      </w:r>
      <w:r>
        <w:t xml:space="preserve"> </w:t>
      </w:r>
      <w:r>
        <w:t xml:space="preserve">move trailers and containers in freight terminals, port facilities, etc. for short distances)</w:t>
      </w:r>
      <w:r>
        <w:t xml:space="preserve"> </w:t>
      </w:r>
      <w:r>
        <w:t xml:space="preserve">have reached the mid- to late-pilot stage and are being commercialized at small scales. In</w:t>
      </w:r>
      <w:r>
        <w:t xml:space="preserve"> </w:t>
      </w:r>
      <w:r>
        <w:t xml:space="preserve">fact, there is increasing consensus among truck manufacturers that BEVs will play a</w:t>
      </w:r>
      <w:r>
        <w:t xml:space="preserve"> </w:t>
      </w:r>
      <w:r>
        <w:t xml:space="preserve">dominant role in the decarbonisation of the road freight sector. Around 50 BEV models</w:t>
      </w:r>
      <w:r>
        <w:t xml:space="preserve"> </w:t>
      </w:r>
      <w:r>
        <w:t xml:space="preserve">have already been announced for series production until 2023.65</w:t>
      </w:r>
      <w:r>
        <w:t xml:space="preserve"> </w:t>
      </w:r>
      <w:r>
        <w:t xml:space="preserve">Some manufacturers as Daimler, MAN, Scania and Volvo, expect starting production by</w:t>
      </w:r>
      <w:r>
        <w:t xml:space="preserve"> </w:t>
      </w:r>
      <w:r>
        <w:t xml:space="preserve">2024 of fully electric long-haul lorries able to perform up to 500 km.66</w:t>
      </w:r>
      <w:r>
        <w:t xml:space="preserve"> </w:t>
      </w:r>
      <w:r>
        <w:t xml:space="preserve">For heavier lorries, however, the availability of models varies by vehicle application and</w:t>
      </w:r>
      <w:r>
        <w:t xml:space="preserve"> </w:t>
      </w:r>
      <w:r>
        <w:t xml:space="preserve">powertrain. Although hydrogen claims its future stake as range needs increase, especially</w:t>
      </w:r>
      <w:r>
        <w:t xml:space="preserve"> </w:t>
      </w:r>
      <w:r>
        <w:t xml:space="preserve">over 500 km, some manufacturers are confident in that future battery technology</w:t>
      </w:r>
      <w:r>
        <w:t xml:space="preserve"> </w:t>
      </w:r>
      <w:r>
        <w:t xml:space="preserve">developments will enable even 1,000 km range for BEV as a feasible option in the</w:t>
      </w:r>
      <w:r>
        <w:t xml:space="preserve"> </w:t>
      </w:r>
      <w:r>
        <w:t xml:space="preserve">coming years. Fuel cell hydrogen lorries are, at the best, at the early pilot stage and</w:t>
      </w:r>
      <w:r>
        <w:t xml:space="preserve"> </w:t>
      </w:r>
      <w:r>
        <w:t xml:space="preserve">slowly moving to commercial-scale deployment in Europe as from 2025-2026. Indeed,</w:t>
      </w:r>
      <w:r>
        <w:t xml:space="preserve"> </w:t>
      </w:r>
      <w:r>
        <w:t xml:space="preserve">the Volvo Group and Daimler Trucks expect covering some long-range needs based on</w:t>
      </w:r>
      <w:r>
        <w:t xml:space="preserve"> </w:t>
      </w:r>
      <w:r>
        <w:t xml:space="preserve">joint venture fuel cell development, while the Traton Group focuses on full electric</w:t>
      </w:r>
      <w:r>
        <w:t xml:space="preserve"> </w:t>
      </w:r>
      <w:r>
        <w:t xml:space="preserve">models and CNH Industrial aims at bringing BEV vehicles to the market by 2022 and</w:t>
      </w:r>
      <w:r>
        <w:t xml:space="preserve"> </w:t>
      </w:r>
      <w:r>
        <w:t xml:space="preserve">hydrogen Fuel Cell by 2023, based on its alliance with US manufacturer Nikola.</w:t>
      </w:r>
      <w:r>
        <w:t xml:space="preserve"> </w:t>
      </w:r>
      <w:r>
        <w:t xml:space="preserve">Tesla claims that the fully electric 800-km range Tesla Semi would be firstly delivered in</w:t>
      </w:r>
      <w:r>
        <w:t xml:space="preserve"> </w:t>
      </w:r>
      <w:r>
        <w:t xml:space="preserve">the USA by end 2022.67</w:t>
      </w:r>
      <w:r>
        <w:t xml:space="preserve"> </w:t>
      </w:r>
      <w:r>
        <w:t xml:space="preserve">16.2.1</w:t>
      </w:r>
      <w:r>
        <w:t xml:space="preserve"> </w:t>
      </w:r>
      <w:r>
        <w:t xml:space="preserve">Manufacturers’ announcements</w:t>
      </w:r>
      <w:r>
        <w:t xml:space="preserve"> </w:t>
      </w:r>
      <w:r>
        <w:t xml:space="preserve">DAIMLER TRUCK</w:t>
      </w:r>
      <w:r>
        <w:t xml:space="preserve"> </w:t>
      </w:r>
      <w:r>
        <w:t xml:space="preserve"> Daimler Truck -the world’s largest truck maker- is outspoken on relying zero-</w:t>
      </w:r>
      <w:r>
        <w:t xml:space="preserve"> </w:t>
      </w:r>
      <w:r>
        <w:t xml:space="preserve">emission mobility to cover most of uses in the future and this way reaching the</w:t>
      </w:r>
      <w:r>
        <w:t xml:space="preserve"> </w:t>
      </w:r>
      <w:r>
        <w:t xml:space="preserve">ultimate goal of having CO2-neutral transport on the road by 2050. As it takes about</w:t>
      </w:r>
      <w:r>
        <w:t xml:space="preserve"> </w:t>
      </w:r>
      <w:r>
        <w:t xml:space="preserve">ten years to completely renew a fleet until 2050, Daimler Truck’s ambition is to offer</w:t>
      </w:r>
      <w:r>
        <w:t xml:space="preserve"> </w:t>
      </w:r>
      <w:r>
        <w:t xml:space="preserve">only new vehicles that are “CO₂-neutral in driving operation, from tank to wheel” in</w:t>
      </w:r>
      <w:r>
        <w:t xml:space="preserve"> </w:t>
      </w:r>
      <w:r>
        <w:t xml:space="preserve">Europe, North America and Japan by 2039.68</w:t>
      </w:r>
      <w:r>
        <w:br/>
      </w:r>
      <w:r>
        <w:t xml:space="preserve"> According to some corporate sources, the term “CO2-neutral” seems to include only</w:t>
      </w:r>
      <w:r>
        <w:t xml:space="preserve"> </w:t>
      </w:r>
      <w:r>
        <w:t xml:space="preserve">battery electric and hydrogen-based vehicles, i.e., zero-emission vehicles.69 Other</w:t>
      </w:r>
    </w:p>
    <w:p>
      <w:pPr>
        <w:pStyle w:val="BodyText"/>
      </w:pPr>
      <w:r>
        <w:t xml:space="preserve">65 IEA. Global EV Outlook 2022. Securing supplies for an electric future.</w:t>
      </w:r>
      <w:r>
        <w:t xml:space="preserve"> </w:t>
      </w:r>
      <w:r>
        <w:t xml:space="preserve">66 See Mercedes eActros long-haul 500km range</w:t>
      </w:r>
      <w:r>
        <w:t xml:space="preserve"> </w:t>
      </w:r>
      <w:r>
        <w:t xml:space="preserve">https://www.arenaev.com/mercedesbenz_eactros_longhaul__electric_truck_with_500_km_range-news-</w:t>
      </w:r>
      <w:r>
        <w:t xml:space="preserve"> </w:t>
      </w:r>
      <w:r>
        <w:t xml:space="preserve">736.php and</w:t>
      </w:r>
      <w:r>
        <w:br/>
      </w:r>
      <w:r>
        <w:t xml:space="preserve">67 https://topelectricsuv.com/news/tesla/tesla-semi-all-we-know-feb-2022/#Production_Release_Date</w:t>
      </w:r>
      <w:r>
        <w:br/>
      </w:r>
      <w:r>
        <w:t xml:space="preserve">68 Daimler Truck. On the road to CO₂-neutral transport. Consulted 17 June 2022.</w:t>
      </w:r>
      <w:r>
        <w:t xml:space="preserve"> </w:t>
      </w:r>
      <w:r>
        <w:t xml:space="preserve">69 Truly CO2-neutral transport only works with battery electric or hydrogen-based drive. That’s why</w:t>
      </w:r>
      <w:r>
        <w:t xml:space="preserve"> </w:t>
      </w:r>
      <w:r>
        <w:t xml:space="preserve">Daimler Truck is consistently focusing on battery electric and hydrogen-powered commercial vehicles that</w:t>
      </w:r>
      <w:r>
        <w:t xml:space="preserve"> </w:t>
      </w:r>
      <w:r>
        <w:t xml:space="preserve">can drive locally CO2-neutral. We focus on these locally CO2-neutral technologies. Consulted 17 June</w:t>
      </w:r>
      <w:r>
        <w:t xml:space="preserve"> </w:t>
      </w:r>
      <w:r>
        <w:t xml:space="preserve">2022.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80</w:t>
      </w:r>
    </w:p>
    <w:p>
      <w:pPr>
        <w:pStyle w:val="BodyText"/>
      </w:pPr>
      <w:r>
        <w:t xml:space="preserve">statements claim that fully CO₂-neutral transport can be accomplished through zero-</w:t>
      </w:r>
      <w:r>
        <w:t xml:space="preserve"> </w:t>
      </w:r>
      <w:r>
        <w:t xml:space="preserve">emission vehicles.70</w:t>
      </w:r>
      <w:r>
        <w:t xml:space="preserve"> </w:t>
      </w:r>
      <w:r>
        <w:t xml:space="preserve"> Daimler Truck has a dual zero-emission strategy: Both BEV and FC (liquid hydrogen)</w:t>
      </w:r>
      <w:r>
        <w:t xml:space="preserve"> </w:t>
      </w:r>
      <w:r>
        <w:t xml:space="preserve">technologies would be needed and are complementary, depending on specific use</w:t>
      </w:r>
      <w:r>
        <w:t xml:space="preserve"> </w:t>
      </w:r>
      <w:r>
        <w:t xml:space="preserve">cases. Daimler is quite confident in the rapid development of battery and fuel cell</w:t>
      </w:r>
      <w:r>
        <w:t xml:space="preserve"> </w:t>
      </w:r>
      <w:r>
        <w:t xml:space="preserve">technologies, for what overhead electrified lines (catenaries) are considered, in</w:t>
      </w:r>
      <w:r>
        <w:t xml:space="preserve"> </w:t>
      </w:r>
      <w:r>
        <w:t xml:space="preserve">principle, as “impossible to implement as a practical matter”71 or “as a realistic and</w:t>
      </w:r>
      <w:r>
        <w:t xml:space="preserve"> </w:t>
      </w:r>
      <w:r>
        <w:t xml:space="preserve">timely solution”.72 As well, it seems it abandoned the development of gas-powered</w:t>
      </w:r>
      <w:r>
        <w:t xml:space="preserve"> </w:t>
      </w:r>
      <w:r>
        <w:t xml:space="preserve">trucks.73 74</w:t>
      </w:r>
      <w:r>
        <w:t xml:space="preserve"> </w:t>
      </w:r>
      <w:r>
        <w:t xml:space="preserve"> Ramp-down of fossil by significantly reducing ICE spending: vast majority of R&amp;D</w:t>
      </w:r>
      <w:r>
        <w:t xml:space="preserve"> </w:t>
      </w:r>
      <w:r>
        <w:t xml:space="preserve">spending to be ZEV-focused by 2025. Full ZE product line-up set by 2027.</w:t>
      </w:r>
      <w:r>
        <w:t xml:space="preserve"> </w:t>
      </w:r>
      <w:r>
        <w:t xml:space="preserve">VOLVO GROUP (VOLVO TRUCKS, RENAULT TRUCKS)</w:t>
      </w:r>
      <w:r>
        <w:t xml:space="preserve"> </w:t>
      </w:r>
      <w:r>
        <w:t xml:space="preserve"> Volvo group commit to reach 35% BEV and 50% ZEV sales in the EU by 2030.</w:t>
      </w:r>
      <w:r>
        <w:t xml:space="preserve"> </w:t>
      </w:r>
      <w:r>
        <w:t xml:space="preserve"> As Daimler, Volvo has a dual zero-emission based on both BEV and FC vehicles</w:t>
      </w:r>
      <w:r>
        <w:t xml:space="preserve"> </w:t>
      </w:r>
      <w:r>
        <w:t xml:space="preserve">depending on the application needs. The company is committed to offer by 2023 a</w:t>
      </w:r>
      <w:r>
        <w:t xml:space="preserve"> </w:t>
      </w:r>
      <w:r>
        <w:t xml:space="preserve">100% electric option for each market segment.</w:t>
      </w:r>
      <w:r>
        <w:t xml:space="preserve"> </w:t>
      </w:r>
      <w:r>
        <w:t xml:space="preserve"> Volvo expects to start reach FC vehicles customer tests by 2024, entering volume</w:t>
      </w:r>
      <w:r>
        <w:t xml:space="preserve"> </w:t>
      </w:r>
      <w:r>
        <w:t xml:space="preserve">sales in the second half of the decade both for Volvo and Renault.</w:t>
      </w:r>
      <w:r>
        <w:t xml:space="preserve"> </w:t>
      </w:r>
      <w:r>
        <w:t xml:space="preserve">TRATON GROUP (SCANIA, MAN, VOLKSWAGEN TRUCK &amp; BUS)</w:t>
      </w:r>
      <w:r>
        <w:t xml:space="preserve"> </w:t>
      </w:r>
      <w:r>
        <w:t xml:space="preserve"> Traton prefers BEV for achieving zero-emission mobility. Though the company</w:t>
      </w:r>
      <w:r>
        <w:t xml:space="preserve"> </w:t>
      </w:r>
      <w:r>
        <w:t xml:space="preserve">recognizes that hydrogen may play a role in some niches needed of longer ranges as</w:t>
      </w:r>
      <w:r>
        <w:t xml:space="preserve"> </w:t>
      </w:r>
      <w:r>
        <w:t xml:space="preserve">some difficult long-haul applications and coaches, the company is clear about</w:t>
      </w:r>
    </w:p>
    <w:p>
      <w:pPr>
        <w:pStyle w:val="BodyText"/>
      </w:pPr>
      <w:r>
        <w:t xml:space="preserve">70 Fully CO₂-neutral transport can be accomplished through electric drive trains with energy coming either</w:t>
      </w:r>
      <w:r>
        <w:t xml:space="preserve"> </w:t>
      </w:r>
      <w:r>
        <w:t xml:space="preserve">from batteries or by converting hydrogen on board into electricity. Daimler Truck. On the road to CO₂-</w:t>
      </w:r>
      <w:r>
        <w:t xml:space="preserve"> </w:t>
      </w:r>
      <w:r>
        <w:t xml:space="preserve">neutral transport. Consulted 17 June 2022.</w:t>
      </w:r>
      <w:r>
        <w:br/>
      </w:r>
      <w:r>
        <w:t xml:space="preserve">71 […] overhead electric lines would require a comprehensive, Europe-wide infrastructure over thousands</w:t>
      </w:r>
      <w:r>
        <w:t xml:space="preserve"> </w:t>
      </w:r>
      <w:r>
        <w:t xml:space="preserve">and thousands of kilometres. The associated planning processes would be highly complex, lengthy and</w:t>
      </w:r>
      <w:r>
        <w:t xml:space="preserve"> </w:t>
      </w:r>
      <w:r>
        <w:t xml:space="preserve">fraught with great uncertainty. This technology is therefore impossible to implement as a practical matter.</w:t>
      </w:r>
      <w:r>
        <w:t xml:space="preserve"> </w:t>
      </w:r>
      <w:r>
        <w:t xml:space="preserve">Rigid overhead lines would also deprive freight forwarders of what is so important to them in their daily</w:t>
      </w:r>
      <w:r>
        <w:t xml:space="preserve"> </w:t>
      </w:r>
      <w:r>
        <w:t xml:space="preserve">transport jobs: Flexibility. Political decision-makers should therefore not invest any additional funds in</w:t>
      </w:r>
      <w:r>
        <w:t xml:space="preserve"> </w:t>
      </w:r>
      <w:r>
        <w:t xml:space="preserve">expensive pilot programs. Time and money are precious and urgently needed elsewhere. Daimler Truck.</w:t>
      </w:r>
      <w:r>
        <w:t xml:space="preserve"> </w:t>
      </w:r>
      <w:r>
        <w:t xml:space="preserve">The right way to emission-free transport.</w:t>
      </w:r>
      <w:r>
        <w:t xml:space="preserve"> </w:t>
      </w:r>
      <w:r>
        <w:t xml:space="preserve">72 Due to the high infrastructure costs involved, and also considering of the rapid development of battery</w:t>
      </w:r>
      <w:r>
        <w:t xml:space="preserve"> </w:t>
      </w:r>
      <w:r>
        <w:t xml:space="preserve">and fuel cell technology, the company we do not see potential in catenary trucks at present. Daimler Truck</w:t>
      </w:r>
      <w:r>
        <w:t xml:space="preserve"> </w:t>
      </w:r>
      <w:r>
        <w:t xml:space="preserve">is not against catenary trucks, but for realistic and timely solutions. We are convinced that with the battery</w:t>
      </w:r>
      <w:r>
        <w:t xml:space="preserve"> </w:t>
      </w:r>
      <w:r>
        <w:t xml:space="preserve">electric truck we have a flexible and already available concept for the respective field of application -</w:t>
      </w:r>
      <w:r>
        <w:t xml:space="preserve"> </w:t>
      </w:r>
      <w:r>
        <w:t xml:space="preserve">without expensive, time-consuming and lengthy planning measures. We focus on these locally CO2-neutral</w:t>
      </w:r>
      <w:r>
        <w:t xml:space="preserve"> </w:t>
      </w:r>
      <w:r>
        <w:t xml:space="preserve">technologies. Consulted 17 June 2022.</w:t>
      </w:r>
      <w:r>
        <w:t xml:space="preserve"> </w:t>
      </w:r>
      <w:r>
        <w:t xml:space="preserve">73 However, natural gas drives also emit CO₂ and would only be an expensive transition technology on the</w:t>
      </w:r>
      <w:r>
        <w:t xml:space="preserve"> </w:t>
      </w:r>
      <w:r>
        <w:t xml:space="preserve">road to CO₂-neutral transport. Therefore it’s not worth pursuing natural gas further. Martin Daum,</w:t>
      </w:r>
      <w:r>
        <w:t xml:space="preserve"> </w:t>
      </w:r>
      <w:r>
        <w:t xml:space="preserve">Chairman of the Board of Management Daimler Truck AG &amp; Member of the Board of Management</w:t>
      </w:r>
      <w:r>
        <w:t xml:space="preserve"> </w:t>
      </w:r>
      <w:r>
        <w:t xml:space="preserve">Daimler AG. The road to CO₂-neutral transport | Daimler Truck AG, consulted 17 June 2022. Also:</w:t>
      </w:r>
      <w:r>
        <w:t xml:space="preserve"> </w:t>
      </w:r>
      <w:r>
        <w:t xml:space="preserve">Natural gas is a fossil fuel - and therefore it is at most a transitional technology on our way to CO2-</w:t>
      </w:r>
      <w:r>
        <w:t xml:space="preserve"> </w:t>
      </w:r>
      <w:r>
        <w:t xml:space="preserve">neutral transport. We focus on these locally CO2-neutral technologies. Consulted 17 June 2022.</w:t>
      </w:r>
      <w:r>
        <w:t xml:space="preserve"> </w:t>
      </w:r>
      <w:r>
        <w:t xml:space="preserve">74 We can’t allow ourselves to get bogged down and continue to pursue all possible development paths.</w:t>
      </w:r>
      <w:r>
        <w:t xml:space="preserve"> </w:t>
      </w:r>
      <w:r>
        <w:t xml:space="preserve">Natural gas drives, for example, are not CO₂-free and are therefore just an expensive bridge technology.</w:t>
      </w:r>
      <w:r>
        <w:t xml:space="preserve"> </w:t>
      </w:r>
      <w:r>
        <w:t xml:space="preserve">The right way to emission-free transport.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81</w:t>
      </w:r>
    </w:p>
    <w:p>
      <w:pPr>
        <w:pStyle w:val="BodyText"/>
      </w:pPr>
      <w:r>
        <w:t xml:space="preserve">considering the superiority of electricity as the better alternative from a technical and</w:t>
      </w:r>
      <w:r>
        <w:t xml:space="preserve"> </w:t>
      </w:r>
      <w:r>
        <w:t xml:space="preserve">economic perspective. This is clearly reflected in its investment roadmap.75</w:t>
      </w:r>
      <w:r>
        <w:t xml:space="preserve"> </w:t>
      </w:r>
      <w:r>
        <w:t xml:space="preserve"> Scania, likewise, ditches FC trucks to focus on full electric. The company plans to</w:t>
      </w:r>
      <w:r>
        <w:t xml:space="preserve"> </w:t>
      </w:r>
      <w:r>
        <w:t xml:space="preserve">bring out at least one new electric product application in the bus and truck segment</w:t>
      </w:r>
      <w:r>
        <w:t xml:space="preserve"> </w:t>
      </w:r>
      <w:r>
        <w:t xml:space="preserve">every year. Electric vehicles would make up around 10% of Scania’s European unit</w:t>
      </w:r>
      <w:r>
        <w:t xml:space="preserve"> </w:t>
      </w:r>
      <w:r>
        <w:t xml:space="preserve">sales in 2025. By 2030, 50% of all vehicles sold by Scania will be electric while the</w:t>
      </w:r>
      <w:r>
        <w:t xml:space="preserve"> </w:t>
      </w:r>
      <w:r>
        <w:t xml:space="preserve">2040 goal oscillates between the 90% as endorsed in the Global Memorandum of</w:t>
      </w:r>
      <w:r>
        <w:t xml:space="preserve"> </w:t>
      </w:r>
      <w:r>
        <w:t xml:space="preserve">Understanding for ZEVs and the 100% claimed by the company CEO.</w:t>
      </w:r>
      <w:r>
        <w:t xml:space="preserve"> </w:t>
      </w:r>
      <w:r>
        <w:t xml:space="preserve"> MAN presented its Zero-Emission Roadmap in October 2019 being BEV the main</w:t>
      </w:r>
      <w:r>
        <w:t xml:space="preserve"> </w:t>
      </w:r>
      <w:r>
        <w:t xml:space="preserve">choice while hydrogen would play the complementary role for some long-haul</w:t>
      </w:r>
      <w:r>
        <w:t xml:space="preserve"> </w:t>
      </w:r>
      <w:r>
        <w:t xml:space="preserve">transport needs. 500 km-range BEV long-haul lorries are claimed to be produced as</w:t>
      </w:r>
      <w:r>
        <w:t xml:space="preserve"> </w:t>
      </w:r>
      <w:r>
        <w:t xml:space="preserve">soon as in 2024 and just one year later, by 2025, half of MAN’s new buses will be</w:t>
      </w:r>
      <w:r>
        <w:t xml:space="preserve"> </w:t>
      </w:r>
      <w:r>
        <w:t xml:space="preserve">electric. At least 60% of MAN’s delivery trucks, 40% of long-haul trucks and 90% of</w:t>
      </w:r>
      <w:r>
        <w:t xml:space="preserve"> </w:t>
      </w:r>
      <w:r>
        <w:t xml:space="preserve">buses (BEV) will be zero-emission by 2030. MAN considers possible that 1.000 km-</w:t>
      </w:r>
      <w:r>
        <w:t xml:space="preserve"> </w:t>
      </w:r>
      <w:r>
        <w:t xml:space="preserve">range BEV, able to recharge in just one hour, will be available “in a few years” thanks</w:t>
      </w:r>
      <w:r>
        <w:t xml:space="preserve"> </w:t>
      </w:r>
      <w:r>
        <w:t xml:space="preserve">to expected big leaps in battery technology.</w:t>
      </w:r>
      <w:r>
        <w:t xml:space="preserve"> </w:t>
      </w:r>
      <w:r>
        <w:t xml:space="preserve"> Traton is scaling back investments in conventional drives for these to make up less</w:t>
      </w:r>
      <w:r>
        <w:t xml:space="preserve"> </w:t>
      </w:r>
      <w:r>
        <w:t xml:space="preserve">than one-fifth of its product development in 2025 involving that, by then, the share of</w:t>
      </w:r>
      <w:r>
        <w:t xml:space="preserve"> </w:t>
      </w:r>
      <w:r>
        <w:t xml:space="preserve">product development dedicated to electric mobility will have doubled.</w:t>
      </w:r>
      <w:r>
        <w:t xml:space="preserve"> </w:t>
      </w:r>
      <w:r>
        <w:t xml:space="preserve">PACCAR (DAF)</w:t>
      </w:r>
      <w:r>
        <w:t xml:space="preserve"> </w:t>
      </w:r>
      <w:r>
        <w:t xml:space="preserve"> No written commitments found on ZEV sales share.</w:t>
      </w:r>
      <w:r>
        <w:t xml:space="preserve"> </w:t>
      </w:r>
      <w:r>
        <w:t xml:space="preserve"> PACCAR develops some BEV options while explores hydrogen options for medium-</w:t>
      </w:r>
      <w:r>
        <w:t xml:space="preserve"> </w:t>
      </w:r>
      <w:r>
        <w:t xml:space="preserve">long term together with Toyota and Shell.</w:t>
      </w:r>
      <w:r>
        <w:t xml:space="preserve"> </w:t>
      </w:r>
      <w:r>
        <w:t xml:space="preserve"> DAF does not see a role for CNG/LNG trucks due to technological practical</w:t>
      </w:r>
      <w:r>
        <w:t xml:space="preserve"> </w:t>
      </w:r>
      <w:r>
        <w:t xml:space="preserve">challenges and non-advantageous WTW overall CO2 emissions.</w:t>
      </w:r>
      <w:r>
        <w:t xml:space="preserve"> </w:t>
      </w:r>
      <w:r>
        <w:t xml:space="preserve">CNH INDUSTRIAL (IVECO)</w:t>
      </w:r>
      <w:r>
        <w:t xml:space="preserve"> </w:t>
      </w:r>
      <w:r>
        <w:t xml:space="preserve"> No commitments found on ZEV or ICE phasing-out.</w:t>
      </w:r>
      <w:r>
        <w:t xml:space="preserve"> </w:t>
      </w:r>
      <w:r>
        <w:t xml:space="preserve"> CNH Industrial has an exclusive alliance with US zero-emission manufacturer Nikola</w:t>
      </w:r>
      <w:r>
        <w:t xml:space="preserve"> </w:t>
      </w:r>
      <w:r>
        <w:t xml:space="preserve">for developing and distributing both hydrogen-powered and BEV lorries.</w:t>
      </w:r>
    </w:p>
    <w:p>
      <w:pPr>
        <w:pStyle w:val="BodyText"/>
      </w:pPr>
      <w:r>
        <w:t xml:space="preserve">16.2.2</w:t>
      </w:r>
      <w:r>
        <w:t xml:space="preserve"> </w:t>
      </w:r>
      <w:r>
        <w:t xml:space="preserve">Alliances among manufacturers</w:t>
      </w:r>
      <w:r>
        <w:t xml:space="preserve"> </w:t>
      </w:r>
      <w:r>
        <w:t xml:space="preserve"> ELECTRIFICATION</w:t>
      </w:r>
      <w:r>
        <w:t xml:space="preserve"> </w:t>
      </w:r>
      <w:r>
        <w:t xml:space="preserve">Traton, Volvo and Daimler: Binding agreement to implement and operate a high-</w:t>
      </w:r>
      <w:r>
        <w:t xml:space="preserve"> </w:t>
      </w:r>
      <w:r>
        <w:t xml:space="preserve">performance public charging network for electric long-haul HDV throughout Europe as</w:t>
      </w:r>
      <w:r>
        <w:t xml:space="preserve"> </w:t>
      </w:r>
      <w:r>
        <w:t xml:space="preserve">from 2022. €500 million investment to operate by 2027 at least 1,700 high performance</w:t>
      </w:r>
      <w:r>
        <w:t xml:space="preserve"> </w:t>
      </w:r>
      <w:r>
        <w:t xml:space="preserve">‘green energy’ points close to highways, ports and logistic centres. Joint Venture, equally</w:t>
      </w:r>
      <w:r>
        <w:t xml:space="preserve"> </w:t>
      </w:r>
      <w:r>
        <w:t xml:space="preserve">owned by the three parties, pending of competence regulator’s approval.</w:t>
      </w:r>
      <w:r>
        <w:t xml:space="preserve"> </w:t>
      </w:r>
      <w:r>
        <w:t xml:space="preserve"> FUEL CELL HYDROGEN</w:t>
      </w:r>
      <w:r>
        <w:t xml:space="preserve"> </w:t>
      </w:r>
      <w:r>
        <w:t xml:space="preserve">Cellcentric: Volvo and Daimler on hydrogen fuel cells. A 50/50 joint venture will</w:t>
      </w:r>
      <w:r>
        <w:t xml:space="preserve"> </w:t>
      </w:r>
      <w:r>
        <w:t xml:space="preserve">have activities all along the value chain for fuel cell systems, from research and</w:t>
      </w:r>
    </w:p>
    <w:p>
      <w:pPr>
        <w:pStyle w:val="BodyText"/>
      </w:pPr>
      <w:r>
        <w:t xml:space="preserve">75 The future of trucks is electric | TRATON. https://traton.com/en/newsroom/current-topics/furture-</w:t>
      </w:r>
      <w:r>
        <w:t xml:space="preserve"> </w:t>
      </w:r>
      <w:r>
        <w:t xml:space="preserve">transport-electric-truck.html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82</w:t>
      </w:r>
    </w:p>
    <w:p>
      <w:pPr>
        <w:pStyle w:val="BodyText"/>
      </w:pPr>
      <w:r>
        <w:t xml:space="preserve">development through production to marketing of fuel cells, aiming at making Cellcentric</w:t>
      </w:r>
      <w:r>
        <w:t xml:space="preserve"> </w:t>
      </w:r>
      <w:r>
        <w:t xml:space="preserve">a leading global manufacturer in hydrogen-powered HDV.</w:t>
      </w:r>
      <w:r>
        <w:br/>
      </w:r>
      <w:r>
        <w:t xml:space="preserve">H2Accelerate: Mass-market alliance for the roll-out of fuel-cell hydrogen HDV among</w:t>
      </w:r>
      <w:r>
        <w:t xml:space="preserve"> </w:t>
      </w:r>
      <w:r>
        <w:t xml:space="preserve">CNH Industrial, Volvo, Daimler, Shell and OMV.</w:t>
      </w:r>
      <w:r>
        <w:t xml:space="preserve"> </w:t>
      </w:r>
      <w:r>
        <w:t xml:space="preserve"> ZERO-EMISSION TECHNOLOGIES</w:t>
      </w:r>
      <w:r>
        <w:t xml:space="preserve"> </w:t>
      </w:r>
      <w:r>
        <w:t xml:space="preserve">CNH Industrial and Nikola: joint ventures both on electric and hydrogen fuel-cell</w:t>
      </w:r>
      <w:r>
        <w:t xml:space="preserve"> </w:t>
      </w:r>
      <w:r>
        <w:t xml:space="preserve">technologies. Collaboration agreements to accelerate industry transformation towards</w:t>
      </w:r>
      <w:r>
        <w:t xml:space="preserve"> </w:t>
      </w:r>
      <w:r>
        <w:t xml:space="preserve">zero emissions,</w:t>
      </w:r>
      <w:r>
        <w:br/>
      </w:r>
      <w:r>
        <w:t xml:space="preserve">16.2.3</w:t>
      </w:r>
      <w:r>
        <w:t xml:space="preserve"> </w:t>
      </w:r>
      <w:r>
        <w:t xml:space="preserve">Vehicles’ market</w:t>
      </w:r>
      <w:r>
        <w:t xml:space="preserve"> </w:t>
      </w:r>
      <w:r>
        <w:t xml:space="preserve">DAIMLER TRUCK</w:t>
      </w:r>
      <w:r>
        <w:t xml:space="preserve"> </w:t>
      </w:r>
      <w:r>
        <w:t xml:space="preserve"> Daimler Truck discloses abundant information about its many current and upcoming</w:t>
      </w:r>
      <w:r>
        <w:t xml:space="preserve"> </w:t>
      </w:r>
      <w:r>
        <w:t xml:space="preserve">zero-emissions models according to a Technology Strategy for the Electrification for</w:t>
      </w:r>
      <w:r>
        <w:t xml:space="preserve"> </w:t>
      </w:r>
      <w:r>
        <w:t xml:space="preserve">its vehicles.</w:t>
      </w:r>
      <w:r>
        <w:br/>
      </w:r>
      <w:r>
        <w:t xml:space="preserve"> The company claims to be the first manufacturer in the world to present an e-truck, the</w:t>
      </w:r>
      <w:r>
        <w:t xml:space="preserve"> </w:t>
      </w:r>
      <w:r>
        <w:t xml:space="preserve">Fuso eCanter, in short-series production since 2017 with 120 km range and up to 9.1t.</w:t>
      </w:r>
      <w:r>
        <w:t xml:space="preserve"> </w:t>
      </w:r>
      <w:r>
        <w:t xml:space="preserve"> The Mercedes-Benz eActros truck, with a range of up to 200 km, is in use in the EU</w:t>
      </w:r>
      <w:r>
        <w:t xml:space="preserve"> </w:t>
      </w:r>
      <w:r>
        <w:t xml:space="preserve">since 2018 while medium-duty Freightliner eM2 and the heavy-duty Freightliner</w:t>
      </w:r>
      <w:r>
        <w:t xml:space="preserve"> </w:t>
      </w:r>
      <w:r>
        <w:t xml:space="preserve">eCascadia are present in North America.</w:t>
      </w:r>
      <w:r>
        <w:br/>
      </w:r>
      <w:r>
        <w:t xml:space="preserve"> Daimler Truck plans to start series-produced BEV trucks and buses in the main sales</w:t>
      </w:r>
      <w:r>
        <w:t xml:space="preserve"> </w:t>
      </w:r>
      <w:r>
        <w:t xml:space="preserve">regions: Europe, USA and Japan, to be followed by the BEV eActros long-haul truck</w:t>
      </w:r>
      <w:r>
        <w:t xml:space="preserve"> </w:t>
      </w:r>
      <w:r>
        <w:t xml:space="preserve">in 2024 (2 &amp; 3-axes, 40t. 500 km range).</w:t>
      </w:r>
      <w:r>
        <w:t xml:space="preserve"> </w:t>
      </w:r>
      <w:r>
        <w:t xml:space="preserve"> The eEconic low-floor refuse truck, based on the e-Actros, is already being tested by</w:t>
      </w:r>
      <w:r>
        <w:t xml:space="preserve"> </w:t>
      </w:r>
      <w:r>
        <w:t xml:space="preserve">some EU municipalities. Series production to start along 2022.</w:t>
      </w:r>
      <w:r>
        <w:t xml:space="preserve"> </w:t>
      </w:r>
      <w:r>
        <w:t xml:space="preserve"> On the hydrogen side, the aim is to hand over the first fuel-cell liquid-hydrogen trucks</w:t>
      </w:r>
      <w:r>
        <w:t xml:space="preserve"> </w:t>
      </w:r>
      <w:r>
        <w:t xml:space="preserve">to customers by 2025. The fuel cell-powered GenH2, able to operate 40t up to a</w:t>
      </w:r>
      <w:r>
        <w:t xml:space="preserve"> </w:t>
      </w:r>
      <w:r>
        <w:t xml:space="preserve">1,000-km range will benefit from the Cellcentric joint venture with Volvo.</w:t>
      </w:r>
      <w:r>
        <w:t xml:space="preserve"> </w:t>
      </w:r>
      <w:r>
        <w:t xml:space="preserve">VOLVO GROUP</w:t>
      </w:r>
      <w:r>
        <w:t xml:space="preserve"> </w:t>
      </w:r>
      <w:r>
        <w:t xml:space="preserve"> Already in volume production: short to medium range trucks. Volvo FL Electric</w:t>
      </w:r>
      <w:r>
        <w:t xml:space="preserve"> </w:t>
      </w:r>
      <w:r>
        <w:t xml:space="preserve">(urban and refuse truck, 317 kWh, 300 km, up to 16.7t)) and Volvo FE Electric (urban</w:t>
      </w:r>
      <w:r>
        <w:t xml:space="preserve"> </w:t>
      </w:r>
      <w:r>
        <w:t xml:space="preserve">and vocational, up to 27t, 3-axle, 200 km) since 2019 in Europe. North America:</w:t>
      </w:r>
      <w:r>
        <w:t xml:space="preserve"> </w:t>
      </w:r>
      <w:r>
        <w:t xml:space="preserve">Volvo VNR by late 2020.</w:t>
      </w:r>
      <w:r>
        <w:t xml:space="preserve"> </w:t>
      </w:r>
      <w:r>
        <w:t xml:space="preserve"> Start of production plans: long-haul trucks. Sales of the European BEV heavy-duty</w:t>
      </w:r>
      <w:r>
        <w:t xml:space="preserve"> </w:t>
      </w:r>
      <w:r>
        <w:t xml:space="preserve">models, Volvo FM, FMX and FH (up to 44t) 300 km range trucks to begin by 2021,</w:t>
      </w:r>
      <w:r>
        <w:t xml:space="preserve"> </w:t>
      </w:r>
      <w:r>
        <w:t xml:space="preserve">volume production by 2022.</w:t>
      </w:r>
      <w:r>
        <w:br/>
      </w:r>
      <w:r>
        <w:t xml:space="preserve"> Renault truck D, urban delivery manufactured since March 2020: 395 kWh, 300 km</w:t>
      </w:r>
      <w:r>
        <w:t xml:space="preserve"> </w:t>
      </w:r>
      <w:r>
        <w:t xml:space="preserve">range, up to 9.4t. Renault truck D ‘Wide’ enlarges capacity to 16t (26t if refuse truck).</w:t>
      </w:r>
      <w:r>
        <w:t xml:space="preserve"> </w:t>
      </w:r>
      <w:r>
        <w:t xml:space="preserve">Preparations to market a tractor for regional and inter-regional transport from 2023</w:t>
      </w:r>
      <w:r>
        <w:t xml:space="preserve"> </w:t>
      </w:r>
      <w:r>
        <w:t xml:space="preserve">hydrogen fuel cells in long-haul transport after 2025.</w:t>
      </w:r>
      <w:r>
        <w:t xml:space="preserve"> </w:t>
      </w:r>
      <w:r>
        <w:t xml:space="preserve">TRATON GROUP</w:t>
      </w:r>
      <w:r>
        <w:t xml:space="preserve"> </w:t>
      </w:r>
      <w:r>
        <w:t xml:space="preserve"> Scania offers at the moment a single BEV truck equipped with 300 kWh battery</w:t>
      </w:r>
      <w:r>
        <w:t xml:space="preserve"> </w:t>
      </w:r>
      <w:r>
        <w:t xml:space="preserve">capacity and able to move up to 29t. Based on this, a PHEV with reduced 90 kWh is</w:t>
      </w:r>
      <w:r>
        <w:t xml:space="preserve"> </w:t>
      </w:r>
      <w:r>
        <w:t xml:space="preserve">also available.</w:t>
      </w:r>
      <w:r>
        <w:br/>
      </w:r>
      <w:r>
        <w:t xml:space="preserve"> The company plans to deliver trucks capable of running for 4 hours with 40t or 3</w:t>
      </w:r>
      <w:r>
        <w:t xml:space="preserve"> </w:t>
      </w:r>
      <w:r>
        <w:t xml:space="preserve">hours with 60t, intended for regional transport, by 2023. By 2024 long-distance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83</w:t>
      </w:r>
    </w:p>
    <w:p>
      <w:pPr>
        <w:pStyle w:val="BodyText"/>
      </w:pPr>
      <w:r>
        <w:t xml:space="preserve">electric trucks, adapted for fast charging during drivers’ 45-minute rest breaks, would</w:t>
      </w:r>
      <w:r>
        <w:t xml:space="preserve"> </w:t>
      </w:r>
      <w:r>
        <w:t xml:space="preserve">be capable of running 4-4.5h, depending on whether the vehicle weighs 40 or 60t.76</w:t>
      </w:r>
      <w:r>
        <w:t xml:space="preserve"> </w:t>
      </w:r>
      <w:r>
        <w:t xml:space="preserve"> MAN plans to start series production of electric trucks at its main plant in Munich</w:t>
      </w:r>
      <w:r>
        <w:t xml:space="preserve"> </w:t>
      </w:r>
      <w:r>
        <w:t xml:space="preserve">from 2024. Currently, only the urban delivery eTGM is available (2020), in low-</w:t>
      </w:r>
      <w:r>
        <w:t xml:space="preserve"> </w:t>
      </w:r>
      <w:r>
        <w:t xml:space="preserve">volume production.</w:t>
      </w:r>
      <w:r>
        <w:br/>
      </w:r>
      <w:r>
        <w:t xml:space="preserve">PACCAR</w:t>
      </w:r>
      <w:r>
        <w:t xml:space="preserve"> </w:t>
      </w:r>
      <w:r>
        <w:t xml:space="preserve"> DAF CF, BEV for urban, refuse, local applications. Tractor 315 kWh, 220 km (4x2,</w:t>
      </w:r>
      <w:r>
        <w:t xml:space="preserve"> </w:t>
      </w:r>
      <w:r>
        <w:t xml:space="preserve">37t) and rigid 250 km (6x2, 29t), expected delivery by 2021. Based on this, plans to</w:t>
      </w:r>
      <w:r>
        <w:t xml:space="preserve"> </w:t>
      </w:r>
      <w:r>
        <w:t xml:space="preserve">deliver PHEV 85 kWh, 50 km range.</w:t>
      </w:r>
      <w:r>
        <w:br/>
      </w:r>
      <w:r>
        <w:t xml:space="preserve"> DAF LF, BEV for urban applications, 254 kWh battery capacity, range up to 280 km</w:t>
      </w:r>
      <w:r>
        <w:t xml:space="preserve"> </w:t>
      </w:r>
      <w:r>
        <w:t xml:space="preserve">(4x2 rigid, 19t).</w:t>
      </w:r>
      <w:r>
        <w:t xml:space="preserve"> </w:t>
      </w:r>
      <w:r>
        <w:t xml:space="preserve">CNH INDUSTRIAL</w:t>
      </w:r>
      <w:r>
        <w:t xml:space="preserve"> </w:t>
      </w:r>
      <w:r>
        <w:t xml:space="preserve"> Aimed at bringing BEV vehicles to the market by 2022 and hydrogen FC by 2023</w:t>
      </w:r>
      <w:r>
        <w:t xml:space="preserve"> </w:t>
      </w:r>
      <w:r>
        <w:t xml:space="preserve">based on the alliance with Nikola.</w:t>
      </w:r>
      <w:r>
        <w:t xml:space="preserve"> </w:t>
      </w:r>
      <w:r>
        <w:t xml:space="preserve"> BEV Nikola TRE to be assembled in Ulm, Germany. 4x2 and 6x2 articulated lorry</w:t>
      </w:r>
      <w:r>
        <w:t xml:space="preserve"> </w:t>
      </w:r>
      <w:r>
        <w:t xml:space="preserve">with modular and scalable batteries, capacity of up to 720 kWh. Production expected</w:t>
      </w:r>
      <w:r>
        <w:t xml:space="preserve"> </w:t>
      </w:r>
      <w:r>
        <w:t xml:space="preserve">to start along 2022.</w:t>
      </w:r>
    </w:p>
    <w:p>
      <w:pPr>
        <w:pStyle w:val="BodyText"/>
      </w:pPr>
      <w:r>
        <w:t xml:space="preserve">1.24. 16.3</w:t>
      </w:r>
      <w:r>
        <w:t xml:space="preserve"> </w:t>
      </w:r>
      <w:r>
        <w:t xml:space="preserve">Interaction between CO2 emission standards for heavy-duty</w:t>
      </w:r>
      <w:r>
        <w:t xml:space="preserve"> </w:t>
      </w:r>
      <w:r>
        <w:t xml:space="preserve">vehicles and other policies to deliver increased climate ambition in the</w:t>
      </w:r>
      <w:r>
        <w:t xml:space="preserve"> </w:t>
      </w:r>
      <w:r>
        <w:t xml:space="preserve">road transport sector - complementary data on other policies.</w:t>
      </w:r>
      <w:r>
        <w:t xml:space="preserve"> </w:t>
      </w:r>
      <w:r>
        <w:t xml:space="preserve">This paragraph complements the analysis on the interactions among policies presented in</w:t>
      </w:r>
      <w:r>
        <w:t xml:space="preserve"> </w:t>
      </w:r>
      <w:r>
        <w:t xml:space="preserve">paragraph 1.3 of the Impact Assessment, focusing on other transport related policies.</w:t>
      </w:r>
      <w:r>
        <w:t xml:space="preserve"> </w:t>
      </w:r>
      <w:r>
        <w:t xml:space="preserve">16.3.1</w:t>
      </w:r>
      <w:r>
        <w:t xml:space="preserve"> </w:t>
      </w:r>
      <w:r>
        <w:t xml:space="preserve">Complementary policies</w:t>
      </w:r>
      <w:r>
        <w:t xml:space="preserve"> </w:t>
      </w:r>
      <w:r>
        <w:t xml:space="preserve">The European Green Deal commits the Commission to a revision of ambient air quality</w:t>
      </w:r>
      <w:r>
        <w:t xml:space="preserve"> </w:t>
      </w:r>
      <w:r>
        <w:t xml:space="preserve">legislation, notably to align air quality standards more closely with the World Health</w:t>
      </w:r>
      <w:r>
        <w:t xml:space="preserve"> </w:t>
      </w:r>
      <w:r>
        <w:t xml:space="preserve">Organization recommendations. Furthermore, while the CO2 emission standards</w:t>
      </w:r>
      <w:r>
        <w:t xml:space="preserve"> </w:t>
      </w:r>
      <w:r>
        <w:t xml:space="preserve">incentivise the market deployment of zero-emission technologies, the emission standards</w:t>
      </w:r>
      <w:r>
        <w:t xml:space="preserve"> </w:t>
      </w:r>
      <w:r>
        <w:t xml:space="preserve">on air pollutants (Euro VI and Euro 7) will aim at further reducing the pollutant</w:t>
      </w:r>
      <w:r>
        <w:t xml:space="preserve"> </w:t>
      </w:r>
      <w:r>
        <w:t xml:space="preserve">emissions from internal combustion engine vehicles, which will still be used as long as</w:t>
      </w:r>
      <w:r>
        <w:t xml:space="preserve"> </w:t>
      </w:r>
      <w:r>
        <w:t xml:space="preserve">there will be non-zero-emission HDV on the road.</w:t>
      </w:r>
      <w:r>
        <w:br/>
      </w:r>
      <w:r>
        <w:t xml:space="preserve">The proposed Batteries Regulation77 addresses the sustainability of batteries and sets</w:t>
      </w:r>
      <w:r>
        <w:t xml:space="preserve"> </w:t>
      </w:r>
      <w:r>
        <w:t xml:space="preserve">requirements for the collection, treatment and recycling of waste batteries. It will also</w:t>
      </w:r>
      <w:r>
        <w:t xml:space="preserve"> </w:t>
      </w:r>
      <w:r>
        <w:t xml:space="preserve">help addressing the issue of availability of critical raw materials, such as lithium, cobalt,</w:t>
      </w:r>
      <w:r>
        <w:t xml:space="preserve"> </w:t>
      </w:r>
      <w:r>
        <w:t xml:space="preserve">and natural graphite.</w:t>
      </w:r>
      <w:r>
        <w:t xml:space="preserve"> </w:t>
      </w:r>
      <w:r>
        <w:t xml:space="preserve">The Clean Vehicles Directive78 promotes clean mobility solutions and supports the</w:t>
      </w:r>
      <w:r>
        <w:t xml:space="preserve"> </w:t>
      </w:r>
      <w:r>
        <w:t xml:space="preserve">demand for zero- and low-emission vehicles through public procurement.</w:t>
      </w:r>
    </w:p>
    <w:p>
      <w:pPr>
        <w:pStyle w:val="BodyText"/>
      </w:pPr>
      <w:r>
        <w:t xml:space="preserve">76https://www.scania.com/group/en/home/newsroom/news/2021/Scanias_commitment_to_electrification_o</w:t>
      </w:r>
      <w:r>
        <w:t xml:space="preserve"> </w:t>
      </w:r>
      <w:r>
        <w:t xml:space="preserve">ur_initiatives_so_far.html</w:t>
      </w:r>
      <w:r>
        <w:br/>
      </w:r>
      <w:r>
        <w:t xml:space="preserve">77 COM(2020) 798</w:t>
      </w:r>
      <w:r>
        <w:t xml:space="preserve"> </w:t>
      </w:r>
      <w:r>
        <w:t xml:space="preserve">78 Directive (EU) 2019/1161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84</w:t>
      </w:r>
    </w:p>
    <w:p>
      <w:pPr>
        <w:pStyle w:val="BodyText"/>
      </w:pPr>
      <w:r>
        <w:t xml:space="preserve">The Urban Mobility Package79 helps urban mobility become more sustainable. Its</w:t>
      </w:r>
      <w:r>
        <w:t xml:space="preserve"> </w:t>
      </w:r>
      <w:r>
        <w:t xml:space="preserve">revision will provide urban nodes on the TEN-T of a strengthened role as enablers of</w:t>
      </w:r>
      <w:r>
        <w:t xml:space="preserve"> </w:t>
      </w:r>
      <w:r>
        <w:t xml:space="preserve">sustainable, efficient and multi-modal transport.</w:t>
      </w:r>
      <w:r>
        <w:br/>
      </w:r>
      <w:r>
        <w:t xml:space="preserve">Tyres sold in the EU are subject to energy labelling requirements.80 Tyre labels aims at</w:t>
      </w:r>
      <w:r>
        <w:t xml:space="preserve"> </w:t>
      </w:r>
      <w:r>
        <w:t xml:space="preserve">supporting operators and consumers in the purchasing decisions for more fuel-efficient</w:t>
      </w:r>
      <w:r>
        <w:t xml:space="preserve"> </w:t>
      </w:r>
      <w:r>
        <w:t xml:space="preserve">tyres.</w:t>
      </w:r>
      <w:r>
        <w:br/>
      </w:r>
      <w:r>
        <w:t xml:space="preserve">The Eurovignette Directive81 and the Energy Taxation Directive82 support the</w:t>
      </w:r>
      <w:r>
        <w:t xml:space="preserve"> </w:t>
      </w:r>
      <w:r>
        <w:t xml:space="preserve">decarbonisation of road transport by contributing to the internalisation of the climate</w:t>
      </w:r>
      <w:r>
        <w:t xml:space="preserve"> </w:t>
      </w:r>
      <w:r>
        <w:t xml:space="preserve">externality. The revised Eurovignette Directive includes the obligation for Member States</w:t>
      </w:r>
      <w:r>
        <w:t xml:space="preserve"> </w:t>
      </w:r>
      <w:r>
        <w:t xml:space="preserve">to apply an external-cost charge based on the environmental performance and to vary</w:t>
      </w:r>
      <w:r>
        <w:t xml:space="preserve"> </w:t>
      </w:r>
      <w:r>
        <w:t xml:space="preserve">road charges based on the CO2 emissions of heavy-duty vehicles. The proposal for the</w:t>
      </w:r>
      <w:r>
        <w:t xml:space="preserve"> </w:t>
      </w:r>
      <w:r>
        <w:t xml:space="preserve">revision of the Energy Taxation Directive83 increases the current minima and does not</w:t>
      </w:r>
      <w:r>
        <w:t xml:space="preserve"> </w:t>
      </w:r>
      <w:r>
        <w:t xml:space="preserve">allow the rate diesel used as motor fuels be lower than petrol used for the same purpose,</w:t>
      </w:r>
      <w:r>
        <w:t xml:space="preserve"> </w:t>
      </w:r>
      <w:r>
        <w:t xml:space="preserve">in energy terms. The possibility for a preferential treatment for commercial vehicles</w:t>
      </w:r>
      <w:r>
        <w:t xml:space="preserve"> </w:t>
      </w:r>
      <w:r>
        <w:t xml:space="preserve">would also disappear.</w:t>
      </w:r>
      <w:r>
        <w:t xml:space="preserve"> </w:t>
      </w:r>
      <w:r>
        <w:t xml:space="preserve">The Directive on maximum authorized weights and dimensions84 rules the maximum</w:t>
      </w:r>
      <w:r>
        <w:t xml:space="preserve"> </w:t>
      </w:r>
      <w:r>
        <w:t xml:space="preserve">dimensions of HDV for national and international use and the maximum weight of for</w:t>
      </w:r>
      <w:r>
        <w:t xml:space="preserve"> </w:t>
      </w:r>
      <w:r>
        <w:t xml:space="preserve">international traffic. It is undergoing a review process which will look, among others, at</w:t>
      </w:r>
      <w:r>
        <w:t xml:space="preserve"> </w:t>
      </w:r>
      <w:r>
        <w:t xml:space="preserve">the maximum dimensions permitted for ZEV (by longer lengths and higher weights).</w:t>
      </w:r>
      <w:r>
        <w:br/>
      </w:r>
      <w:r>
        <w:t xml:space="preserve">16.3.2</w:t>
      </w:r>
      <w:r>
        <w:t xml:space="preserve"> </w:t>
      </w:r>
      <w:r>
        <w:t xml:space="preserve">Budgetary framework:</w:t>
      </w:r>
      <w:r>
        <w:t xml:space="preserve"> </w:t>
      </w:r>
      <w:r>
        <w:t xml:space="preserve">The EU’s long-term budget - Multiannual Financial Framework and the Next</w:t>
      </w:r>
      <w:r>
        <w:t xml:space="preserve"> </w:t>
      </w:r>
      <w:r>
        <w:t xml:space="preserve">Generation EU are specifically tailored to supporting the green transition and to</w:t>
      </w:r>
      <w:r>
        <w:t xml:space="preserve"> </w:t>
      </w:r>
      <w:r>
        <w:t xml:space="preserve">enabling a framework for clean vehicles and technologies. 30% of Multiannual Financial</w:t>
      </w:r>
      <w:r>
        <w:t xml:space="preserve"> </w:t>
      </w:r>
      <w:r>
        <w:t xml:space="preserve">Framework are dedicated to support climate action, including funding instruments for</w:t>
      </w:r>
      <w:r>
        <w:t xml:space="preserve"> </w:t>
      </w:r>
      <w:r>
        <w:t xml:space="preserve">infrastructure investments (Connecting Europe Facility, Cohesion and Structural</w:t>
      </w:r>
      <w:r>
        <w:t xml:space="preserve"> </w:t>
      </w:r>
      <w:r>
        <w:t xml:space="preserve">Funds, InvestEU, blending with EIB instruments), for the demonstration of innovative</w:t>
      </w:r>
      <w:r>
        <w:t xml:space="preserve"> </w:t>
      </w:r>
      <w:r>
        <w:t xml:space="preserve">low-carbon technologies (Innovation Fund) and for research and development (Horizon</w:t>
      </w:r>
      <w:r>
        <w:t xml:space="preserve"> </w:t>
      </w:r>
      <w:r>
        <w:t xml:space="preserve">Europe with 35% target in green investment R&amp;D, Battery Alliance). The Strategy for</w:t>
      </w:r>
      <w:r>
        <w:t xml:space="preserve"> </w:t>
      </w:r>
      <w:r>
        <w:t xml:space="preserve">Financing the Transition to a Sustainable Economy85 will also help unlock the private</w:t>
      </w:r>
      <w:r>
        <w:t xml:space="preserve"> </w:t>
      </w:r>
      <w:r>
        <w:t xml:space="preserve">investment needed, in addition to the available public funding.</w:t>
      </w:r>
    </w:p>
    <w:p>
      <w:pPr>
        <w:pStyle w:val="BodyText"/>
      </w:pPr>
      <w:r>
        <w:t xml:space="preserve">1.25. 16.4</w:t>
      </w:r>
      <w:r>
        <w:t xml:space="preserve"> </w:t>
      </w:r>
      <w:r>
        <w:t xml:space="preserve">Problem 2 - Life-cycle analysis (LCA) considerations.</w:t>
      </w:r>
      <w:r>
        <w:br/>
      </w:r>
      <w:r>
        <w:t xml:space="preserve">ZEV are, in general, intrinsically cleaner than conventional ICE vehicles as they do not</w:t>
      </w:r>
      <w:r>
        <w:t xml:space="preserve"> </w:t>
      </w:r>
      <w:r>
        <w:t xml:space="preserve">produce tailpipe pollutant emissions. In addition, from the energy efficiency side, electric</w:t>
      </w:r>
      <w:r>
        <w:t xml:space="preserve"> </w:t>
      </w:r>
      <w:r>
        <w:t xml:space="preserve">motors (and hydrogen fuel cells to a slightly smaller degree) are more efficient.</w:t>
      </w:r>
      <w:r>
        <w:t xml:space="preserve"> </w:t>
      </w:r>
      <w:r>
        <w:t xml:space="preserve">According to a study led by Ricardo on behalf of DG Climate Action “Determining the</w:t>
      </w:r>
      <w:r>
        <w:t xml:space="preserve"> </w:t>
      </w:r>
      <w:r>
        <w:t xml:space="preserve">environmental impacts of conventional and alternatively fuelled vehicles through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https://transport.ec.europa.eu/transport-themes/clean-transport-urban-transport/urban-mobility/urban-</w:t>
      </w:r>
      <w:r>
        <w:t xml:space="preserve"> </w:t>
      </w:r>
      <w:r>
        <w:t xml:space="preserve">mobility-package_en</w:t>
      </w:r>
      <w:r>
        <w:br/>
      </w:r>
      <w:r>
        <w:t xml:space="preserve">80 Regulation (EC) No 1222/2009</w:t>
      </w:r>
      <w:r>
        <w:t xml:space="preserve"> </w:t>
      </w:r>
      <w:r>
        <w:t xml:space="preserve">81 Directive 1999/62/EC</w:t>
      </w:r>
      <w:r>
        <w:t xml:space="preserve"> </w:t>
      </w:r>
      <w:r>
        <w:t xml:space="preserve">82 Directive (EU) 2021/0213</w:t>
      </w:r>
      <w:r>
        <w:t xml:space="preserve"> </w:t>
      </w:r>
      <w:r>
        <w:t xml:space="preserve">83 https://ec.europa.eu/commission/presscorner/detail/en/qanda_21_3662</w:t>
      </w:r>
      <w:r>
        <w:br/>
      </w:r>
      <w:r>
        <w:t xml:space="preserve">84 Directive 2015/719/EU.</w:t>
      </w:r>
      <w:r>
        <w:t xml:space="preserve"> </w:t>
      </w:r>
      <w:r>
        <w:t xml:space="preserve">85 COM/2021/390 final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85</w:t>
      </w:r>
    </w:p>
    <w:p>
      <w:pPr>
        <w:pStyle w:val="BodyText"/>
      </w:pPr>
      <w:r>
        <w:t xml:space="preserve">LCA”86 (Life-Cycle Assessment), considering all the processes involved , not only less</w:t>
      </w:r>
      <w:r>
        <w:t xml:space="preserve"> </w:t>
      </w:r>
      <w:r>
        <w:t xml:space="preserve">energy is needed to drive a ZEV, but also their GHG impacts are lower.</w:t>
      </w:r>
      <w:r>
        <w:t xml:space="preserve"> </w:t>
      </w:r>
      <w:r>
        <w:t xml:space="preserve">The aim of this study was to improve the understanding of the environmental impacts of</w:t>
      </w:r>
      <w:r>
        <w:t xml:space="preserve"> </w:t>
      </w:r>
      <w:r>
        <w:t xml:space="preserve">road vehicles over their entire lifecycle and the methodologies to assess them. The study</w:t>
      </w:r>
      <w:r>
        <w:t xml:space="preserve"> </w:t>
      </w:r>
      <w:r>
        <w:t xml:space="preserve">has two main objectives:</w:t>
      </w:r>
      <w:r>
        <w:t xml:space="preserve"> </w:t>
      </w:r>
      <w:r>
        <w:t xml:space="preserve"></w:t>
      </w:r>
      <w:r>
        <w:t xml:space="preserve"> </w:t>
      </w:r>
      <w:r>
        <w:t xml:space="preserve">To develop an LCA approach for road vehicles including the fuels or electricity</w:t>
      </w:r>
      <w:r>
        <w:t xml:space="preserve"> </w:t>
      </w:r>
      <w:r>
        <w:t xml:space="preserve">which power them, both for light and heavy-duty vehicles.</w:t>
      </w:r>
      <w:r>
        <w:t xml:space="preserve"> </w:t>
      </w:r>
      <w:r>
        <w:t xml:space="preserve"></w:t>
      </w:r>
      <w:r>
        <w:t xml:space="preserve"> </w:t>
      </w:r>
      <w:r>
        <w:t xml:space="preserve">To apply this approach to understand the impacts of methodological choices and</w:t>
      </w:r>
      <w:r>
        <w:t xml:space="preserve"> </w:t>
      </w:r>
      <w:r>
        <w:t xml:space="preserve">data sources on the LCA results for selected vehicles with different types of</w:t>
      </w:r>
      <w:r>
        <w:t xml:space="preserve"> </w:t>
      </w:r>
      <w:r>
        <w:t xml:space="preserve">powertrains and using different types of energy, which are expected to be in use</w:t>
      </w:r>
      <w:r>
        <w:t xml:space="preserve"> </w:t>
      </w:r>
      <w:r>
        <w:t xml:space="preserve">over the period 2020 to 2050.</w:t>
      </w:r>
      <w:r>
        <w:br/>
      </w:r>
      <w:r>
        <w:t xml:space="preserve">The assessment of impacts included a broad range of different impact categories (up to</w:t>
      </w:r>
      <w:r>
        <w:t xml:space="preserve"> </w:t>
      </w:r>
      <w:r>
        <w:t xml:space="preserve">14), ranging from impacts associated with airborne emissions (e.g. the mid-point</w:t>
      </w:r>
      <w:r>
        <w:t xml:space="preserve"> </w:t>
      </w:r>
      <w:r>
        <w:t xml:space="preserve">indicator Global Warming Potential – GWP, for greenhouse gas emissions) to impacts</w:t>
      </w:r>
      <w:r>
        <w:t xml:space="preserve"> </w:t>
      </w:r>
      <w:r>
        <w:t xml:space="preserve">from resource use. The impacts are studied across 14 different sensitivities exploring the</w:t>
      </w:r>
      <w:r>
        <w:t xml:space="preserve"> </w:t>
      </w:r>
      <w:r>
        <w:t xml:space="preserve">significance and impacts of key assumptions and uncertainties for the comparative</w:t>
      </w:r>
      <w:r>
        <w:t xml:space="preserve"> </w:t>
      </w:r>
      <w:r>
        <w:t xml:space="preserve">analysis of different vehicles/powertrain and fuel types including not only manufacturing</w:t>
      </w:r>
      <w:r>
        <w:t xml:space="preserve"> </w:t>
      </w:r>
      <w:r>
        <w:t xml:space="preserve">process but also the end-of-life phase of vehicles.</w:t>
      </w:r>
      <w:r>
        <w:t xml:space="preserve"> </w:t>
      </w:r>
      <w:r>
        <w:t xml:space="preserve">The methodological choices made were generally in accordance with the norms set out</w:t>
      </w:r>
      <w:r>
        <w:t xml:space="preserve"> </w:t>
      </w:r>
      <w:r>
        <w:t xml:space="preserve">for performing a LCA (ISO-14040 and ISO-14044).</w:t>
      </w:r>
      <w:r>
        <w:t xml:space="preserve"> </w:t>
      </w:r>
      <w:r>
        <w:t xml:space="preserve">The outputs from the study provide robust and internally consistent indications on the</w:t>
      </w:r>
      <w:r>
        <w:t xml:space="preserve"> </w:t>
      </w:r>
      <w:r>
        <w:t xml:space="preserve">relative life-cycle performance of the different options considered, particularly for</w:t>
      </w:r>
      <w:r>
        <w:t xml:space="preserve"> </w:t>
      </w:r>
      <w:r>
        <w:t xml:space="preserve">vehicle powertrain comparisons, electricity chains, and conventional fuels. The study also</w:t>
      </w:r>
      <w:r>
        <w:t xml:space="preserve"> </w:t>
      </w:r>
      <w:r>
        <w:t xml:space="preserve">provides good evidence on how temporal and spatial considerations influence lifecycle</w:t>
      </w:r>
      <w:r>
        <w:t xml:space="preserve"> </w:t>
      </w:r>
      <w:r>
        <w:t xml:space="preserve">performance and how potential future developments (in technology or electricity supply)</w:t>
      </w:r>
      <w:r>
        <w:t xml:space="preserve"> </w:t>
      </w:r>
      <w:r>
        <w:t xml:space="preserve">are likely to affect these powertrain comparisons.</w:t>
      </w:r>
      <w:r>
        <w:br/>
      </w:r>
      <w:r>
        <w:t xml:space="preserve">However, the methodology developed is not immediately suited for calculating the</w:t>
      </w:r>
      <w:r>
        <w:t xml:space="preserve"> </w:t>
      </w:r>
      <w:r>
        <w:t xml:space="preserve">individual lifecycle emissions of individual vehicles, which would require an even</w:t>
      </w:r>
      <w:r>
        <w:t xml:space="preserve"> </w:t>
      </w:r>
      <w:r>
        <w:t xml:space="preserve">more detailed and disaggregated approach.</w:t>
      </w:r>
      <w:r>
        <w:t xml:space="preserve"> </w:t>
      </w:r>
      <w:r>
        <w:t xml:space="preserve">In broad terms, the analysis shows that ZEV powertrains have significantly lower</w:t>
      </w:r>
      <w:r>
        <w:t xml:space="preserve"> </w:t>
      </w:r>
      <w:r>
        <w:t xml:space="preserve">environmental impacts, including the lifecycle GWP impact, across all vehicle types</w:t>
      </w:r>
      <w:r>
        <w:t xml:space="preserve"> </w:t>
      </w:r>
      <w:r>
        <w:t xml:space="preserve">and most impact categories. The analysis also demonstrates that these benefits in terms</w:t>
      </w:r>
      <w:r>
        <w:t xml:space="preserve"> </w:t>
      </w:r>
      <w:r>
        <w:t xml:space="preserve">of lower environmental impacts vary depending on regional and operational</w:t>
      </w:r>
      <w:r>
        <w:t xml:space="preserve"> </w:t>
      </w:r>
      <w:r>
        <w:t xml:space="preserve">circumstances.</w:t>
      </w:r>
      <w:r>
        <w:br/>
      </w:r>
      <w:r>
        <w:t xml:space="preserve">Whilst there were differences in the relative performance of powertrains, predominantly</w:t>
      </w:r>
      <w:r>
        <w:t xml:space="preserve"> </w:t>
      </w:r>
      <w:r>
        <w:t xml:space="preserve">due to differences in duty cycle, similar trends were confirmed: heavy-duty ZEV, either</w:t>
      </w:r>
      <w:r>
        <w:t xml:space="preserve"> </w:t>
      </w:r>
      <w:r>
        <w:t xml:space="preserve">lorries or urban buses, present notable environmental benefits, including a</w:t>
      </w:r>
      <w:r>
        <w:t xml:space="preserve"> </w:t>
      </w:r>
      <w:r>
        <w:t xml:space="preserve">significant reduction of lifecycle GWP impacts, versus conventional liquid and</w:t>
      </w:r>
      <w:r>
        <w:t xml:space="preserve"> </w:t>
      </w:r>
      <w:r>
        <w:t xml:space="preserve">gaseous fuels powertrains, which increased in the medium to long term (2030 and</w:t>
      </w:r>
      <w:r>
        <w:t xml:space="preserve"> </w:t>
      </w:r>
      <w:r>
        <w:t xml:space="preserve">2050).</w:t>
      </w:r>
      <w:r>
        <w:t xml:space="preserve"> </w:t>
      </w:r>
      <w:r>
        <w:t xml:space="preserve">The dataset allows for the further investigation of individual impacts, as well as for</w:t>
      </w:r>
      <w:r>
        <w:t xml:space="preserve"> </w:t>
      </w:r>
      <w:r>
        <w:t xml:space="preserve">comparing across different impact categories.</w:t>
      </w:r>
    </w:p>
    <w:p>
      <w:pPr>
        <w:pStyle w:val="BodyText"/>
      </w:pPr>
      <w:r>
        <w:t xml:space="preserve">86 Find all documents and datasets at DG CLIMA website:</w:t>
      </w:r>
      <w:r>
        <w:t xml:space="preserve"> </w:t>
      </w:r>
      <w:r>
        <w:t xml:space="preserve">https://ec.europa.eu/clima/policies/transport/vehicles_en#tab-0-1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86</w:t>
      </w:r>
    </w:p>
    <w:p>
      <w:pPr>
        <w:pStyle w:val="BodyText"/>
      </w:pPr>
      <w:r>
        <w:t xml:space="preserve">For illustration purposes, the lifecycle impacts of articulated lorries of 40t are shown</w:t>
      </w:r>
      <w:r>
        <w:t xml:space="preserve"> </w:t>
      </w:r>
      <w:r>
        <w:t xml:space="preserve">below. Smaller lorries and urban buses cases are also available in the study.</w:t>
      </w:r>
      <w:r>
        <w:t xml:space="preserve"> </w:t>
      </w:r>
      <w:r>
        <w:t xml:space="preserve">LORRIES UP TO 40 T</w:t>
      </w:r>
      <w:r>
        <w:t xml:space="preserve"> </w:t>
      </w:r>
      <w:r>
        <w:t xml:space="preserve">Regarding the GHG emissions reduction potential, Figure 15 illustrates the lifecycle</w:t>
      </w:r>
      <w:r>
        <w:t xml:space="preserve"> </w:t>
      </w:r>
      <w:r>
        <w:t xml:space="preserve">GWP impact for articulated lorries up to 40t comparing several powertrains. The average</w:t>
      </w:r>
      <w:r>
        <w:t xml:space="preserve"> </w:t>
      </w:r>
      <w:r>
        <w:t xml:space="preserve">EU lifecycle GWP impact of ZEV lorries up to 40t, either BEV or FCEV, is much better</w:t>
      </w:r>
      <w:r>
        <w:t xml:space="preserve"> </w:t>
      </w:r>
      <w:r>
        <w:t xml:space="preserve">than for any ICEV by 2030. In 2050, the difference is even bigger as the electricity mix</w:t>
      </w:r>
      <w:r>
        <w:t xml:space="preserve"> </w:t>
      </w:r>
      <w:r>
        <w:t xml:space="preserve">becomes more decarbonised87. For instance, conventional diesel-powered lorries would</w:t>
      </w:r>
      <w:r>
        <w:t xml:space="preserve"> </w:t>
      </w:r>
      <w:r>
        <w:t xml:space="preserve">emit 132 gCO2e/tkm by 2030 (84 in 2050), while fuel cell vehicles would emit 109</w:t>
      </w:r>
      <w:r>
        <w:t xml:space="preserve"> </w:t>
      </w:r>
      <w:r>
        <w:t xml:space="preserve">gCO2e/tkm (24 in 2050) and battery electric vehicles would emit 32 gCO2e/tkm (11 in</w:t>
      </w:r>
      <w:r>
        <w:t xml:space="preserve"> </w:t>
      </w:r>
      <w:r>
        <w:t xml:space="preserve">2050). Results for smaller lorries and urban buses cases are also available in the study</w:t>
      </w:r>
      <w:r>
        <w:t xml:space="preserve"> </w:t>
      </w:r>
      <w:r>
        <w:t xml:space="preserve">and provide similar overall conclusions.</w:t>
      </w:r>
      <w:r>
        <w:br/>
      </w:r>
      <w:r>
        <w:t xml:space="preserve">Figure 15. Summary of breakdown of overall lifecycle GWP impacts for articulated</w:t>
      </w:r>
      <w:r>
        <w:t xml:space="preserve"> </w:t>
      </w:r>
      <w:r>
        <w:t xml:space="preserve">lorries (40t Gross Vehicle Weight, box body) for different powertrain types</w:t>
      </w:r>
      <w:r>
        <w:t xml:space="preserve"> </w:t>
      </w:r>
      <w:r>
        <w:t xml:space="preserve">(Baseline scenario for 2020 and 2030, Tech1.5 scenario for 2050)</w:t>
      </w:r>
    </w:p>
    <w:p>
      <w:pPr>
        <w:pStyle w:val="BodyText"/>
      </w:pPr>
      <w:r>
        <w:t xml:space="preserve">87 The power sector is fully decarbonised in the “Policy scenarios for delivering the European Green Deal”.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87</w:t>
      </w:r>
    </w:p>
    <w:p>
      <w:pPr>
        <w:pStyle w:val="BodyText"/>
      </w:pPr>
      <w:r>
        <w:t xml:space="preserve">With regards to other environmental impacts, the below Figure 16 provides a summary</w:t>
      </w:r>
      <w:r>
        <w:t xml:space="preserve"> </w:t>
      </w:r>
      <w:r>
        <w:t xml:space="preserve">of the relative performance of a number of different powertrain types compared to the</w:t>
      </w:r>
      <w:r>
        <w:t xml:space="preserve"> </w:t>
      </w:r>
      <w:r>
        <w:t xml:space="preserve">baseline case (100%) of a conventional diesel 2020 ICE vehicle. The results show that</w:t>
      </w:r>
      <w:r>
        <w:t xml:space="preserve"> </w:t>
      </w:r>
      <w:r>
        <w:t xml:space="preserve">the comparable 2020 impacts by ZEV all progressively reduce in the years after 2020</w:t>
      </w:r>
      <w:r>
        <w:t xml:space="preserve"> </w:t>
      </w:r>
      <w:r>
        <w:t xml:space="preserve">compared to conventional vehicles. In particular, and apart from GWP, the particle</w:t>
      </w:r>
      <w:r>
        <w:t xml:space="preserve"> </w:t>
      </w:r>
      <w:r>
        <w:t xml:space="preserve">matter formation, ozone creation potential, human toxicity potential, water scarcity and</w:t>
      </w:r>
      <w:r>
        <w:t xml:space="preserve"> </w:t>
      </w:r>
      <w:r>
        <w:t xml:space="preserve">cumulative energy demand are far more reduced in 2050 for ZEV than for conventional</w:t>
      </w:r>
      <w:r>
        <w:t xml:space="preserve"> </w:t>
      </w:r>
      <w:r>
        <w:t xml:space="preserve">lorries.</w:t>
      </w:r>
      <w:r>
        <w:br/>
      </w:r>
      <w:r>
        <w:t xml:space="preserve">Figure 16. Summary of the relative impacts for articulated lorries (40t Gross</w:t>
      </w:r>
      <w:r>
        <w:t xml:space="preserve"> </w:t>
      </w:r>
      <w:r>
        <w:t xml:space="preserve">Vehicle Weight, Box Body) for the most significant environmental impacts for road</w:t>
      </w:r>
      <w:r>
        <w:t xml:space="preserve"> </w:t>
      </w:r>
      <w:r>
        <w:t xml:space="preserve">transport, by powertrain for 2020 and 2050, including GWP.</w:t>
      </w:r>
    </w:p>
    <w:p>
      <w:pPr>
        <w:pStyle w:val="BodyText"/>
      </w:pPr>
      <w:r>
        <w:t xml:space="preserve">Notes: GWP = Global Warming Potential, CED = Cumulative Energy Demand, POCP =</w:t>
      </w:r>
      <w:r>
        <w:t xml:space="preserve"> </w:t>
      </w:r>
      <w:r>
        <w:t xml:space="preserve">Photochemical Ozone Creation Potential, PMF = Particulate Matter Formation, HTP =</w:t>
      </w:r>
      <w:r>
        <w:t xml:space="preserve"> </w:t>
      </w:r>
      <w:r>
        <w:t xml:space="preserve">Human Toxicity Potential, ARD_MM = Abiotic Resource Depletion, minerals and</w:t>
      </w:r>
      <w:r>
        <w:t xml:space="preserve"> </w:t>
      </w:r>
      <w:r>
        <w:t xml:space="preserve">metals, WaterS = Water Scarcity. LNGD = LNG HPDI engine, using ~5% diesel</w:t>
      </w:r>
      <w:r>
        <w:t xml:space="preserve"> </w:t>
      </w:r>
      <w:r>
        <w:t xml:space="preserve">(estimated at only 3% energy efficiency penalty vs conventional diesel); HEV-D-ERS =</w:t>
      </w:r>
      <w:r>
        <w:t xml:space="preserve"> </w:t>
      </w:r>
      <w:r>
        <w:t xml:space="preserve">Hybrid with pantograph enabling electric operation on roads equipped with an overhead</w:t>
      </w:r>
      <w:r>
        <w:t xml:space="preserve"> </w:t>
      </w:r>
      <w:r>
        <w:t xml:space="preserve">catenary electric road system (ERS).</w:t>
      </w:r>
    </w:p>
    <w:p>
      <w:pPr>
        <w:pStyle w:val="BodyText"/>
      </w:pPr>
      <w:r>
        <w:t xml:space="preserve">1.26. 16.5</w:t>
      </w:r>
      <w:r>
        <w:t xml:space="preserve"> </w:t>
      </w:r>
      <w:r>
        <w:t xml:space="preserve">Problem 3 – Overview of regulatory status of zero-emission</w:t>
      </w:r>
      <w:r>
        <w:t xml:space="preserve"> </w:t>
      </w:r>
      <w:r>
        <w:t xml:space="preserve">vehicles in other countries.</w:t>
      </w:r>
      <w:r>
        <w:t xml:space="preserve"> </w:t>
      </w:r>
      <w:r>
        <w:t xml:space="preserve">Several governments have already initiated the discussion on setting mandatory zero-</w:t>
      </w:r>
      <w:r>
        <w:t xml:space="preserve"> </w:t>
      </w:r>
      <w:r>
        <w:t xml:space="preserve">emission targets on heavy-duty vehicles as the debate of if, and when, all new vehicles</w:t>
      </w:r>
      <w:r>
        <w:t xml:space="preserve"> </w:t>
      </w:r>
      <w:r>
        <w:t xml:space="preserve">would need to be (tailpipe) zero emission is getting more important.88 California was the</w:t>
      </w:r>
      <w:r>
        <w:t xml:space="preserve"> </w:t>
      </w:r>
      <w:r>
        <w:t xml:space="preserve">first government that introduced obligations to put in the market zero-emission HDV,</w:t>
      </w:r>
      <w:r>
        <w:t xml:space="preserve"> </w:t>
      </w:r>
      <w:r>
        <w:t xml:space="preserve">including setting a date for a 100% ZEV mandate.</w:t>
      </w:r>
    </w:p>
    <w:p>
      <w:pPr>
        <w:pStyle w:val="BodyText"/>
      </w:pPr>
      <w:r>
        <w:t xml:space="preserve">88 ICCT, August 2021. Global overview of government targets for phasing out internal combustion engine</w:t>
      </w:r>
      <w:r>
        <w:t xml:space="preserve"> </w:t>
      </w:r>
      <w:r>
        <w:t xml:space="preserve">medium and heavy trucks.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88</w:t>
      </w:r>
    </w:p>
    <w:p>
      <w:pPr>
        <w:pStyle w:val="BodyText"/>
      </w:pPr>
      <w:r>
        <w:t xml:space="preserve">16.5.1</w:t>
      </w:r>
      <w:r>
        <w:t xml:space="preserve"> </w:t>
      </w:r>
      <w:r>
        <w:t xml:space="preserve">Legally binding zero-emission targets on HDV</w:t>
      </w:r>
      <w:r>
        <w:t xml:space="preserve"> </w:t>
      </w:r>
      <w:r>
        <w:t xml:space="preserve"> California was the first government in the world that legally obliged to increase</w:t>
      </w:r>
      <w:r>
        <w:t xml:space="preserve"> </w:t>
      </w:r>
      <w:r>
        <w:t xml:space="preserve">the sales share of zero-emission HDV. The Advanced Clean Trucks Regulation</w:t>
      </w:r>
      <w:r>
        <w:t xml:space="preserve"> </w:t>
      </w:r>
      <w:r>
        <w:t xml:space="preserve">sets a minimum of 30% ZEV sales for certain vehicles by 2030, followed by 75%</w:t>
      </w:r>
      <w:r>
        <w:t xml:space="preserve"> </w:t>
      </w:r>
      <w:r>
        <w:t xml:space="preserve">by 2035 and 100% by 2045 (2035 for drayage trucks). The latter means,</w:t>
      </w:r>
      <w:r>
        <w:t xml:space="preserve"> </w:t>
      </w:r>
      <w:r>
        <w:t xml:space="preserve">therefore, that California has effectively legislated that all new heavy-duty</w:t>
      </w:r>
      <w:r>
        <w:t xml:space="preserve"> </w:t>
      </w:r>
      <w:r>
        <w:t xml:space="preserve">vehicles will be (tailpipe) zero-emission by 2045.</w:t>
      </w:r>
      <w:r>
        <w:t xml:space="preserve"> </w:t>
      </w:r>
      <w:r>
        <w:t xml:space="preserve"></w:t>
      </w:r>
      <w:r>
        <w:t xml:space="preserve"> </w:t>
      </w:r>
      <w:r>
        <w:t xml:space="preserve">The Californian example has been followed by other several US States as Oregon,</w:t>
      </w:r>
      <w:r>
        <w:t xml:space="preserve"> </w:t>
      </w:r>
      <w:r>
        <w:t xml:space="preserve">Washington, New York, New Jersey and Massachusetts by requiring ZEV</w:t>
      </w:r>
      <w:r>
        <w:t xml:space="preserve"> </w:t>
      </w:r>
      <w:r>
        <w:t xml:space="preserve">mandates starting in 2025, from 30% to 50% by 2030, and from 40% to 75% by</w:t>
      </w:r>
      <w:r>
        <w:t xml:space="preserve"> </w:t>
      </w:r>
      <w:r>
        <w:t xml:space="preserve">2035.</w:t>
      </w:r>
      <w:r>
        <w:t xml:space="preserve"> </w:t>
      </w:r>
      <w:r>
        <w:t xml:space="preserve">16.5.2</w:t>
      </w:r>
      <w:r>
        <w:t xml:space="preserve"> </w:t>
      </w:r>
      <w:r>
        <w:t xml:space="preserve">Non-legally binding zero-emission targets and</w:t>
      </w:r>
      <w:r>
        <w:t xml:space="preserve"> </w:t>
      </w:r>
      <w:r>
        <w:t xml:space="preserve">commitments on HDV</w:t>
      </w:r>
      <w:r>
        <w:t xml:space="preserve"> </w:t>
      </w:r>
      <w:r>
        <w:t xml:space="preserve">Several governments are publicly considering or have already announced the intention to</w:t>
      </w:r>
      <w:r>
        <w:t xml:space="preserve"> </w:t>
      </w:r>
      <w:r>
        <w:t xml:space="preserve">reduce tailpipe CO2 emissions from new heavy-duty vehicles, most frequently by setting</w:t>
      </w:r>
      <w:r>
        <w:t xml:space="preserve"> </w:t>
      </w:r>
      <w:r>
        <w:t xml:space="preserve">progressively stricter zero-emission sales obligations. Some countries have introduced</w:t>
      </w:r>
      <w:r>
        <w:t xml:space="preserve"> </w:t>
      </w:r>
      <w:r>
        <w:t xml:space="preserve">aspirational targets within their respective energy and transport planning policies driven</w:t>
      </w:r>
      <w:r>
        <w:t xml:space="preserve"> </w:t>
      </w:r>
      <w:r>
        <w:t xml:space="preserve">by targeted accompanying policies, as green taxation (e.g. Norway):</w:t>
      </w:r>
      <w:r>
        <w:t xml:space="preserve"> </w:t>
      </w:r>
      <w:r>
        <w:t xml:space="preserve"></w:t>
      </w:r>
      <w:r>
        <w:t xml:space="preserve"> </w:t>
      </w:r>
      <w:r>
        <w:t xml:space="preserve">A Memorandum of Understanding committing on enabling zero-emission sales</w:t>
      </w:r>
      <w:r>
        <w:t xml:space="preserve"> </w:t>
      </w:r>
      <w:r>
        <w:t xml:space="preserve">targets for medium- and heavy-duty vehicles of 30% by 2030 and 100% by 2040,</w:t>
      </w:r>
      <w:r>
        <w:t xml:space="preserve"> </w:t>
      </w:r>
      <w:r>
        <w:t xml:space="preserve">was launched by the Netherlands and signed by 15 countries during the COP26 in</w:t>
      </w:r>
      <w:r>
        <w:t xml:space="preserve"> </w:t>
      </w:r>
      <w:r>
        <w:t xml:space="preserve">Glasgow and. At COP27 in Sharm El-Sheikh 10 more countries signed it, thus</w:t>
      </w:r>
      <w:r>
        <w:t xml:space="preserve"> </w:t>
      </w:r>
      <w:r>
        <w:t xml:space="preserve">increasing the total number of State signatories to 26. In the EU: Austria, Belgium,</w:t>
      </w:r>
      <w:r>
        <w:t xml:space="preserve"> </w:t>
      </w:r>
      <w:r>
        <w:t xml:space="preserve">Croatia, Denmark, Finland, Ireland, Lithuania, Luxembourg, the Netherlands</w:t>
      </w:r>
      <w:r>
        <w:t xml:space="preserve"> </w:t>
      </w:r>
      <w:r>
        <w:t xml:space="preserve">and Portugal; together with Aruba, Canada, Chile, Curaçao, the Dominican</w:t>
      </w:r>
      <w:r>
        <w:t xml:space="preserve"> </w:t>
      </w:r>
      <w:r>
        <w:t xml:space="preserve">Republic, Liechtenstein, New Zealand, Norway, Scotland, Switzerland, Turkey,</w:t>
      </w:r>
      <w:r>
        <w:t xml:space="preserve"> </w:t>
      </w:r>
      <w:r>
        <w:t xml:space="preserve">Ukraine, United Kingdom, United States, Uruguay and Wales. Some transport</w:t>
      </w:r>
      <w:r>
        <w:t xml:space="preserve"> </w:t>
      </w:r>
      <w:r>
        <w:t xml:space="preserve">companies and manufacturers have also signed.</w:t>
      </w:r>
      <w:r>
        <w:t xml:space="preserve"> </w:t>
      </w:r>
      <w:r>
        <w:t xml:space="preserve"></w:t>
      </w:r>
      <w:r>
        <w:t xml:space="preserve"> </w:t>
      </w:r>
      <w:r>
        <w:t xml:space="preserve">Austria is considering setting a 100% zero-emission target for buses by 2032 and for</w:t>
      </w:r>
      <w:r>
        <w:t xml:space="preserve"> </w:t>
      </w:r>
      <w:r>
        <w:t xml:space="preserve">trucks up to 18t and over 18t by 2030 and 2035 respectively, according to the 2030</w:t>
      </w:r>
      <w:r>
        <w:t xml:space="preserve"> </w:t>
      </w:r>
      <w:r>
        <w:t xml:space="preserve">Mobility Master Plan. The measures are planned in the frame of aiming at carbon</w:t>
      </w:r>
      <w:r>
        <w:t xml:space="preserve"> </w:t>
      </w:r>
      <w:r>
        <w:t xml:space="preserve">neutrality in the transport sector by 2040.</w:t>
      </w:r>
      <w:r>
        <w:t xml:space="preserve"> </w:t>
      </w:r>
      <w:r>
        <w:t xml:space="preserve"></w:t>
      </w:r>
      <w:r>
        <w:t xml:space="preserve"> </w:t>
      </w:r>
      <w:r>
        <w:t xml:space="preserve">The United Kingdom closed a public consultation in September 2021 on when to</w:t>
      </w:r>
      <w:r>
        <w:t xml:space="preserve"> </w:t>
      </w:r>
      <w:r>
        <w:t xml:space="preserve">phase out the sale of new, non-zero emission heavy good vehicles, providing</w:t>
      </w:r>
      <w:r>
        <w:t xml:space="preserve"> </w:t>
      </w:r>
      <w:r>
        <w:t xml:space="preserve">indicative goals of 2035 for lorries up to 26t and 2040 for the rest. The</w:t>
      </w:r>
      <w:r>
        <w:t xml:space="preserve"> </w:t>
      </w:r>
      <w:r>
        <w:t xml:space="preserve">government confirmed during COP26 in November 2021 these phasing out dates to</w:t>
      </w:r>
      <w:r>
        <w:t xml:space="preserve"> </w:t>
      </w:r>
      <w:r>
        <w:t xml:space="preserve">become mandatory soon.</w:t>
      </w:r>
      <w:r>
        <w:br/>
      </w:r>
      <w:r>
        <w:t xml:space="preserve"></w:t>
      </w:r>
      <w:r>
        <w:t xml:space="preserve"> </w:t>
      </w:r>
      <w:r>
        <w:t xml:space="preserve">Ireland, further to the pledges made at COP27, adopted the Climate Action Plan</w:t>
      </w:r>
      <w:r>
        <w:t xml:space="preserve"> </w:t>
      </w:r>
      <w:r>
        <w:t xml:space="preserve">2021, according to which bus fleets in major cities (Dublin, Cork, Waterford,</w:t>
      </w:r>
      <w:r>
        <w:t xml:space="preserve"> </w:t>
      </w:r>
      <w:r>
        <w:t xml:space="preserve">Limerick and Galway) are to become fully electric by 2035.</w:t>
      </w:r>
      <w:r>
        <w:t xml:space="preserve"> </w:t>
      </w:r>
      <w:r>
        <w:t xml:space="preserve"></w:t>
      </w:r>
      <w:r>
        <w:t xml:space="preserve"> </w:t>
      </w:r>
      <w:r>
        <w:t xml:space="preserve">Norway set zero-emission targets for new HDV on its National Transport Plan:</w:t>
      </w:r>
      <w:r>
        <w:t xml:space="preserve"> </w:t>
      </w:r>
      <w:r>
        <w:t xml:space="preserve">100% urban buses should be zero-emission (or alternatively powered by biogas) by</w:t>
      </w:r>
      <w:r>
        <w:t xml:space="preserve"> </w:t>
      </w:r>
      <w:r>
        <w:t xml:space="preserve">2025, 75% for long-distance buses (coaches) and 50% for lorries.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89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Regarding the USA, a Medium- and Heavy-Duty Zero Emission Vehicle MoU</w:t>
      </w:r>
      <w:r>
        <w:t xml:space="preserve"> </w:t>
      </w:r>
      <w:r>
        <w:t xml:space="preserve">signed in July 2020 by the governors of 15 US states89 and the District of Columbia</w:t>
      </w:r>
      <w:r>
        <w:t xml:space="preserve"> </w:t>
      </w:r>
      <w:r>
        <w:t xml:space="preserve">commit themselves to pursue all sales of new medium- and heavy-duty vehicles to</w:t>
      </w:r>
      <w:r>
        <w:t xml:space="preserve"> </w:t>
      </w:r>
      <w:r>
        <w:t xml:space="preserve">be zero-emission by no later than 2050, phased in from at least 30% by no later than</w:t>
      </w:r>
      <w:r>
        <w:t xml:space="preserve"> </w:t>
      </w:r>
      <w:r>
        <w:t xml:space="preserve">2030.</w:t>
      </w:r>
      <w:r>
        <w:t xml:space="preserve"> </w:t>
      </w:r>
      <w:r>
        <w:t xml:space="preserve"></w:t>
      </w:r>
      <w:r>
        <w:t xml:space="preserve"> </w:t>
      </w:r>
      <w:r>
        <w:t xml:space="preserve">Also, 12 US states90 sent a letter to the President of the USA requesting to set</w:t>
      </w:r>
      <w:r>
        <w:t xml:space="preserve"> </w:t>
      </w:r>
      <w:r>
        <w:t xml:space="preserve">standards ensuring that new sales of medium- and heavy-duty vehicles nationwide be</w:t>
      </w:r>
      <w:r>
        <w:t xml:space="preserve"> </w:t>
      </w:r>
      <w:r>
        <w:t xml:space="preserve">zero-emission by 2045 and other accompanying measures, as support for</w:t>
      </w:r>
      <w:r>
        <w:t xml:space="preserve"> </w:t>
      </w:r>
      <w:r>
        <w:t xml:space="preserve">infrastructure recharging and taxes rebates.</w:t>
      </w:r>
      <w:r>
        <w:t xml:space="preserve"> </w:t>
      </w:r>
      <w:r>
        <w:t xml:space="preserve"></w:t>
      </w:r>
      <w:r>
        <w:t xml:space="preserve"> </w:t>
      </w:r>
      <w:r>
        <w:t xml:space="preserve">In January 2023 the US released the National Blueprint for Transportation</w:t>
      </w:r>
      <w:r>
        <w:t xml:space="preserve"> </w:t>
      </w:r>
      <w:r>
        <w:t xml:space="preserve">Decarbonization aiming at removing all emissions from the transportation sector by</w:t>
      </w:r>
      <w:r>
        <w:t xml:space="preserve"> </w:t>
      </w:r>
      <w:r>
        <w:t xml:space="preserve">2050. Concrete milestones are 30% zero-emission medium- and heavy-duty vehicle</w:t>
      </w:r>
      <w:r>
        <w:t xml:space="preserve"> </w:t>
      </w:r>
      <w:r>
        <w:t xml:space="preserve">sales by 2030 and 100% by 2040, fuelled by an obligation for the federal fleet to</w:t>
      </w:r>
      <w:r>
        <w:t xml:space="preserve"> </w:t>
      </w:r>
      <w:r>
        <w:t xml:space="preserve">acquire only zero-emission vehicles by 2035.Canada aims to achieve 30% ZEV</w:t>
      </w:r>
      <w:r>
        <w:t xml:space="preserve"> </w:t>
      </w:r>
      <w:r>
        <w:t xml:space="preserve">sales for medium- and heavy-duty vehicles by 2030 in its 2030 Emissions Reduction</w:t>
      </w:r>
      <w:r>
        <w:t xml:space="preserve"> </w:t>
      </w:r>
      <w:r>
        <w:t xml:space="preserve">Plan. As well, the country plans a 100% ZEV mandate for 2040 for a subset of</w:t>
      </w:r>
      <w:r>
        <w:t xml:space="preserve"> </w:t>
      </w:r>
      <w:r>
        <w:t xml:space="preserve">vehicles, helped by 2030 requirements and perhaps also interim targets for the mid-</w:t>
      </w:r>
      <w:r>
        <w:t xml:space="preserve"> </w:t>
      </w:r>
      <w:r>
        <w:t xml:space="preserve">2020s.</w:t>
      </w:r>
      <w:r>
        <w:t xml:space="preserve"> </w:t>
      </w:r>
      <w:r>
        <w:t xml:space="preserve"></w:t>
      </w:r>
      <w:r>
        <w:t xml:space="preserve"> </w:t>
      </w:r>
      <w:r>
        <w:t xml:space="preserve">Cape Verde aspires, in its Electric Mobility Policy Charter, to purchase only zero-</w:t>
      </w:r>
      <w:r>
        <w:t xml:space="preserve"> </w:t>
      </w:r>
      <w:r>
        <w:t xml:space="preserve">emission vehicles, including HDV, by 2035, with intermediate objectives by 2030 of</w:t>
      </w:r>
      <w:r>
        <w:t xml:space="preserve"> </w:t>
      </w:r>
      <w:r>
        <w:t xml:space="preserve">25% for buses and heavy trucks and 35% for medium trucks.</w:t>
      </w:r>
      <w:r>
        <w:t xml:space="preserve"> </w:t>
      </w:r>
      <w:r>
        <w:t xml:space="preserve"></w:t>
      </w:r>
      <w:r>
        <w:t xml:space="preserve"> </w:t>
      </w:r>
      <w:r>
        <w:t xml:space="preserve">Japan unveiled a target in June 2021 for all trucks with a capacity of up to 80,000</w:t>
      </w:r>
      <w:r>
        <w:t xml:space="preserve"> </w:t>
      </w:r>
      <w:r>
        <w:t xml:space="preserve">pounds (36t) go electric by 2040. A policy for larger trucks will be set by 2030.</w:t>
      </w:r>
      <w:r>
        <w:t xml:space="preserve"> </w:t>
      </w:r>
      <w:r>
        <w:t xml:space="preserve"></w:t>
      </w:r>
      <w:r>
        <w:t xml:space="preserve"> </w:t>
      </w:r>
      <w:r>
        <w:t xml:space="preserve">Chile unveiled its National Electromobility Strategy in late 2021 whereby new sales</w:t>
      </w:r>
      <w:r>
        <w:t xml:space="preserve"> </w:t>
      </w:r>
      <w:r>
        <w:t xml:space="preserve">of urban buses would be zero-emission by 2035, followed freight transport and</w:t>
      </w:r>
      <w:r>
        <w:t xml:space="preserve"> </w:t>
      </w:r>
      <w:r>
        <w:t xml:space="preserve">intercity buses (coaches) in 2045.</w:t>
      </w:r>
      <w:r>
        <w:t xml:space="preserve"> </w:t>
      </w:r>
      <w:r>
        <w:t xml:space="preserve"></w:t>
      </w:r>
      <w:r>
        <w:t xml:space="preserve"> </w:t>
      </w:r>
      <w:r>
        <w:t xml:space="preserve">China, quite active on clean air local regulations and incentives to “new energy</w:t>
      </w:r>
      <w:r>
        <w:t xml:space="preserve"> </w:t>
      </w:r>
      <w:r>
        <w:t xml:space="preserve">vehicles” that led the country to dominate the global ZEV bus market, is in the</w:t>
      </w:r>
      <w:r>
        <w:t xml:space="preserve"> </w:t>
      </w:r>
      <w:r>
        <w:t xml:space="preserve">process of developing ZEV targets for heavy-duty vehicles.</w:t>
      </w:r>
      <w:r>
        <w:t xml:space="preserve"> </w:t>
      </w:r>
      <w:r>
        <w:t xml:space="preserve"></w:t>
      </w:r>
      <w:r>
        <w:t xml:space="preserve"> </w:t>
      </w:r>
      <w:r>
        <w:t xml:space="preserve">Pakistan, as part of its National Electric Vehicle Policy, aspires to reach 30% of</w:t>
      </w:r>
      <w:r>
        <w:t xml:space="preserve"> </w:t>
      </w:r>
      <w:r>
        <w:t xml:space="preserve">zero-emission HDV sales by 2030 (50% for buses) and 90% by 2040.</w:t>
      </w:r>
      <w:r>
        <w:t xml:space="preserve"> </w:t>
      </w:r>
      <w:r>
        <w:t xml:space="preserve">16.5.3</w:t>
      </w:r>
      <w:r>
        <w:t xml:space="preserve"> </w:t>
      </w:r>
      <w:r>
        <w:t xml:space="preserve">100% zero-emission targets on urban buses</w:t>
      </w:r>
      <w:r>
        <w:t xml:space="preserve"> </w:t>
      </w:r>
      <w:r>
        <w:t xml:space="preserve">The following Table 8 summarizes the countries and regions that specifically committed</w:t>
      </w:r>
      <w:r>
        <w:t xml:space="preserve"> </w:t>
      </w:r>
      <w:r>
        <w:t xml:space="preserve">to procure or set a mandate to sell, only zero-emission buses by a certain date.</w:t>
      </w:r>
      <w:r>
        <w:t xml:space="preserve"> </w:t>
      </w:r>
      <w:r>
        <w:t xml:space="preserve">Commitments may refer to only urban buses, public transport buses and even all buses,</w:t>
      </w:r>
      <w:r>
        <w:t xml:space="preserve"> </w:t>
      </w:r>
      <w:r>
        <w:t xml:space="preserve">as the case may be.91</w:t>
      </w:r>
    </w:p>
    <w:p>
      <w:pPr>
        <w:pStyle w:val="BodyText"/>
      </w:pPr>
      <w:r>
        <w:t xml:space="preserve">89 California, Colorado, Connecticut, Hawaii, Maine, Maryland, Massachusetts, New Jersey, New York,</w:t>
      </w:r>
      <w:r>
        <w:t xml:space="preserve"> </w:t>
      </w:r>
      <w:r>
        <w:t xml:space="preserve">North Carolina, Oregon, Pennsylvania, Rhode Island, Vermont and Washington.</w:t>
      </w:r>
      <w:r>
        <w:t xml:space="preserve"> </w:t>
      </w:r>
      <w:r>
        <w:t xml:space="preserve">90 California, Connecticut, Hawaii, Maine, Massachusetts, New Jersey, New York, New Mexico, North</w:t>
      </w:r>
      <w:r>
        <w:t xml:space="preserve"> </w:t>
      </w:r>
      <w:r>
        <w:t xml:space="preserve">Carolina, Oregon, Rhode Island and Washington.</w:t>
      </w:r>
      <w:r>
        <w:t xml:space="preserve"> </w:t>
      </w:r>
      <w:r>
        <w:t xml:space="preserve">91 Based on ICCT, 2021. https://theicct.org/decarbonizing-bus-fleets-global-overview-of-targets-for-</w:t>
      </w:r>
      <w:r>
        <w:t xml:space="preserve"> </w:t>
      </w:r>
      <w:r>
        <w:t xml:space="preserve">phasing-out-combustion-engine-vehicles/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90</w:t>
      </w:r>
    </w:p>
    <w:p>
      <w:pPr>
        <w:pStyle w:val="BodyText"/>
      </w:pPr>
      <w:r>
        <w:t xml:space="preserve">Table 8. Governments setting or planning zero-emission mandates on urban buses</w:t>
      </w:r>
      <w:r>
        <w:t xml:space="preserve"> </w:t>
      </w:r>
      <w:r>
        <w:t xml:space="preserve">by a certain date</w:t>
      </w:r>
      <w:r>
        <w:t xml:space="preserve"> </w:t>
      </w:r>
      <w:r>
        <w:t xml:space="preserve">Country /</w:t>
      </w:r>
      <w:r>
        <w:t xml:space="preserve"> </w:t>
      </w:r>
      <w:r>
        <w:t xml:space="preserve">region</w:t>
      </w:r>
      <w:r>
        <w:t xml:space="preserve"> </w:t>
      </w:r>
      <w:r>
        <w:t xml:space="preserve">100% ZE buses date</w:t>
      </w:r>
      <w:r>
        <w:t xml:space="preserve"> </w:t>
      </w:r>
      <w:r>
        <w:t xml:space="preserve">Denmark</w:t>
      </w:r>
      <w:r>
        <w:t xml:space="preserve"> </w:t>
      </w:r>
      <w:r>
        <w:t xml:space="preserve">2025</w:t>
      </w:r>
      <w:r>
        <w:t xml:space="preserve"> </w:t>
      </w:r>
      <w:r>
        <w:t xml:space="preserve">Netherlands 2025</w:t>
      </w:r>
      <w:r>
        <w:t xml:space="preserve"> </w:t>
      </w:r>
      <w:r>
        <w:t xml:space="preserve">New</w:t>
      </w:r>
      <w:r>
        <w:t xml:space="preserve"> </w:t>
      </w:r>
      <w:r>
        <w:t xml:space="preserve">Zealand</w:t>
      </w:r>
      <w:r>
        <w:t xml:space="preserve"> </w:t>
      </w:r>
      <w:r>
        <w:t xml:space="preserve">2025</w:t>
      </w:r>
      <w:r>
        <w:t xml:space="preserve"> </w:t>
      </w:r>
      <w:r>
        <w:t xml:space="preserve">California</w:t>
      </w:r>
      <w:r>
        <w:t xml:space="preserve"> </w:t>
      </w:r>
      <w:r>
        <w:t xml:space="preserve">(USA)</w:t>
      </w:r>
      <w:r>
        <w:t xml:space="preserve"> </w:t>
      </w:r>
      <w:r>
        <w:t xml:space="preserve">2029</w:t>
      </w:r>
      <w:r>
        <w:t xml:space="preserve"> </w:t>
      </w:r>
      <w:r>
        <w:t xml:space="preserve">Austria</w:t>
      </w:r>
      <w:r>
        <w:t xml:space="preserve"> </w:t>
      </w:r>
      <w:r>
        <w:t xml:space="preserve">2032</w:t>
      </w:r>
      <w:r>
        <w:t xml:space="preserve"> </w:t>
      </w:r>
      <w:r>
        <w:t xml:space="preserve">Ireland</w:t>
      </w:r>
      <w:r>
        <w:t xml:space="preserve"> </w:t>
      </w:r>
      <w:r>
        <w:t xml:space="preserve">2035</w:t>
      </w:r>
      <w:r>
        <w:t xml:space="preserve"> </w:t>
      </w:r>
      <w:r>
        <w:t xml:space="preserve">Cape Verde 2035</w:t>
      </w:r>
      <w:r>
        <w:t xml:space="preserve"> </w:t>
      </w:r>
      <w:r>
        <w:t xml:space="preserve">Chile</w:t>
      </w:r>
      <w:r>
        <w:t xml:space="preserve"> </w:t>
      </w:r>
      <w:r>
        <w:t xml:space="preserve">2035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91</w:t>
      </w:r>
    </w:p>
    <w:p>
      <w:pPr>
        <w:pStyle w:val="Compact"/>
        <w:numPr>
          <w:ilvl w:val="0"/>
          <w:numId w:val="1012"/>
        </w:numPr>
      </w:pPr>
      <w:r>
        <w:t xml:space="preserve">ANNEX 8: DESCRIPTION OF THE POLICY OPTIONS –</w:t>
      </w:r>
      <w:r>
        <w:t xml:space="preserve"> </w:t>
      </w:r>
      <w:r>
        <w:t xml:space="preserve">COMPLEMENTARY INFORMATION</w:t>
      </w:r>
      <w:r>
        <w:t xml:space="preserve"> </w:t>
      </w:r>
      <w:r>
        <w:t xml:space="preserve">1.27. 17.1</w:t>
      </w:r>
      <w:r>
        <w:t xml:space="preserve"> </w:t>
      </w:r>
      <w:r>
        <w:t xml:space="preserve">Policy option categories</w:t>
      </w:r>
      <w:r>
        <w:t xml:space="preserve"> </w:t>
      </w:r>
      <w:r>
        <w:t xml:space="preserve">The options considered in the Impact Assessment can be grouped into the following</w:t>
      </w:r>
      <w:r>
        <w:t xml:space="preserve"> </w:t>
      </w:r>
      <w:r>
        <w:t xml:space="preserve">categories:</w:t>
      </w:r>
      <w:r>
        <w:t xml:space="preserve"> </w:t>
      </w:r>
      <w:r>
        <w:t xml:space="preserve"></w:t>
      </w:r>
      <w:r>
        <w:t xml:space="preserve"> </w:t>
      </w:r>
      <w:r>
        <w:t xml:space="preserve">Extension of the scope;</w:t>
      </w:r>
      <w:r>
        <w:br/>
      </w:r>
      <w:r>
        <w:t xml:space="preserve"></w:t>
      </w:r>
      <w:r>
        <w:t xml:space="preserve"> </w:t>
      </w:r>
      <w:r>
        <w:t xml:space="preserve">CO2 emission targets and their timing;</w:t>
      </w:r>
      <w:r>
        <w:t xml:space="preserve"> </w:t>
      </w:r>
      <w:r>
        <w:t xml:space="preserve"></w:t>
      </w:r>
      <w:r>
        <w:t xml:space="preserve"> </w:t>
      </w:r>
      <w:r>
        <w:t xml:space="preserve">Incentives for zero-emission vehicles;</w:t>
      </w:r>
      <w:r>
        <w:br/>
      </w:r>
      <w:r>
        <w:t xml:space="preserve"></w:t>
      </w:r>
      <w:r>
        <w:t xml:space="preserve"> </w:t>
      </w:r>
      <w:r>
        <w:t xml:space="preserve">Contribution of renewable and low-carbon fuels to the standards;</w:t>
      </w:r>
      <w:r>
        <w:t xml:space="preserve"> </w:t>
      </w:r>
      <w:r>
        <w:t xml:space="preserve"></w:t>
      </w:r>
      <w:r>
        <w:t xml:space="preserve"> </w:t>
      </w:r>
      <w:r>
        <w:t xml:space="preserve">Governance.</w:t>
      </w:r>
    </w:p>
    <w:p>
      <w:pPr>
        <w:pStyle w:val="FirstParagraph"/>
      </w:pPr>
      <w:r>
        <w:t xml:space="preserve">The following Table 9 summarizes the relations within these categories and the problems</w:t>
      </w:r>
      <w:r>
        <w:t xml:space="preserve"> </w:t>
      </w:r>
      <w:r>
        <w:t xml:space="preserve">described in section 2.1 of the Impact Assessment.</w:t>
      </w:r>
    </w:p>
    <w:p>
      <w:pPr>
        <w:pStyle w:val="BodyText"/>
      </w:pPr>
      <w:r>
        <w:t xml:space="preserve">Table 9. Relations among problems and policy options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Problem 1: Insufficient</w:t>
      </w:r>
      <w:r>
        <w:t xml:space="preserve"> </w:t>
      </w:r>
      <w:r>
        <w:t xml:space="preserve">contribution to GHG</w:t>
      </w:r>
      <w:r>
        <w:t xml:space="preserve"> </w:t>
      </w:r>
      <w:r>
        <w:t xml:space="preserve">emissions EU energy</w:t>
      </w:r>
      <w:r>
        <w:t xml:space="preserve"> </w:t>
      </w:r>
      <w:r>
        <w:t xml:space="preserve">dependency reduction</w:t>
      </w:r>
      <w:r>
        <w:t xml:space="preserve"> </w:t>
      </w:r>
      <w:r>
        <w:t xml:space="preserve">Problem 2: Transport</w:t>
      </w:r>
      <w:r>
        <w:t xml:space="preserve"> </w:t>
      </w:r>
      <w:r>
        <w:t xml:space="preserve">operators and</w:t>
      </w:r>
      <w:r>
        <w:t xml:space="preserve"> </w:t>
      </w:r>
      <w:r>
        <w:t xml:space="preserve">consumers missing out</w:t>
      </w:r>
      <w:r>
        <w:t xml:space="preserve"> </w:t>
      </w:r>
      <w:r>
        <w:t xml:space="preserve">on fuel savings</w:t>
      </w:r>
      <w:r>
        <w:t xml:space="preserve"> </w:t>
      </w:r>
      <w:r>
        <w:t xml:space="preserve">Problem 3: Risk of</w:t>
      </w:r>
      <w:r>
        <w:t xml:space="preserve"> </w:t>
      </w:r>
      <w:r>
        <w:t xml:space="preserve">losing technological and</w:t>
      </w:r>
      <w:r>
        <w:t xml:space="preserve"> </w:t>
      </w:r>
      <w:r>
        <w:t xml:space="preserve">innovation leadership in</w:t>
      </w:r>
      <w:r>
        <w:t xml:space="preserve"> </w:t>
      </w:r>
      <w:r>
        <w:t xml:space="preserve">the HDV value chain</w:t>
      </w:r>
      <w:r>
        <w:t xml:space="preserve"> </w:t>
      </w:r>
      <w:r>
        <w:t xml:space="preserve">Extension of the</w:t>
      </w:r>
      <w:r>
        <w:t xml:space="preserve"> </w:t>
      </w:r>
      <w:r>
        <w:t xml:space="preserve">scope</w:t>
      </w:r>
      <w:r>
        <w:t xml:space="preserve"> </w:t>
      </w:r>
      <w:r>
        <w:t xml:space="preserve"></w:t>
      </w:r>
      <w:r>
        <w:t xml:space="preserve"> </w:t>
      </w:r>
      <w:r>
        <w:t xml:space="preserve"></w:t>
      </w:r>
      <w:r>
        <w:t xml:space="preserve"> </w:t>
      </w:r>
      <w:r>
        <w:t xml:space="preserve"></w:t>
      </w:r>
      <w:r>
        <w:t xml:space="preserve"> </w:t>
      </w:r>
      <w:r>
        <w:t xml:space="preserve">CO2 emission</w:t>
      </w:r>
      <w:r>
        <w:t xml:space="preserve"> </w:t>
      </w:r>
      <w:r>
        <w:t xml:space="preserve">targets and their</w:t>
      </w:r>
      <w:r>
        <w:t xml:space="preserve"> </w:t>
      </w:r>
      <w:r>
        <w:t xml:space="preserve">timing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Incentives for</w:t>
      </w:r>
      <w:r>
        <w:t xml:space="preserve"> </w:t>
      </w:r>
      <w:r>
        <w:t xml:space="preserve">ZEVs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Contribution of</w:t>
      </w:r>
      <w:r>
        <w:t xml:space="preserve"> </w:t>
      </w:r>
      <w:r>
        <w:t xml:space="preserve">renewable and</w:t>
      </w:r>
      <w:r>
        <w:t xml:space="preserve"> </w:t>
      </w:r>
      <w:r>
        <w:t xml:space="preserve">low-carbon fuels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Governance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1.28. 17.2</w:t>
      </w:r>
      <w:r>
        <w:t xml:space="preserve"> </w:t>
      </w:r>
      <w:r>
        <w:t xml:space="preserve">Extension of the scope - complementary information on Scope</w:t>
      </w:r>
      <w:r>
        <w:t xml:space="preserve"> </w:t>
      </w:r>
      <w:r>
        <w:t xml:space="preserve">1</w:t>
      </w:r>
      <w:r>
        <w:t xml:space="preserve"> </w:t>
      </w:r>
      <w:r>
        <w:t xml:space="preserve">The HDV CO2 standards are currently based in the following stepwise approach,</w:t>
      </w:r>
      <w:r>
        <w:t xml:space="preserve"> </w:t>
      </w:r>
      <w:r>
        <w:t xml:space="preserve">applicable to regulated new vehicles:</w:t>
      </w:r>
      <w:r>
        <w:t xml:space="preserve"> </w:t>
      </w:r>
      <w:r>
        <w:t xml:space="preserve"></w:t>
      </w:r>
      <w:r>
        <w:t xml:space="preserve"> </w:t>
      </w:r>
      <w:r>
        <w:t xml:space="preserve">The manufacturer simulates the new vehicle using the VECTO tool to calculate their</w:t>
      </w:r>
      <w:r>
        <w:t xml:space="preserve"> </w:t>
      </w:r>
      <w:r>
        <w:t xml:space="preserve">fuel consumption and CO2 emissions. The rules are defined by the Emissions</w:t>
      </w:r>
      <w:r>
        <w:t xml:space="preserve"> </w:t>
      </w:r>
      <w:r>
        <w:t xml:space="preserve">Determination Regulation as part of the vehicle type-approval process.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92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The manufacturer reports to the European Commission, among others, the certified</w:t>
      </w:r>
      <w:r>
        <w:t xml:space="preserve"> </w:t>
      </w:r>
      <w:r>
        <w:t xml:space="preserve">CO2 emissions values. Data are publicly available according to the Monitoring and</w:t>
      </w:r>
      <w:r>
        <w:t xml:space="preserve"> </w:t>
      </w:r>
      <w:r>
        <w:t xml:space="preserve">Reporting Regulation.</w:t>
      </w:r>
      <w:r>
        <w:t xml:space="preserve"> </w:t>
      </w:r>
      <w:r>
        <w:t xml:space="preserve"> Therefore, the certification of CO2 emissions under type-approval, based</w:t>
      </w:r>
      <w:r>
        <w:t xml:space="preserve"> </w:t>
      </w:r>
      <w:r>
        <w:t xml:space="preserve">on the availability of VECTO simulations, is a prerequisite for regulating</w:t>
      </w:r>
      <w:r>
        <w:t xml:space="preserve"> </w:t>
      </w:r>
      <w:r>
        <w:t xml:space="preserve">heavy-duty vehicles under the HDV standards.</w:t>
      </w:r>
      <w:r>
        <w:br/>
      </w:r>
      <w:r>
        <w:t xml:space="preserve">17.2.1</w:t>
      </w:r>
      <w:r>
        <w:t xml:space="preserve"> </w:t>
      </w:r>
      <w:r>
        <w:t xml:space="preserve">Option SCOPE 0</w:t>
      </w:r>
      <w:r>
        <w:t xml:space="preserve"> </w:t>
      </w:r>
      <w:r>
        <w:t xml:space="preserve">The currently regulated vehicles are responsible for more than 73% of all HDV CO2</w:t>
      </w:r>
      <w:r>
        <w:t xml:space="preserve"> </w:t>
      </w:r>
      <w:r>
        <w:t xml:space="preserve">emissions from newly registered vehicles92 including both regional and long-haul</w:t>
      </w:r>
      <w:r>
        <w:t xml:space="preserve"> </w:t>
      </w:r>
      <w:r>
        <w:t xml:space="preserve">transport of goods as shown in Table 10 below.</w:t>
      </w:r>
      <w:r>
        <w:t xml:space="preserve"> </w:t>
      </w:r>
      <w:r>
        <w:t xml:space="preserve">Table 10. Share of CO2 emissions (newly registered vehicles) from currently</w:t>
      </w:r>
      <w:r>
        <w:t xml:space="preserve"> </w:t>
      </w:r>
      <w:r>
        <w:t xml:space="preserve">regulated HDV groups - SCOPE 0</w:t>
      </w:r>
      <w:r>
        <w:t xml:space="preserve"> </w:t>
      </w:r>
      <w:r>
        <w:t xml:space="preserve">Vehicle’ groups*</w:t>
      </w:r>
      <w:r>
        <w:t xml:space="preserve"> </w:t>
      </w:r>
      <w:r>
        <w:t xml:space="preserve">CO2 emissions contribution</w:t>
      </w:r>
      <w:r>
        <w:t xml:space="preserve"> </w:t>
      </w:r>
      <w:r>
        <w:t xml:space="preserve">over HDV total (%)</w:t>
      </w:r>
      <w:r>
        <w:t xml:space="preserve"> </w:t>
      </w:r>
      <w:r>
        <w:t xml:space="preserve">4</w:t>
      </w:r>
      <w:r>
        <w:t xml:space="preserve"> </w:t>
      </w:r>
      <w:r>
        <w:t xml:space="preserve">8.05</w:t>
      </w:r>
      <w:r>
        <w:t xml:space="preserve"> </w:t>
      </w:r>
      <w:r>
        <w:t xml:space="preserve">5</w:t>
      </w:r>
      <w:r>
        <w:t xml:space="preserve"> </w:t>
      </w:r>
      <w:r>
        <w:t xml:space="preserve">48.93</w:t>
      </w:r>
      <w:r>
        <w:t xml:space="preserve"> </w:t>
      </w:r>
      <w:r>
        <w:t xml:space="preserve">9</w:t>
      </w:r>
      <w:r>
        <w:t xml:space="preserve"> </w:t>
      </w:r>
      <w:r>
        <w:t xml:space="preserve">10.76</w:t>
      </w:r>
      <w:r>
        <w:t xml:space="preserve"> </w:t>
      </w:r>
      <w:r>
        <w:t xml:space="preserve">10</w:t>
      </w:r>
      <w:r>
        <w:t xml:space="preserve"> </w:t>
      </w:r>
      <w:r>
        <w:t xml:space="preserve">5.68</w:t>
      </w:r>
      <w:r>
        <w:t xml:space="preserve"> </w:t>
      </w:r>
      <w:r>
        <w:t xml:space="preserve">TOTAL SCOPE 0</w:t>
      </w:r>
      <w:r>
        <w:t xml:space="preserve"> </w:t>
      </w:r>
      <w:r>
        <w:t xml:space="preserve">73.42%</w:t>
      </w:r>
      <w:r>
        <w:t xml:space="preserve"> </w:t>
      </w:r>
      <w:r>
        <w:t xml:space="preserve">* Vocational vehicles not included</w:t>
      </w:r>
      <w:r>
        <w:t xml:space="preserve"> </w:t>
      </w:r>
      <w:r>
        <w:t xml:space="preserve">17.2.2</w:t>
      </w:r>
      <w:r>
        <w:t xml:space="preserve"> </w:t>
      </w:r>
      <w:r>
        <w:t xml:space="preserve">Option SCOPE 1</w:t>
      </w:r>
      <w:r>
        <w:t xml:space="preserve"> </w:t>
      </w:r>
      <w:r>
        <w:t xml:space="preserve">Option SCOPE 1 ensures covering a wide range of currently unregulated vehicles on the</w:t>
      </w:r>
      <w:r>
        <w:t xml:space="preserve"> </w:t>
      </w:r>
      <w:r>
        <w:t xml:space="preserve">condition that their CO2 emissions can be determined in the Emissions Determination</w:t>
      </w:r>
      <w:r>
        <w:t xml:space="preserve"> </w:t>
      </w:r>
      <w:r>
        <w:t xml:space="preserve">procedure and then made available to the Commission. In principle, all vehicles expected</w:t>
      </w:r>
      <w:r>
        <w:t xml:space="preserve"> </w:t>
      </w:r>
      <w:r>
        <w:t xml:space="preserve">to be covered by the Determination of CO2 emissions when the HDV Regulation enters</w:t>
      </w:r>
      <w:r>
        <w:t xml:space="preserve"> </w:t>
      </w:r>
      <w:r>
        <w:t xml:space="preserve">into force can be included in this option. The vehicles that can be potentially added can</w:t>
      </w:r>
      <w:r>
        <w:t xml:space="preserve"> </w:t>
      </w:r>
      <w:r>
        <w:t xml:space="preserve">be grouped as follows93:</w:t>
      </w:r>
      <w:r>
        <w:t xml:space="preserve"> </w:t>
      </w:r>
      <w:r>
        <w:t xml:space="preserve"></w:t>
      </w:r>
      <w:r>
        <w:t xml:space="preserve"> </w:t>
      </w:r>
      <w:r>
        <w:t xml:space="preserve">Heavy lorries belonging to VECTO groups 1, 1s, 2, 3, 11, 12 and 16. Determination</w:t>
      </w:r>
      <w:r>
        <w:t xml:space="preserve"> </w:t>
      </w:r>
      <w:r>
        <w:t xml:space="preserve">of CO2 emissions applicable since 2020;</w:t>
      </w:r>
      <w:r>
        <w:t xml:space="preserve"> </w:t>
      </w:r>
      <w:r>
        <w:t xml:space="preserve"></w:t>
      </w:r>
      <w:r>
        <w:t xml:space="preserve"> </w:t>
      </w:r>
      <w:r>
        <w:t xml:space="preserve">Lorries with TPLMP above 5t and up to 7.5t belonging to VECTO groups 53, 54,</w:t>
      </w:r>
      <w:r>
        <w:t xml:space="preserve"> </w:t>
      </w:r>
      <w:r>
        <w:t xml:space="preserve">(medium lorries). Determination of CO2 emissions applicable as from 2024.</w:t>
      </w:r>
      <w:r>
        <w:t xml:space="preserve"> </w:t>
      </w:r>
      <w:r>
        <w:t xml:space="preserve"></w:t>
      </w:r>
      <w:r>
        <w:t xml:space="preserve"> </w:t>
      </w:r>
      <w:r>
        <w:t xml:space="preserve">Buses and coaches with TPLMP above 7.5t belonging to VECTO groups P31, P32,</w:t>
      </w:r>
      <w:r>
        <w:t xml:space="preserve"> </w:t>
      </w:r>
      <w:r>
        <w:t xml:space="preserve">P33, P34, P35 P36, P37, P38, P39 and P40 (heavy buses and coaches).</w:t>
      </w:r>
      <w:r>
        <w:t xml:space="preserve"> </w:t>
      </w:r>
      <w:r>
        <w:t xml:space="preserve">Determination of CO2 emissions applicable as from 2024.</w:t>
      </w:r>
    </w:p>
    <w:p>
      <w:pPr>
        <w:pStyle w:val="BodyText"/>
      </w:pPr>
      <w:r>
        <w:t xml:space="preserve">92 Source of CO2 emissions from new vehicles across this annex: Technical support for</w:t>
      </w:r>
      <w:r>
        <w:t xml:space="preserve"> </w:t>
      </w:r>
      <w:r>
        <w:t xml:space="preserve">analysis of some elements of the CO2 emission standards for heavy duty vehicles (HDV).</w:t>
      </w:r>
      <w:r>
        <w:t xml:space="preserve"> </w:t>
      </w:r>
      <w:r>
        <w:t xml:space="preserve">Ongoing study, to be published by Q1 2023.</w:t>
      </w:r>
      <w:r>
        <w:t xml:space="preserve"> </w:t>
      </w:r>
      <w:r>
        <w:t xml:space="preserve">93 The groups are described in Table 1 of Annex I of Regulation (EU) 2017/2400.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93</w:t>
      </w:r>
    </w:p>
    <w:p>
      <w:pPr>
        <w:pStyle w:val="BodyText"/>
      </w:pPr>
      <w:r>
        <w:t xml:space="preserve">The vehicle groups and respective attributed CO2 emissions are listed in Table 11.</w:t>
      </w:r>
      <w:r>
        <w:t xml:space="preserve"> </w:t>
      </w:r>
      <w:r>
        <w:t xml:space="preserve">Table 11. Share of CO2 emissions from currently unregulated HDV groups (newly</w:t>
      </w:r>
      <w:r>
        <w:t xml:space="preserve"> </w:t>
      </w:r>
      <w:r>
        <w:t xml:space="preserve">registered vehicles) expected to be ready for certification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Attributed CO2 emissions</w:t>
      </w:r>
      <w:r>
        <w:t xml:space="preserve"> </w:t>
      </w:r>
      <w:r>
        <w:t xml:space="preserve">weight over HDV total (%)</w:t>
      </w:r>
      <w:r>
        <w:t xml:space="preserve"> </w:t>
      </w:r>
      <w:r>
        <w:t xml:space="preserve">Vehicle type</w:t>
      </w:r>
      <w:r>
        <w:t xml:space="preserve"> </w:t>
      </w:r>
      <w:r>
        <w:t xml:space="preserve">1 and 1s</w:t>
      </w:r>
      <w:r>
        <w:t xml:space="preserve"> </w:t>
      </w:r>
      <w:r>
        <w:t xml:space="preserve">0.29</w:t>
      </w:r>
    </w:p>
    <w:p>
      <w:pPr>
        <w:pStyle w:val="BodyText"/>
      </w:pPr>
      <w:r>
        <w:t xml:space="preserve">13.94</w:t>
      </w:r>
      <w:r>
        <w:t xml:space="preserve"> </w:t>
      </w:r>
      <w:r>
        <w:t xml:space="preserve">Heavy lorry</w:t>
      </w:r>
      <w:r>
        <w:t xml:space="preserve"> </w:t>
      </w:r>
      <w:r>
        <w:t xml:space="preserve">2</w:t>
      </w:r>
      <w:r>
        <w:t xml:space="preserve"> </w:t>
      </w:r>
      <w:r>
        <w:t xml:space="preserve">1.51</w:t>
      </w:r>
      <w:r>
        <w:t xml:space="preserve"> </w:t>
      </w:r>
      <w:r>
        <w:t xml:space="preserve">3</w:t>
      </w:r>
      <w:r>
        <w:t xml:space="preserve"> </w:t>
      </w:r>
      <w:r>
        <w:t xml:space="preserve">2.63</w:t>
      </w:r>
      <w:r>
        <w:t xml:space="preserve"> </w:t>
      </w:r>
      <w:r>
        <w:t xml:space="preserve">11</w:t>
      </w:r>
      <w:r>
        <w:t xml:space="preserve"> </w:t>
      </w:r>
      <w:r>
        <w:t xml:space="preserve">3.07</w:t>
      </w:r>
      <w:r>
        <w:br/>
      </w:r>
      <w:r>
        <w:t xml:space="preserve">12</w:t>
      </w:r>
      <w:r>
        <w:t xml:space="preserve"> </w:t>
      </w:r>
      <w:r>
        <w:t xml:space="preserve">0.83</w:t>
      </w:r>
      <w:r>
        <w:br/>
      </w:r>
      <w:r>
        <w:t xml:space="preserve">16</w:t>
      </w:r>
      <w:r>
        <w:t xml:space="preserve"> </w:t>
      </w:r>
      <w:r>
        <w:t xml:space="preserve">5.21</w:t>
      </w:r>
      <w:r>
        <w:br/>
      </w:r>
      <w:r>
        <w:t xml:space="preserve">Vocational vehicles</w:t>
      </w:r>
      <w:r>
        <w:t xml:space="preserve"> </w:t>
      </w:r>
      <w:r>
        <w:t xml:space="preserve">0.40</w:t>
      </w:r>
      <w:r>
        <w:t xml:space="preserve"> </w:t>
      </w:r>
      <w:r>
        <w:t xml:space="preserve">53</w:t>
      </w:r>
      <w:r>
        <w:t xml:space="preserve"> </w:t>
      </w:r>
      <w:r>
        <w:t xml:space="preserve">1.24</w:t>
      </w:r>
      <w:r>
        <w:t xml:space="preserve"> </w:t>
      </w:r>
      <w:r>
        <w:t xml:space="preserve">1.83</w:t>
      </w:r>
      <w:r>
        <w:t xml:space="preserve"> </w:t>
      </w:r>
      <w:r>
        <w:t xml:space="preserve">Medium lorry</w:t>
      </w:r>
      <w:r>
        <w:t xml:space="preserve"> </w:t>
      </w:r>
      <w:r>
        <w:t xml:space="preserve">54</w:t>
      </w:r>
      <w:r>
        <w:t xml:space="preserve"> </w:t>
      </w:r>
      <w:r>
        <w:t xml:space="preserve">0.59</w:t>
      </w:r>
      <w:r>
        <w:br/>
      </w:r>
      <w:r>
        <w:t xml:space="preserve">P31</w:t>
      </w:r>
      <w:r>
        <w:t xml:space="preserve"> </w:t>
      </w:r>
      <w:r>
        <w:t xml:space="preserve">3.44</w:t>
      </w:r>
      <w:r>
        <w:t xml:space="preserve"> </w:t>
      </w:r>
      <w:r>
        <w:t xml:space="preserve">4.80</w:t>
      </w:r>
      <w:r>
        <w:t xml:space="preserve"> </w:t>
      </w:r>
      <w:r>
        <w:t xml:space="preserve">Heavy bus (low floor)</w:t>
      </w:r>
      <w:r>
        <w:t xml:space="preserve"> </w:t>
      </w:r>
      <w:r>
        <w:t xml:space="preserve">P33</w:t>
      </w:r>
      <w:r>
        <w:t xml:space="preserve"> </w:t>
      </w:r>
      <w:r>
        <w:t xml:space="preserve">0.37</w:t>
      </w:r>
      <w:r>
        <w:t xml:space="preserve"> </w:t>
      </w:r>
      <w:r>
        <w:t xml:space="preserve">P35</w:t>
      </w:r>
      <w:r>
        <w:t xml:space="preserve"> </w:t>
      </w:r>
      <w:r>
        <w:t xml:space="preserve">0.99</w:t>
      </w:r>
      <w:r>
        <w:t xml:space="preserve"> </w:t>
      </w:r>
      <w:r>
        <w:t xml:space="preserve">P32</w:t>
      </w:r>
      <w:r>
        <w:t xml:space="preserve"> </w:t>
      </w:r>
      <w:r>
        <w:t xml:space="preserve">3.04</w:t>
      </w:r>
      <w:r>
        <w:t xml:space="preserve"> </w:t>
      </w:r>
      <w:r>
        <w:t xml:space="preserve">4.14</w:t>
      </w:r>
      <w:r>
        <w:t xml:space="preserve"> </w:t>
      </w:r>
      <w:r>
        <w:t xml:space="preserve">Heavy bus (high floor)</w:t>
      </w:r>
      <w:r>
        <w:t xml:space="preserve"> </w:t>
      </w:r>
      <w:r>
        <w:t xml:space="preserve">P34</w:t>
      </w:r>
      <w:r>
        <w:t xml:space="preserve"> </w:t>
      </w:r>
      <w:r>
        <w:t xml:space="preserve">1.10</w:t>
      </w:r>
      <w:r>
        <w:t xml:space="preserve"> </w:t>
      </w:r>
      <w:r>
        <w:t xml:space="preserve">P37 and P39*</w:t>
      </w:r>
      <w:r>
        <w:t xml:space="preserve"> </w:t>
      </w:r>
      <w:r>
        <w:t xml:space="preserve">0.19</w:t>
      </w:r>
      <w:r>
        <w:t xml:space="preserve"> </w:t>
      </w:r>
      <w:r>
        <w:t xml:space="preserve">0.19</w:t>
      </w:r>
      <w:r>
        <w:t xml:space="preserve"> </w:t>
      </w:r>
      <w:r>
        <w:t xml:space="preserve">Heavy bus (low floor)</w:t>
      </w:r>
      <w:r>
        <w:t xml:space="preserve"> </w:t>
      </w:r>
      <w:r>
        <w:t xml:space="preserve">P36, P38 and P40*</w:t>
      </w:r>
      <w:r>
        <w:t xml:space="preserve"> </w:t>
      </w:r>
      <w:r>
        <w:t xml:space="preserve">0</w:t>
      </w:r>
      <w:r>
        <w:t xml:space="preserve"> </w:t>
      </w:r>
      <w:r>
        <w:t xml:space="preserve">Heavy bus (high floor)</w:t>
      </w:r>
      <w:r>
        <w:t xml:space="preserve"> </w:t>
      </w:r>
      <w:r>
        <w:t xml:space="preserve">TOTAL</w:t>
      </w:r>
      <w:r>
        <w:t xml:space="preserve"> </w:t>
      </w:r>
      <w:r>
        <w:t xml:space="preserve">EMISSIONS</w:t>
      </w:r>
      <w:r>
        <w:t xml:space="preserve"> </w:t>
      </w:r>
      <w:r>
        <w:t xml:space="preserve">SCOPE 1</w:t>
      </w:r>
      <w:r>
        <w:t xml:space="preserve"> </w:t>
      </w:r>
      <w:r>
        <w:t xml:space="preserve">24.90%</w:t>
      </w:r>
    </w:p>
    <w:p>
      <w:pPr>
        <w:pStyle w:val="Compact"/>
        <w:numPr>
          <w:ilvl w:val="0"/>
          <w:numId w:val="1013"/>
        </w:numPr>
      </w:pPr>
      <w:r>
        <w:t xml:space="preserve">Given the low registration number of these vehicles and their special features (number of axles, size and</w:t>
      </w:r>
      <w:r>
        <w:t xml:space="preserve"> </w:t>
      </w:r>
      <w:r>
        <w:t xml:space="preserve">weight), setting a representative baseline CO2-level against which the future reduction targets can be</w:t>
      </w:r>
      <w:r>
        <w:t xml:space="preserve"> </w:t>
      </w:r>
      <w:r>
        <w:t xml:space="preserve">implemented for these bus groups P36, P37, P38, P39 and P40 can be statistically complicated.</w:t>
      </w:r>
    </w:p>
    <w:p>
      <w:pPr>
        <w:pStyle w:val="FirstParagraph"/>
      </w:pPr>
      <w:r>
        <w:t xml:space="preserve">Adopting option SCOPE 1 on top of SCOPE 0 would suppose regulating in total around</w:t>
      </w:r>
      <w:r>
        <w:t xml:space="preserve"> </w:t>
      </w:r>
      <w:r>
        <w:t xml:space="preserve">98.32% of the total HDV CO2 emissions. The vehicles producing the remaining 1.68%</w:t>
      </w:r>
      <w:r>
        <w:t xml:space="preserve"> </w:t>
      </w:r>
      <w:r>
        <w:t xml:space="preserve">(other vehicles) are described in next section 17.3.</w:t>
      </w:r>
      <w:r>
        <w:t xml:space="preserve"> </w:t>
      </w:r>
      <w:r>
        <w:t xml:space="preserve">1.29. 17.3</w:t>
      </w:r>
      <w:r>
        <w:t xml:space="preserve"> </w:t>
      </w:r>
      <w:r>
        <w:t xml:space="preserve">Extension of the scope - complementary information on ‘other</w:t>
      </w:r>
      <w:r>
        <w:t xml:space="preserve"> </w:t>
      </w:r>
      <w:r>
        <w:t xml:space="preserve">vehicles’</w:t>
      </w:r>
      <w:r>
        <w:t xml:space="preserve"> </w:t>
      </w:r>
      <w:r>
        <w:t xml:space="preserve">Some heavy-duty vehicles, for a variety of reasons, cannot have their CO2 emissions</w:t>
      </w:r>
      <w:r>
        <w:t xml:space="preserve"> </w:t>
      </w:r>
      <w:r>
        <w:t xml:space="preserve">certified in the foreseeable future through VECTO:</w:t>
      </w:r>
      <w:r>
        <w:t xml:space="preserve"> </w:t>
      </w:r>
      <w:r>
        <w:t xml:space="preserve"></w:t>
      </w:r>
      <w:r>
        <w:t xml:space="preserve"> </w:t>
      </w:r>
      <w:r>
        <w:t xml:space="preserve">Several heavy lorry groups not ready to be certified with VECTO;</w:t>
      </w:r>
      <w:r>
        <w:t xml:space="preserve"> </w:t>
      </w:r>
      <w:r>
        <w:t xml:space="preserve"></w:t>
      </w:r>
      <w:r>
        <w:t xml:space="preserve"> </w:t>
      </w:r>
      <w:r>
        <w:t xml:space="preserve">All lorries with TPMLM up to 5t (small lorries);</w:t>
      </w:r>
      <w:r>
        <w:t xml:space="preserve"> </w:t>
      </w:r>
      <w:r>
        <w:t xml:space="preserve"></w:t>
      </w:r>
      <w:r>
        <w:t xml:space="preserve"> </w:t>
      </w:r>
      <w:r>
        <w:t xml:space="preserve">All buses and coaches with TPMLM up to 7.5t (medium and small buses and</w:t>
      </w:r>
      <w:r>
        <w:t xml:space="preserve"> </w:t>
      </w:r>
      <w:r>
        <w:t xml:space="preserve">coaches);</w:t>
      </w:r>
      <w:r>
        <w:t xml:space="preserve"> </w:t>
      </w:r>
      <w:r>
        <w:t xml:space="preserve"></w:t>
      </w:r>
      <w:r>
        <w:t xml:space="preserve"> </w:t>
      </w:r>
      <w:r>
        <w:t xml:space="preserve">Very specific vehicles, including special purpose vehicles, e.g. auto-cranes,</w:t>
      </w:r>
      <w:r>
        <w:t xml:space="preserve"> </w:t>
      </w:r>
      <w:r>
        <w:t xml:space="preserve">firefighting lorries, etc., which are exempt from the scope of VECTO certification</w:t>
      </w:r>
      <w:r>
        <w:t xml:space="preserve"> </w:t>
      </w:r>
      <w:r>
        <w:t xml:space="preserve">and partially not even covered by type-approval legislation.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94</w:t>
      </w:r>
    </w:p>
    <w:p>
      <w:pPr>
        <w:pStyle w:val="BodyText"/>
      </w:pPr>
      <w:r>
        <w:t xml:space="preserve">The following Table 12 summarizes the groups of these ‘other vehicles’, their CO2</w:t>
      </w:r>
      <w:r>
        <w:t xml:space="preserve"> </w:t>
      </w:r>
      <w:r>
        <w:t xml:space="preserve">certification status together with their estimated CO2 emissions production.</w:t>
      </w:r>
    </w:p>
    <w:p>
      <w:pPr>
        <w:pStyle w:val="BodyText"/>
      </w:pPr>
      <w:r>
        <w:t xml:space="preserve">Table 12. ‘Other vehicles’ groups certification status and contribution to CO2</w:t>
      </w:r>
      <w:r>
        <w:t xml:space="preserve"> </w:t>
      </w:r>
      <w:r>
        <w:t xml:space="preserve">emissions</w:t>
      </w:r>
      <w:r>
        <w:t xml:space="preserve"> </w:t>
      </w:r>
      <w:r>
        <w:t xml:space="preserve">Group</w:t>
      </w:r>
      <w:r>
        <w:t xml:space="preserve"> </w:t>
      </w:r>
      <w:r>
        <w:t xml:space="preserve">Vehicle groups</w:t>
      </w:r>
      <w:r>
        <w:t xml:space="preserve"> </w:t>
      </w:r>
      <w:r>
        <w:t xml:space="preserve">Certification status</w:t>
      </w:r>
      <w:r>
        <w:t xml:space="preserve"> </w:t>
      </w:r>
      <w:r>
        <w:t xml:space="preserve">Contribution to the</w:t>
      </w:r>
      <w:r>
        <w:t xml:space="preserve"> </w:t>
      </w:r>
      <w:r>
        <w:t xml:space="preserve">overall HDV fleet</w:t>
      </w:r>
      <w:r>
        <w:t xml:space="preserve"> </w:t>
      </w:r>
      <w:r>
        <w:t xml:space="preserve">CO2 emissions</w:t>
      </w:r>
      <w:r>
        <w:t xml:space="preserve"> </w:t>
      </w:r>
      <w:r>
        <w:t xml:space="preserve">A</w:t>
      </w:r>
      <w:r>
        <w:t xml:space="preserve"> </w:t>
      </w:r>
      <w:r>
        <w:t xml:space="preserve">Heavy lorries from groups</w:t>
      </w:r>
      <w:r>
        <w:t xml:space="preserve"> </w:t>
      </w:r>
      <w:r>
        <w:t xml:space="preserve">6, 7, 8, 13, 14, 15, 17, 18</w:t>
      </w:r>
      <w:r>
        <w:t xml:space="preserve"> </w:t>
      </w:r>
      <w:r>
        <w:t xml:space="preserve">and</w:t>
      </w:r>
      <w:r>
        <w:t xml:space="preserve"> </w:t>
      </w:r>
      <w:r>
        <w:t xml:space="preserve">19:</w:t>
      </w:r>
      <w:r>
        <w:t xml:space="preserve"> </w:t>
      </w:r>
      <w:r>
        <w:t xml:space="preserve">Lorries</w:t>
      </w:r>
      <w:r>
        <w:t xml:space="preserve"> </w:t>
      </w:r>
      <w:r>
        <w:t xml:space="preserve">with</w:t>
      </w:r>
      <w:r>
        <w:t xml:space="preserve"> </w:t>
      </w:r>
      <w:r>
        <w:t xml:space="preserve">particular</w:t>
      </w:r>
      <w:r>
        <w:t xml:space="preserve"> </w:t>
      </w:r>
      <w:r>
        <w:t xml:space="preserve">axle</w:t>
      </w:r>
      <w:r>
        <w:t xml:space="preserve"> </w:t>
      </w:r>
      <w:r>
        <w:t xml:space="preserve">configurations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cases</w:t>
      </w:r>
      <w:r>
        <w:t xml:space="preserve"> </w:t>
      </w:r>
      <w:r>
        <w:t xml:space="preserve">(e.g. </w:t>
      </w:r>
      <w:r>
        <w:t xml:space="preserve"> </w:t>
      </w:r>
      <w:r>
        <w:t xml:space="preserve">forestry,</w:t>
      </w:r>
      <w:r>
        <w:t xml:space="preserve"> </w:t>
      </w:r>
      <w:r>
        <w:t xml:space="preserve">agriculture);</w:t>
      </w:r>
      <w:r>
        <w:t xml:space="preserve"> </w:t>
      </w:r>
      <w:r>
        <w:t xml:space="preserve">No certified CO2 emissions</w:t>
      </w:r>
      <w:r>
        <w:t xml:space="preserve"> </w:t>
      </w:r>
      <w:r>
        <w:t xml:space="preserve">available since they are not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Emissions</w:t>
      </w:r>
      <w:r>
        <w:t xml:space="preserve"> </w:t>
      </w:r>
      <w:r>
        <w:t xml:space="preserve">Determination Regulation</w:t>
      </w:r>
    </w:p>
    <w:p>
      <w:pPr>
        <w:pStyle w:val="BodyText"/>
      </w:pPr>
      <w:r>
        <w:t xml:space="preserve">0.96%</w:t>
      </w:r>
      <w:r>
        <w:t xml:space="preserve"> </w:t>
      </w:r>
      <w:r>
        <w:t xml:space="preserve">B</w:t>
      </w:r>
    </w:p>
    <w:p>
      <w:pPr>
        <w:pStyle w:val="BodyText"/>
      </w:pPr>
      <w:r>
        <w:t xml:space="preserve">Small</w:t>
      </w:r>
      <w:r>
        <w:t xml:space="preserve"> </w:t>
      </w:r>
      <w:r>
        <w:t xml:space="preserve">lorries</w:t>
      </w:r>
      <w:r>
        <w:t xml:space="preserve"> </w:t>
      </w:r>
      <w:r>
        <w:t xml:space="preserve">with</w:t>
      </w:r>
      <w:r>
        <w:t xml:space="preserve"> </w:t>
      </w:r>
      <w:r>
        <w:t xml:space="preserve">TPMLM up to 5 t</w:t>
      </w:r>
      <w:r>
        <w:t xml:space="preserve"> </w:t>
      </w:r>
      <w:r>
        <w:t xml:space="preserve">No certified CO2 emissions</w:t>
      </w:r>
      <w:r>
        <w:t xml:space="preserve"> </w:t>
      </w:r>
      <w:r>
        <w:t xml:space="preserve">available since they are not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Emissions</w:t>
      </w:r>
      <w:r>
        <w:t xml:space="preserve"> </w:t>
      </w:r>
      <w:r>
        <w:t xml:space="preserve">Determination Regulation.</w:t>
      </w:r>
      <w:r>
        <w:t xml:space="preserve"> </w:t>
      </w:r>
      <w:r>
        <w:t xml:space="preserve">0.42%</w:t>
      </w:r>
      <w:r>
        <w:br/>
      </w:r>
      <w:r>
        <w:t xml:space="preserve">C</w:t>
      </w:r>
    </w:p>
    <w:p>
      <w:pPr>
        <w:pStyle w:val="BodyText"/>
      </w:pPr>
      <w:r>
        <w:t xml:space="preserve">Small buses and coaches</w:t>
      </w:r>
      <w:r>
        <w:t xml:space="preserve"> </w:t>
      </w:r>
      <w:r>
        <w:t xml:space="preserve">with TPMLM up to 7.5 t</w:t>
      </w:r>
      <w:r>
        <w:br/>
      </w:r>
      <w:r>
        <w:t xml:space="preserve">No certified CO2 emissions</w:t>
      </w:r>
      <w:r>
        <w:t xml:space="preserve"> </w:t>
      </w:r>
      <w:r>
        <w:t xml:space="preserve">available since they are not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Emissions</w:t>
      </w:r>
      <w:r>
        <w:t xml:space="preserve"> </w:t>
      </w:r>
      <w:r>
        <w:t xml:space="preserve">Determination Regulation.</w:t>
      </w:r>
      <w:r>
        <w:t xml:space="preserve"> </w:t>
      </w:r>
      <w:r>
        <w:t xml:space="preserve">0.3%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Very</w:t>
      </w:r>
      <w:r>
        <w:t xml:space="preserve"> </w:t>
      </w:r>
      <w:r>
        <w:t xml:space="preserve">specific</w:t>
      </w:r>
      <w:r>
        <w:t xml:space="preserve"> </w:t>
      </w:r>
      <w:r>
        <w:t xml:space="preserve">vehicles</w:t>
      </w:r>
      <w:r>
        <w:t xml:space="preserve"> </w:t>
      </w:r>
      <w:r>
        <w:t xml:space="preserve">including special purpose</w:t>
      </w:r>
      <w:r>
        <w:t xml:space="preserve"> </w:t>
      </w:r>
      <w:r>
        <w:t xml:space="preserve">vehicles</w:t>
      </w:r>
      <w:r>
        <w:t xml:space="preserve"> </w:t>
      </w:r>
      <w:r>
        <w:t xml:space="preserve">No certified CO2 emissions</w:t>
      </w:r>
      <w:r>
        <w:t xml:space="preserve"> </w:t>
      </w:r>
      <w:r>
        <w:t xml:space="preserve">available because exempt from</w:t>
      </w:r>
      <w:r>
        <w:t xml:space="preserve"> </w:t>
      </w:r>
      <w:r>
        <w:t xml:space="preserve">the scope of the Emissions</w:t>
      </w:r>
      <w:r>
        <w:t xml:space="preserve"> </w:t>
      </w:r>
      <w:r>
        <w:t xml:space="preserve">Determination Regulations.</w:t>
      </w:r>
      <w:r>
        <w:t xml:space="preserve"> </w:t>
      </w:r>
      <w:r>
        <w:t xml:space="preserve">Some</w:t>
      </w:r>
      <w:r>
        <w:t xml:space="preserve"> </w:t>
      </w:r>
      <w:r>
        <w:t xml:space="preserve">vehicles,</w:t>
      </w:r>
      <w:r>
        <w:t xml:space="preserve"> </w:t>
      </w:r>
      <w:r>
        <w:t xml:space="preserve">as</w:t>
      </w:r>
      <w:r>
        <w:t xml:space="preserve"> </w:t>
      </w:r>
      <w:r>
        <w:t xml:space="preserve">off-road</w:t>
      </w:r>
      <w:r>
        <w:t xml:space="preserve"> </w:t>
      </w:r>
      <w:r>
        <w:t xml:space="preserve">vehicles, are even not registered.</w:t>
      </w:r>
      <w:r>
        <w:t xml:space="preserve"> </w:t>
      </w:r>
      <w:r>
        <w:t xml:space="preserve">No data available.</w:t>
      </w:r>
      <w:r>
        <w:t xml:space="preserve"> </w:t>
      </w:r>
      <w:r>
        <w:t xml:space="preserve">Contribution expected</w:t>
      </w:r>
      <w:r>
        <w:t xml:space="preserve"> </w:t>
      </w:r>
      <w:r>
        <w:t xml:space="preserve">to be very small due</w:t>
      </w:r>
      <w:r>
        <w:t xml:space="preserve"> </w:t>
      </w:r>
      <w:r>
        <w:t xml:space="preserve">to</w:t>
      </w:r>
      <w:r>
        <w:t xml:space="preserve"> </w:t>
      </w:r>
      <w:r>
        <w:t xml:space="preserve">typically</w:t>
      </w:r>
      <w:r>
        <w:t xml:space="preserve"> </w:t>
      </w:r>
      <w:r>
        <w:t xml:space="preserve">low</w:t>
      </w:r>
      <w:r>
        <w:t xml:space="preserve"> </w:t>
      </w:r>
      <w:r>
        <w:t xml:space="preserve">mileage and speed.</w:t>
      </w:r>
    </w:p>
    <w:p>
      <w:pPr>
        <w:pStyle w:val="BodyText"/>
      </w:pPr>
      <w:r>
        <w:t xml:space="preserve">1.30. 17.4</w:t>
      </w:r>
      <w:r>
        <w:t xml:space="preserve"> </w:t>
      </w:r>
      <w:r>
        <w:t xml:space="preserve">Extension of the scope – exemption to Small Volume</w:t>
      </w:r>
      <w:r>
        <w:t xml:space="preserve"> </w:t>
      </w:r>
      <w:r>
        <w:t xml:space="preserve">Manufacturers (SVM)</w:t>
      </w:r>
      <w:r>
        <w:t xml:space="preserve"> </w:t>
      </w:r>
      <w:r>
        <w:t xml:space="preserve">Meeting compliance requirements of the HDV Regulation implies a certain burden for</w:t>
      </w:r>
      <w:r>
        <w:t xml:space="preserve"> </w:t>
      </w:r>
      <w:r>
        <w:t xml:space="preserve">the manufacturers. The corresponding costs are made of two components:</w:t>
      </w:r>
      <w:r>
        <w:br/>
      </w:r>
      <w:r>
        <w:t xml:space="preserve"></w:t>
      </w:r>
      <w:r>
        <w:t xml:space="preserve"> </w:t>
      </w:r>
      <w:r>
        <w:t xml:space="preserve">Fixed entry costs related to development and investment;</w:t>
      </w:r>
      <w:r>
        <w:t xml:space="preserve"> </w:t>
      </w:r>
      <w:r>
        <w:t xml:space="preserve"></w:t>
      </w:r>
      <w:r>
        <w:t xml:space="preserve"> </w:t>
      </w:r>
      <w:r>
        <w:t xml:space="preserve">Variable costs evolving proportionally along the number of manufactured</w:t>
      </w:r>
      <w:r>
        <w:t xml:space="preserve"> </w:t>
      </w:r>
      <w:r>
        <w:t xml:space="preserve">vehicles.</w:t>
      </w:r>
      <w:r>
        <w:br/>
      </w:r>
      <w:r>
        <w:t xml:space="preserve">Since fixed costs apply from the first vehicle produced, the smaller the manufacturer, the</w:t>
      </w:r>
      <w:r>
        <w:t xml:space="preserve"> </w:t>
      </w:r>
      <w:r>
        <w:t xml:space="preserve">higher the relative economic effort per vehicle to meet the regulatory requirements.</w:t>
      </w:r>
      <w:r>
        <w:t xml:space="preserve"> </w:t>
      </w:r>
      <w:r>
        <w:t xml:space="preserve">Extending the scope to regulate more vehicles would imply, given the dependence on</w:t>
      </w:r>
      <w:r>
        <w:t xml:space="preserve"> </w:t>
      </w:r>
      <w:r>
        <w:t xml:space="preserve">economies of scale, for smaller manufacturers putting on the market a very limited</w:t>
      </w:r>
      <w:r>
        <w:t xml:space="preserve"> </w:t>
      </w:r>
      <w:r>
        <w:t xml:space="preserve">number of vehicles, a relatively high economic impact whilst a marginal resulting benefit</w:t>
      </w:r>
      <w:r>
        <w:t xml:space="preserve"> </w:t>
      </w:r>
      <w:r>
        <w:t xml:space="preserve">in terms of CO2 emissions reduction would be delivered in exchange.</w:t>
      </w:r>
      <w:r>
        <w:t xml:space="preserve"> </w:t>
      </w:r>
      <w:r>
        <w:t xml:space="preserve">The cost analysis indicates that variable technology costs are largely similar across the</w:t>
      </w:r>
      <w:r>
        <w:t xml:space="preserve"> </w:t>
      </w:r>
      <w:r>
        <w:t xml:space="preserve">various groups of lorries. Some</w:t>
      </w:r>
      <w:r>
        <w:t xml:space="preserve"> </w:t>
      </w:r>
      <w:r>
        <w:t xml:space="preserve">‘cross-fertilisation’</w:t>
      </w:r>
      <w:r>
        <w:t xml:space="preserve"> </w:t>
      </w:r>
      <w:r>
        <w:t xml:space="preserve">effect of technologies is also likely to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95</w:t>
      </w:r>
    </w:p>
    <w:p>
      <w:pPr>
        <w:pStyle w:val="BodyText"/>
      </w:pPr>
      <w:r>
        <w:t xml:space="preserve">take place with other vehicles groups such as buses and lorries. As the relative share of</w:t>
      </w:r>
      <w:r>
        <w:t xml:space="preserve"> </w:t>
      </w:r>
      <w:r>
        <w:t xml:space="preserve">the fixed technology costs for an individual vehicle decreases with the number of</w:t>
      </w:r>
      <w:r>
        <w:t xml:space="preserve"> </w:t>
      </w:r>
      <w:r>
        <w:t xml:space="preserve">vehicles for which the technology is installed, economies of scale would make option</w:t>
      </w:r>
      <w:r>
        <w:t xml:space="preserve"> </w:t>
      </w:r>
      <w:r>
        <w:t xml:space="preserve">SCOPE 1 and SCOPE 2 more cost-efficient from the societal point of view for achieving</w:t>
      </w:r>
      <w:r>
        <w:t xml:space="preserve"> </w:t>
      </w:r>
      <w:r>
        <w:t xml:space="preserve">a given CO2 emissions reduction target when compared to option SCOPE 0. Therefore,</w:t>
      </w:r>
      <w:r>
        <w:t xml:space="preserve"> </w:t>
      </w:r>
      <w:r>
        <w:t xml:space="preserve">exempting Small Volume Manufacturers (SVM) from meeting the targets needs to be</w:t>
      </w:r>
      <w:r>
        <w:t xml:space="preserve"> </w:t>
      </w:r>
      <w:r>
        <w:t xml:space="preserve">considered to avoid a major burden on smaller companies</w:t>
      </w:r>
      <w:r>
        <w:t xml:space="preserve"> </w:t>
      </w:r>
      <w:r>
        <w:t xml:space="preserve">The criteria to determine what a SVM should meet a compromise solution between two</w:t>
      </w:r>
      <w:r>
        <w:t xml:space="preserve"> </w:t>
      </w:r>
      <w:r>
        <w:t xml:space="preserve">factors:</w:t>
      </w:r>
      <w:r>
        <w:t xml:space="preserve"> </w:t>
      </w:r>
      <w:r>
        <w:t xml:space="preserve"></w:t>
      </w:r>
      <w:r>
        <w:t xml:space="preserve"> </w:t>
      </w:r>
      <w:r>
        <w:t xml:space="preserve">The relative total compliance costs (both fixed and variable) supported by the</w:t>
      </w:r>
      <w:r>
        <w:t xml:space="preserve"> </w:t>
      </w:r>
      <w:r>
        <w:t xml:space="preserve">manufacturer;</w:t>
      </w:r>
      <w:r>
        <w:t xml:space="preserve"> </w:t>
      </w:r>
      <w:r>
        <w:t xml:space="preserve"></w:t>
      </w:r>
      <w:r>
        <w:t xml:space="preserve"> </w:t>
      </w:r>
      <w:r>
        <w:t xml:space="preserve">The resulting CO2 emissions that would be waived from the regulatory scope</w:t>
      </w:r>
      <w:r>
        <w:t xml:space="preserve"> </w:t>
      </w:r>
      <w:r>
        <w:t xml:space="preserve">from the vehicles put in the market by manufacturers meeting the criteria</w:t>
      </w:r>
      <w:r>
        <w:t xml:space="preserve"> </w:t>
      </w:r>
      <w:r>
        <w:t xml:space="preserve">Therefore, the upper the threshold criteria to determine what a SVM is, the higher also</w:t>
      </w:r>
      <w:r>
        <w:t xml:space="preserve"> </w:t>
      </w:r>
      <w:r>
        <w:t xml:space="preserve">the amount of benefitted smaller manufacturers, but the less efficient the regulation will</w:t>
      </w:r>
      <w:r>
        <w:t xml:space="preserve"> </w:t>
      </w:r>
      <w:r>
        <w:t xml:space="preserve">control CO2 emissions from new vehicles.</w:t>
      </w:r>
      <w:r>
        <w:br/>
      </w:r>
      <w:r>
        <w:t xml:space="preserve">The key parameter to decide what a SVM may be the number of vehicles registered</w:t>
      </w:r>
      <w:r>
        <w:t xml:space="preserve"> </w:t>
      </w:r>
      <w:r>
        <w:t xml:space="preserve">every year in the Union. Despite other metrics associated to the condition of SMEs</w:t>
      </w:r>
      <w:r>
        <w:t xml:space="preserve"> </w:t>
      </w:r>
      <w:r>
        <w:t xml:space="preserve">could be taken instead (number of employees, balance sheet assets, annual turnover or</w:t>
      </w:r>
      <w:r>
        <w:t xml:space="preserve"> </w:t>
      </w:r>
      <w:r>
        <w:t xml:space="preserve">revenues, etc.), they may not provide clear information whether corporative actions</w:t>
      </w:r>
      <w:r>
        <w:t xml:space="preserve"> </w:t>
      </w:r>
      <w:r>
        <w:t xml:space="preserve">happen, as mergers, acquisitions, or spin-offs. In addition, the HDV business structure</w:t>
      </w:r>
      <w:r>
        <w:t xml:space="preserve"> </w:t>
      </w:r>
      <w:r>
        <w:t xml:space="preserve">show a quite linear distribution directly linked to the sales figures. In addition, the</w:t>
      </w:r>
      <w:r>
        <w:t xml:space="preserve"> </w:t>
      </w:r>
      <w:r>
        <w:t xml:space="preserve">compliance legal costs can be shared by different companies of a same group, the number</w:t>
      </w:r>
      <w:r>
        <w:t xml:space="preserve"> </w:t>
      </w:r>
      <w:r>
        <w:t xml:space="preserve">of registered vehicles should apply to the whole business perimeter defined by connected</w:t>
      </w:r>
      <w:r>
        <w:t xml:space="preserve"> </w:t>
      </w:r>
      <w:r>
        <w:t xml:space="preserve">undertakings and entities. Some stakeholders supporting the SVM exemption during the</w:t>
      </w:r>
      <w:r>
        <w:t xml:space="preserve"> </w:t>
      </w:r>
      <w:r>
        <w:t xml:space="preserve">public consultation defined this metric as the most appropriate, while alternative metrics</w:t>
      </w:r>
      <w:r>
        <w:t xml:space="preserve"> </w:t>
      </w:r>
      <w:r>
        <w:t xml:space="preserve">have not been proposed.</w:t>
      </w:r>
      <w:r>
        <w:t xml:space="preserve"> </w:t>
      </w:r>
      <w:r>
        <w:t xml:space="preserve">Given the peculiarities of the structure of the HDV market (and an extreme segmentation</w:t>
      </w:r>
      <w:r>
        <w:t xml:space="preserve"> </w:t>
      </w:r>
      <w:r>
        <w:t xml:space="preserve">in some niche cases) as a starting point setting differentiated SMV thresholds according</w:t>
      </w:r>
      <w:r>
        <w:t xml:space="preserve"> </w:t>
      </w:r>
      <w:r>
        <w:t xml:space="preserve">to the different vehicle groups seems reasonable and is also supported by stakeholders.</w:t>
      </w:r>
      <w:r>
        <w:t xml:space="preserve"> </w:t>
      </w:r>
      <w:r>
        <w:t xml:space="preserve">Possible SVM thresholds will therefore be investigated separately for the following</w:t>
      </w:r>
      <w:r>
        <w:t xml:space="preserve"> </w:t>
      </w:r>
      <w:r>
        <w:t xml:space="preserve">vehicle groups falling within the scope options proposed</w:t>
      </w:r>
      <w:r>
        <w:br/>
      </w:r>
      <w:r>
        <w:t xml:space="preserve"> Lorries with TPMLM over 5t (SCOPE 1);</w:t>
      </w:r>
      <w:r>
        <w:t xml:space="preserve"> </w:t>
      </w:r>
      <w:r>
        <w:t xml:space="preserve"> Buses and coaches with TPMLM over 7.5t (SCOPE 1);</w:t>
      </w:r>
      <w:r>
        <w:t xml:space="preserve"> </w:t>
      </w:r>
      <w:r>
        <w:t xml:space="preserve"> Trailers and semi-trailers of category O4 and O3 and a TPMLM over 8t (heavy</w:t>
      </w:r>
      <w:r>
        <w:t xml:space="preserve"> </w:t>
      </w:r>
      <w:r>
        <w:t xml:space="preserve">trailers, falling under SCOPE 2).</w:t>
      </w:r>
    </w:p>
    <w:p>
      <w:pPr>
        <w:pStyle w:val="BodyText"/>
      </w:pPr>
      <w:r>
        <w:t xml:space="preserve">17.4.1</w:t>
      </w:r>
      <w:r>
        <w:t xml:space="preserve"> </w:t>
      </w:r>
      <w:r>
        <w:t xml:space="preserve">SVM determination methodology</w:t>
      </w:r>
      <w:r>
        <w:t xml:space="preserve"> </w:t>
      </w:r>
      <w:r>
        <w:t xml:space="preserve">The information reported by the Member States to the EEA identifies manufacturers of</w:t>
      </w:r>
      <w:r>
        <w:t xml:space="preserve"> </w:t>
      </w:r>
      <w:r>
        <w:t xml:space="preserve">primary and completed vehicles and trailers. As sales from years 2020 and 2021 were</w:t>
      </w:r>
      <w:r>
        <w:t xml:space="preserve"> </w:t>
      </w:r>
      <w:r>
        <w:t xml:space="preserve">severely affected by the COVID-19 crisis, it seems reasonable to consider a wider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96</w:t>
      </w:r>
    </w:p>
    <w:p>
      <w:pPr>
        <w:pStyle w:val="BodyText"/>
      </w:pPr>
      <w:r>
        <w:t xml:space="preserve">database set to ensure a more representative analysis. Therefore, considered reporting</w:t>
      </w:r>
      <w:r>
        <w:t xml:space="preserve"> </w:t>
      </w:r>
      <w:r>
        <w:t xml:space="preserve">periods taken are years 2019, 2020 and first half of 202194.</w:t>
      </w:r>
      <w:r>
        <w:t xml:space="preserve"> </w:t>
      </w:r>
      <w:r>
        <w:t xml:space="preserve">17.1.1.1</w:t>
      </w:r>
      <w:r>
        <w:t xml:space="preserve"> </w:t>
      </w:r>
      <w:r>
        <w:t xml:space="preserve">Lorries in SCOPE 1</w:t>
      </w:r>
      <w:r>
        <w:t xml:space="preserve"> </w:t>
      </w:r>
      <w:r>
        <w:t xml:space="preserve">67 manufacturers registered in the different Member States of the EU over 600,000 N2</w:t>
      </w:r>
      <w:r>
        <w:t xml:space="preserve"> </w:t>
      </w:r>
      <w:r>
        <w:t xml:space="preserve">and N3 lorries exceeding TPMLM 5t (over 250,000 during a normalized average year).</w:t>
      </w:r>
      <w:r>
        <w:t xml:space="preserve"> </w:t>
      </w:r>
      <w:r>
        <w:t xml:space="preserve">Main large and consolidated OEM, together with their confirmed subsidiaries, registered</w:t>
      </w:r>
      <w:r>
        <w:t xml:space="preserve"> </w:t>
      </w:r>
      <w:r>
        <w:t xml:space="preserve">nearly 99.60% of vehicles total:</w:t>
      </w:r>
      <w:r>
        <w:t xml:space="preserve"> </w:t>
      </w:r>
      <w:r>
        <w:t xml:space="preserve"></w:t>
      </w:r>
      <w:r>
        <w:t xml:space="preserve"> </w:t>
      </w:r>
      <w:r>
        <w:t xml:space="preserve">Daimler Truck (Daimler, Mercedes-Benz, Fuso)</w:t>
      </w:r>
      <w:r>
        <w:t xml:space="preserve"> </w:t>
      </w:r>
      <w:r>
        <w:t xml:space="preserve"></w:t>
      </w:r>
      <w:r>
        <w:t xml:space="preserve"> </w:t>
      </w:r>
      <w:r>
        <w:t xml:space="preserve">Traton Group (Scania, MAN, Volkswagen)</w:t>
      </w:r>
      <w:r>
        <w:t xml:space="preserve"> </w:t>
      </w:r>
      <w:r>
        <w:t xml:space="preserve"></w:t>
      </w:r>
      <w:r>
        <w:t xml:space="preserve"> </w:t>
      </w:r>
      <w:r>
        <w:t xml:space="preserve">Volvo Group (Volvo Truck, Renault)</w:t>
      </w:r>
      <w:r>
        <w:t xml:space="preserve"> </w:t>
      </w:r>
      <w:r>
        <w:t xml:space="preserve"></w:t>
      </w:r>
      <w:r>
        <w:t xml:space="preserve"> </w:t>
      </w:r>
      <w:r>
        <w:t xml:space="preserve">PACCAR (DAF)</w:t>
      </w:r>
      <w:r>
        <w:t xml:space="preserve"> </w:t>
      </w:r>
      <w:r>
        <w:t xml:space="preserve"></w:t>
      </w:r>
      <w:r>
        <w:t xml:space="preserve"> </w:t>
      </w:r>
      <w:r>
        <w:t xml:space="preserve">CNH Industrial (IVECO)</w:t>
      </w:r>
      <w:r>
        <w:t xml:space="preserve"> </w:t>
      </w:r>
      <w:r>
        <w:t xml:space="preserve"></w:t>
      </w:r>
      <w:r>
        <w:t xml:space="preserve"> </w:t>
      </w:r>
      <w:r>
        <w:t xml:space="preserve">Isuzu</w:t>
      </w:r>
      <w:r>
        <w:t xml:space="preserve"> </w:t>
      </w:r>
      <w:r>
        <w:t xml:space="preserve">The remaining 56 manufacturers registered during an average reporting year nearly 1,000</w:t>
      </w:r>
      <w:r>
        <w:t xml:space="preserve"> </w:t>
      </w:r>
      <w:r>
        <w:t xml:space="preserve">lorries split into: 13 manufacturers delivering around 850 special purpose vehicles only</w:t>
      </w:r>
      <w:r>
        <w:t xml:space="preserve"> </w:t>
      </w:r>
      <w:r>
        <w:t xml:space="preserve">(e.g., refuse collection vehicles, fire engines, etc. all vehicles out of both options SCOPE</w:t>
      </w:r>
      <w:r>
        <w:t xml:space="preserve"> </w:t>
      </w:r>
      <w:r>
        <w:t xml:space="preserve">1 and SCOPE 2) and remaining 43 small manufacturers registering less than 150 lorries.</w:t>
      </w:r>
      <w:r>
        <w:t xml:space="preserve"> </w:t>
      </w:r>
      <w:r>
        <w:t xml:space="preserve">None of these small manufacturers was found to register more than 25 vehicles during a</w:t>
      </w:r>
      <w:r>
        <w:t xml:space="preserve"> </w:t>
      </w:r>
      <w:r>
        <w:t xml:space="preserve">normalized year. The below Table 13 summarizes the situation on an average year:</w:t>
      </w:r>
      <w:r>
        <w:t xml:space="preserve"> </w:t>
      </w:r>
      <w:r>
        <w:t xml:space="preserve">Table 13. Lorries in SCOPE 1 registered along an average normalised year</w:t>
      </w:r>
      <w:r>
        <w:t xml:space="preserve"> </w:t>
      </w:r>
      <w:r>
        <w:t xml:space="preserve">classified by manufacturers</w:t>
      </w:r>
    </w:p>
    <w:p>
      <w:pPr>
        <w:pStyle w:val="BodyText"/>
      </w:pPr>
      <w:r>
        <w:t xml:space="preserve">Main OEM and</w:t>
      </w:r>
      <w:r>
        <w:t xml:space="preserve"> </w:t>
      </w:r>
      <w:r>
        <w:t xml:space="preserve">subsidiaries</w:t>
      </w:r>
      <w:r>
        <w:t xml:space="preserve"> </w:t>
      </w:r>
      <w:r>
        <w:t xml:space="preserve">Special purpose</w:t>
      </w:r>
      <w:r>
        <w:t xml:space="preserve"> </w:t>
      </w:r>
      <w:r>
        <w:t xml:space="preserve">manufacturers</w:t>
      </w:r>
      <w:r>
        <w:t xml:space="preserve"> </w:t>
      </w:r>
      <w:r>
        <w:t xml:space="preserve">Smaller</w:t>
      </w:r>
      <w:r>
        <w:t xml:space="preserve"> </w:t>
      </w:r>
      <w:r>
        <w:t xml:space="preserve">manufacturers*</w:t>
      </w:r>
      <w:r>
        <w:t xml:space="preserve"> </w:t>
      </w:r>
      <w:r>
        <w:t xml:space="preserve">Registered vehicles on a</w:t>
      </w:r>
      <w:r>
        <w:t xml:space="preserve"> </w:t>
      </w:r>
      <w:r>
        <w:t xml:space="preserve">normalized year</w:t>
      </w:r>
      <w:r>
        <w:t xml:space="preserve"> </w:t>
      </w:r>
      <w:r>
        <w:t xml:space="preserve">Over 250,000</w:t>
      </w:r>
      <w:r>
        <w:br/>
      </w:r>
      <w:r>
        <w:t xml:space="preserve">Around 850</w:t>
      </w:r>
      <w:r>
        <w:t xml:space="preserve"> </w:t>
      </w:r>
      <w:r>
        <w:t xml:space="preserve">Less than 150</w:t>
      </w:r>
      <w:r>
        <w:br/>
      </w:r>
      <w:r>
        <w:t xml:space="preserve">Identified manufacturers</w:t>
      </w:r>
      <w:r>
        <w:br/>
      </w:r>
      <w:r>
        <w:t xml:space="preserve">11</w:t>
      </w:r>
      <w:r>
        <w:t xml:space="preserve"> </w:t>
      </w:r>
      <w:r>
        <w:t xml:space="preserve">13</w:t>
      </w:r>
      <w:r>
        <w:t xml:space="preserve"> </w:t>
      </w:r>
      <w:r>
        <w:t xml:space="preserve">43</w:t>
      </w:r>
      <w:r>
        <w:t xml:space="preserve"> </w:t>
      </w:r>
      <w:r>
        <w:t xml:space="preserve">Average yearly normalised</w:t>
      </w:r>
      <w:r>
        <w:t xml:space="preserve"> </w:t>
      </w:r>
      <w:r>
        <w:t xml:space="preserve">production</w:t>
      </w:r>
      <w:r>
        <w:t xml:space="preserve"> </w:t>
      </w:r>
      <w:r>
        <w:t xml:space="preserve">ca. 23,000</w:t>
      </w:r>
      <w:r>
        <w:br/>
      </w:r>
      <w:r>
        <w:t xml:space="preserve">Ca. 65</w:t>
      </w:r>
      <w:r>
        <w:t xml:space="preserve"> </w:t>
      </w:r>
      <w:r>
        <w:t xml:space="preserve">~ 3</w:t>
      </w:r>
    </w:p>
    <w:p>
      <w:pPr>
        <w:pStyle w:val="Compact"/>
        <w:numPr>
          <w:ilvl w:val="0"/>
          <w:numId w:val="1014"/>
        </w:numPr>
      </w:pPr>
      <w:r>
        <w:t xml:space="preserve">&lt; 100 registered vehicles per year</w:t>
      </w:r>
      <w:r>
        <w:t xml:space="preserve"> </w:t>
      </w:r>
      <w:r>
        <w:t xml:space="preserve">After excluding special purpose vehicles and their related manufacturers not covered by</w:t>
      </w:r>
      <w:r>
        <w:t xml:space="preserve"> </w:t>
      </w:r>
      <w:r>
        <w:t xml:space="preserve">SCOPE 1, Figure 17 below summarizes in histograms the vehicle production share and</w:t>
      </w:r>
      <w:r>
        <w:t xml:space="preserve"> </w:t>
      </w:r>
      <w:r>
        <w:t xml:space="preserve">the number of manufacturers exempted against several possible SVM thresholds.</w:t>
      </w:r>
    </w:p>
    <w:p>
      <w:pPr>
        <w:pStyle w:val="FirstParagraph"/>
      </w:pPr>
      <w:r>
        <w:t xml:space="preserve">94 Second half of 2021 was not available yet when drafting this report.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97</w:t>
      </w:r>
    </w:p>
    <w:p>
      <w:pPr>
        <w:pStyle w:val="BodyText"/>
      </w:pPr>
      <w:r>
        <w:t xml:space="preserve">Figure 17. Exempted lorries in SCOPE 1 and corresponding manufacturers across</w:t>
      </w:r>
      <w:r>
        <w:t xml:space="preserve"> </w:t>
      </w:r>
      <w:r>
        <w:t xml:space="preserve">different threshold values.</w:t>
      </w:r>
    </w:p>
    <w:p>
      <w:pPr>
        <w:pStyle w:val="BodyText"/>
      </w:pPr>
      <w:r>
        <w:t xml:space="preserve">Setting the SVM threshold for lorries at 100 vehicles registered during a certain reporting</w:t>
      </w:r>
      <w:r>
        <w:t xml:space="preserve"> </w:t>
      </w:r>
      <w:r>
        <w:t xml:space="preserve">year would exempt 43 manufacturers manufacturing on average a very reduced number</w:t>
      </w:r>
      <w:r>
        <w:t xml:space="preserve"> </w:t>
      </w:r>
      <w:r>
        <w:t xml:space="preserve">of vehicles (over 3 out 4 of manufacturers falling under SCOPE 1), while only 0.052% of</w:t>
      </w:r>
      <w:r>
        <w:t xml:space="preserve"> </w:t>
      </w:r>
      <w:r>
        <w:t xml:space="preserve">lorries95 would get exempted from the Regulation. As lorries falling under SCOPE 1</w:t>
      </w:r>
      <w:r>
        <w:t xml:space="preserve"> </w:t>
      </w:r>
      <w:r>
        <w:t xml:space="preserve">produce in total over 88% of CO2 emissions of newly registered HDV (see section 17.2:</w:t>
      </w:r>
      <w:r>
        <w:t xml:space="preserve"> </w:t>
      </w:r>
      <w:r>
        <w:t xml:space="preserve">Extension of the scope - complementary information on Scope 1), this exemption for</w:t>
      </w:r>
      <w:r>
        <w:t xml:space="preserve"> </w:t>
      </w:r>
      <w:r>
        <w:t xml:space="preserve">lorries would concern, after taking several conservative assumptions96, about 0.05% of</w:t>
      </w:r>
      <w:r>
        <w:t xml:space="preserve"> </w:t>
      </w:r>
      <w:r>
        <w:t xml:space="preserve">total HDV CO2 emissions.</w:t>
      </w:r>
      <w:r>
        <w:t xml:space="preserve"> </w:t>
      </w:r>
      <w:r>
        <w:t xml:space="preserve">Therefore, setting this threshold would keep all important manufacturers regulated and, at</w:t>
      </w:r>
      <w:r>
        <w:t xml:space="preserve"> </w:t>
      </w:r>
      <w:r>
        <w:t xml:space="preserve">the same time, small manufacturers out of any regulatory burden, whilst ensuring that</w:t>
      </w:r>
      <w:r>
        <w:t xml:space="preserve"> </w:t>
      </w:r>
      <w:r>
        <w:t xml:space="preserve">just a very negligible amount of the addressed CO2 emissions would keep unregulated.</w:t>
      </w:r>
      <w:r>
        <w:t xml:space="preserve"> </w:t>
      </w:r>
      <w:r>
        <w:t xml:space="preserve">17.1.1.2</w:t>
      </w:r>
      <w:r>
        <w:t xml:space="preserve"> </w:t>
      </w:r>
      <w:r>
        <w:t xml:space="preserve">Buses and coaches in SCOPE 1</w:t>
      </w:r>
      <w:r>
        <w:t xml:space="preserve"> </w:t>
      </w:r>
      <w:r>
        <w:t xml:space="preserve">Similarly to lorries, a wider registration data representativeness beyond a single year has</w:t>
      </w:r>
      <w:r>
        <w:t xml:space="preserve"> </w:t>
      </w:r>
      <w:r>
        <w:t xml:space="preserve">been taken to determine a valid threshold for SVM exemption in buses: during 2019,</w:t>
      </w:r>
      <w:r>
        <w:t xml:space="preserve"> </w:t>
      </w:r>
      <w:r>
        <w:t xml:space="preserve">2020 and first half of 2021, nearly over 55,000 primary buses exceeding TPMLM 7.5t</w:t>
      </w:r>
      <w:r>
        <w:t xml:space="preserve"> </w:t>
      </w:r>
      <w:r>
        <w:t xml:space="preserve">were registered in the EU by a total of 53 manufacturers.</w:t>
      </w:r>
      <w:r>
        <w:t xml:space="preserve"> </w:t>
      </w:r>
      <w:r>
        <w:t xml:space="preserve">Primary vehicle manufacturers that registered more than 100 buses and coaches over 7.5t</w:t>
      </w:r>
      <w:r>
        <w:t xml:space="preserve"> </w:t>
      </w:r>
      <w:r>
        <w:t xml:space="preserve">along an averaged normalized year are identified below:</w:t>
      </w:r>
    </w:p>
    <w:p>
      <w:pPr>
        <w:pStyle w:val="BodyText"/>
      </w:pPr>
      <w:r>
        <w:t xml:space="preserve">Daimler Truck</w:t>
      </w:r>
      <w:r>
        <w:t xml:space="preserve"> </w:t>
      </w:r>
      <w:r>
        <w:t xml:space="preserve">7 407</w:t>
      </w:r>
      <w:r>
        <w:t xml:space="preserve"> </w:t>
      </w:r>
      <w:r>
        <w:t xml:space="preserve">Iveco (CNH Industrial)</w:t>
      </w:r>
      <w:r>
        <w:t xml:space="preserve"> </w:t>
      </w:r>
      <w:r>
        <w:t xml:space="preserve">6 154</w:t>
      </w:r>
      <w:r>
        <w:t xml:space="preserve"> </w:t>
      </w:r>
      <w:r>
        <w:t xml:space="preserve">MAN (Traton Group)</w:t>
      </w:r>
      <w:r>
        <w:t xml:space="preserve"> </w:t>
      </w:r>
      <w:r>
        <w:t xml:space="preserve">3 587</w:t>
      </w:r>
      <w:r>
        <w:t xml:space="preserve"> </w:t>
      </w:r>
      <w:r>
        <w:t xml:space="preserve">Scania (Traton Group)</w:t>
      </w:r>
      <w:r>
        <w:t xml:space="preserve"> </w:t>
      </w:r>
      <w:r>
        <w:t xml:space="preserve">1 488</w:t>
      </w:r>
      <w:r>
        <w:t xml:space="preserve"> </w:t>
      </w:r>
      <w:r>
        <w:t xml:space="preserve">Solaris</w:t>
      </w:r>
      <w:r>
        <w:t xml:space="preserve"> </w:t>
      </w:r>
      <w:r>
        <w:t xml:space="preserve">1 434</w:t>
      </w:r>
    </w:p>
    <w:p>
      <w:pPr>
        <w:pStyle w:val="BodyText"/>
      </w:pPr>
      <w:r>
        <w:t xml:space="preserve">95 Lorries with TPMLM over 5t from regulated groups 4, 5, 9, 10 and from currently unregulated groups 1,</w:t>
      </w:r>
      <w:r>
        <w:t xml:space="preserve"> </w:t>
      </w:r>
      <w:r>
        <w:t xml:space="preserve">2, 3, 6 and 11, 12, 16.</w:t>
      </w:r>
      <w:r>
        <w:t xml:space="preserve"> </w:t>
      </w:r>
      <w:r>
        <w:t xml:space="preserve">96 For instance, it has been assumed a simple linear relation among number of vehicles and corresponding</w:t>
      </w:r>
      <w:r>
        <w:t xml:space="preserve"> </w:t>
      </w:r>
      <w:r>
        <w:t xml:space="preserve">emissions. However, the smaller the lorry typically the lower their emissions due to lower weight and</w:t>
      </w:r>
      <w:r>
        <w:t xml:space="preserve"> </w:t>
      </w:r>
      <w:r>
        <w:t xml:space="preserve">typical mileage.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98</w:t>
      </w:r>
    </w:p>
    <w:p>
      <w:pPr>
        <w:pStyle w:val="BodyText"/>
      </w:pPr>
      <w:r>
        <w:t xml:space="preserve">Volvo (Volvo Group)</w:t>
      </w:r>
      <w:r>
        <w:t xml:space="preserve"> </w:t>
      </w:r>
      <w:r>
        <w:t xml:space="preserve">1 002</w:t>
      </w:r>
      <w:r>
        <w:t xml:space="preserve"> </w:t>
      </w:r>
      <w:r>
        <w:t xml:space="preserve">VDL</w:t>
      </w:r>
      <w:r>
        <w:t xml:space="preserve"> </w:t>
      </w:r>
      <w:r>
        <w:t xml:space="preserve">872</w:t>
      </w:r>
      <w:r>
        <w:t xml:space="preserve"> </w:t>
      </w:r>
      <w:r>
        <w:t xml:space="preserve">Otocar</w:t>
      </w:r>
      <w:r>
        <w:t xml:space="preserve"> </w:t>
      </w:r>
      <w:r>
        <w:t xml:space="preserve">581</w:t>
      </w:r>
      <w:r>
        <w:t xml:space="preserve"> </w:t>
      </w:r>
      <w:r>
        <w:t xml:space="preserve">Sor Libchavy</w:t>
      </w:r>
      <w:r>
        <w:t xml:space="preserve"> </w:t>
      </w:r>
      <w:r>
        <w:t xml:space="preserve">498</w:t>
      </w:r>
      <w:r>
        <w:t xml:space="preserve"> </w:t>
      </w:r>
      <w:r>
        <w:t xml:space="preserve">TEMSA</w:t>
      </w:r>
      <w:r>
        <w:t xml:space="preserve"> </w:t>
      </w:r>
      <w:r>
        <w:t xml:space="preserve">406</w:t>
      </w:r>
      <w:r>
        <w:t xml:space="preserve"> </w:t>
      </w:r>
      <w:r>
        <w:t xml:space="preserve">ISUZU</w:t>
      </w:r>
      <w:r>
        <w:t xml:space="preserve"> </w:t>
      </w:r>
      <w:r>
        <w:t xml:space="preserve">439</w:t>
      </w:r>
      <w:r>
        <w:t xml:space="preserve"> </w:t>
      </w:r>
      <w:r>
        <w:t xml:space="preserve">Van Hool</w:t>
      </w:r>
      <w:r>
        <w:t xml:space="preserve"> </w:t>
      </w:r>
      <w:r>
        <w:t xml:space="preserve">247</w:t>
      </w:r>
      <w:r>
        <w:t xml:space="preserve"> </w:t>
      </w:r>
      <w:r>
        <w:t xml:space="preserve">BYD</w:t>
      </w:r>
      <w:r>
        <w:t xml:space="preserve"> </w:t>
      </w:r>
      <w:r>
        <w:t xml:space="preserve">244</w:t>
      </w:r>
      <w:r>
        <w:t xml:space="preserve"> </w:t>
      </w:r>
      <w:r>
        <w:t xml:space="preserve">EBUSCO</w:t>
      </w:r>
      <w:r>
        <w:t xml:space="preserve"> </w:t>
      </w:r>
      <w:r>
        <w:t xml:space="preserve">114</w:t>
      </w:r>
      <w:r>
        <w:t xml:space="preserve"> </w:t>
      </w:r>
      <w:r>
        <w:t xml:space="preserve">Autosan</w:t>
      </w:r>
      <w:r>
        <w:t xml:space="preserve"> </w:t>
      </w:r>
      <w:r>
        <w:t xml:space="preserve">114</w:t>
      </w:r>
    </w:p>
    <w:p>
      <w:pPr>
        <w:pStyle w:val="BodyText"/>
      </w:pPr>
      <w:r>
        <w:t xml:space="preserve">Other 38 manufacturers registering</w:t>
      </w:r>
      <w:r>
        <w:t xml:space="preserve"> </w:t>
      </w:r>
      <w:r>
        <w:t xml:space="preserve">less than 100 vehicles</w:t>
      </w:r>
      <w:r>
        <w:t xml:space="preserve"> </w:t>
      </w:r>
      <w:r>
        <w:t xml:space="preserve">603</w:t>
      </w:r>
      <w:r>
        <w:t xml:space="preserve"> </w:t>
      </w:r>
      <w:r>
        <w:t xml:space="preserve">The following histograms in below Figure 18 show the vehicles production share and the</w:t>
      </w:r>
      <w:r>
        <w:t xml:space="preserve"> </w:t>
      </w:r>
      <w:r>
        <w:t xml:space="preserve">number of manufacturers exempted across possible manufacturing thresholds for buses</w:t>
      </w:r>
      <w:r>
        <w:t xml:space="preserve"> </w:t>
      </w:r>
      <w:r>
        <w:t xml:space="preserve">and coaches.</w:t>
      </w:r>
      <w:r>
        <w:t xml:space="preserve"> </w:t>
      </w:r>
      <w:r>
        <w:t xml:space="preserve">Figure 18. Exempted buses and coaches in SCOPE 1 and corresponding</w:t>
      </w:r>
      <w:r>
        <w:t xml:space="preserve"> </w:t>
      </w:r>
      <w:r>
        <w:t xml:space="preserve">manufacturers across different threshold values.</w:t>
      </w:r>
    </w:p>
    <w:p>
      <w:pPr>
        <w:pStyle w:val="BodyText"/>
      </w:pPr>
      <w:r>
        <w:t xml:space="preserve">Small buses manufacturers are especially active in the zero-emission segment. In</w:t>
      </w:r>
      <w:r>
        <w:t xml:space="preserve"> </w:t>
      </w:r>
      <w:r>
        <w:t xml:space="preserve">fact, more than half of all buses and coaches delivered by small manufacturers registering</w:t>
      </w:r>
      <w:r>
        <w:t xml:space="preserve"> </w:t>
      </w:r>
      <w:r>
        <w:t xml:space="preserve">up to 100 vehicles were zero-emission, hence out of the regulatory scope. Taking this</w:t>
      </w:r>
      <w:r>
        <w:t xml:space="preserve"> </w:t>
      </w:r>
      <w:r>
        <w:t xml:space="preserve">into account and that buses and coaches produce roughly 10% of total HDV CO2</w:t>
      </w:r>
      <w:r>
        <w:t xml:space="preserve"> </w:t>
      </w:r>
      <w:r>
        <w:t xml:space="preserve">emissions (see section 17.2: Extension of the scope - complementary information on</w:t>
      </w:r>
      <w:r>
        <w:t xml:space="preserve"> </w:t>
      </w:r>
      <w:r>
        <w:t xml:space="preserve">Scope 1), setting the SVM threshold for buses and coaches to 100 vehicles registered</w:t>
      </w:r>
      <w:r>
        <w:t xml:space="preserve"> </w:t>
      </w:r>
      <w:r>
        <w:t xml:space="preserve">during a certain reporting year would exempt 38 small manufacturers and, at the same</w:t>
      </w:r>
      <w:r>
        <w:t xml:space="preserve"> </w:t>
      </w:r>
      <w:r>
        <w:t xml:space="preserve">time and considering several conservative assumptions97, only 0.12% of total HDV CO2</w:t>
      </w:r>
      <w:r>
        <w:t xml:space="preserve"> </w:t>
      </w:r>
      <w:r>
        <w:t xml:space="preserve">emissions would waive the regulatory targets.</w:t>
      </w:r>
    </w:p>
    <w:p>
      <w:pPr>
        <w:pStyle w:val="BodyText"/>
      </w:pPr>
      <w:r>
        <w:t xml:space="preserve">97 For instance, similarly to lorries, it has been assumed a simple linear relation among the number of</w:t>
      </w:r>
      <w:r>
        <w:t xml:space="preserve"> </w:t>
      </w:r>
      <w:r>
        <w:t xml:space="preserve">vehicles and their corresponding emissions. However, the smaller the bus the lower their emissions due to</w:t>
      </w:r>
      <w:r>
        <w:t xml:space="preserve"> </w:t>
      </w:r>
      <w:r>
        <w:t xml:space="preserve">lower weight and typical mileage.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99</w:t>
      </w:r>
    </w:p>
    <w:p>
      <w:pPr>
        <w:pStyle w:val="BodyText"/>
      </w:pPr>
      <w:r>
        <w:t xml:space="preserve">17.1.1.3</w:t>
      </w:r>
      <w:r>
        <w:t xml:space="preserve"> </w:t>
      </w:r>
      <w:r>
        <w:t xml:space="preserve">Trailers over 8.0t (heavy trailers)</w:t>
      </w:r>
      <w:r>
        <w:t xml:space="preserve"> </w:t>
      </w:r>
      <w:r>
        <w:t xml:space="preserve">The analysis of the heavy trailer sector is limited to trailers above 8.0t with a box-shaped</w:t>
      </w:r>
      <w:r>
        <w:t xml:space="preserve"> </w:t>
      </w:r>
      <w:r>
        <w:t xml:space="preserve">bodywork, which correspond to the scope of trailers to be included in option SCOPE 2.</w:t>
      </w:r>
      <w:r>
        <w:t xml:space="preserve"> </w:t>
      </w:r>
      <w:r>
        <w:t xml:space="preserve">In a given year, a total of almost 65,000 heavy trailers were registered in the 1998 EU</w:t>
      </w:r>
      <w:r>
        <w:t xml:space="preserve"> </w:t>
      </w:r>
      <w:r>
        <w:t xml:space="preserve">Member States from which registration data are available (normalised figures for an</w:t>
      </w:r>
      <w:r>
        <w:t xml:space="preserve"> </w:t>
      </w:r>
      <w:r>
        <w:t xml:space="preserve">average year).</w:t>
      </w:r>
      <w:r>
        <w:t xml:space="preserve"> </w:t>
      </w:r>
      <w:r>
        <w:t xml:space="preserve">There are a significant number of small manufacturers in the heavy trailer sector. The</w:t>
      </w:r>
      <w:r>
        <w:t xml:space="preserve"> </w:t>
      </w:r>
      <w:r>
        <w:t xml:space="preserve">total number of manufacturers is around 390 but the majority of trailers are produced by</w:t>
      </w:r>
      <w:r>
        <w:t xml:space="preserve"> </w:t>
      </w:r>
      <w:r>
        <w:t xml:space="preserve">only a few manufacturers. During the last monitoring and reporting period, one</w:t>
      </w:r>
      <w:r>
        <w:t xml:space="preserve"> </w:t>
      </w:r>
      <w:r>
        <w:t xml:space="preserve">manufacturer only was responsible for one third of the registrations. Manufacturers with</w:t>
      </w:r>
      <w:r>
        <w:t xml:space="preserve"> </w:t>
      </w:r>
      <w:r>
        <w:t xml:space="preserve">an annual production of more than 100 units accounted for 95% of the registered fleet</w:t>
      </w:r>
      <w:r>
        <w:t xml:space="preserve"> </w:t>
      </w:r>
      <w:r>
        <w:t xml:space="preserve">while manufacturers with more than 50 units produced 96.5% of the registered vehicles.</w:t>
      </w:r>
      <w:r>
        <w:t xml:space="preserve"> </w:t>
      </w:r>
      <w:r>
        <w:t xml:space="preserve">The number of manufacturers concerned was 33 and 48 respectively. The situation is</w:t>
      </w:r>
      <w:r>
        <w:t xml:space="preserve"> </w:t>
      </w:r>
      <w:r>
        <w:t xml:space="preserve">illustrated in Table 14 and Figure 12 for 8t box-shaped trailers.</w:t>
      </w:r>
      <w:r>
        <w:t xml:space="preserve"> </w:t>
      </w:r>
      <w:r>
        <w:t xml:space="preserve">Table 14. Exempted trailers (absolute and percentage) and corresponding</w:t>
      </w:r>
      <w:r>
        <w:t xml:space="preserve"> </w:t>
      </w:r>
      <w:r>
        <w:t xml:space="preserve">manufacturers across different threshold values.</w:t>
      </w:r>
    </w:p>
    <w:p>
      <w:pPr>
        <w:pStyle w:val="BodyText"/>
      </w:pPr>
      <w:r>
        <w:t xml:space="preserve">Number of</w:t>
      </w:r>
      <w:r>
        <w:t xml:space="preserve"> </w:t>
      </w:r>
      <w:r>
        <w:t xml:space="preserve">Share of</w:t>
      </w:r>
      <w:r>
        <w:t xml:space="preserve"> </w:t>
      </w:r>
      <w:r>
        <w:t xml:space="preserve">trailers</w:t>
      </w:r>
    </w:p>
    <w:p>
      <w:pPr>
        <w:pStyle w:val="BodyText"/>
      </w:pPr>
      <w:r>
        <w:t xml:space="preserve">Trailers</w:t>
      </w:r>
      <w:r>
        <w:t xml:space="preserve"> </w:t>
      </w:r>
      <w:r>
        <w:t xml:space="preserve">Manufacturers</w:t>
      </w:r>
      <w:r>
        <w:t xml:space="preserve"> </w:t>
      </w:r>
      <w:r>
        <w:t xml:space="preserve">All</w:t>
      </w:r>
      <w:r>
        <w:t xml:space="preserve"> </w:t>
      </w:r>
      <w:r>
        <w:t xml:space="preserve">64.894</w:t>
      </w:r>
      <w:r>
        <w:t xml:space="preserve"> </w:t>
      </w:r>
      <w:r>
        <w:t xml:space="preserve">390</w:t>
      </w:r>
      <w:r>
        <w:t xml:space="preserve"> </w:t>
      </w:r>
      <w:r>
        <w:t xml:space="preserve">100%</w:t>
      </w:r>
      <w:r>
        <w:t xml:space="preserve"> </w:t>
      </w:r>
      <w:r>
        <w:t xml:space="preserve">&gt;50</w:t>
      </w:r>
      <w:r>
        <w:t xml:space="preserve"> </w:t>
      </w:r>
      <w:r>
        <w:t xml:space="preserve">62.645</w:t>
      </w:r>
      <w:r>
        <w:t xml:space="preserve"> </w:t>
      </w:r>
      <w:r>
        <w:t xml:space="preserve">48</w:t>
      </w:r>
      <w:r>
        <w:t xml:space="preserve"> </w:t>
      </w:r>
      <w:r>
        <w:t xml:space="preserve">96.5%</w:t>
      </w:r>
      <w:r>
        <w:t xml:space="preserve"> </w:t>
      </w:r>
      <w:r>
        <w:t xml:space="preserve">&gt;100</w:t>
      </w:r>
      <w:r>
        <w:t xml:space="preserve"> </w:t>
      </w:r>
      <w:r>
        <w:t xml:space="preserve">61.539</w:t>
      </w:r>
      <w:r>
        <w:t xml:space="preserve"> </w:t>
      </w:r>
      <w:r>
        <w:t xml:space="preserve">33</w:t>
      </w:r>
      <w:r>
        <w:t xml:space="preserve"> </w:t>
      </w:r>
      <w:r>
        <w:t xml:space="preserve">95%</w:t>
      </w:r>
      <w:r>
        <w:t xml:space="preserve"> </w:t>
      </w:r>
      <w:r>
        <w:t xml:space="preserve">&gt;200</w:t>
      </w:r>
      <w:r>
        <w:t xml:space="preserve"> </w:t>
      </w:r>
      <w:r>
        <w:t xml:space="preserve">60.118</w:t>
      </w:r>
      <w:r>
        <w:t xml:space="preserve"> </w:t>
      </w:r>
      <w:r>
        <w:t xml:space="preserve">23</w:t>
      </w:r>
      <w:r>
        <w:t xml:space="preserve"> </w:t>
      </w:r>
      <w:r>
        <w:t xml:space="preserve">92.5%</w:t>
      </w:r>
    </w:p>
    <w:p>
      <w:pPr>
        <w:pStyle w:val="BodyText"/>
      </w:pPr>
      <w:r>
        <w:t xml:space="preserve">Figure 19. Exempted trailers and corresponding manufacturers across different</w:t>
      </w:r>
      <w:r>
        <w:t xml:space="preserve"> </w:t>
      </w:r>
      <w:r>
        <w:t xml:space="preserve">threshold values.</w:t>
      </w:r>
    </w:p>
    <w:p>
      <w:pPr>
        <w:pStyle w:val="BodyText"/>
      </w:pPr>
      <w:r>
        <w:t xml:space="preserve">98 Data missing or incomplete from the Member States BE, CY, DK, HR, HU, IE, IT and MT.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100</w:t>
      </w:r>
    </w:p>
    <w:p>
      <w:pPr>
        <w:pStyle w:val="BodyText"/>
      </w:pPr>
      <w:r>
        <w:t xml:space="preserve">If the threshold is set at 100 registered trailers per year, most manufacturers would be</w:t>
      </w:r>
      <w:r>
        <w:t xml:space="preserve"> </w:t>
      </w:r>
      <w:r>
        <w:t xml:space="preserve">exempted (357 out of 390), while most trailers concerned, around95%, would still fall</w:t>
      </w:r>
      <w:r>
        <w:t xml:space="preserve"> </w:t>
      </w:r>
      <w:r>
        <w:t xml:space="preserve">within the scope of the standard. This is due to the fact that there are only a few</w:t>
      </w:r>
      <w:r>
        <w:t xml:space="preserve"> </w:t>
      </w:r>
      <w:r>
        <w:t xml:space="preserve">manufacturers producing large quantities per year, while the smaller manufacturers</w:t>
      </w:r>
      <w:r>
        <w:t xml:space="preserve"> </w:t>
      </w:r>
      <w:r>
        <w:t xml:space="preserve">produce only on order. There are 33 manufacturers who have registrations of more than</w:t>
      </w:r>
      <w:r>
        <w:t xml:space="preserve"> </w:t>
      </w:r>
      <w:r>
        <w:t xml:space="preserve">100 trailers per year and only nine of them sell more than 500 trailers per year, as</w:t>
      </w:r>
      <w:r>
        <w:t xml:space="preserve"> </w:t>
      </w:r>
      <w:r>
        <w:t xml:space="preserve">illustrated in Figure 20 below.</w:t>
      </w:r>
      <w:r>
        <w:t xml:space="preserve"> </w:t>
      </w:r>
      <w:r>
        <w:t xml:space="preserve">Figure 20. Trailer manufacturers and their cumulative production over a</w:t>
      </w:r>
      <w:r>
        <w:t xml:space="preserve"> </w:t>
      </w:r>
      <w:r>
        <w:t xml:space="preserve">normalised average year.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101</w:t>
      </w:r>
    </w:p>
    <w:p>
      <w:pPr>
        <w:pStyle w:val="Compact"/>
        <w:numPr>
          <w:ilvl w:val="0"/>
          <w:numId w:val="1015"/>
        </w:numPr>
      </w:pPr>
      <w:r>
        <w:t xml:space="preserve">ANNEX 9: ADDITIONAL INFORMATION CONCERNING</w:t>
      </w:r>
      <w:r>
        <w:t xml:space="preserve"> </w:t>
      </w:r>
      <w:r>
        <w:t xml:space="preserve">THE ASSESSMENT OF THE ECONOMIC, SOCIAL AND</w:t>
      </w:r>
      <w:r>
        <w:t xml:space="preserve"> </w:t>
      </w:r>
      <w:r>
        <w:t xml:space="preserve">ENVIRONMENTAL IMPACTS OF THE DIFFERENT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1.31. 18.1</w:t>
      </w:r>
      <w:r>
        <w:t xml:space="preserve"> </w:t>
      </w:r>
      <w:r>
        <w:t xml:space="preserve">Economic impacts of options regarding CO2 target levels (TL)</w:t>
      </w:r>
      <w:r>
        <w:t xml:space="preserve"> </w:t>
      </w:r>
      <w:r>
        <w:t xml:space="preserve">18.1.1</w:t>
      </w:r>
      <w:r>
        <w:t xml:space="preserve"> </w:t>
      </w:r>
      <w:r>
        <w:t xml:space="preserve">Methodology</w:t>
      </w:r>
      <w:r>
        <w:t xml:space="preserve"> </w:t>
      </w:r>
      <w:r>
        <w:t xml:space="preserve">As explained in Section 6.1 of the Impact Assessment, for the analysis of the economic</w:t>
      </w:r>
      <w:r>
        <w:t xml:space="preserve"> </w:t>
      </w:r>
      <w:r>
        <w:t xml:space="preserve">impacts of the different options regarding the CO2 target levels (TL), the following</w:t>
      </w:r>
      <w:r>
        <w:t xml:space="preserve"> </w:t>
      </w:r>
      <w:r>
        <w:t xml:space="preserve">indicators have been used:</w:t>
      </w:r>
    </w:p>
    <w:p>
      <w:pPr>
        <w:pStyle w:val="Compact"/>
        <w:numPr>
          <w:ilvl w:val="0"/>
          <w:numId w:val="1016"/>
        </w:numPr>
      </w:pPr>
      <w:r>
        <w:t xml:space="preserve">Net economic savings from a societal and end-user perspective</w:t>
      </w:r>
      <w:r>
        <w:t xml:space="preserve"> </w:t>
      </w:r>
      <w:r>
        <w:t xml:space="preserve">These savings are calculated as the difference, between the policy options and the</w:t>
      </w:r>
      <w:r>
        <w:t xml:space="preserve"> </w:t>
      </w:r>
      <w:r>
        <w:t xml:space="preserve">baseline, of the total costs, averaged over the EU-wide new vehicle fleet of Heavy</w:t>
      </w:r>
      <w:r>
        <w:t xml:space="preserve"> </w:t>
      </w:r>
      <w:r>
        <w:t xml:space="preserve">Duty vehicles registered in 2030, 2035 or 2040. The total costs include the capital</w:t>
      </w:r>
      <w:r>
        <w:t xml:space="preserve"> </w:t>
      </w:r>
      <w:r>
        <w:t xml:space="preserve">costs, the fuel or electricity costs, and the operation and maintenance (O&amp;M) costs</w:t>
      </w:r>
      <w:r>
        <w:t xml:space="preserve"> </w:t>
      </w:r>
      <w:r>
        <w:t xml:space="preserve">of the vehicles.</w:t>
      </w:r>
      <w:r>
        <w:br/>
      </w:r>
      <w:r>
        <w:t xml:space="preserve">The savings from a societal perspective is the change in average costs over the</w:t>
      </w:r>
      <w:r>
        <w:t xml:space="preserve"> </w:t>
      </w:r>
      <w:r>
        <w:t xml:space="preserve">lifetime (15 years) of a new vehicle without considering taxes and using a discount</w:t>
      </w:r>
      <w:r>
        <w:t xml:space="preserve"> </w:t>
      </w:r>
      <w:r>
        <w:t xml:space="preserve">rate of 3%. In this case, the costs considered also include the external cost of CO2</w:t>
      </w:r>
      <w:r>
        <w:t xml:space="preserve"> </w:t>
      </w:r>
      <w:r>
        <w:t xml:space="preserve">emissions.</w:t>
      </w:r>
      <w:r>
        <w:t xml:space="preserve"> </w:t>
      </w:r>
      <w:r>
        <w:t xml:space="preserve">The savings from an end-user perspective are presented for the first user (first five</w:t>
      </w:r>
      <w:r>
        <w:t xml:space="preserve"> </w:t>
      </w:r>
      <w:r>
        <w:t xml:space="preserve">years after first registration), the second user (years 6-10) and the third user (years</w:t>
      </w:r>
      <w:r>
        <w:t xml:space="preserve"> </w:t>
      </w:r>
      <w:r>
        <w:t xml:space="preserve">11-15). In these cases, taxes are included and a discount rate of 9.5% (lorries) and</w:t>
      </w:r>
      <w:r>
        <w:t xml:space="preserve"> </w:t>
      </w:r>
      <w:r>
        <w:t xml:space="preserve">7.5% (buses and coaches). The calculation also takes account of the residual value</w:t>
      </w:r>
      <w:r>
        <w:t xml:space="preserve"> </w:t>
      </w:r>
      <w:r>
        <w:t xml:space="preserve">of the vehicle (and the technology added) with depreciation.</w:t>
      </w:r>
      <w:r>
        <w:br/>
      </w:r>
      <w:r>
        <w:t xml:space="preserve">These calculations assume one replacement of the battery and of the fuel cell stack</w:t>
      </w:r>
      <w:r>
        <w:t xml:space="preserve"> </w:t>
      </w:r>
      <w:r>
        <w:t xml:space="preserve">over the lifetime of the relevant vehicles.</w:t>
      </w:r>
    </w:p>
    <w:p>
      <w:pPr>
        <w:pStyle w:val="Compact"/>
        <w:numPr>
          <w:ilvl w:val="0"/>
          <w:numId w:val="1016"/>
        </w:numPr>
      </w:pPr>
      <w:r>
        <w:t xml:space="preserve">Costs for automotive manufacturers</w:t>
      </w:r>
      <w:r>
        <w:t xml:space="preserve"> </w:t>
      </w:r>
      <w:r>
        <w:t xml:space="preserve">These costs are calculated as the difference, between the policy options and the</w:t>
      </w:r>
      <w:r>
        <w:t xml:space="preserve"> </w:t>
      </w:r>
      <w:r>
        <w:t xml:space="preserve">baseline, of the manufacturing costs, averaged over the EU-wide new vehicle fleet</w:t>
      </w:r>
      <w:r>
        <w:t xml:space="preserve"> </w:t>
      </w:r>
      <w:r>
        <w:t xml:space="preserve">of heavy duty vehicles registered in 2030, 2035, 2040. They include both direct</w:t>
      </w:r>
      <w:r>
        <w:t xml:space="preserve"> </w:t>
      </w:r>
      <w:r>
        <w:t xml:space="preserve">manufacturing costs, including materials and labour, as well as indirect</w:t>
      </w:r>
      <w:r>
        <w:t xml:space="preserve"> </w:t>
      </w:r>
      <w:r>
        <w:t xml:space="preserve">manufacturing costs, including R&amp;D, warranty costs, depreciation and</w:t>
      </w:r>
      <w:r>
        <w:t xml:space="preserve"> </w:t>
      </w:r>
      <w:r>
        <w:t xml:space="preserve">amortisation, maintenance and repair, general other overhead costs.</w:t>
      </w:r>
    </w:p>
    <w:p>
      <w:pPr>
        <w:pStyle w:val="Compact"/>
        <w:numPr>
          <w:ilvl w:val="0"/>
          <w:numId w:val="1016"/>
        </w:numPr>
      </w:pPr>
      <w:r>
        <w:t xml:space="preserve">Energy system impacts</w:t>
      </w:r>
      <w:r>
        <w:t xml:space="preserve"> </w:t>
      </w:r>
      <w:r>
        <w:t xml:space="preserve">In view of the links between the CO2 standards for heavy duty vehicles and the</w:t>
      </w:r>
      <w:r>
        <w:t xml:space="preserve"> </w:t>
      </w:r>
      <w:r>
        <w:t xml:space="preserve">energy system, impacts of the TL options on the final energy demand, electricity</w:t>
      </w:r>
      <w:r>
        <w:t xml:space="preserve"> </w:t>
      </w:r>
      <w:r>
        <w:t xml:space="preserve">consumption and on the hydrogen demand have been analysed, also considering</w:t>
      </w:r>
      <w:r>
        <w:t xml:space="preserve"> </w:t>
      </w:r>
      <w:r>
        <w:t xml:space="preserve">the links with the revision of the EU ETS as well as the Energy Efficiency and</w:t>
      </w:r>
      <w:r>
        <w:t xml:space="preserve"> </w:t>
      </w:r>
      <w:r>
        <w:t xml:space="preserve">Renewable Energy Directives, incuding the revised target as proposed under the</w:t>
      </w:r>
      <w:r>
        <w:t xml:space="preserve"> </w:t>
      </w:r>
      <w:r>
        <w:t xml:space="preserve">REPowerEU Plan.</w:t>
      </w:r>
    </w:p>
    <w:p>
      <w:pPr>
        <w:pStyle w:val="Compact"/>
        <w:numPr>
          <w:ilvl w:val="0"/>
          <w:numId w:val="1016"/>
        </w:numPr>
      </w:pPr>
      <w:r>
        <w:t xml:space="preserve">Investment in alternative fuels infrastructure</w:t>
      </w:r>
      <w:r>
        <w:t xml:space="preserve"> </w:t>
      </w:r>
      <w:r>
        <w:t xml:space="preserve">The investments needed for recharging and refuelling infrastructure have been</w:t>
      </w:r>
      <w:r>
        <w:t xml:space="preserve"> </w:t>
      </w:r>
      <w:r>
        <w:t xml:space="preserve">analysed, to ensure consistency with the revision of the Alternative Fuels</w:t>
      </w:r>
      <w:r>
        <w:t xml:space="preserve"> </w:t>
      </w:r>
      <w:r>
        <w:t xml:space="preserve">Infrastructure Regulation.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Macro-economic impacts, including employment</w:t>
      </w:r>
    </w:p>
    <w:p>
      <w:pPr>
        <w:pStyle w:val="FirstParagraph"/>
      </w:pPr>
      <w:r>
        <w:t xml:space="preserve">SENSITIVE</w:t>
      </w:r>
      <w:r>
        <w:t xml:space="preserve"> </w:t>
      </w:r>
      <w:r>
        <w:t xml:space="preserve">102</w:t>
      </w:r>
    </w:p>
    <w:p>
      <w:pPr>
        <w:pStyle w:val="BodyText"/>
      </w:pPr>
      <w:r>
        <w:t xml:space="preserve">18.1.2</w:t>
      </w:r>
      <w:r>
        <w:t xml:space="preserve"> </w:t>
      </w:r>
      <w:r>
        <w:t xml:space="preserve">Total cost of ownership (TCO) for the second and</w:t>
      </w:r>
      <w:r>
        <w:t xml:space="preserve"> </w:t>
      </w:r>
      <w:r>
        <w:t xml:space="preserve">third users</w:t>
      </w:r>
      <w:r>
        <w:t xml:space="preserve"> </w:t>
      </w:r>
      <w:r>
        <w:t xml:space="preserve">The economic impacts of stricter CO2 targets under the different TL options on buyers of</w:t>
      </w:r>
      <w:r>
        <w:t xml:space="preserve"> </w:t>
      </w:r>
      <w:r>
        <w:t xml:space="preserve">second and third hand vehicles were also looked at. The results of the analysis are similar</w:t>
      </w:r>
      <w:r>
        <w:t xml:space="preserve"> </w:t>
      </w:r>
      <w:r>
        <w:t xml:space="preserve">as for the first-user (see Section 6). The net savings increase with the stringency of the</w:t>
      </w:r>
      <w:r>
        <w:t xml:space="preserve"> </w:t>
      </w:r>
      <w:r>
        <w:t xml:space="preserve">targets for the second-hand user perspective, as shown below in Figure 21, and for the</w:t>
      </w:r>
      <w:r>
        <w:t xml:space="preserve"> </w:t>
      </w:r>
      <w:r>
        <w:t xml:space="preserve">third-hand user perspective, as shown below in Figure 22.</w:t>
      </w:r>
      <w:r>
        <w:br/>
      </w:r>
      <w:r>
        <w:t xml:space="preserve">Figure 21. Average net economic savings from a TCO-second use perspective</w:t>
      </w:r>
      <w:r>
        <w:t xml:space="preserve"> </w:t>
      </w:r>
      <w:r>
        <w:t xml:space="preserve">(EUR/vehicle)</w:t>
      </w:r>
    </w:p>
    <w:p>
      <w:pPr>
        <w:pStyle w:val="BodyText"/>
      </w:pPr>
      <w:r>
        <w:t xml:space="preserve">Figure 22. Average net economic savings from a TCO-third use perspective</w:t>
      </w:r>
      <w:r>
        <w:t xml:space="preserve"> </w:t>
      </w:r>
      <w:r>
        <w:t xml:space="preserve">(EUR/vehicle)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103</w:t>
      </w:r>
    </w:p>
    <w:p>
      <w:pPr>
        <w:pStyle w:val="BodyText"/>
      </w:pPr>
      <w:r>
        <w:t xml:space="preserve">18.1.3</w:t>
      </w:r>
      <w:r>
        <w:t xml:space="preserve"> </w:t>
      </w:r>
      <w:r>
        <w:t xml:space="preserve">Eurovignette</w:t>
      </w:r>
      <w:r>
        <w:br/>
      </w:r>
      <w:r>
        <w:t xml:space="preserve">The Eurovignette Directive99 provides for infrastructure road charges, which depend on</w:t>
      </w:r>
      <w:r>
        <w:t xml:space="preserve"> </w:t>
      </w:r>
      <w:r>
        <w:t xml:space="preserve">the CO2 emissions class of the vehicle (each class defined by a range of specific CO2</w:t>
      </w:r>
      <w:r>
        <w:t xml:space="preserve"> </w:t>
      </w:r>
      <w:r>
        <w:t xml:space="preserve">emissions as compared to an average vehicle). Most importantly, Member States shall</w:t>
      </w:r>
      <w:r>
        <w:t xml:space="preserve"> </w:t>
      </w:r>
      <w:r>
        <w:t xml:space="preserve">provide a discount of road charges between 50 and 75% for ZEVs. In order to preserve</w:t>
      </w:r>
      <w:r>
        <w:t xml:space="preserve"> </w:t>
      </w:r>
      <w:r>
        <w:t xml:space="preserve">their potential revenues from road charges that are constrained by road infrastructure</w:t>
      </w:r>
      <w:r>
        <w:t xml:space="preserve"> </w:t>
      </w:r>
      <w:r>
        <w:t xml:space="preserve">costs, Member States may (but do not have to) increase the road charges on ICE vehicles</w:t>
      </w:r>
      <w:r>
        <w:t xml:space="preserve"> </w:t>
      </w:r>
      <w:r>
        <w:t xml:space="preserve">to compensate losses from ZEV discounts.</w:t>
      </w:r>
      <w:r>
        <w:t xml:space="preserve"> </w:t>
      </w:r>
      <w:r>
        <w:t xml:space="preserve">It has been performed on the assumptions that Member States apply a discount of 75% to</w:t>
      </w:r>
      <w:r>
        <w:t xml:space="preserve"> </w:t>
      </w:r>
      <w:r>
        <w:t xml:space="preserve">ZEV road charges, strictly implement the revenue neutrality principle for granting</w:t>
      </w:r>
      <w:r>
        <w:t xml:space="preserve"> </w:t>
      </w:r>
      <w:r>
        <w:t xml:space="preserve">discounts to ZEV and on the basis of an average annual road charge of 3500 € for a HDV</w:t>
      </w:r>
      <w:r>
        <w:t xml:space="preserve"> </w:t>
      </w:r>
      <w:r>
        <w:t xml:space="preserve">first registered in 2030 (according to the Impact Assessment of the Eurovignette</w:t>
      </w:r>
      <w:r>
        <w:t xml:space="preserve"> </w:t>
      </w:r>
      <w:r>
        <w:t xml:space="preserve">Directive).</w:t>
      </w:r>
      <w:r>
        <w:br/>
      </w:r>
      <w:r>
        <w:t xml:space="preserve">If Member States are ready to accept certain revenue losses from road charges to</w:t>
      </w:r>
      <w:r>
        <w:t xml:space="preserve"> </w:t>
      </w:r>
      <w:r>
        <w:t xml:space="preserve">incentivise ZEV deployment or if the average road charges of HDVs would be higher,</w:t>
      </w:r>
      <w:r>
        <w:t xml:space="preserve"> </w:t>
      </w:r>
      <w:r>
        <w:t xml:space="preserve">the average lifetime savings of a HDV in the policy scenarios would be higher as well.</w:t>
      </w:r>
      <w:r>
        <w:t xml:space="preserve"> </w:t>
      </w:r>
      <w:r>
        <w:t xml:space="preserve">Therefore the estimates below can be considered as conservative. The savings from road</w:t>
      </w:r>
      <w:r>
        <w:t xml:space="preserve"> </w:t>
      </w:r>
      <w:r>
        <w:t xml:space="preserve">charges have to be added to the TCO savings for the end users as they have not been</w:t>
      </w:r>
      <w:r>
        <w:t xml:space="preserve"> </w:t>
      </w:r>
      <w:r>
        <w:t xml:space="preserve">included in the TCO analysis due to the wide range of assumptions that had to be made.</w:t>
      </w:r>
      <w:r>
        <w:br/>
      </w:r>
      <w:r>
        <w:t xml:space="preserve">One should also be aware that the figures for 2040 have to be considered with some care</w:t>
      </w:r>
      <w:r>
        <w:t xml:space="preserve"> </w:t>
      </w:r>
      <w:r>
        <w:t xml:space="preserve">as the Eurovignette provisions are likely to be amended at the background of a high</w:t>
      </w:r>
      <w:r>
        <w:t xml:space="preserve"> </w:t>
      </w:r>
      <w:r>
        <w:t xml:space="preserve">uptake of ZEV. The savings from road charges for new HDVs after 2040 will gradually</w:t>
      </w:r>
      <w:r>
        <w:t xml:space="preserve"> </w:t>
      </w:r>
      <w:r>
        <w:t xml:space="preserve">shrink and converge to 0 when ZEV shares in the entire fleet will eventually reach</w:t>
      </w:r>
      <w:r>
        <w:t xml:space="preserve"> </w:t>
      </w:r>
      <w:r>
        <w:t xml:space="preserve">saturation.</w:t>
      </w:r>
      <w:r>
        <w:br/>
      </w:r>
      <w:r>
        <w:t xml:space="preserve">Figure 23 below shows the average lifetime savings of a HDV (ICE and ZEV combined)</w:t>
      </w:r>
      <w:r>
        <w:t xml:space="preserve"> </w:t>
      </w:r>
      <w:r>
        <w:t xml:space="preserve">from road charges for different years of first registration and the different policy</w:t>
      </w:r>
      <w:r>
        <w:t xml:space="preserve"> </w:t>
      </w:r>
      <w:r>
        <w:t xml:space="preserve">scenarios100. These savings increase with time and with the stringency of the targets.</w:t>
      </w:r>
      <w:r>
        <w:t xml:space="preserve"> </w:t>
      </w:r>
      <w:r>
        <w:t xml:space="preserve">These savings are additional to the ones shown in the previous sections.</w:t>
      </w:r>
    </w:p>
    <w:p>
      <w:pPr>
        <w:pStyle w:val="BodyText"/>
      </w:pPr>
      <w:r>
        <w:t xml:space="preserve">99 Directive 1999/62/EC, as amended by Directive (EU) 2022/362.</w:t>
      </w:r>
      <w:r>
        <w:t xml:space="preserve"> </w:t>
      </w:r>
      <w:r>
        <w:t xml:space="preserve">100 The analysis has been performed under the assumptions that Member States apply a discount of 75% to</w:t>
      </w:r>
      <w:r>
        <w:t xml:space="preserve"> </w:t>
      </w:r>
      <w:r>
        <w:t xml:space="preserve">ZEV road charges, implement the revenue neutrality principle by increasing the ICEV road charges, and on</w:t>
      </w:r>
      <w:r>
        <w:t xml:space="preserve"> </w:t>
      </w:r>
      <w:r>
        <w:t xml:space="preserve">the basis of an average annual road charge of 3,500 € for a HDV first registered in 2030, in line with the</w:t>
      </w:r>
      <w:r>
        <w:t xml:space="preserve"> </w:t>
      </w:r>
      <w:r>
        <w:t xml:space="preserve">estimation done in the Impact Assessment of the Eurovignette Directive.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104</w:t>
      </w:r>
    </w:p>
    <w:p>
      <w:pPr>
        <w:pStyle w:val="BodyText"/>
      </w:pPr>
      <w:r>
        <w:t xml:space="preserve">Figure 23. Vehicle lifetime discounted average road charge savings compared to the</w:t>
      </w:r>
      <w:r>
        <w:t xml:space="preserve"> </w:t>
      </w:r>
      <w:r>
        <w:t xml:space="preserve">baseline (EUR/vehicle).</w:t>
      </w:r>
    </w:p>
    <w:p>
      <w:pPr>
        <w:pStyle w:val="BodyText"/>
      </w:pPr>
      <w:r>
        <w:t xml:space="preserve">18.1.4</w:t>
      </w:r>
      <w:r>
        <w:t xml:space="preserve"> </w:t>
      </w:r>
      <w:r>
        <w:t xml:space="preserve">Total cost of ownership (TCO) under the option</w:t>
      </w:r>
      <w:r>
        <w:t xml:space="preserve"> </w:t>
      </w:r>
      <w:r>
        <w:t xml:space="preserve">BUS ZEV2</w:t>
      </w:r>
      <w:r>
        <w:t xml:space="preserve"> </w:t>
      </w:r>
      <w:r>
        <w:t xml:space="preserve">Figure 24 shows the net savings of a new regulated bus registered in 2030, compared to</w:t>
      </w:r>
      <w:r>
        <w:t xml:space="preserve"> </w:t>
      </w:r>
      <w:r>
        <w:t xml:space="preserve">the baseline. Results are shown for the 1st, 2nd and 3rd owners and for the society, as</w:t>
      </w:r>
      <w:r>
        <w:t xml:space="preserve"> </w:t>
      </w:r>
      <w:r>
        <w:t xml:space="preserve">presented in Section 6.</w:t>
      </w:r>
      <w:r>
        <w:t xml:space="preserve"> </w:t>
      </w:r>
      <w:r>
        <w:t xml:space="preserve">Figure 24. Total savings of a new regulated bus registered in 2030 under different</w:t>
      </w:r>
      <w:r>
        <w:t xml:space="preserve"> </w:t>
      </w:r>
      <w:r>
        <w:t xml:space="preserve">perspectives (EUR/vehicle) under TL_Med and BUS ZEV2.</w:t>
      </w:r>
    </w:p>
    <w:p>
      <w:pPr>
        <w:pStyle w:val="BodyText"/>
      </w:pPr>
      <w:r>
        <w:t xml:space="preserve">18.1.5</w:t>
      </w:r>
      <w:r>
        <w:t xml:space="preserve"> </w:t>
      </w:r>
      <w:r>
        <w:t xml:space="preserve">Sensitivity analyses</w:t>
      </w:r>
      <w:r>
        <w:t xml:space="preserve"> </w:t>
      </w:r>
      <w:r>
        <w:t xml:space="preserve">The net economic savings from different perspectives have also been subject to two</w:t>
      </w:r>
      <w:r>
        <w:t xml:space="preserve"> </w:t>
      </w:r>
      <w:r>
        <w:t xml:space="preserve">sensitivity analyses.</w:t>
      </w:r>
      <w:r>
        <w:br/>
      </w:r>
      <w:r>
        <w:t xml:space="preserve">The first captures the uncertainty related to the projected evolution of zero-emission</w:t>
      </w:r>
      <w:r>
        <w:t xml:space="preserve"> </w:t>
      </w:r>
      <w:r>
        <w:t xml:space="preserve">technologies (and PHEV) in case their costs decrease at a lower rate than assumed101 and</w:t>
      </w:r>
    </w:p>
    <w:p>
      <w:pPr>
        <w:pStyle w:val="BodyText"/>
      </w:pPr>
      <w:r>
        <w:t xml:space="preserve">101 This corresponds to the “high cost” in Ricardo’s study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105</w:t>
      </w:r>
    </w:p>
    <w:p>
      <w:pPr>
        <w:pStyle w:val="BodyText"/>
      </w:pPr>
      <w:r>
        <w:t xml:space="preserve">shows that, even when the capital cost of such vehicles increases compared to the main</w:t>
      </w:r>
      <w:r>
        <w:t xml:space="preserve"> </w:t>
      </w:r>
      <w:r>
        <w:t xml:space="preserve">scenario runs, savings would still occur for all users and for the society.</w:t>
      </w:r>
      <w:r>
        <w:t xml:space="preserve"> </w:t>
      </w:r>
      <w:r>
        <w:t xml:space="preserve">Figure 25. Average net savings over the vehicle lifetime from different perspectives</w:t>
      </w:r>
      <w:r>
        <w:t xml:space="preserve"> </w:t>
      </w:r>
      <w:r>
        <w:t xml:space="preserve">for a new average heavy-duty vehicle registered in 2030, 2035 or 2040, assuming</w:t>
      </w:r>
      <w:r>
        <w:t xml:space="preserve"> </w:t>
      </w:r>
      <w:r>
        <w:t xml:space="preserve">higher ZEV costs.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106</w:t>
      </w:r>
    </w:p>
    <w:p>
      <w:pPr>
        <w:pStyle w:val="BodyText"/>
      </w:pPr>
      <w:r>
        <w:t xml:space="preserve">The second assumes electricity and hydrogen prices which are 10% higher than those</w:t>
      </w:r>
      <w:r>
        <w:t xml:space="preserve"> </w:t>
      </w:r>
      <w:r>
        <w:t xml:space="preserve">presented in Section 13.1.4. As for the sensitivity on technology costs, it shows that, even</w:t>
      </w:r>
      <w:r>
        <w:t xml:space="preserve"> </w:t>
      </w:r>
      <w:r>
        <w:t xml:space="preserve">when the price of such fuel increases compared to the main scenario runs, savings would</w:t>
      </w:r>
      <w:r>
        <w:t xml:space="preserve"> </w:t>
      </w:r>
      <w:r>
        <w:t xml:space="preserve">still occur for all users and for the society.</w:t>
      </w:r>
      <w:r>
        <w:t xml:space="preserve"> </w:t>
      </w:r>
      <w:r>
        <w:t xml:space="preserve">Figure 26. Average net savings over the vehicle lifetime from different perspectives</w:t>
      </w:r>
      <w:r>
        <w:t xml:space="preserve"> </w:t>
      </w:r>
      <w:r>
        <w:t xml:space="preserve">for a new average heavy-duty vehicle registered in 2030, 2035 or 2040, assuming</w:t>
      </w:r>
      <w:r>
        <w:t xml:space="preserve"> </w:t>
      </w:r>
      <w:r>
        <w:t xml:space="preserve">higher electricity and hydrogen costs.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107</w:t>
      </w:r>
    </w:p>
    <w:p>
      <w:pPr>
        <w:pStyle w:val="BodyText"/>
      </w:pPr>
      <w:r>
        <w:t xml:space="preserve">1.32. 18.2</w:t>
      </w:r>
      <w:r>
        <w:t xml:space="preserve"> </w:t>
      </w:r>
      <w:r>
        <w:t xml:space="preserve">Impact on GDP and jobs of options regarding CO2 target</w:t>
      </w:r>
      <w:r>
        <w:t xml:space="preserve"> </w:t>
      </w:r>
      <w:r>
        <w:t xml:space="preserve">levels (TL)</w:t>
      </w:r>
      <w:r>
        <w:t xml:space="preserve"> </w:t>
      </w:r>
      <w:r>
        <w:t xml:space="preserve">18.2.1</w:t>
      </w:r>
      <w:r>
        <w:t xml:space="preserve"> </w:t>
      </w:r>
      <w:r>
        <w:t xml:space="preserve">Introduction</w:t>
      </w:r>
      <w:r>
        <w:br/>
      </w:r>
      <w:r>
        <w:t xml:space="preserve">The E3ME model is used to assess macro-economic and sectoral economic impacts. In</w:t>
      </w:r>
      <w:r>
        <w:t xml:space="preserve"> </w:t>
      </w:r>
      <w:r>
        <w:t xml:space="preserve">particular, it quantifies the impacts of the different CO2 targets for light-duty vehicles on</w:t>
      </w:r>
      <w:r>
        <w:t xml:space="preserve"> </w:t>
      </w:r>
      <w:r>
        <w:t xml:space="preserve">the wider economy, i.e. GDP, sectoral output and employment.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108</w:t>
      </w:r>
    </w:p>
    <w:p>
      <w:pPr>
        <w:pStyle w:val="BodyText"/>
      </w:pPr>
      <w:r>
        <w:t xml:space="preserve">An analysis of the macro-economic impacts, including on employment, of meeting the</w:t>
      </w:r>
      <w:r>
        <w:t xml:space="preserve"> </w:t>
      </w:r>
      <w:r>
        <w:t xml:space="preserve">different targets with respect to Heavy Duty Vehicles (HDV). HDVs are defined here as</w:t>
      </w:r>
      <w:r>
        <w:t xml:space="preserve"> </w:t>
      </w:r>
      <w:r>
        <w:t xml:space="preserve">public transport vehicles (buses and coaches) and lorries. The targets reflect policies,</w:t>
      </w:r>
      <w:r>
        <w:t xml:space="preserve"> </w:t>
      </w:r>
      <w:r>
        <w:t xml:space="preserve">including different CO2 emissions standards for these types of vehicles. In total, three</w:t>
      </w:r>
      <w:r>
        <w:t xml:space="preserve"> </w:t>
      </w:r>
      <w:r>
        <w:t xml:space="preserve">policy scenarios were run: Low, Medium and High ambition. All policies scenarios were</w:t>
      </w:r>
      <w:r>
        <w:t xml:space="preserve"> </w:t>
      </w:r>
      <w:r>
        <w:t xml:space="preserve">compared to the baseline, in order to capture only the specific impacts of the policies</w:t>
      </w:r>
      <w:r>
        <w:t xml:space="preserve"> </w:t>
      </w:r>
      <w:r>
        <w:t xml:space="preserve">affecting HDVs .</w:t>
      </w:r>
      <w:r>
        <w:br/>
      </w:r>
      <w:r>
        <w:t xml:space="preserve">18.2.2</w:t>
      </w:r>
      <w:r>
        <w:t xml:space="preserve"> </w:t>
      </w:r>
      <w:r>
        <w:t xml:space="preserve">E3ME modelling results</w:t>
      </w:r>
      <w:r>
        <w:t xml:space="preserve"> </w:t>
      </w:r>
      <w:r>
        <w:t xml:space="preserve">The E3ME model is used to assess macro-economic and sectoral economic impacts (see</w:t>
      </w:r>
      <w:r>
        <w:t xml:space="preserve"> </w:t>
      </w:r>
      <w:r>
        <w:t xml:space="preserve">Annex 4 for a detailed description of the model and the main assumptions used for the</w:t>
      </w:r>
      <w:r>
        <w:t xml:space="preserve"> </w:t>
      </w:r>
      <w:r>
        <w:t xml:space="preserve">analysis), in particular, to quantify the impacts of the different CO2 targets for heavy-duty</w:t>
      </w:r>
      <w:r>
        <w:t xml:space="preserve"> </w:t>
      </w:r>
      <w:r>
        <w:t xml:space="preserve">vehicles on the wider economy, i.e. GDP, sectoral output and employment.</w:t>
      </w:r>
      <w:r>
        <w:t xml:space="preserve"> </w:t>
      </w:r>
      <w:r>
        <w:t xml:space="preserve">Table 15 shows the options for the target levels which were considered in the scenarios</w:t>
      </w:r>
      <w:r>
        <w:t xml:space="preserve"> </w:t>
      </w:r>
      <w:r>
        <w:t xml:space="preserve">modelled by E3ME.</w:t>
      </w:r>
      <w:r>
        <w:br/>
      </w:r>
      <w:r>
        <w:t xml:space="preserve">Table 15: Scenarios modelled with E3ME for assessing the macro-economic impacts</w:t>
      </w:r>
      <w:r>
        <w:t xml:space="preserve"> </w:t>
      </w:r>
      <w:r>
        <w:t xml:space="preserve">of the TL options</w:t>
      </w:r>
      <w:r>
        <w:t xml:space="preserve"> </w:t>
      </w:r>
      <w:r>
        <w:t xml:space="preserve"> E3ME scenarios</w:t>
      </w:r>
      <w:r>
        <w:t xml:space="preserve"> </w:t>
      </w:r>
      <w:r>
        <w:t xml:space="preserve"> CO2 target levels option (HDVs)</w:t>
      </w:r>
      <w:r>
        <w:t xml:space="preserve"> </w:t>
      </w:r>
      <w:r>
        <w:t xml:space="preserve"> Baseline</w:t>
      </w:r>
      <w:r>
        <w:br/>
      </w:r>
      <w:r>
        <w:t xml:space="preserve"> As in current regulation (EU) 2019/1242</w:t>
      </w:r>
      <w:r>
        <w:t xml:space="preserve"> </w:t>
      </w:r>
      <w:r>
        <w:t xml:space="preserve"> Low</w:t>
      </w:r>
      <w:r>
        <w:t xml:space="preserve"> </w:t>
      </w:r>
      <w:r>
        <w:t xml:space="preserve"> TL_Low</w:t>
      </w:r>
      <w:r>
        <w:t xml:space="preserve"> </w:t>
      </w:r>
      <w:r>
        <w:t xml:space="preserve"> Medium</w:t>
      </w:r>
      <w:r>
        <w:t xml:space="preserve"> </w:t>
      </w:r>
      <w:r>
        <w:t xml:space="preserve"> TL_Med</w:t>
      </w:r>
      <w:r>
        <w:t xml:space="preserve"> </w:t>
      </w:r>
      <w:r>
        <w:t xml:space="preserve"> High</w:t>
      </w:r>
      <w:r>
        <w:t xml:space="preserve"> </w:t>
      </w:r>
      <w:r>
        <w:t xml:space="preserve"> TL_High</w:t>
      </w:r>
      <w:r>
        <w:t xml:space="preserve"> </w:t>
      </w:r>
      <w:r>
        <w:t xml:space="preserve">All the modelled scenarios estimate changes due to the new CO2 target levels in order to</w:t>
      </w:r>
      <w:r>
        <w:t xml:space="preserve"> </w:t>
      </w:r>
      <w:r>
        <w:t xml:space="preserve">isolate the macroeconomic effects of this specific policy. In all scenarios, government</w:t>
      </w:r>
      <w:r>
        <w:t xml:space="preserve"> </w:t>
      </w:r>
      <w:r>
        <w:t xml:space="preserve">revenue neutrality from the associate reduction in fuel duty is imposed. The</w:t>
      </w:r>
      <w:r>
        <w:t xml:space="preserve"> </w:t>
      </w:r>
      <w:r>
        <w:t xml:space="preserve">implementation of the new CO2 targets reduces petrol and diesel consumption, which are</w:t>
      </w:r>
      <w:r>
        <w:t xml:space="preserve"> </w:t>
      </w:r>
      <w:r>
        <w:t xml:space="preserve">commodities upon which taxes are levied in all Member States. The loss of fuel duty</w:t>
      </w:r>
      <w:r>
        <w:t xml:space="preserve"> </w:t>
      </w:r>
      <w:r>
        <w:t xml:space="preserve">revenue due to lower petrol and diesel consumption is compensated, in all scenarios, by a</w:t>
      </w:r>
      <w:r>
        <w:t xml:space="preserve"> </w:t>
      </w:r>
      <w:r>
        <w:t xml:space="preserve">proportional increase of VAT rates102103.</w:t>
      </w:r>
      <w:r>
        <w:br/>
      </w:r>
      <w:r>
        <w:t xml:space="preserve">GDP and sectoral output</w:t>
      </w:r>
      <w:r>
        <w:t xml:space="preserve"> </w:t>
      </w:r>
      <w:r>
        <w:t xml:space="preserve">Table 16 shows the projected GDP impact for the EU-27 for the three scenarios</w:t>
      </w:r>
      <w:r>
        <w:t xml:space="preserve"> </w:t>
      </w:r>
      <w:r>
        <w:t xml:space="preserve">compared against the baseline.</w:t>
      </w:r>
      <w:r>
        <w:br/>
      </w:r>
      <w:r>
        <w:t xml:space="preserve">Table 16: GDP impacts in the baseline (million EUR in 2015 price) and percentage</w:t>
      </w:r>
      <w:r>
        <w:t xml:space="preserve"> </w:t>
      </w:r>
      <w:r>
        <w:t xml:space="preserve">change from the baseline under the policy scenarios (E3ME results)</w:t>
      </w:r>
    </w:p>
    <w:p>
      <w:pPr>
        <w:pStyle w:val="BodyText"/>
      </w:pPr>
      <w:r>
        <w:t xml:space="preserve">102 As an example, in the scenario Low ambition scenario modelled through E3ME, it is projected that fuel</w:t>
      </w:r>
      <w:r>
        <w:t xml:space="preserve"> </w:t>
      </w:r>
      <w:r>
        <w:t xml:space="preserve">duty revenues in the EU-27 decrease by around 730 million euros in 2030, corresponding to a 0.6%</w:t>
      </w:r>
      <w:r>
        <w:t xml:space="preserve"> </w:t>
      </w:r>
      <w:r>
        <w:t xml:space="preserve">decrease with respect to the baseline. The fuel duty revenue loss represents around 0.004% of the EU-27</w:t>
      </w:r>
      <w:r>
        <w:t xml:space="preserve"> </w:t>
      </w:r>
      <w:r>
        <w:t xml:space="preserve">GDP. To ensure revenue neutrality, VAT total revenues increase by around 0.008% in 2030. The loss in</w:t>
      </w:r>
      <w:r>
        <w:t xml:space="preserve"> </w:t>
      </w:r>
      <w:r>
        <w:t xml:space="preserve">fuel duty revenues in 2035 and 2040 amounts to up to 0.02% and 0.03% of the EU-27 GDP.</w:t>
      </w:r>
      <w:r>
        <w:t xml:space="preserve"> </w:t>
      </w:r>
      <w:r>
        <w:t xml:space="preserve">103 The choice of VAT compensation is functional in the model to ensure government revenue neutrality,</w:t>
      </w:r>
      <w:r>
        <w:t xml:space="preserve"> </w:t>
      </w:r>
      <w:r>
        <w:t xml:space="preserve">and it does not imply specific policy choices. Alternative options in reality are possible and they would</w:t>
      </w:r>
      <w:r>
        <w:t xml:space="preserve"> </w:t>
      </w:r>
      <w:r>
        <w:t xml:space="preserve">depend on specific Member States choices.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109</w:t>
      </w:r>
    </w:p>
    <w:p>
      <w:pPr>
        <w:pStyle w:val="BodyText"/>
      </w:pPr>
      <w:r>
        <w:t xml:space="preserve">Scenario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Baseline</w:t>
      </w:r>
      <w:r>
        <w:t xml:space="preserve"> </w:t>
      </w:r>
      <w:r>
        <w:t xml:space="preserve">(M€2015)</w:t>
      </w:r>
      <w:r>
        <w:t xml:space="preserve"> </w:t>
      </w:r>
      <w:r>
        <w:t xml:space="preserve">14,609,759</w:t>
      </w:r>
      <w:r>
        <w:t xml:space="preserve"> </w:t>
      </w:r>
      <w:r>
        <w:t xml:space="preserve">16,763,096</w:t>
      </w:r>
      <w:r>
        <w:t xml:space="preserve"> </w:t>
      </w:r>
      <w:r>
        <w:t xml:space="preserve">19,368,708</w:t>
      </w:r>
      <w:r>
        <w:t xml:space="preserve"> </w:t>
      </w:r>
      <w:r>
        <w:t xml:space="preserve">Low</w:t>
      </w:r>
      <w:r>
        <w:t xml:space="preserve"> </w:t>
      </w:r>
      <w:r>
        <w:t xml:space="preserve">+0.01%</w:t>
      </w:r>
      <w:r>
        <w:t xml:space="preserve"> </w:t>
      </w:r>
      <w:r>
        <w:t xml:space="preserve">0.06%</w:t>
      </w:r>
      <w:r>
        <w:t xml:space="preserve"> </w:t>
      </w:r>
      <w:r>
        <w:t xml:space="preserve">0.09%</w:t>
      </w:r>
      <w:r>
        <w:t xml:space="preserve"> </w:t>
      </w:r>
      <w:r>
        <w:t xml:space="preserve">Medium</w:t>
      </w:r>
      <w:r>
        <w:t xml:space="preserve"> </w:t>
      </w:r>
      <w:r>
        <w:t xml:space="preserve">+0.02%</w:t>
      </w:r>
      <w:r>
        <w:t xml:space="preserve"> </w:t>
      </w:r>
      <w:r>
        <w:t xml:space="preserve">0.08%</w:t>
      </w:r>
      <w:r>
        <w:t xml:space="preserve"> </w:t>
      </w:r>
      <w:r>
        <w:t xml:space="preserve">0.10%</w:t>
      </w:r>
      <w:r>
        <w:t xml:space="preserve"> </w:t>
      </w:r>
      <w:r>
        <w:t xml:space="preserve">High</w:t>
      </w:r>
      <w:r>
        <w:t xml:space="preserve"> </w:t>
      </w:r>
      <w:r>
        <w:t xml:space="preserve">+0.02%</w:t>
      </w:r>
      <w:r>
        <w:t xml:space="preserve"> </w:t>
      </w:r>
      <w:r>
        <w:t xml:space="preserve">0.11%</w:t>
      </w:r>
      <w:r>
        <w:t xml:space="preserve"> </w:t>
      </w:r>
      <w:r>
        <w:t xml:space="preserve">0.10%</w:t>
      </w:r>
    </w:p>
    <w:p>
      <w:pPr>
        <w:pStyle w:val="BodyText"/>
      </w:pPr>
      <w:r>
        <w:t xml:space="preserve">The results show a positive impact, compared to the baseline, of the three policy</w:t>
      </w:r>
      <w:r>
        <w:t xml:space="preserve"> </w:t>
      </w:r>
      <w:r>
        <w:t xml:space="preserve">scenarios on EU-27 GDP from 2030 onwards. It is projected that with stricter CO2</w:t>
      </w:r>
      <w:r>
        <w:t xml:space="preserve"> </w:t>
      </w:r>
      <w:r>
        <w:t xml:space="preserve">targets for HDVs increased consumer expenditure as well as increased infrastructure and</w:t>
      </w:r>
      <w:r>
        <w:t xml:space="preserve"> </w:t>
      </w:r>
      <w:r>
        <w:t xml:space="preserve">vehicle technology investment would be triggered.</w:t>
      </w:r>
      <w:r>
        <w:br/>
      </w:r>
      <w:r>
        <w:t xml:space="preserve">In these scenarios, policies affecting HDV lead to lower transport costs for households</w:t>
      </w:r>
      <w:r>
        <w:t xml:space="preserve"> </w:t>
      </w:r>
      <w:r>
        <w:t xml:space="preserve">and thus higher purchasing power with a net positive effect in the economy104. Despite</w:t>
      </w:r>
      <w:r>
        <w:t xml:space="preserve"> </w:t>
      </w:r>
      <w:r>
        <w:t xml:space="preserve">VAT increases to offset the loss in fuel duty revenues (assumption), consumers overall</w:t>
      </w:r>
      <w:r>
        <w:t xml:space="preserve"> </w:t>
      </w:r>
      <w:r>
        <w:t xml:space="preserve">benefit from higher disposable income. Together with a reduction in imports of</w:t>
      </w:r>
      <w:r>
        <w:t xml:space="preserve"> </w:t>
      </w:r>
      <w:r>
        <w:t xml:space="preserve">petroleum products with its obvious benefit to trade balance, the lower investment in</w:t>
      </w:r>
      <w:r>
        <w:t xml:space="preserve"> </w:t>
      </w:r>
      <w:r>
        <w:t xml:space="preserve">fossil fuels would result in an overall small positive impact on GDP, including through</w:t>
      </w:r>
      <w:r>
        <w:t xml:space="preserve"> </w:t>
      </w:r>
      <w:r>
        <w:t xml:space="preserve">indirect effects, related to the increase of demand of goods and services in the EU.</w:t>
      </w:r>
      <w:r>
        <w:br/>
      </w:r>
      <w:r>
        <w:t xml:space="preserve">At the sectoral level, there would be an expansion of electric and hydrogen vehicles</w:t>
      </w:r>
      <w:r>
        <w:t xml:space="preserve"> </w:t>
      </w:r>
      <w:r>
        <w:t xml:space="preserve">supply chain, with a production increase in sectors such electronics and electrical</w:t>
      </w:r>
      <w:r>
        <w:t xml:space="preserve"> </w:t>
      </w:r>
      <w:r>
        <w:t xml:space="preserve">equipment and electricity supply. This reflects the impact of increased demand for</w:t>
      </w:r>
      <w:r>
        <w:t xml:space="preserve"> </w:t>
      </w:r>
      <w:r>
        <w:t xml:space="preserve">batteries, electricity infrastructure, electric motors as well as hydrogen feul manufacture</w:t>
      </w:r>
      <w:r>
        <w:t xml:space="preserve"> </w:t>
      </w:r>
      <w:r>
        <w:t xml:space="preserve">and fuel cells.</w:t>
      </w:r>
      <w:r>
        <w:br/>
      </w:r>
      <w:r>
        <w:t xml:space="preserve">The automotive sector would see a limited decrease in turnover due to the decreasing</w:t>
      </w:r>
      <w:r>
        <w:t xml:space="preserve"> </w:t>
      </w:r>
      <w:r>
        <w:t xml:space="preserve">shares of internal combustion engines vehicles, while the electronic and electrical</w:t>
      </w:r>
      <w:r>
        <w:t xml:space="preserve"> </w:t>
      </w:r>
      <w:r>
        <w:t xml:space="preserve">equipment sector would see an increase due to the additional demand for batteries.</w:t>
      </w:r>
      <w:r>
        <w:br/>
      </w:r>
      <w:r>
        <w:t xml:space="preserve">This shows that the automotive value chain and its employment composition (see</w:t>
      </w:r>
      <w:r>
        <w:t xml:space="preserve"> </w:t>
      </w:r>
      <w:r>
        <w:t xml:space="preserve">employment section below) are expected to change over time, with a shift from the</w:t>
      </w:r>
      <w:r>
        <w:t xml:space="preserve"> </w:t>
      </w:r>
      <w:r>
        <w:t xml:space="preserve">production of components for internal combustion engines to the manufacturing and</w:t>
      </w:r>
      <w:r>
        <w:t xml:space="preserve"> </w:t>
      </w:r>
      <w:r>
        <w:t xml:space="preserve">management of equipment for zero-emission powertrains.</w:t>
      </w:r>
      <w:r>
        <w:br/>
      </w:r>
      <w:r>
        <w:t xml:space="preserve">While outside of the scope of the analysis of the impacts of different CO2 emission</w:t>
      </w:r>
      <w:r>
        <w:t xml:space="preserve"> </w:t>
      </w:r>
      <w:r>
        <w:t xml:space="preserve">standards levels, it should be noted that other trends, including connectivity and</w:t>
      </w:r>
      <w:r>
        <w:t xml:space="preserve"> </w:t>
      </w:r>
      <w:r>
        <w:t xml:space="preserve">automation, and new business models, are likely to affect the automotive value chain,</w:t>
      </w:r>
      <w:r>
        <w:t xml:space="preserve"> </w:t>
      </w:r>
      <w:r>
        <w:t xml:space="preserve">and its employment characteristics. While vehicle production is likely to remain the core</w:t>
      </w:r>
      <w:r>
        <w:t xml:space="preserve"> </w:t>
      </w:r>
      <w:r>
        <w:t xml:space="preserve">competence of the automotive manufacturers, they have started to participate in new</w:t>
      </w:r>
      <w:r>
        <w:t xml:space="preserve"> </w:t>
      </w:r>
      <w:r>
        <w:t xml:space="preserve">business models and to expand their suppliers pool to integrate new hardware, software</w:t>
      </w:r>
      <w:r>
        <w:t xml:space="preserve"> </w:t>
      </w:r>
      <w:r>
        <w:t xml:space="preserve">and services.</w:t>
      </w:r>
      <w:r>
        <w:br/>
      </w:r>
      <w:r>
        <w:t xml:space="preserve">Furthermore, the modelling results show that power and hydrogen supply sectors would</w:t>
      </w:r>
      <w:r>
        <w:t xml:space="preserve"> </w:t>
      </w:r>
      <w:r>
        <w:t xml:space="preserve">increase production reflecting increased demand for electricity and hydrogen to power</w:t>
      </w:r>
      <w:r>
        <w:t xml:space="preserve"> </w:t>
      </w:r>
      <w:r>
        <w:t xml:space="preserve">EVs, while the petroleum refining sector and petrol stations would see losses. Indirect</w:t>
      </w:r>
      <w:r>
        <w:t xml:space="preserve"> </w:t>
      </w:r>
      <w:r>
        <w:t xml:space="preserve">effects are observed for the recreation and services sectors, which would benefit from</w:t>
      </w:r>
      <w:r>
        <w:t xml:space="preserve"> </w:t>
      </w:r>
      <w:r>
        <w:t xml:space="preserve">higher demand from consumers. With stricter target levels, these effects would become</w:t>
      </w:r>
      <w:r>
        <w:t xml:space="preserve"> </w:t>
      </w:r>
      <w:r>
        <w:t xml:space="preserve">slightly more pronounced.</w:t>
      </w:r>
    </w:p>
    <w:p>
      <w:pPr>
        <w:pStyle w:val="BodyText"/>
      </w:pPr>
      <w:r>
        <w:t xml:space="preserve">104 Also considering the recharging and refuelling infrastructure costs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110</w:t>
      </w:r>
    </w:p>
    <w:p>
      <w:pPr>
        <w:pStyle w:val="BodyText"/>
      </w:pPr>
      <w:r>
        <w:t xml:space="preserve">Table 17 shows the main impacts on the output within the most affected sectors for the</w:t>
      </w:r>
      <w:r>
        <w:t xml:space="preserve"> </w:t>
      </w:r>
      <w:r>
        <w:t xml:space="preserve">different scenarios.</w:t>
      </w:r>
      <w:r>
        <w:t xml:space="preserve"> </w:t>
      </w:r>
      <w:r>
        <w:t xml:space="preserve">Table 17: Impacts on the output within the most affected sectors (million EUR in</w:t>
      </w:r>
      <w:r>
        <w:t xml:space="preserve"> </w:t>
      </w:r>
      <w:r>
        <w:t xml:space="preserve">2015 price) and percentage change from the baseline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Low</w:t>
      </w:r>
      <w:r>
        <w:t xml:space="preserve"> </w:t>
      </w:r>
      <w:r>
        <w:t xml:space="preserve">Medium</w:t>
      </w:r>
      <w:r>
        <w:t xml:space="preserve"> </w:t>
      </w:r>
      <w:r>
        <w:t xml:space="preserve">High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Petroleum refining</w:t>
      </w:r>
      <w:r>
        <w:t xml:space="preserve"> </w:t>
      </w:r>
      <w:r>
        <w:t xml:space="preserve">333 268</w:t>
      </w:r>
      <w:r>
        <w:t xml:space="preserve"> </w:t>
      </w:r>
      <w:r>
        <w:t xml:space="preserve">-0.21%</w:t>
      </w:r>
      <w:r>
        <w:t xml:space="preserve"> </w:t>
      </w:r>
      <w:r>
        <w:t xml:space="preserve">-0.32%</w:t>
      </w:r>
      <w:r>
        <w:t xml:space="preserve"> </w:t>
      </w:r>
      <w:r>
        <w:t xml:space="preserve">-0.51%</w:t>
      </w:r>
      <w:r>
        <w:t xml:space="preserve"> </w:t>
      </w:r>
      <w:r>
        <w:t xml:space="preserve">Automotive</w:t>
      </w:r>
      <w:r>
        <w:t xml:space="preserve"> </w:t>
      </w:r>
      <w:r>
        <w:t xml:space="preserve">867 506</w:t>
      </w:r>
      <w:r>
        <w:t xml:space="preserve"> </w:t>
      </w:r>
      <w:r>
        <w:t xml:space="preserve">0.01%</w:t>
      </w:r>
      <w:r>
        <w:t xml:space="preserve"> </w:t>
      </w:r>
      <w:r>
        <w:t xml:space="preserve">-0.01%</w:t>
      </w:r>
      <w:r>
        <w:t xml:space="preserve"> </w:t>
      </w:r>
      <w:r>
        <w:t xml:space="preserve">-0.01%</w:t>
      </w:r>
      <w:r>
        <w:t xml:space="preserve"> </w:t>
      </w:r>
      <w:r>
        <w:t xml:space="preserve">Electronics</w:t>
      </w:r>
      <w:r>
        <w:t xml:space="preserve"> </w:t>
      </w:r>
      <w:r>
        <w:t xml:space="preserve">412 685</w:t>
      </w:r>
      <w:r>
        <w:t xml:space="preserve"> </w:t>
      </w:r>
      <w:r>
        <w:t xml:space="preserve">0.01%</w:t>
      </w:r>
      <w:r>
        <w:t xml:space="preserve"> </w:t>
      </w:r>
      <w:r>
        <w:t xml:space="preserve">0.02%</w:t>
      </w:r>
      <w:r>
        <w:t xml:space="preserve"> </w:t>
      </w:r>
      <w:r>
        <w:t xml:space="preserve">0.02%</w:t>
      </w:r>
      <w:r>
        <w:t xml:space="preserve"> </w:t>
      </w:r>
      <w:r>
        <w:t xml:space="preserve">Metals</w:t>
      </w:r>
      <w:r>
        <w:t xml:space="preserve"> </w:t>
      </w:r>
      <w:r>
        <w:t xml:space="preserve">1 014 944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Electrical equipment</w:t>
      </w:r>
      <w:r>
        <w:t xml:space="preserve"> </w:t>
      </w:r>
      <w:r>
        <w:t xml:space="preserve">310 232</w:t>
      </w:r>
      <w:r>
        <w:t xml:space="preserve"> </w:t>
      </w:r>
      <w:r>
        <w:t xml:space="preserve">0.06%</w:t>
      </w:r>
      <w:r>
        <w:t xml:space="preserve"> </w:t>
      </w:r>
      <w:r>
        <w:t xml:space="preserve">0.08%</w:t>
      </w:r>
      <w:r>
        <w:t xml:space="preserve"> </w:t>
      </w:r>
      <w:r>
        <w:t xml:space="preserve">0.13%</w:t>
      </w:r>
      <w:r>
        <w:t xml:space="preserve"> </w:t>
      </w:r>
      <w:r>
        <w:t xml:space="preserve">Electricity, gas, water, etc</w:t>
      </w:r>
      <w:r>
        <w:t xml:space="preserve"> </w:t>
      </w:r>
      <w:r>
        <w:t xml:space="preserve">1 186 861</w:t>
      </w:r>
      <w:r>
        <w:t xml:space="preserve"> </w:t>
      </w:r>
      <w:r>
        <w:t xml:space="preserve">0.08%</w:t>
      </w:r>
      <w:r>
        <w:t xml:space="preserve"> </w:t>
      </w:r>
      <w:r>
        <w:t xml:space="preserve">0.11%</w:t>
      </w:r>
      <w:r>
        <w:t xml:space="preserve"> </w:t>
      </w:r>
      <w:r>
        <w:t xml:space="preserve">0.17%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Petroleum refining</w:t>
      </w:r>
      <w:r>
        <w:t xml:space="preserve"> </w:t>
      </w:r>
      <w:r>
        <w:t xml:space="preserve">224 365</w:t>
      </w:r>
      <w:r>
        <w:t xml:space="preserve"> </w:t>
      </w:r>
      <w:r>
        <w:t xml:space="preserve">-2.21%</w:t>
      </w:r>
      <w:r>
        <w:t xml:space="preserve"> </w:t>
      </w:r>
      <w:r>
        <w:t xml:space="preserve">-2.79%</w:t>
      </w:r>
      <w:r>
        <w:t xml:space="preserve"> </w:t>
      </w:r>
      <w:r>
        <w:t xml:space="preserve">-3.67%</w:t>
      </w:r>
      <w:r>
        <w:t xml:space="preserve"> </w:t>
      </w:r>
      <w:r>
        <w:t xml:space="preserve">Automotive</w:t>
      </w:r>
      <w:r>
        <w:t xml:space="preserve"> </w:t>
      </w:r>
      <w:r>
        <w:t xml:space="preserve">937 985</w:t>
      </w:r>
      <w:r>
        <w:t xml:space="preserve"> </w:t>
      </w:r>
      <w:r>
        <w:t xml:space="preserve">0.05%</w:t>
      </w:r>
      <w:r>
        <w:t xml:space="preserve"> </w:t>
      </w:r>
      <w:r>
        <w:t xml:space="preserve">-0.05%</w:t>
      </w:r>
      <w:r>
        <w:t xml:space="preserve"> </w:t>
      </w:r>
      <w:r>
        <w:t xml:space="preserve">-0.08%</w:t>
      </w:r>
      <w:r>
        <w:t xml:space="preserve"> </w:t>
      </w:r>
      <w:r>
        <w:t xml:space="preserve">Electronics</w:t>
      </w:r>
      <w:r>
        <w:t xml:space="preserve"> </w:t>
      </w:r>
      <w:r>
        <w:t xml:space="preserve">476 499</w:t>
      </w:r>
      <w:r>
        <w:t xml:space="preserve"> </w:t>
      </w:r>
      <w:r>
        <w:t xml:space="preserve">0.07%</w:t>
      </w:r>
      <w:r>
        <w:t xml:space="preserve"> </w:t>
      </w:r>
      <w:r>
        <w:t xml:space="preserve">0.09%</w:t>
      </w:r>
      <w:r>
        <w:t xml:space="preserve"> </w:t>
      </w:r>
      <w:r>
        <w:t xml:space="preserve">0.15%</w:t>
      </w:r>
      <w:r>
        <w:t xml:space="preserve"> </w:t>
      </w:r>
      <w:r>
        <w:t xml:space="preserve">Metals</w:t>
      </w:r>
      <w:r>
        <w:t xml:space="preserve"> </w:t>
      </w:r>
      <w:r>
        <w:t xml:space="preserve">1 100 704</w:t>
      </w:r>
      <w:r>
        <w:t xml:space="preserve"> </w:t>
      </w:r>
      <w:r>
        <w:t xml:space="preserve">0.05%</w:t>
      </w:r>
      <w:r>
        <w:t xml:space="preserve"> </w:t>
      </w:r>
      <w:r>
        <w:t xml:space="preserve">0.08%</w:t>
      </w:r>
      <w:r>
        <w:t xml:space="preserve"> </w:t>
      </w:r>
      <w:r>
        <w:t xml:space="preserve">0.12%</w:t>
      </w:r>
      <w:r>
        <w:t xml:space="preserve"> </w:t>
      </w:r>
      <w:r>
        <w:t xml:space="preserve">Electrical equipment</w:t>
      </w:r>
      <w:r>
        <w:t xml:space="preserve"> </w:t>
      </w:r>
      <w:r>
        <w:t xml:space="preserve">356 527</w:t>
      </w:r>
      <w:r>
        <w:t xml:space="preserve"> </w:t>
      </w:r>
      <w:r>
        <w:t xml:space="preserve">0.14%</w:t>
      </w:r>
      <w:r>
        <w:t xml:space="preserve"> </w:t>
      </w:r>
      <w:r>
        <w:t xml:space="preserve">0.22%</w:t>
      </w:r>
      <w:r>
        <w:t xml:space="preserve"> </w:t>
      </w:r>
      <w:r>
        <w:t xml:space="preserve">0.37%</w:t>
      </w:r>
      <w:r>
        <w:t xml:space="preserve"> </w:t>
      </w:r>
      <w:r>
        <w:t xml:space="preserve">Electricity, gas, water, etc</w:t>
      </w:r>
      <w:r>
        <w:t xml:space="preserve"> </w:t>
      </w:r>
      <w:r>
        <w:t xml:space="preserve">1 289 883</w:t>
      </w:r>
      <w:r>
        <w:t xml:space="preserve"> </w:t>
      </w:r>
      <w:r>
        <w:t xml:space="preserve">0.43%</w:t>
      </w:r>
      <w:r>
        <w:t xml:space="preserve"> </w:t>
      </w:r>
      <w:r>
        <w:t xml:space="preserve">0.66%</w:t>
      </w:r>
      <w:r>
        <w:t xml:space="preserve"> </w:t>
      </w:r>
      <w:r>
        <w:t xml:space="preserve">1.11%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Petroleum refining</w:t>
      </w:r>
      <w:r>
        <w:t xml:space="preserve"> </w:t>
      </w:r>
      <w:r>
        <w:t xml:space="preserve">165,852</w:t>
      </w:r>
      <w:r>
        <w:t xml:space="preserve"> </w:t>
      </w:r>
      <w:r>
        <w:t xml:space="preserve">-2.37%</w:t>
      </w:r>
      <w:r>
        <w:t xml:space="preserve"> </w:t>
      </w:r>
      <w:r>
        <w:t xml:space="preserve">-2.38%</w:t>
      </w:r>
      <w:r>
        <w:t xml:space="preserve"> </w:t>
      </w:r>
      <w:r>
        <w:t xml:space="preserve">-2.39%</w:t>
      </w:r>
      <w:r>
        <w:t xml:space="preserve"> </w:t>
      </w:r>
      <w:r>
        <w:t xml:space="preserve">Automotive</w:t>
      </w:r>
      <w:r>
        <w:t xml:space="preserve"> </w:t>
      </w:r>
      <w:r>
        <w:t xml:space="preserve">1,034,706</w:t>
      </w:r>
      <w:r>
        <w:t xml:space="preserve"> </w:t>
      </w:r>
      <w:r>
        <w:t xml:space="preserve">0.00%</w:t>
      </w:r>
      <w:r>
        <w:t xml:space="preserve"> </w:t>
      </w:r>
      <w:r>
        <w:t xml:space="preserve">-0.08%</w:t>
      </w:r>
      <w:r>
        <w:t xml:space="preserve"> </w:t>
      </w:r>
      <w:r>
        <w:t xml:space="preserve">-0.09%</w:t>
      </w:r>
      <w:r>
        <w:t xml:space="preserve"> </w:t>
      </w:r>
      <w:r>
        <w:t xml:space="preserve">Electronics</w:t>
      </w:r>
      <w:r>
        <w:t xml:space="preserve"> </w:t>
      </w:r>
      <w:r>
        <w:t xml:space="preserve">552,025</w:t>
      </w:r>
      <w:r>
        <w:t xml:space="preserve"> </w:t>
      </w:r>
      <w:r>
        <w:t xml:space="preserve">0.10%</w:t>
      </w:r>
      <w:r>
        <w:t xml:space="preserve"> </w:t>
      </w:r>
      <w:r>
        <w:t xml:space="preserve">0.16%</w:t>
      </w:r>
      <w:r>
        <w:t xml:space="preserve"> </w:t>
      </w:r>
      <w:r>
        <w:t xml:space="preserve">0.15%</w:t>
      </w:r>
      <w:r>
        <w:t xml:space="preserve"> </w:t>
      </w:r>
      <w:r>
        <w:t xml:space="preserve">Metals</w:t>
      </w:r>
      <w:r>
        <w:t xml:space="preserve"> </w:t>
      </w:r>
      <w:r>
        <w:t xml:space="preserve">1,205,507</w:t>
      </w:r>
      <w:r>
        <w:t xml:space="preserve"> </w:t>
      </w:r>
      <w:r>
        <w:t xml:space="preserve">0.04%</w:t>
      </w:r>
      <w:r>
        <w:t xml:space="preserve"> </w:t>
      </w:r>
      <w:r>
        <w:t xml:space="preserve">0.12%</w:t>
      </w:r>
      <w:r>
        <w:t xml:space="preserve"> </w:t>
      </w:r>
      <w:r>
        <w:t xml:space="preserve">0.14%</w:t>
      </w:r>
      <w:r>
        <w:t xml:space="preserve"> </w:t>
      </w:r>
      <w:r>
        <w:t xml:space="preserve">Electrical equipment</w:t>
      </w:r>
      <w:r>
        <w:t xml:space="preserve"> </w:t>
      </w:r>
      <w:r>
        <w:t xml:space="preserve">411,582</w:t>
      </w:r>
      <w:r>
        <w:t xml:space="preserve"> </w:t>
      </w:r>
      <w:r>
        <w:t xml:space="preserve">0.23%</w:t>
      </w:r>
      <w:r>
        <w:t xml:space="preserve"> </w:t>
      </w:r>
      <w:r>
        <w:t xml:space="preserve">0.23%</w:t>
      </w:r>
      <w:r>
        <w:t xml:space="preserve"> </w:t>
      </w:r>
      <w:r>
        <w:t xml:space="preserve">0.21%</w:t>
      </w:r>
      <w:r>
        <w:t xml:space="preserve"> </w:t>
      </w:r>
      <w:r>
        <w:t xml:space="preserve">Electricity, gas, water, etc</w:t>
      </w:r>
      <w:r>
        <w:t xml:space="preserve"> </w:t>
      </w:r>
      <w:r>
        <w:t xml:space="preserve">1,373,390</w:t>
      </w:r>
      <w:r>
        <w:t xml:space="preserve"> </w:t>
      </w:r>
      <w:r>
        <w:t xml:space="preserve">1.63%</w:t>
      </w:r>
      <w:r>
        <w:t xml:space="preserve"> </w:t>
      </w:r>
      <w:r>
        <w:t xml:space="preserve">1.86%</w:t>
      </w:r>
      <w:r>
        <w:t xml:space="preserve"> </w:t>
      </w:r>
      <w:r>
        <w:t xml:space="preserve">2.02%</w:t>
      </w:r>
      <w:r>
        <w:t xml:space="preserve"> </w:t>
      </w:r>
      <w:r>
        <w:t xml:space="preserve">Consumer expenditure</w:t>
      </w:r>
      <w:r>
        <w:t xml:space="preserve"> </w:t>
      </w:r>
      <w:r>
        <w:t xml:space="preserve">The lower fuel and transport costs lead to increased purchasing power for consumers,</w:t>
      </w:r>
      <w:r>
        <w:t xml:space="preserve"> </w:t>
      </w:r>
      <w:r>
        <w:t xml:space="preserve">since their real disposable incomes is higher than in the baseline. Households would pay</w:t>
      </w:r>
      <w:r>
        <w:t xml:space="preserve"> </w:t>
      </w:r>
      <w:r>
        <w:t xml:space="preserve">less in real terms for transport and fuels, which would then allow them to spend money</w:t>
      </w:r>
      <w:r>
        <w:t xml:space="preserve"> </w:t>
      </w:r>
      <w:r>
        <w:t xml:space="preserve">on other goods and services.</w:t>
      </w:r>
      <w:r>
        <w:t xml:space="preserve"> </w:t>
      </w:r>
      <w:r>
        <w:t xml:space="preserve">Table 18: Total impacts on Consumer expenditures the baseline (Million EUR) and</w:t>
      </w:r>
      <w:r>
        <w:t xml:space="preserve"> </w:t>
      </w:r>
      <w:r>
        <w:t xml:space="preserve">changes to the baseline (% difference) under the three policy scenarios</w:t>
      </w:r>
      <w:r>
        <w:t xml:space="preserve"> </w:t>
      </w:r>
      <w:r>
        <w:t xml:space="preserve">Consumer expenditure EU27</w:t>
      </w:r>
      <w:r>
        <w:t xml:space="preserve"> </w:t>
      </w:r>
      <w:r>
        <w:t xml:space="preserve">Scenario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Baseline</w:t>
      </w:r>
      <w:r>
        <w:t xml:space="preserve"> </w:t>
      </w:r>
      <w:r>
        <w:t xml:space="preserve">(M€2015)</w:t>
      </w:r>
      <w:r>
        <w:t xml:space="preserve"> </w:t>
      </w:r>
      <w:r>
        <w:t xml:space="preserve">8 179 661</w:t>
      </w:r>
      <w:r>
        <w:t xml:space="preserve"> </w:t>
      </w:r>
      <w:r>
        <w:t xml:space="preserve">9 210</w:t>
      </w:r>
      <w:r>
        <w:t xml:space="preserve"> </w:t>
      </w:r>
      <w:r>
        <w:t xml:space="preserve">465</w:t>
      </w:r>
      <w:r>
        <w:t xml:space="preserve"> </w:t>
      </w:r>
      <w:r>
        <w:t xml:space="preserve">10 572</w:t>
      </w:r>
      <w:r>
        <w:t xml:space="preserve"> </w:t>
      </w:r>
      <w:r>
        <w:t xml:space="preserve">667</w:t>
      </w:r>
      <w:r>
        <w:t xml:space="preserve"> </w:t>
      </w:r>
      <w:r>
        <w:t xml:space="preserve">Low</w:t>
      </w:r>
      <w:r>
        <w:t xml:space="preserve"> </w:t>
      </w:r>
      <w:r>
        <w:t xml:space="preserve">+0.02%</w:t>
      </w:r>
      <w:r>
        <w:t xml:space="preserve"> </w:t>
      </w:r>
      <w:r>
        <w:t xml:space="preserve">+0.06%</w:t>
      </w:r>
      <w:r>
        <w:t xml:space="preserve"> </w:t>
      </w:r>
      <w:r>
        <w:t xml:space="preserve">+0.13%</w:t>
      </w:r>
      <w:r>
        <w:t xml:space="preserve"> </w:t>
      </w:r>
      <w:r>
        <w:t xml:space="preserve">Medium</w:t>
      </w:r>
      <w:r>
        <w:t xml:space="preserve"> </w:t>
      </w:r>
      <w:r>
        <w:t xml:space="preserve">+0.02%</w:t>
      </w:r>
      <w:r>
        <w:t xml:space="preserve"> </w:t>
      </w:r>
      <w:r>
        <w:t xml:space="preserve">+0.09%</w:t>
      </w:r>
      <w:r>
        <w:t xml:space="preserve"> </w:t>
      </w:r>
      <w:r>
        <w:t xml:space="preserve">+0.16%</w:t>
      </w:r>
      <w:r>
        <w:t xml:space="preserve"> </w:t>
      </w:r>
      <w:r>
        <w:t xml:space="preserve">High</w:t>
      </w:r>
      <w:r>
        <w:t xml:space="preserve"> </w:t>
      </w:r>
      <w:r>
        <w:t xml:space="preserve">+0.02%</w:t>
      </w:r>
      <w:r>
        <w:t xml:space="preserve"> </w:t>
      </w:r>
      <w:r>
        <w:t xml:space="preserve">+0.12%</w:t>
      </w:r>
      <w:r>
        <w:t xml:space="preserve"> </w:t>
      </w:r>
      <w:r>
        <w:t xml:space="preserve">+0.17%</w:t>
      </w:r>
      <w:r>
        <w:t xml:space="preserve"> </w:t>
      </w:r>
      <w:r>
        <w:t xml:space="preserve">Employment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111</w:t>
      </w:r>
    </w:p>
    <w:p>
      <w:pPr>
        <w:pStyle w:val="BodyText"/>
      </w:pPr>
      <w:r>
        <w:t xml:space="preserve">As shown in Table 19, stricter HDV CO2 target levels resulting in an increase in</w:t>
      </w:r>
      <w:r>
        <w:t xml:space="preserve"> </w:t>
      </w:r>
      <w:r>
        <w:t xml:space="preserve">economic output,there is also an increase in the number of jobs across the EU-27</w:t>
      </w:r>
      <w:r>
        <w:t xml:space="preserve"> </w:t>
      </w:r>
      <w:r>
        <w:t xml:space="preserve">compared to the baseline, be it overall limited. The number of additional jobs also</w:t>
      </w:r>
      <w:r>
        <w:t xml:space="preserve"> </w:t>
      </w:r>
      <w:r>
        <w:t xml:space="preserve">increases over time. The main drivers behind the GDP impacts also explain the</w:t>
      </w:r>
      <w:r>
        <w:t xml:space="preserve"> </w:t>
      </w:r>
      <w:r>
        <w:t xml:space="preserve">employment impacts.</w:t>
      </w:r>
      <w:r>
        <w:br/>
      </w:r>
      <w:r>
        <w:t xml:space="preserve">Table 19: Total employment impacts in terms of number of jobs in the baseline</w:t>
      </w:r>
      <w:r>
        <w:t xml:space="preserve"> </w:t>
      </w:r>
      <w:r>
        <w:t xml:space="preserve">(000s) and changes to the baseline (000s jobs) under the three policy scenarios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Baseline</w:t>
      </w:r>
      <w:r>
        <w:t xml:space="preserve"> </w:t>
      </w:r>
      <w:r>
        <w:t xml:space="preserve">200 613</w:t>
      </w:r>
      <w:r>
        <w:t xml:space="preserve"> </w:t>
      </w:r>
      <w:r>
        <w:t xml:space="preserve">194 601</w:t>
      </w:r>
      <w:r>
        <w:t xml:space="preserve"> </w:t>
      </w:r>
      <w:r>
        <w:t xml:space="preserve">187 796</w:t>
      </w:r>
      <w:r>
        <w:t xml:space="preserve"> </w:t>
      </w:r>
      <w:r>
        <w:t xml:space="preserve">Low</w:t>
      </w:r>
      <w:r>
        <w:t xml:space="preserve"> </w:t>
      </w:r>
      <w:r>
        <w:t xml:space="preserve">+9</w:t>
      </w:r>
      <w:r>
        <w:t xml:space="preserve"> </w:t>
      </w:r>
      <w:r>
        <w:t xml:space="preserve">+38</w:t>
      </w:r>
      <w:r>
        <w:t xml:space="preserve"> </w:t>
      </w:r>
      <w:r>
        <w:t xml:space="preserve">+81</w:t>
      </w:r>
      <w:r>
        <w:t xml:space="preserve"> </w:t>
      </w:r>
      <w:r>
        <w:t xml:space="preserve">Medium</w:t>
      </w:r>
      <w:r>
        <w:t xml:space="preserve"> </w:t>
      </w:r>
      <w:r>
        <w:t xml:space="preserve">+11</w:t>
      </w:r>
      <w:r>
        <w:t xml:space="preserve"> </w:t>
      </w:r>
      <w:r>
        <w:t xml:space="preserve">+54</w:t>
      </w:r>
      <w:r>
        <w:t xml:space="preserve"> </w:t>
      </w:r>
      <w:r>
        <w:t xml:space="preserve">+110</w:t>
      </w:r>
      <w:r>
        <w:t xml:space="preserve"> </w:t>
      </w:r>
      <w:r>
        <w:t xml:space="preserve">High</w:t>
      </w:r>
      <w:r>
        <w:t xml:space="preserve"> </w:t>
      </w:r>
      <w:r>
        <w:t xml:space="preserve">+13</w:t>
      </w:r>
      <w:r>
        <w:t xml:space="preserve"> </w:t>
      </w:r>
      <w:r>
        <w:t xml:space="preserve">+83</w:t>
      </w:r>
      <w:r>
        <w:t xml:space="preserve"> </w:t>
      </w:r>
      <w:r>
        <w:t xml:space="preserve">+121</w:t>
      </w:r>
      <w:r>
        <w:t xml:space="preserve"> </w:t>
      </w:r>
      <w:r>
        <w:t xml:space="preserve">At sectoral level, similar conclusions and considerations as for the impacts on the output</w:t>
      </w:r>
      <w:r>
        <w:t xml:space="preserve"> </w:t>
      </w:r>
      <w:r>
        <w:t xml:space="preserve">can be drawn. The overall impacts are small. Positive impacts are mainly seen in the</w:t>
      </w:r>
      <w:r>
        <w:t xml:space="preserve"> </w:t>
      </w:r>
      <w:r>
        <w:t xml:space="preserve">sectors supplying to the automotive sector as well as in the power sector. Other sectors</w:t>
      </w:r>
      <w:r>
        <w:t xml:space="preserve"> </w:t>
      </w:r>
      <w:r>
        <w:t xml:space="preserve">experience some positive second order effects, e.g. as a result of overall increased</w:t>
      </w:r>
      <w:r>
        <w:t xml:space="preserve"> </w:t>
      </w:r>
      <w:r>
        <w:t xml:space="preserve">consumer expenditure.</w:t>
      </w:r>
      <w:r>
        <w:br/>
      </w:r>
      <w:r>
        <w:t xml:space="preserve">In the different options assessed, the market uptake of battery and plug-in hybrid electric</w:t>
      </w:r>
      <w:r>
        <w:t xml:space="preserve"> </w:t>
      </w:r>
      <w:r>
        <w:t xml:space="preserve">vehicles increases with respect to the baseline, while the conventional powertrains</w:t>
      </w:r>
      <w:r>
        <w:t xml:space="preserve"> </w:t>
      </w:r>
      <w:r>
        <w:t xml:space="preserve">remain the majority of the fleet in 2030, but decrease thereafter, as shown in Section</w:t>
      </w:r>
      <w:r>
        <w:t xml:space="preserve"> </w:t>
      </w:r>
      <w:r>
        <w:t xml:space="preserve">18.3.1. This impacts the employment situation in the automotive sector.</w:t>
      </w:r>
      <w:r>
        <w:br/>
      </w:r>
      <w:r>
        <w:t xml:space="preserve">In particular, as shown in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112</w:t>
      </w:r>
    </w:p>
    <w:p>
      <w:pPr>
        <w:pStyle w:val="BodyText"/>
      </w:pPr>
      <w:r>
        <w:t xml:space="preserve">Table 20, while the Low scenario results in net 9 000 additional jobs economy-wide in</w:t>
      </w:r>
      <w:r>
        <w:t xml:space="preserve"> </w:t>
      </w:r>
      <w:r>
        <w:t xml:space="preserve">2030, it also results in around 150 jobs losses in the automotive sector corresponding to</w:t>
      </w:r>
      <w:r>
        <w:t xml:space="preserve"> </w:t>
      </w:r>
      <w:r>
        <w:t xml:space="preserve">0.01% reduction compared to the baseline. Employment impacts are more pronounced in</w:t>
      </w:r>
      <w:r>
        <w:t xml:space="preserve"> </w:t>
      </w:r>
      <w:r>
        <w:t xml:space="preserve">the long term. In 2040 there are net 38 000 additional jobs economy-wide, with job</w:t>
      </w:r>
      <w:r>
        <w:t xml:space="preserve"> </w:t>
      </w:r>
      <w:r>
        <w:t xml:space="preserve">losses in the automotive sectors increase by around 400 jobs corresponding to 0.02%</w:t>
      </w:r>
      <w:r>
        <w:t xml:space="preserve"> </w:t>
      </w:r>
      <w:r>
        <w:t xml:space="preserve">reduction compared to the baseline. In 2050 there are net 81 000 additional jobs</w:t>
      </w:r>
      <w:r>
        <w:t xml:space="preserve"> </w:t>
      </w:r>
      <w:r>
        <w:t xml:space="preserve">economy-wide, with job losses in the automotive sectors increase by around 1600 jobs</w:t>
      </w:r>
      <w:r>
        <w:t xml:space="preserve"> </w:t>
      </w:r>
      <w:r>
        <w:t xml:space="preserve">corresponding to 0.07% reduction compared to the baseline.</w:t>
      </w:r>
      <w:r>
        <w:t xml:space="preserve"> </w:t>
      </w:r>
      <w:r>
        <w:t xml:space="preserve">Job losses in the automotive sector reflect mainly the reduction in demand for internal</w:t>
      </w:r>
      <w:r>
        <w:t xml:space="preserve"> </w:t>
      </w:r>
      <w:r>
        <w:t xml:space="preserve">combustion engine vehicles. However, as the automotive sector covers a variety of</w:t>
      </w:r>
      <w:r>
        <w:t xml:space="preserve"> </w:t>
      </w:r>
      <w:r>
        <w:t xml:space="preserve">vehicles production activities, which would continue to operate for electric and</w:t>
      </w:r>
      <w:r>
        <w:t xml:space="preserve"> </w:t>
      </w:r>
      <w:r>
        <w:t xml:space="preserve">hydrogen-powered vehicles production, the losses are limited.</w:t>
      </w:r>
      <w:r>
        <w:br/>
      </w:r>
      <w:r>
        <w:t xml:space="preserve">Jobs in electronics and electrical equipment increase as a result of the additional demand</w:t>
      </w:r>
      <w:r>
        <w:t xml:space="preserve"> </w:t>
      </w:r>
      <w:r>
        <w:t xml:space="preserve">for batteries, hydrogen fuel cells and components for the electric engines. To fully reap</w:t>
      </w:r>
      <w:r>
        <w:t xml:space="preserve"> </w:t>
      </w:r>
      <w:r>
        <w:t xml:space="preserve">the job opportunities offered by the transition towards zero-emission mobility, it is</w:t>
      </w:r>
      <w:r>
        <w:t xml:space="preserve"> </w:t>
      </w:r>
      <w:r>
        <w:t xml:space="preserve">essential to stimulate investments in these areas and sub-sectors with growth potential.</w:t>
      </w:r>
      <w:r>
        <w:br/>
      </w:r>
      <w:r>
        <w:t xml:space="preserve">The change in the automotive value chain described above is reflected in these changes</w:t>
      </w:r>
      <w:r>
        <w:t xml:space="preserve"> </w:t>
      </w:r>
      <w:r>
        <w:t xml:space="preserve">in the employment distribution at sectoral level. Transitions of employment can occur at</w:t>
      </w:r>
      <w:r>
        <w:t xml:space="preserve"> </w:t>
      </w:r>
      <w:r>
        <w:t xml:space="preserve">different levels: intra-company, within the automotive sector and also outside of the</w:t>
      </w:r>
      <w:r>
        <w:t xml:space="preserve"> </w:t>
      </w:r>
      <w:r>
        <w:t xml:space="preserve">automotive sector. In this context, it remains key to ensure that adequate policies and</w:t>
      </w:r>
      <w:r>
        <w:t xml:space="preserve"> </w:t>
      </w:r>
      <w:r>
        <w:t xml:space="preserve">programs are set-up for the reskilling of workers to facilitate the transitions.</w:t>
      </w:r>
      <w:r>
        <w:br/>
      </w:r>
      <w:r>
        <w:t xml:space="preserve">At the EU level, beside the Just Transition Fund, the European Social Fund Plus (ESF+)</w:t>
      </w:r>
      <w:r>
        <w:t xml:space="preserve"> </w:t>
      </w:r>
      <w:r>
        <w:t xml:space="preserve">is the main EU instrument to address this concern, with the aim to support Member</w:t>
      </w:r>
      <w:r>
        <w:t xml:space="preserve"> </w:t>
      </w:r>
      <w:r>
        <w:t xml:space="preserve">States to achieve a skilled workforce ready for the green and digital transition105.</w:t>
      </w:r>
      <w:r>
        <w:br/>
      </w:r>
      <w:r>
        <w:t xml:space="preserve">With a total budget of 88 billion euros, the ESF+ contributes to financing the</w:t>
      </w:r>
      <w:r>
        <w:t xml:space="preserve"> </w:t>
      </w:r>
      <w:r>
        <w:t xml:space="preserve">implementation of the principles from the European Pillar for Social Rights through</w:t>
      </w:r>
      <w:r>
        <w:t xml:space="preserve"> </w:t>
      </w:r>
      <w:r>
        <w:t xml:space="preserve">actions in the area of employment, education and skills and social inclusion. It aims to,</w:t>
      </w:r>
      <w:r>
        <w:t xml:space="preserve"> </w:t>
      </w:r>
      <w:r>
        <w:t xml:space="preserve">inter alia, achieve high employment levels, ensure social inclusion, contribute to poverty</w:t>
      </w:r>
      <w:r>
        <w:t xml:space="preserve"> </w:t>
      </w:r>
      <w:r>
        <w:t xml:space="preserve">reduction, and grow a skilled and resilient workforce ready for the transition to a green</w:t>
      </w:r>
      <w:r>
        <w:t xml:space="preserve"> </w:t>
      </w:r>
      <w:r>
        <w:t xml:space="preserve">and digital economy.</w:t>
      </w:r>
      <w:r>
        <w:br/>
      </w:r>
      <w:r>
        <w:t xml:space="preserve">The ESF+ will in particular make a strong contribution to the green and digital transitions</w:t>
      </w:r>
      <w:r>
        <w:t xml:space="preserve"> </w:t>
      </w:r>
      <w:r>
        <w:t xml:space="preserve">by driving investment in skilling opportunities so that workers can thrive in a climate-</w:t>
      </w:r>
      <w:r>
        <w:t xml:space="preserve"> </w:t>
      </w:r>
      <w:r>
        <w:t xml:space="preserve">neutral, more digital and inclusive society.</w:t>
      </w:r>
      <w:r>
        <w:br/>
      </w:r>
      <w:r>
        <w:t xml:space="preserve">The Industrial Strategy for Europe106 also highlights the importance of increasing</w:t>
      </w:r>
      <w:r>
        <w:t xml:space="preserve"> </w:t>
      </w:r>
      <w:r>
        <w:t xml:space="preserve">investment in skills and life-long learning with collective action of industry, Member</w:t>
      </w:r>
      <w:r>
        <w:t xml:space="preserve"> </w:t>
      </w:r>
      <w:r>
        <w:t xml:space="preserve">States, social partners and other stakeholders through a new ‘Pact for Skills’107. The Pact</w:t>
      </w:r>
      <w:r>
        <w:t xml:space="preserve"> </w:t>
      </w:r>
      <w:r>
        <w:t xml:space="preserve">helps to mobilise the private sector and other stakeholders to upskill and reskill Europe’s</w:t>
      </w:r>
      <w:r>
        <w:t xml:space="preserve"> </w:t>
      </w:r>
      <w:r>
        <w:t xml:space="preserve">workforce.</w:t>
      </w:r>
      <w:r>
        <w:br/>
      </w:r>
      <w:r>
        <w:t xml:space="preserve">The Pact also supports large-scale skills partnerships per ecosystem, some of which</w:t>
      </w:r>
      <w:r>
        <w:t xml:space="preserve"> </w:t>
      </w:r>
      <w:r>
        <w:t xml:space="preserve">already put forward skilling commitments. The Skills Roundtable organized with the</w:t>
      </w:r>
      <w:r>
        <w:t xml:space="preserve"> </w:t>
      </w:r>
      <w:r>
        <w:t xml:space="preserve">automotive sector provided a number of suggestions and principles for the automotive</w:t>
      </w:r>
      <w:r>
        <w:t xml:space="preserve"> </w:t>
      </w:r>
      <w:r>
        <w:t xml:space="preserve">partnership, including:</w:t>
      </w:r>
    </w:p>
    <w:p>
      <w:pPr>
        <w:pStyle w:val="BodyText"/>
      </w:pPr>
      <w:r>
        <w:t xml:space="preserve">105 https://ec.europa.eu/esf/main.jsp?catId=62&amp;langId=en</w:t>
      </w:r>
      <w:r>
        <w:br/>
      </w:r>
      <w:r>
        <w:t xml:space="preserve">106 COM(2021) 350 final and COM(2020) 102 final</w:t>
      </w:r>
      <w:r>
        <w:t xml:space="preserve"> </w:t>
      </w:r>
      <w:r>
        <w:t xml:space="preserve">107 https://ec.europa.eu/social/main.jsp?catId=1517&amp;langId=en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113</w:t>
      </w:r>
    </w:p>
    <w:p>
      <w:pPr>
        <w:pStyle w:val="BodyText"/>
      </w:pPr>
      <w:r>
        <w:t xml:space="preserve"> The need to address the fragmentation of skills initiatives in the EU and</w:t>
      </w:r>
      <w:r>
        <w:t xml:space="preserve"> </w:t>
      </w:r>
      <w:r>
        <w:t xml:space="preserve">encourage closer co-operation between companies and educational institutes.</w:t>
      </w:r>
      <w:r>
        <w:br/>
      </w:r>
      <w:r>
        <w:t xml:space="preserve"> A key first step is to map those initiatives and identify ways for cooperation</w:t>
      </w:r>
      <w:r>
        <w:t xml:space="preserve"> </w:t>
      </w:r>
      <w:r>
        <w:t xml:space="preserve">between initiatives building on the DRIVES project.</w:t>
      </w:r>
      <w:r>
        <w:br/>
      </w:r>
      <w:r>
        <w:t xml:space="preserve"> The Pact for skills must be inclusive to take account of the whole value chain</w:t>
      </w:r>
      <w:r>
        <w:t xml:space="preserve"> </w:t>
      </w:r>
      <w:r>
        <w:t xml:space="preserve">(including SMEs) and workforce with the different levels of skills required</w:t>
      </w:r>
      <w:r>
        <w:br/>
      </w:r>
      <w:r>
        <w:t xml:space="preserve"> Local and regional training centres and clusters can play an important role in</w:t>
      </w:r>
      <w:r>
        <w:t xml:space="preserve"> </w:t>
      </w:r>
      <w:r>
        <w:t xml:space="preserve">identifying skill needs (especially for SMEs) and help in the delivering of</w:t>
      </w:r>
      <w:r>
        <w:t xml:space="preserve"> </w:t>
      </w:r>
      <w:r>
        <w:t xml:space="preserve">training.</w:t>
      </w:r>
      <w:r>
        <w:br/>
      </w:r>
      <w:r>
        <w:t xml:space="preserve"> The Pact should build on the work of DRIVES and related blueprints such as the</w:t>
      </w:r>
      <w:r>
        <w:t xml:space="preserve"> </w:t>
      </w:r>
      <w:r>
        <w:t xml:space="preserve">ALBATTS108 project.</w:t>
      </w:r>
      <w:r>
        <w:t xml:space="preserve"> </w:t>
      </w:r>
      <w:r>
        <w:t xml:space="preserve">It is needed to ensure that educational programmes provide future employees with a set</w:t>
      </w:r>
      <w:r>
        <w:t xml:space="preserve"> </w:t>
      </w:r>
      <w:r>
        <w:t xml:space="preserve">of skills matching future demands, while creating an ecosystem where industry,</w:t>
      </w:r>
      <w:r>
        <w:t xml:space="preserve"> </w:t>
      </w:r>
      <w:r>
        <w:t xml:space="preserve">education, and national and regional authorities are working together in targeting key</w:t>
      </w:r>
      <w:r>
        <w:t xml:space="preserve"> </w:t>
      </w:r>
      <w:r>
        <w:t xml:space="preserve">areas and implementing relevant training, reskilling and upskilling in the automotive</w:t>
      </w:r>
      <w:r>
        <w:t xml:space="preserve"> </w:t>
      </w:r>
      <w:r>
        <w:t xml:space="preserve">sector. It is crucial to ensure the transformation of the labour force in a particular area</w:t>
      </w:r>
      <w:r>
        <w:t xml:space="preserve"> </w:t>
      </w:r>
      <w:r>
        <w:t xml:space="preserve">and in a way that reflects the possibilities of the region. National and local-level</w:t>
      </w:r>
      <w:r>
        <w:t xml:space="preserve"> </w:t>
      </w:r>
      <w:r>
        <w:t xml:space="preserve">initiatives, such as cooperation between employers, trade unions and schools, collective</w:t>
      </w:r>
      <w:r>
        <w:t xml:space="preserve"> </w:t>
      </w:r>
      <w:r>
        <w:t xml:space="preserve">bargaining frameworks, social security reforms and increased incentives for workers to</w:t>
      </w:r>
      <w:r>
        <w:t xml:space="preserve"> </w:t>
      </w:r>
      <w:r>
        <w:t xml:space="preserve">relocate (to address missing skill-needs) can be important in tackling this challenge.</w:t>
      </w:r>
      <w:r>
        <w:t xml:space="preserve"> </w:t>
      </w:r>
      <w:r>
        <w:t xml:space="preserve">The further expansion of the value chain driven by other trends than the transition to</w:t>
      </w:r>
      <w:r>
        <w:t xml:space="preserve"> </w:t>
      </w:r>
      <w:r>
        <w:t xml:space="preserve">zero-emission mobility is also likely to create new job opportunities in sectors</w:t>
      </w:r>
      <w:r>
        <w:t xml:space="preserve"> </w:t>
      </w:r>
      <w:r>
        <w:t xml:space="preserve">traditionally not part of the automotive value chain, such as electronics, software and</w:t>
      </w:r>
      <w:r>
        <w:t xml:space="preserve"> </w:t>
      </w:r>
      <w:r>
        <w:t xml:space="preserve">services.</w:t>
      </w:r>
    </w:p>
    <w:p>
      <w:pPr>
        <w:pStyle w:val="BodyText"/>
      </w:pPr>
      <w:r>
        <w:t xml:space="preserve">108 See www.project-albatts.eu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114</w:t>
      </w:r>
    </w:p>
    <w:p>
      <w:pPr>
        <w:pStyle w:val="BodyText"/>
      </w:pPr>
      <w:r>
        <w:t xml:space="preserve">Table 20 also shows that jobs are also projected to decrease in the petroleum refining</w:t>
      </w:r>
      <w:r>
        <w:t xml:space="preserve"> </w:t>
      </w:r>
      <w:r>
        <w:t xml:space="preserve">sector, by about 200 in 2030 and just over 1 300 in 2050 as a consequence of the shift</w:t>
      </w:r>
      <w:r>
        <w:t xml:space="preserve"> </w:t>
      </w:r>
      <w:r>
        <w:t xml:space="preserve">away from fossil fuels. However the electrification of road transport, increase</w:t>
      </w:r>
      <w:r>
        <w:t xml:space="preserve"> </w:t>
      </w:r>
      <w:r>
        <w:t xml:space="preserve">employment in electricity sector.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115</w:t>
      </w:r>
    </w:p>
    <w:p>
      <w:pPr>
        <w:pStyle w:val="BodyText"/>
      </w:pPr>
      <w:r>
        <w:t xml:space="preserve">Table 20: Employment impacts, broken down by sector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Medium High</w:t>
      </w:r>
      <w:r>
        <w:t xml:space="preserve"> </w:t>
      </w:r>
      <w:r>
        <w:t xml:space="preserve">Low</w:t>
      </w:r>
      <w:r>
        <w:t xml:space="preserve"> </w:t>
      </w:r>
      <w:r>
        <w:t xml:space="preserve">Mediu</w:t>
      </w:r>
      <w:r>
        <w:t xml:space="preserve"> </w:t>
      </w:r>
      <w:r>
        <w:t xml:space="preserve">m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Number of jobs</w:t>
      </w:r>
      <w:r>
        <w:t xml:space="preserve"> </w:t>
      </w:r>
      <w:r>
        <w:t xml:space="preserve">(thousands) change from</w:t>
      </w:r>
      <w:r>
        <w:t xml:space="preserve"> </w:t>
      </w:r>
      <w:r>
        <w:t xml:space="preserve">baseline</w:t>
      </w:r>
      <w:r>
        <w:t xml:space="preserve"> </w:t>
      </w:r>
      <w:r>
        <w:t xml:space="preserve">% change from baseline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Petroleum refining</w:t>
      </w:r>
      <w:r>
        <w:t xml:space="preserve"> </w:t>
      </w:r>
      <w:r>
        <w:t xml:space="preserve">-0.2</w:t>
      </w:r>
      <w:r>
        <w:t xml:space="preserve"> </w:t>
      </w:r>
      <w:r>
        <w:t xml:space="preserve">-0.4</w:t>
      </w:r>
      <w:r>
        <w:t xml:space="preserve"> </w:t>
      </w:r>
      <w:r>
        <w:t xml:space="preserve">-0.6</w:t>
      </w:r>
      <w:r>
        <w:t xml:space="preserve"> </w:t>
      </w:r>
      <w:r>
        <w:t xml:space="preserve">-0.18%</w:t>
      </w:r>
      <w:r>
        <w:t xml:space="preserve"> </w:t>
      </w:r>
      <w:r>
        <w:t xml:space="preserve">-0.29%</w:t>
      </w:r>
      <w:r>
        <w:t xml:space="preserve"> </w:t>
      </w:r>
      <w:r>
        <w:t xml:space="preserve">-0.46%</w:t>
      </w:r>
      <w:r>
        <w:t xml:space="preserve"> </w:t>
      </w:r>
      <w:r>
        <w:t xml:space="preserve">Automotive</w:t>
      </w:r>
      <w:r>
        <w:t xml:space="preserve"> </w:t>
      </w:r>
      <w:r>
        <w:t xml:space="preserve">-0.1</w:t>
      </w:r>
      <w:r>
        <w:t xml:space="preserve"> </w:t>
      </w:r>
      <w:r>
        <w:t xml:space="preserve">-0.2</w:t>
      </w:r>
      <w:r>
        <w:t xml:space="preserve"> </w:t>
      </w:r>
      <w:r>
        <w:t xml:space="preserve">-0.3</w:t>
      </w:r>
      <w:r>
        <w:t xml:space="preserve"> </w:t>
      </w:r>
      <w:r>
        <w:t xml:space="preserve">-0.01%</w:t>
      </w:r>
      <w:r>
        <w:t xml:space="preserve"> </w:t>
      </w:r>
      <w:r>
        <w:t xml:space="preserve">-0.01%</w:t>
      </w:r>
      <w:r>
        <w:t xml:space="preserve"> </w:t>
      </w:r>
      <w:r>
        <w:t xml:space="preserve">-0.01%</w:t>
      </w:r>
      <w:r>
        <w:t xml:space="preserve"> </w:t>
      </w:r>
      <w:r>
        <w:t xml:space="preserve">Electronics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Metals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Electrical equipment</w:t>
      </w:r>
      <w:r>
        <w:t xml:space="preserve"> </w:t>
      </w:r>
      <w:r>
        <w:t xml:space="preserve">0.6</w:t>
      </w:r>
      <w:r>
        <w:t xml:space="preserve"> </w:t>
      </w:r>
      <w:r>
        <w:t xml:space="preserve">0.8</w:t>
      </w:r>
      <w:r>
        <w:t xml:space="preserve"> </w:t>
      </w:r>
      <w:r>
        <w:t xml:space="preserve">1.2</w:t>
      </w:r>
      <w:r>
        <w:t xml:space="preserve"> </w:t>
      </w:r>
      <w:r>
        <w:t xml:space="preserve">0.04%</w:t>
      </w:r>
      <w:r>
        <w:t xml:space="preserve"> </w:t>
      </w:r>
      <w:r>
        <w:t xml:space="preserve">0.05%</w:t>
      </w:r>
      <w:r>
        <w:t xml:space="preserve"> </w:t>
      </w:r>
      <w:r>
        <w:t xml:space="preserve">0.07%</w:t>
      </w:r>
      <w:r>
        <w:t xml:space="preserve"> </w:t>
      </w:r>
      <w:r>
        <w:t xml:space="preserve">Electricity, gas, water</w:t>
      </w:r>
      <w:r>
        <w:t xml:space="preserve"> </w:t>
      </w:r>
      <w:r>
        <w:t xml:space="preserve">1.6</w:t>
      </w:r>
      <w:r>
        <w:t xml:space="preserve"> </w:t>
      </w:r>
      <w:r>
        <w:t xml:space="preserve">2.1</w:t>
      </w:r>
      <w:r>
        <w:t xml:space="preserve"> </w:t>
      </w:r>
      <w:r>
        <w:t xml:space="preserve">3.1</w:t>
      </w:r>
      <w:r>
        <w:t xml:space="preserve"> </w:t>
      </w:r>
      <w:r>
        <w:t xml:space="preserve">0.06%</w:t>
      </w:r>
      <w:r>
        <w:t xml:space="preserve"> </w:t>
      </w:r>
      <w:r>
        <w:t xml:space="preserve">0.08%</w:t>
      </w:r>
      <w:r>
        <w:t xml:space="preserve"> </w:t>
      </w:r>
      <w:r>
        <w:t xml:space="preserve">0.12%</w:t>
      </w:r>
      <w:r>
        <w:t xml:space="preserve"> </w:t>
      </w:r>
      <w:r>
        <w:t xml:space="preserve">Economy-wide Total</w:t>
      </w:r>
      <w:r>
        <w:t xml:space="preserve"> </w:t>
      </w:r>
      <w:r>
        <w:t xml:space="preserve">9.2</w:t>
      </w:r>
      <w:r>
        <w:t xml:space="preserve"> </w:t>
      </w:r>
      <w:r>
        <w:t xml:space="preserve">10.7</w:t>
      </w:r>
      <w:r>
        <w:t xml:space="preserve"> </w:t>
      </w:r>
      <w:r>
        <w:t xml:space="preserve">13.5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2040</w:t>
      </w:r>
      <w:r>
        <w:t xml:space="preserve"> </w:t>
      </w:r>
      <w:r>
        <w:t xml:space="preserve">Petroleum refining</w:t>
      </w:r>
      <w:r>
        <w:t xml:space="preserve"> </w:t>
      </w:r>
      <w:r>
        <w:t xml:space="preserve">-1.7</w:t>
      </w:r>
      <w:r>
        <w:t xml:space="preserve"> </w:t>
      </w:r>
      <w:r>
        <w:t xml:space="preserve">-2.2</w:t>
      </w:r>
      <w:r>
        <w:t xml:space="preserve"> </w:t>
      </w:r>
      <w:r>
        <w:t xml:space="preserve">-2.9</w:t>
      </w:r>
      <w:r>
        <w:t xml:space="preserve"> </w:t>
      </w:r>
      <w:r>
        <w:t xml:space="preserve">-1.93%</w:t>
      </w:r>
      <w:r>
        <w:t xml:space="preserve"> </w:t>
      </w:r>
      <w:r>
        <w:t xml:space="preserve">-2.44%</w:t>
      </w:r>
      <w:r>
        <w:t xml:space="preserve"> </w:t>
      </w:r>
      <w:r>
        <w:t xml:space="preserve">-3.20%</w:t>
      </w:r>
      <w:r>
        <w:t xml:space="preserve"> </w:t>
      </w:r>
      <w:r>
        <w:t xml:space="preserve">Automotive</w:t>
      </w:r>
      <w:r>
        <w:t xml:space="preserve"> </w:t>
      </w:r>
      <w:r>
        <w:t xml:space="preserve">-0.4</w:t>
      </w:r>
      <w:r>
        <w:t xml:space="preserve"> </w:t>
      </w:r>
      <w:r>
        <w:t xml:space="preserve">-0.8</w:t>
      </w:r>
      <w:r>
        <w:t xml:space="preserve"> </w:t>
      </w:r>
      <w:r>
        <w:t xml:space="preserve">-1.4</w:t>
      </w:r>
      <w:r>
        <w:t xml:space="preserve"> </w:t>
      </w:r>
      <w:r>
        <w:t xml:space="preserve">-0.02%</w:t>
      </w:r>
      <w:r>
        <w:t xml:space="preserve"> </w:t>
      </w:r>
      <w:r>
        <w:t xml:space="preserve">-0.03%</w:t>
      </w:r>
      <w:r>
        <w:t xml:space="preserve"> </w:t>
      </w:r>
      <w:r>
        <w:t xml:space="preserve">-0.06%</w:t>
      </w:r>
      <w:r>
        <w:t xml:space="preserve"> </w:t>
      </w:r>
      <w:r>
        <w:t xml:space="preserve">Electronics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0.02%</w:t>
      </w:r>
      <w:r>
        <w:t xml:space="preserve"> </w:t>
      </w:r>
      <w:r>
        <w:t xml:space="preserve">0.02%</w:t>
      </w:r>
      <w:r>
        <w:t xml:space="preserve"> </w:t>
      </w:r>
      <w:r>
        <w:t xml:space="preserve">0.03%</w:t>
      </w:r>
      <w:r>
        <w:t xml:space="preserve"> </w:t>
      </w:r>
      <w:r>
        <w:t xml:space="preserve">Metals</w:t>
      </w:r>
      <w:r>
        <w:t xml:space="preserve"> </w:t>
      </w:r>
      <w:r>
        <w:t xml:space="preserve">0.7</w:t>
      </w:r>
      <w:r>
        <w:t xml:space="preserve"> </w:t>
      </w:r>
      <w:r>
        <w:t xml:space="preserve">1.0</w:t>
      </w:r>
      <w:r>
        <w:t xml:space="preserve"> </w:t>
      </w:r>
      <w:r>
        <w:t xml:space="preserve">1.8</w:t>
      </w:r>
      <w:r>
        <w:t xml:space="preserve"> </w:t>
      </w:r>
      <w:r>
        <w:t xml:space="preserve">0.02%</w:t>
      </w:r>
      <w:r>
        <w:t xml:space="preserve"> </w:t>
      </w:r>
      <w:r>
        <w:t xml:space="preserve">0.03%</w:t>
      </w:r>
      <w:r>
        <w:t xml:space="preserve"> </w:t>
      </w:r>
      <w:r>
        <w:t xml:space="preserve">0.05%</w:t>
      </w:r>
      <w:r>
        <w:t xml:space="preserve"> </w:t>
      </w:r>
      <w:r>
        <w:t xml:space="preserve">Electrical equipment</w:t>
      </w:r>
      <w:r>
        <w:t xml:space="preserve"> </w:t>
      </w:r>
      <w:r>
        <w:t xml:space="preserve">1.7</w:t>
      </w:r>
      <w:r>
        <w:t xml:space="preserve"> </w:t>
      </w:r>
      <w:r>
        <w:t xml:space="preserve">2.7</w:t>
      </w:r>
      <w:r>
        <w:t xml:space="preserve"> </w:t>
      </w:r>
      <w:r>
        <w:t xml:space="preserve">4.4</w:t>
      </w:r>
      <w:r>
        <w:t xml:space="preserve"> </w:t>
      </w:r>
      <w:r>
        <w:t xml:space="preserve">0.09%</w:t>
      </w:r>
      <w:r>
        <w:t xml:space="preserve"> </w:t>
      </w:r>
      <w:r>
        <w:t xml:space="preserve">0.14%</w:t>
      </w:r>
      <w:r>
        <w:t xml:space="preserve"> </w:t>
      </w:r>
      <w:r>
        <w:t xml:space="preserve">0.24%</w:t>
      </w:r>
      <w:r>
        <w:t xml:space="preserve"> </w:t>
      </w:r>
      <w:r>
        <w:t xml:space="preserve">Electricity, gas, water, etc</w:t>
      </w:r>
      <w:r>
        <w:t xml:space="preserve"> </w:t>
      </w:r>
      <w:r>
        <w:t xml:space="preserve">7.0</w:t>
      </w:r>
      <w:r>
        <w:t xml:space="preserve"> </w:t>
      </w:r>
      <w:r>
        <w:t xml:space="preserve">10.6</w:t>
      </w:r>
      <w:r>
        <w:t xml:space="preserve"> </w:t>
      </w:r>
      <w:r>
        <w:t xml:space="preserve">17.5</w:t>
      </w:r>
      <w:r>
        <w:t xml:space="preserve"> </w:t>
      </w:r>
      <w:r>
        <w:t xml:space="preserve">0.30%</w:t>
      </w:r>
      <w:r>
        <w:t xml:space="preserve"> </w:t>
      </w:r>
      <w:r>
        <w:t xml:space="preserve">0.46%</w:t>
      </w:r>
      <w:r>
        <w:t xml:space="preserve"> </w:t>
      </w:r>
      <w:r>
        <w:t xml:space="preserve">0.76%</w:t>
      </w:r>
      <w:r>
        <w:t xml:space="preserve"> </w:t>
      </w:r>
      <w:r>
        <w:t xml:space="preserve">Economy-wide Total</w:t>
      </w:r>
      <w:r>
        <w:t xml:space="preserve"> </w:t>
      </w:r>
      <w:r>
        <w:t xml:space="preserve">37.9</w:t>
      </w:r>
      <w:r>
        <w:t xml:space="preserve"> </w:t>
      </w:r>
      <w:r>
        <w:t xml:space="preserve">53.8</w:t>
      </w:r>
      <w:r>
        <w:t xml:space="preserve"> </w:t>
      </w:r>
      <w:r>
        <w:t xml:space="preserve">82.6</w:t>
      </w:r>
      <w:r>
        <w:t xml:space="preserve"> </w:t>
      </w:r>
      <w:r>
        <w:t xml:space="preserve">0.02%</w:t>
      </w:r>
      <w:r>
        <w:t xml:space="preserve"> </w:t>
      </w:r>
      <w:r>
        <w:t xml:space="preserve">0.03%</w:t>
      </w:r>
      <w:r>
        <w:t xml:space="preserve"> </w:t>
      </w:r>
      <w:r>
        <w:t xml:space="preserve">0.04%</w:t>
      </w:r>
      <w:r>
        <w:t xml:space="preserve"> </w:t>
      </w:r>
      <w:r>
        <w:t xml:space="preserve">2050</w:t>
      </w:r>
      <w:r>
        <w:t xml:space="preserve"> </w:t>
      </w:r>
      <w:r>
        <w:t xml:space="preserve">Petroleum refining</w:t>
      </w:r>
      <w:r>
        <w:t xml:space="preserve"> </w:t>
      </w:r>
      <w:r>
        <w:t xml:space="preserve">-1.3</w:t>
      </w:r>
      <w:r>
        <w:t xml:space="preserve"> </w:t>
      </w:r>
      <w:r>
        <w:t xml:space="preserve">-1.3</w:t>
      </w:r>
      <w:r>
        <w:t xml:space="preserve"> </w:t>
      </w:r>
      <w:r>
        <w:t xml:space="preserve">-1.3</w:t>
      </w:r>
      <w:r>
        <w:t xml:space="preserve"> </w:t>
      </w:r>
      <w:r>
        <w:t xml:space="preserve">-2.08%</w:t>
      </w:r>
      <w:r>
        <w:t xml:space="preserve"> </w:t>
      </w:r>
      <w:r>
        <w:t xml:space="preserve">-2.09%</w:t>
      </w:r>
      <w:r>
        <w:t xml:space="preserve"> </w:t>
      </w:r>
      <w:r>
        <w:t xml:space="preserve">-2.10%</w:t>
      </w:r>
      <w:r>
        <w:t xml:space="preserve"> </w:t>
      </w:r>
      <w:r>
        <w:t xml:space="preserve">Automotive</w:t>
      </w:r>
      <w:r>
        <w:t xml:space="preserve"> </w:t>
      </w:r>
      <w:r>
        <w:t xml:space="preserve">-1.6</w:t>
      </w:r>
      <w:r>
        <w:t xml:space="preserve"> </w:t>
      </w:r>
      <w:r>
        <w:t xml:space="preserve">-1.4</w:t>
      </w:r>
      <w:r>
        <w:t xml:space="preserve"> </w:t>
      </w:r>
      <w:r>
        <w:t xml:space="preserve">-1.4</w:t>
      </w:r>
      <w:r>
        <w:t xml:space="preserve"> </w:t>
      </w:r>
      <w:r>
        <w:t xml:space="preserve">-0.07%</w:t>
      </w:r>
      <w:r>
        <w:t xml:space="preserve"> </w:t>
      </w:r>
      <w:r>
        <w:t xml:space="preserve">-0.06%</w:t>
      </w:r>
      <w:r>
        <w:t xml:space="preserve"> </w:t>
      </w:r>
      <w:r>
        <w:t xml:space="preserve">-0.06%</w:t>
      </w:r>
      <w:r>
        <w:t xml:space="preserve"> </w:t>
      </w:r>
      <w:r>
        <w:t xml:space="preserve">Electronics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0.02%</w:t>
      </w:r>
      <w:r>
        <w:t xml:space="preserve"> </w:t>
      </w:r>
      <w:r>
        <w:t xml:space="preserve">0.02%</w:t>
      </w:r>
      <w:r>
        <w:t xml:space="preserve"> </w:t>
      </w:r>
      <w:r>
        <w:t xml:space="preserve">0.02%</w:t>
      </w:r>
      <w:r>
        <w:t xml:space="preserve"> </w:t>
      </w:r>
      <w:r>
        <w:t xml:space="preserve">Metals</w:t>
      </w:r>
      <w:r>
        <w:t xml:space="preserve"> </w:t>
      </w:r>
      <w:r>
        <w:t xml:space="preserve">0.7</w:t>
      </w:r>
      <w:r>
        <w:t xml:space="preserve"> </w:t>
      </w:r>
      <w:r>
        <w:t xml:space="preserve">1.4</w:t>
      </w:r>
      <w:r>
        <w:t xml:space="preserve"> </w:t>
      </w:r>
      <w:r>
        <w:t xml:space="preserve">1.9</w:t>
      </w:r>
      <w:r>
        <w:t xml:space="preserve"> </w:t>
      </w:r>
      <w:r>
        <w:t xml:space="preserve">0.02%</w:t>
      </w:r>
      <w:r>
        <w:t xml:space="preserve"> </w:t>
      </w:r>
      <w:r>
        <w:t xml:space="preserve">0.04%</w:t>
      </w:r>
      <w:r>
        <w:t xml:space="preserve"> </w:t>
      </w:r>
      <w:r>
        <w:t xml:space="preserve">0.05%</w:t>
      </w:r>
      <w:r>
        <w:t xml:space="preserve"> </w:t>
      </w:r>
      <w:r>
        <w:t xml:space="preserve">Electrical equipment</w:t>
      </w:r>
      <w:r>
        <w:t xml:space="preserve"> </w:t>
      </w:r>
      <w:r>
        <w:t xml:space="preserve">3.0</w:t>
      </w:r>
      <w:r>
        <w:t xml:space="preserve"> </w:t>
      </w:r>
      <w:r>
        <w:t xml:space="preserve">3.1</w:t>
      </w:r>
      <w:r>
        <w:t xml:space="preserve"> </w:t>
      </w:r>
      <w:r>
        <w:t xml:space="preserve">2.8</w:t>
      </w:r>
      <w:r>
        <w:t xml:space="preserve"> </w:t>
      </w:r>
      <w:r>
        <w:t xml:space="preserve">0.14%</w:t>
      </w:r>
      <w:r>
        <w:t xml:space="preserve"> </w:t>
      </w:r>
      <w:r>
        <w:t xml:space="preserve">0.01%</w:t>
      </w:r>
      <w:r>
        <w:t xml:space="preserve"> </w:t>
      </w:r>
      <w:r>
        <w:t xml:space="preserve">0.13%</w:t>
      </w:r>
      <w:r>
        <w:t xml:space="preserve"> </w:t>
      </w:r>
      <w:r>
        <w:t xml:space="preserve">Electricity, gas, water, etc</w:t>
      </w:r>
      <w:r>
        <w:t xml:space="preserve"> </w:t>
      </w:r>
      <w:r>
        <w:t xml:space="preserve">22.3</w:t>
      </w:r>
      <w:r>
        <w:t xml:space="preserve"> </w:t>
      </w:r>
      <w:r>
        <w:t xml:space="preserve">28.3</w:t>
      </w:r>
      <w:r>
        <w:t xml:space="preserve"> </w:t>
      </w:r>
      <w:r>
        <w:t xml:space="preserve">33.5</w:t>
      </w:r>
      <w:r>
        <w:t xml:space="preserve"> </w:t>
      </w:r>
      <w:r>
        <w:t xml:space="preserve">1.07%</w:t>
      </w:r>
      <w:r>
        <w:t xml:space="preserve"> </w:t>
      </w:r>
      <w:r>
        <w:t xml:space="preserve">1.36%</w:t>
      </w:r>
      <w:r>
        <w:t xml:space="preserve"> </w:t>
      </w:r>
      <w:r>
        <w:t xml:space="preserve">1.60%</w:t>
      </w:r>
      <w:r>
        <w:t xml:space="preserve"> </w:t>
      </w:r>
      <w:r>
        <w:t xml:space="preserve">Economy-wide Total</w:t>
      </w:r>
      <w:r>
        <w:t xml:space="preserve"> </w:t>
      </w:r>
      <w:r>
        <w:t xml:space="preserve">81.0</w:t>
      </w:r>
      <w:r>
        <w:t xml:space="preserve"> </w:t>
      </w:r>
      <w:r>
        <w:t xml:space="preserve">110.3</w:t>
      </w:r>
      <w:r>
        <w:t xml:space="preserve"> </w:t>
      </w:r>
      <w:r>
        <w:t xml:space="preserve">121.3</w:t>
      </w:r>
      <w:r>
        <w:t xml:space="preserve"> </w:t>
      </w:r>
      <w:r>
        <w:t xml:space="preserve">0.04%</w:t>
      </w:r>
      <w:r>
        <w:t xml:space="preserve"> </w:t>
      </w:r>
      <w:r>
        <w:t xml:space="preserve">0.06%</w:t>
      </w:r>
      <w:r>
        <w:t xml:space="preserve"> </w:t>
      </w:r>
      <w:r>
        <w:t xml:space="preserve">0.06%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116</w:t>
      </w:r>
    </w:p>
    <w:p>
      <w:pPr>
        <w:pStyle w:val="BodyText"/>
      </w:pPr>
      <w:r>
        <w:t xml:space="preserve">1.33. 18.3</w:t>
      </w:r>
      <w:r>
        <w:t xml:space="preserve"> </w:t>
      </w:r>
      <w:r>
        <w:t xml:space="preserve">Additional PRIMES-TREMOVE results</w:t>
      </w:r>
      <w:r>
        <w:t xml:space="preserve"> </w:t>
      </w:r>
      <w:r>
        <w:t xml:space="preserve">18.3.1</w:t>
      </w:r>
      <w:r>
        <w:t xml:space="preserve"> </w:t>
      </w:r>
      <w:r>
        <w:t xml:space="preserve">Fleet composition</w:t>
      </w:r>
      <w:r>
        <w:t xml:space="preserve"> </w:t>
      </w:r>
      <w:r>
        <w:t xml:space="preserve">To complement the composition of the average fleet of new regulated heavy-duty</w:t>
      </w:r>
      <w:r>
        <w:t xml:space="preserve"> </w:t>
      </w:r>
      <w:r>
        <w:t xml:space="preserve">vehicles presented in section 6.3.1, the Table 21 below provides the same indicators</w:t>
      </w:r>
      <w:r>
        <w:t xml:space="preserve"> </w:t>
      </w:r>
      <w:r>
        <w:t xml:space="preserve">broken down by vehicle type and, for lorries, vehicle size.</w:t>
      </w:r>
      <w:r>
        <w:t xml:space="preserve"> </w:t>
      </w:r>
      <w:r>
        <w:t xml:space="preserve">Table 21 Share of powertrain in the new stock, in specific years, for buses, coaches</w:t>
      </w:r>
      <w:r>
        <w:t xml:space="preserve"> </w:t>
      </w:r>
      <w:r>
        <w:t xml:space="preserve">and lorries</w:t>
      </w:r>
      <w:r>
        <w:t xml:space="preserve"> </w:t>
      </w:r>
      <w:r>
        <w:t xml:space="preserve">Buses above 7,5</w:t>
      </w:r>
      <w:r>
        <w:t xml:space="preserve"> </w:t>
      </w:r>
      <w:r>
        <w:t xml:space="preserve">tonnes</w:t>
      </w:r>
      <w:r>
        <w:t xml:space="preserve"> </w:t>
      </w:r>
      <w:r>
        <w:t xml:space="preserve">Diesel</w:t>
      </w:r>
      <w:r>
        <w:t xml:space="preserve"> </w:t>
      </w:r>
      <w:r>
        <w:t xml:space="preserve">(including</w:t>
      </w:r>
      <w:r>
        <w:t xml:space="preserve"> </w:t>
      </w:r>
      <w:r>
        <w:t xml:space="preserve">hybrid)</w:t>
      </w:r>
      <w:r>
        <w:t xml:space="preserve"> </w:t>
      </w:r>
      <w:r>
        <w:t xml:space="preserve">Gas-</w:t>
      </w:r>
      <w:r>
        <w:t xml:space="preserve"> </w:t>
      </w:r>
      <w:r>
        <w:t xml:space="preserve">powered</w:t>
      </w:r>
      <w:r>
        <w:t xml:space="preserve"> </w:t>
      </w:r>
      <w:r>
        <w:t xml:space="preserve">vehicles</w:t>
      </w:r>
      <w:r>
        <w:t xml:space="preserve"> </w:t>
      </w:r>
      <w:r>
        <w:t xml:space="preserve">PHEV</w:t>
      </w:r>
      <w:r>
        <w:t xml:space="preserve"> </w:t>
      </w:r>
      <w:r>
        <w:t xml:space="preserve">BEV</w:t>
      </w:r>
      <w:r>
        <w:t xml:space="preserve"> </w:t>
      </w:r>
      <w:r>
        <w:t xml:space="preserve">Hydrogen-</w:t>
      </w:r>
      <w:r>
        <w:t xml:space="preserve"> </w:t>
      </w:r>
      <w:r>
        <w:t xml:space="preserve">powered</w:t>
      </w:r>
      <w:r>
        <w:t xml:space="preserve"> </w:t>
      </w:r>
      <w:r>
        <w:t xml:space="preserve">vehicles</w:t>
      </w:r>
      <w:r>
        <w:t xml:space="preserve"> </w:t>
      </w:r>
      <w:r>
        <w:t xml:space="preserve">2030</w:t>
      </w:r>
      <w:r>
        <w:t xml:space="preserve"> </w:t>
      </w:r>
      <w:r>
        <w:t xml:space="preserve">Baseline</w:t>
      </w:r>
      <w:r>
        <w:t xml:space="preserve"> </w:t>
      </w:r>
      <w:r>
        <w:t xml:space="preserve">56%</w:t>
      </w:r>
      <w:r>
        <w:t xml:space="preserve"> </w:t>
      </w:r>
      <w:r>
        <w:t xml:space="preserve">6%</w:t>
      </w:r>
      <w:r>
        <w:t xml:space="preserve"> </w:t>
      </w:r>
      <w:r>
        <w:t xml:space="preserve">2%</w:t>
      </w:r>
      <w:r>
        <w:t xml:space="preserve"> </w:t>
      </w:r>
      <w:r>
        <w:t xml:space="preserve">34%</w:t>
      </w:r>
      <w:r>
        <w:t xml:space="preserve"> </w:t>
      </w:r>
      <w:r>
        <w:t xml:space="preserve">2%</w:t>
      </w:r>
      <w:r>
        <w:t xml:space="preserve"> </w:t>
      </w:r>
      <w:r>
        <w:t xml:space="preserve">TL_Low</w:t>
      </w:r>
      <w:r>
        <w:br/>
      </w:r>
      <w:r>
        <w:t xml:space="preserve">21%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70%</w:t>
      </w:r>
      <w:r>
        <w:t xml:space="preserve"> </w:t>
      </w:r>
      <w:r>
        <w:t xml:space="preserve">3%</w:t>
      </w:r>
      <w:r>
        <w:t xml:space="preserve"> </w:t>
      </w:r>
      <w:r>
        <w:t xml:space="preserve">TL_Med</w:t>
      </w:r>
      <w:r>
        <w:br/>
      </w:r>
      <w:r>
        <w:t xml:space="preserve">15%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77%</w:t>
      </w:r>
      <w:r>
        <w:t xml:space="preserve"> </w:t>
      </w:r>
      <w:r>
        <w:t xml:space="preserve">3%</w:t>
      </w:r>
      <w:r>
        <w:t xml:space="preserve"> </w:t>
      </w:r>
      <w:r>
        <w:t xml:space="preserve">TL_High</w:t>
      </w:r>
      <w:r>
        <w:t xml:space="preserve"> </w:t>
      </w:r>
      <w:r>
        <w:t xml:space="preserve">7%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85%</w:t>
      </w:r>
      <w:r>
        <w:t xml:space="preserve"> </w:t>
      </w:r>
      <w:r>
        <w:t xml:space="preserve">4%</w:t>
      </w:r>
      <w:r>
        <w:t xml:space="preserve"> </w:t>
      </w:r>
      <w:r>
        <w:t xml:space="preserve">2035</w:t>
      </w:r>
      <w:r>
        <w:t xml:space="preserve"> </w:t>
      </w:r>
      <w:r>
        <w:t xml:space="preserve">Baseline</w:t>
      </w:r>
      <w:r>
        <w:t xml:space="preserve"> </w:t>
      </w:r>
      <w:r>
        <w:t xml:space="preserve">45%</w:t>
      </w:r>
      <w:r>
        <w:t xml:space="preserve"> </w:t>
      </w:r>
      <w:r>
        <w:t xml:space="preserve">7%</w:t>
      </w:r>
      <w:r>
        <w:t xml:space="preserve"> </w:t>
      </w:r>
      <w:r>
        <w:t xml:space="preserve">2%</w:t>
      </w:r>
      <w:r>
        <w:t xml:space="preserve"> </w:t>
      </w:r>
      <w:r>
        <w:t xml:space="preserve">40%</w:t>
      </w:r>
      <w:r>
        <w:t xml:space="preserve"> </w:t>
      </w:r>
      <w:r>
        <w:t xml:space="preserve">6%</w:t>
      </w:r>
      <w:r>
        <w:t xml:space="preserve"> </w:t>
      </w:r>
      <w:r>
        <w:t xml:space="preserve">TL_Low</w:t>
      </w:r>
      <w:r>
        <w:br/>
      </w:r>
      <w:r>
        <w:t xml:space="preserve">16%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68%</w:t>
      </w:r>
      <w:r>
        <w:t xml:space="preserve"> </w:t>
      </w:r>
      <w:r>
        <w:t xml:space="preserve">8%</w:t>
      </w:r>
      <w:r>
        <w:t xml:space="preserve"> </w:t>
      </w:r>
      <w:r>
        <w:t xml:space="preserve">TL_Med</w:t>
      </w:r>
      <w:r>
        <w:br/>
      </w:r>
      <w:r>
        <w:t xml:space="preserve">9%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76%</w:t>
      </w:r>
      <w:r>
        <w:t xml:space="preserve"> </w:t>
      </w:r>
      <w:r>
        <w:t xml:space="preserve">9%</w:t>
      </w:r>
      <w:r>
        <w:t xml:space="preserve"> </w:t>
      </w:r>
      <w:r>
        <w:t xml:space="preserve">TL_High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83%</w:t>
      </w:r>
      <w:r>
        <w:t xml:space="preserve"> </w:t>
      </w:r>
      <w:r>
        <w:t xml:space="preserve">9%</w:t>
      </w:r>
      <w:r>
        <w:t xml:space="preserve"> </w:t>
      </w:r>
      <w:r>
        <w:t xml:space="preserve">2040</w:t>
      </w:r>
      <w:r>
        <w:t xml:space="preserve"> </w:t>
      </w:r>
      <w:r>
        <w:t xml:space="preserve">Baseline</w:t>
      </w:r>
      <w:r>
        <w:t xml:space="preserve"> </w:t>
      </w:r>
      <w:r>
        <w:t xml:space="preserve">27%</w:t>
      </w:r>
      <w:r>
        <w:t xml:space="preserve"> </w:t>
      </w:r>
      <w:r>
        <w:t xml:space="preserve">10%</w:t>
      </w:r>
      <w:r>
        <w:t xml:space="preserve"> </w:t>
      </w:r>
      <w:r>
        <w:t xml:space="preserve">3%</w:t>
      </w:r>
      <w:r>
        <w:t xml:space="preserve"> </w:t>
      </w:r>
      <w:r>
        <w:t xml:space="preserve">45%</w:t>
      </w:r>
      <w:r>
        <w:t xml:space="preserve"> </w:t>
      </w:r>
      <w:r>
        <w:t xml:space="preserve">16%</w:t>
      </w:r>
      <w:r>
        <w:t xml:space="preserve"> </w:t>
      </w:r>
      <w:r>
        <w:t xml:space="preserve">TL_Low</w:t>
      </w:r>
      <w:r>
        <w:br/>
      </w:r>
      <w:r>
        <w:t xml:space="preserve">7%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70%</w:t>
      </w:r>
      <w:r>
        <w:t xml:space="preserve"> </w:t>
      </w:r>
      <w:r>
        <w:t xml:space="preserve">18%</w:t>
      </w:r>
      <w:r>
        <w:t xml:space="preserve"> </w:t>
      </w:r>
      <w:r>
        <w:t xml:space="preserve">TL_Med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73%</w:t>
      </w:r>
      <w:r>
        <w:t xml:space="preserve"> </w:t>
      </w:r>
      <w:r>
        <w:t xml:space="preserve">20%</w:t>
      </w:r>
      <w:r>
        <w:t xml:space="preserve"> </w:t>
      </w:r>
      <w:r>
        <w:t xml:space="preserve">TL_High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71%</w:t>
      </w:r>
      <w:r>
        <w:t xml:space="preserve"> </w:t>
      </w:r>
      <w:r>
        <w:t xml:space="preserve">29%</w:t>
      </w:r>
    </w:p>
    <w:p>
      <w:pPr>
        <w:pStyle w:val="BodyText"/>
      </w:pPr>
      <w:r>
        <w:t xml:space="preserve">Coaches above 7,5</w:t>
      </w:r>
      <w:r>
        <w:t xml:space="preserve"> </w:t>
      </w:r>
      <w:r>
        <w:t xml:space="preserve">tonnes</w:t>
      </w:r>
      <w:r>
        <w:t xml:space="preserve"> </w:t>
      </w:r>
      <w:r>
        <w:t xml:space="preserve">Diesel</w:t>
      </w:r>
      <w:r>
        <w:t xml:space="preserve"> </w:t>
      </w:r>
      <w:r>
        <w:t xml:space="preserve">(including</w:t>
      </w:r>
      <w:r>
        <w:t xml:space="preserve"> </w:t>
      </w:r>
      <w:r>
        <w:t xml:space="preserve">hybrid)</w:t>
      </w:r>
      <w:r>
        <w:t xml:space="preserve"> </w:t>
      </w:r>
      <w:r>
        <w:t xml:space="preserve">Gas-</w:t>
      </w:r>
      <w:r>
        <w:t xml:space="preserve"> </w:t>
      </w:r>
      <w:r>
        <w:t xml:space="preserve">powered</w:t>
      </w:r>
      <w:r>
        <w:t xml:space="preserve"> </w:t>
      </w:r>
      <w:r>
        <w:t xml:space="preserve">vehicles</w:t>
      </w:r>
      <w:r>
        <w:t xml:space="preserve"> </w:t>
      </w:r>
      <w:r>
        <w:t xml:space="preserve">PHEV</w:t>
      </w:r>
      <w:r>
        <w:t xml:space="preserve"> </w:t>
      </w:r>
      <w:r>
        <w:t xml:space="preserve">BEV</w:t>
      </w:r>
      <w:r>
        <w:t xml:space="preserve"> </w:t>
      </w:r>
      <w:r>
        <w:t xml:space="preserve">Hydrogen-</w:t>
      </w:r>
      <w:r>
        <w:t xml:space="preserve"> </w:t>
      </w:r>
      <w:r>
        <w:t xml:space="preserve">powered</w:t>
      </w:r>
      <w:r>
        <w:t xml:space="preserve"> </w:t>
      </w:r>
      <w:r>
        <w:t xml:space="preserve">vehicles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87%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4%</w:t>
      </w:r>
      <w:r>
        <w:t xml:space="preserve"> </w:t>
      </w:r>
      <w:r>
        <w:t xml:space="preserve">8%</w:t>
      </w:r>
      <w:r>
        <w:t xml:space="preserve"> </w:t>
      </w:r>
      <w:r>
        <w:t xml:space="preserve">TL_Low</w:t>
      </w:r>
      <w:r>
        <w:br/>
      </w:r>
      <w:r>
        <w:t xml:space="preserve">70%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19%</w:t>
      </w:r>
      <w:r>
        <w:t xml:space="preserve"> </w:t>
      </w:r>
      <w:r>
        <w:t xml:space="preserve">TL_Med</w:t>
      </w:r>
      <w:r>
        <w:br/>
      </w:r>
      <w:r>
        <w:t xml:space="preserve">61%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11%</w:t>
      </w:r>
      <w:r>
        <w:t xml:space="preserve"> </w:t>
      </w:r>
      <w:r>
        <w:t xml:space="preserve">26%</w:t>
      </w:r>
      <w:r>
        <w:t xml:space="preserve"> </w:t>
      </w:r>
      <w:r>
        <w:t xml:space="preserve">TL_High</w:t>
      </w:r>
      <w:r>
        <w:t xml:space="preserve"> </w:t>
      </w:r>
      <w:r>
        <w:t xml:space="preserve">43%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17%</w:t>
      </w:r>
      <w:r>
        <w:t xml:space="preserve"> </w:t>
      </w:r>
      <w:r>
        <w:t xml:space="preserve">38%</w:t>
      </w:r>
      <w:r>
        <w:t xml:space="preserve"> </w:t>
      </w:r>
      <w:r>
        <w:t xml:space="preserve">2035</w:t>
      </w:r>
      <w:r>
        <w:t xml:space="preserve"> </w:t>
      </w:r>
      <w:r>
        <w:t xml:space="preserve">Baseline</w:t>
      </w:r>
      <w:r>
        <w:t xml:space="preserve"> </w:t>
      </w:r>
      <w:r>
        <w:t xml:space="preserve">77%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7%</w:t>
      </w:r>
      <w:r>
        <w:t xml:space="preserve"> </w:t>
      </w:r>
      <w:r>
        <w:t xml:space="preserve">13%</w:t>
      </w:r>
      <w:r>
        <w:t xml:space="preserve"> </w:t>
      </w:r>
      <w:r>
        <w:t xml:space="preserve">TL_Low</w:t>
      </w:r>
      <w:r>
        <w:br/>
      </w:r>
      <w:r>
        <w:t xml:space="preserve">50%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17%</w:t>
      </w:r>
      <w:r>
        <w:t xml:space="preserve"> </w:t>
      </w:r>
      <w:r>
        <w:t xml:space="preserve">31%</w:t>
      </w:r>
      <w:r>
        <w:t xml:space="preserve"> </w:t>
      </w:r>
      <w:r>
        <w:t xml:space="preserve">TL_Med</w:t>
      </w:r>
      <w:r>
        <w:br/>
      </w:r>
      <w:r>
        <w:t xml:space="preserve">35%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22%</w:t>
      </w:r>
      <w:r>
        <w:t xml:space="preserve"> </w:t>
      </w:r>
      <w:r>
        <w:t xml:space="preserve">41%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117</w:t>
      </w:r>
    </w:p>
    <w:p>
      <w:pPr>
        <w:pStyle w:val="BodyText"/>
      </w:pPr>
      <w:r>
        <w:t xml:space="preserve">TL_High</w:t>
      </w:r>
      <w:r>
        <w:t xml:space="preserve"> </w:t>
      </w:r>
      <w:r>
        <w:t xml:space="preserve">21%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28%</w:t>
      </w:r>
      <w:r>
        <w:t xml:space="preserve"> </w:t>
      </w:r>
      <w:r>
        <w:t xml:space="preserve">50%</w:t>
      </w:r>
      <w:r>
        <w:t xml:space="preserve"> </w:t>
      </w:r>
      <w:r>
        <w:t xml:space="preserve">2040</w:t>
      </w:r>
      <w:r>
        <w:t xml:space="preserve"> </w:t>
      </w:r>
      <w:r>
        <w:t xml:space="preserve">Baseline</w:t>
      </w:r>
      <w:r>
        <w:t xml:space="preserve"> </w:t>
      </w:r>
      <w:r>
        <w:t xml:space="preserve">63%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24%</w:t>
      </w:r>
      <w:r>
        <w:t xml:space="preserve"> </w:t>
      </w:r>
      <w:r>
        <w:t xml:space="preserve">TL_Low</w:t>
      </w:r>
      <w:r>
        <w:br/>
      </w:r>
      <w:r>
        <w:t xml:space="preserve">25%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23%</w:t>
      </w:r>
      <w:r>
        <w:t xml:space="preserve"> </w:t>
      </w:r>
      <w:r>
        <w:t xml:space="preserve">50%</w:t>
      </w:r>
      <w:r>
        <w:t xml:space="preserve"> </w:t>
      </w:r>
      <w:r>
        <w:t xml:space="preserve">TL_Med</w:t>
      </w:r>
      <w:r>
        <w:t xml:space="preserve"> </w:t>
      </w:r>
      <w:r>
        <w:t xml:space="preserve">14%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26%</w:t>
      </w:r>
      <w:r>
        <w:t xml:space="preserve"> </w:t>
      </w:r>
      <w:r>
        <w:t xml:space="preserve">58%</w:t>
      </w:r>
      <w:r>
        <w:t xml:space="preserve"> </w:t>
      </w:r>
      <w:r>
        <w:t xml:space="preserve">TL_High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30%</w:t>
      </w:r>
      <w:r>
        <w:t xml:space="preserve"> </w:t>
      </w:r>
      <w:r>
        <w:t xml:space="preserve">70%</w:t>
      </w:r>
    </w:p>
    <w:p>
      <w:pPr>
        <w:pStyle w:val="BodyText"/>
      </w:pPr>
      <w:r>
        <w:t xml:space="preserve">Lorries between 5</w:t>
      </w:r>
      <w:r>
        <w:t xml:space="preserve"> </w:t>
      </w:r>
      <w:r>
        <w:t xml:space="preserve">and 7,5 tonnes (as</w:t>
      </w:r>
      <w:r>
        <w:t xml:space="preserve"> </w:t>
      </w:r>
      <w:r>
        <w:t xml:space="preserve">in scope 1)</w:t>
      </w:r>
      <w:r>
        <w:t xml:space="preserve"> </w:t>
      </w:r>
      <w:r>
        <w:t xml:space="preserve">Diesel</w:t>
      </w:r>
      <w:r>
        <w:t xml:space="preserve"> </w:t>
      </w:r>
      <w:r>
        <w:t xml:space="preserve">(including</w:t>
      </w:r>
      <w:r>
        <w:t xml:space="preserve"> </w:t>
      </w:r>
      <w:r>
        <w:t xml:space="preserve">hybrid)</w:t>
      </w:r>
      <w:r>
        <w:t xml:space="preserve"> </w:t>
      </w:r>
      <w:r>
        <w:t xml:space="preserve">Gas-</w:t>
      </w:r>
      <w:r>
        <w:t xml:space="preserve"> </w:t>
      </w:r>
      <w:r>
        <w:t xml:space="preserve">powered</w:t>
      </w:r>
      <w:r>
        <w:t xml:space="preserve"> </w:t>
      </w:r>
      <w:r>
        <w:t xml:space="preserve">vehicles</w:t>
      </w:r>
      <w:r>
        <w:t xml:space="preserve"> </w:t>
      </w:r>
      <w:r>
        <w:t xml:space="preserve">PHEV</w:t>
      </w:r>
      <w:r>
        <w:t xml:space="preserve"> </w:t>
      </w:r>
      <w:r>
        <w:t xml:space="preserve">BEV</w:t>
      </w:r>
      <w:r>
        <w:t xml:space="preserve"> </w:t>
      </w:r>
      <w:r>
        <w:t xml:space="preserve">Hydrogen-</w:t>
      </w:r>
      <w:r>
        <w:t xml:space="preserve"> </w:t>
      </w:r>
      <w:r>
        <w:t xml:space="preserve">powered</w:t>
      </w:r>
      <w:r>
        <w:t xml:space="preserve"> </w:t>
      </w:r>
      <w:r>
        <w:t xml:space="preserve">vehicles</w:t>
      </w:r>
      <w:r>
        <w:t xml:space="preserve"> </w:t>
      </w:r>
      <w:r>
        <w:t xml:space="preserve">2030</w:t>
      </w:r>
      <w:r>
        <w:t xml:space="preserve"> </w:t>
      </w:r>
      <w:r>
        <w:t xml:space="preserve">Baseline</w:t>
      </w:r>
      <w:r>
        <w:t xml:space="preserve"> </w:t>
      </w:r>
      <w:r>
        <w:t xml:space="preserve">76%</w:t>
      </w:r>
      <w:r>
        <w:t xml:space="preserve"> </w:t>
      </w:r>
      <w:r>
        <w:t xml:space="preserve">14%</w:t>
      </w:r>
      <w:r>
        <w:t xml:space="preserve"> </w:t>
      </w:r>
      <w:r>
        <w:t xml:space="preserve">6%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TL_Low</w:t>
      </w:r>
      <w:r>
        <w:br/>
      </w:r>
      <w:r>
        <w:t xml:space="preserve">66%</w:t>
      </w:r>
      <w:r>
        <w:t xml:space="preserve"> </w:t>
      </w:r>
      <w:r>
        <w:t xml:space="preserve">13%</w:t>
      </w:r>
      <w:r>
        <w:t xml:space="preserve"> </w:t>
      </w:r>
      <w:r>
        <w:t xml:space="preserve">12%</w:t>
      </w:r>
      <w:r>
        <w:t xml:space="preserve"> </w:t>
      </w:r>
      <w:r>
        <w:t xml:space="preserve">7%</w:t>
      </w:r>
      <w:r>
        <w:t xml:space="preserve"> </w:t>
      </w:r>
      <w:r>
        <w:t xml:space="preserve">1%</w:t>
      </w:r>
      <w:r>
        <w:t xml:space="preserve"> </w:t>
      </w:r>
      <w:r>
        <w:t xml:space="preserve">TL_Med</w:t>
      </w:r>
      <w:r>
        <w:br/>
      </w:r>
      <w:r>
        <w:t xml:space="preserve">61%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1%</w:t>
      </w:r>
      <w:r>
        <w:t xml:space="preserve"> </w:t>
      </w:r>
      <w:r>
        <w:t xml:space="preserve">TL_High</w:t>
      </w:r>
      <w:r>
        <w:t xml:space="preserve"> </w:t>
      </w:r>
      <w:r>
        <w:t xml:space="preserve">48%</w:t>
      </w:r>
      <w:r>
        <w:t xml:space="preserve"> </w:t>
      </w:r>
      <w:r>
        <w:t xml:space="preserve">10%</w:t>
      </w:r>
      <w:r>
        <w:t xml:space="preserve"> </w:t>
      </w:r>
      <w:r>
        <w:t xml:space="preserve">24%</w:t>
      </w:r>
      <w:r>
        <w:t xml:space="preserve"> </w:t>
      </w:r>
      <w:r>
        <w:t xml:space="preserve">16%</w:t>
      </w:r>
      <w:r>
        <w:t xml:space="preserve"> </w:t>
      </w:r>
      <w:r>
        <w:t xml:space="preserve">2%</w:t>
      </w:r>
      <w:r>
        <w:t xml:space="preserve"> </w:t>
      </w:r>
      <w:r>
        <w:t xml:space="preserve">2035</w:t>
      </w:r>
      <w:r>
        <w:t xml:space="preserve"> </w:t>
      </w:r>
      <w:r>
        <w:t xml:space="preserve">Baseline</w:t>
      </w:r>
      <w:r>
        <w:t xml:space="preserve"> </w:t>
      </w:r>
      <w:r>
        <w:t xml:space="preserve">65%</w:t>
      </w:r>
      <w:r>
        <w:t xml:space="preserve"> </w:t>
      </w:r>
      <w:r>
        <w:t xml:space="preserve">20%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1%</w:t>
      </w:r>
      <w:r>
        <w:t xml:space="preserve"> </w:t>
      </w:r>
      <w:r>
        <w:t xml:space="preserve">TL_Low</w:t>
      </w:r>
      <w:r>
        <w:br/>
      </w:r>
      <w:r>
        <w:t xml:space="preserve">50%</w:t>
      </w:r>
      <w:r>
        <w:t xml:space="preserve"> </w:t>
      </w:r>
      <w:r>
        <w:t xml:space="preserve">16%</w:t>
      </w:r>
      <w:r>
        <w:t xml:space="preserve"> </w:t>
      </w:r>
      <w:r>
        <w:t xml:space="preserve">19%</w:t>
      </w:r>
      <w:r>
        <w:t xml:space="preserve"> </w:t>
      </w:r>
      <w:r>
        <w:t xml:space="preserve">13%</w:t>
      </w:r>
      <w:r>
        <w:t xml:space="preserve"> </w:t>
      </w:r>
      <w:r>
        <w:t xml:space="preserve">2%</w:t>
      </w:r>
      <w:r>
        <w:t xml:space="preserve"> </w:t>
      </w:r>
      <w:r>
        <w:t xml:space="preserve">TL_Med</w:t>
      </w:r>
      <w:r>
        <w:br/>
      </w:r>
      <w:r>
        <w:t xml:space="preserve">40%</w:t>
      </w:r>
      <w:r>
        <w:t xml:space="preserve"> </w:t>
      </w:r>
      <w:r>
        <w:t xml:space="preserve">13%</w:t>
      </w:r>
      <w:r>
        <w:t xml:space="preserve"> </w:t>
      </w:r>
      <w:r>
        <w:t xml:space="preserve">25%</w:t>
      </w:r>
      <w:r>
        <w:t xml:space="preserve"> </w:t>
      </w:r>
      <w:r>
        <w:t xml:space="preserve">19%</w:t>
      </w:r>
      <w:r>
        <w:t xml:space="preserve"> </w:t>
      </w:r>
      <w:r>
        <w:t xml:space="preserve">4%</w:t>
      </w:r>
      <w:r>
        <w:t xml:space="preserve"> </w:t>
      </w:r>
      <w:r>
        <w:t xml:space="preserve">TL_High</w:t>
      </w:r>
      <w:r>
        <w:t xml:space="preserve"> </w:t>
      </w:r>
      <w:r>
        <w:t xml:space="preserve">28%</w:t>
      </w:r>
      <w:r>
        <w:t xml:space="preserve"> </w:t>
      </w:r>
      <w:r>
        <w:t xml:space="preserve">9%</w:t>
      </w:r>
      <w:r>
        <w:t xml:space="preserve"> </w:t>
      </w:r>
      <w:r>
        <w:t xml:space="preserve">29%</w:t>
      </w:r>
      <w:r>
        <w:t xml:space="preserve"> </w:t>
      </w:r>
      <w:r>
        <w:t xml:space="preserve">29%</w:t>
      </w:r>
      <w:r>
        <w:t xml:space="preserve"> </w:t>
      </w:r>
      <w:r>
        <w:t xml:space="preserve">5%</w:t>
      </w:r>
      <w:r>
        <w:t xml:space="preserve"> </w:t>
      </w:r>
      <w:r>
        <w:t xml:space="preserve">2040</w:t>
      </w:r>
      <w:r>
        <w:t xml:space="preserve"> </w:t>
      </w:r>
      <w:r>
        <w:t xml:space="preserve">Baseline</w:t>
      </w:r>
      <w:r>
        <w:t xml:space="preserve"> </w:t>
      </w:r>
      <w:r>
        <w:t xml:space="preserve">53%</w:t>
      </w:r>
      <w:r>
        <w:t xml:space="preserve"> </w:t>
      </w:r>
      <w:r>
        <w:t xml:space="preserve">25%</w:t>
      </w:r>
      <w:r>
        <w:t xml:space="preserve"> </w:t>
      </w:r>
      <w:r>
        <w:t xml:space="preserve">7%</w:t>
      </w:r>
      <w:r>
        <w:t xml:space="preserve"> </w:t>
      </w:r>
      <w:r>
        <w:t xml:space="preserve">12%</w:t>
      </w:r>
      <w:r>
        <w:t xml:space="preserve"> </w:t>
      </w:r>
      <w:r>
        <w:t xml:space="preserve">3%</w:t>
      </w:r>
      <w:r>
        <w:t xml:space="preserve"> </w:t>
      </w:r>
      <w:r>
        <w:t xml:space="preserve">TL_Low</w:t>
      </w:r>
      <w:r>
        <w:br/>
      </w:r>
      <w:r>
        <w:t xml:space="preserve">32%</w:t>
      </w:r>
      <w:r>
        <w:t xml:space="preserve"> </w:t>
      </w:r>
      <w:r>
        <w:t xml:space="preserve">11%</w:t>
      </w:r>
      <w:r>
        <w:t xml:space="preserve"> </w:t>
      </w:r>
      <w:r>
        <w:t xml:space="preserve">23%</w:t>
      </w:r>
      <w:r>
        <w:t xml:space="preserve"> </w:t>
      </w:r>
      <w:r>
        <w:t xml:space="preserve">28%</w:t>
      </w:r>
      <w:r>
        <w:t xml:space="preserve"> </w:t>
      </w:r>
      <w:r>
        <w:t xml:space="preserve">6%</w:t>
      </w:r>
      <w:r>
        <w:t xml:space="preserve"> </w:t>
      </w:r>
      <w:r>
        <w:t xml:space="preserve">TL_Med</w:t>
      </w:r>
      <w:r>
        <w:t xml:space="preserve"> </w:t>
      </w:r>
      <w:r>
        <w:t xml:space="preserve">21%</w:t>
      </w:r>
      <w:r>
        <w:t xml:space="preserve"> </w:t>
      </w:r>
      <w:r>
        <w:t xml:space="preserve">8%</w:t>
      </w:r>
      <w:r>
        <w:t xml:space="preserve"> </w:t>
      </w:r>
      <w:r>
        <w:t xml:space="preserve">22%</w:t>
      </w:r>
      <w:r>
        <w:t xml:space="preserve"> </w:t>
      </w:r>
      <w:r>
        <w:t xml:space="preserve">40%</w:t>
      </w:r>
      <w:r>
        <w:t xml:space="preserve"> </w:t>
      </w:r>
      <w:r>
        <w:t xml:space="preserve">9%</w:t>
      </w:r>
      <w:r>
        <w:t xml:space="preserve"> </w:t>
      </w:r>
      <w:r>
        <w:t xml:space="preserve">TL_High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80%</w:t>
      </w:r>
      <w:r>
        <w:t xml:space="preserve"> </w:t>
      </w:r>
      <w:r>
        <w:t xml:space="preserve">19%</w:t>
      </w:r>
    </w:p>
    <w:p>
      <w:pPr>
        <w:pStyle w:val="BodyText"/>
      </w:pPr>
      <w:r>
        <w:t xml:space="preserve">Lorries between</w:t>
      </w:r>
      <w:r>
        <w:t xml:space="preserve"> </w:t>
      </w:r>
      <w:r>
        <w:t xml:space="preserve">7,5 and 16 tonnes</w:t>
      </w:r>
      <w:r>
        <w:t xml:space="preserve"> </w:t>
      </w:r>
      <w:r>
        <w:t xml:space="preserve">(as in scope 1)</w:t>
      </w:r>
      <w:r>
        <w:t xml:space="preserve"> </w:t>
      </w:r>
      <w:r>
        <w:t xml:space="preserve">Diesel</w:t>
      </w:r>
      <w:r>
        <w:t xml:space="preserve"> </w:t>
      </w:r>
      <w:r>
        <w:t xml:space="preserve">(including</w:t>
      </w:r>
      <w:r>
        <w:t xml:space="preserve"> </w:t>
      </w:r>
      <w:r>
        <w:t xml:space="preserve">hybrid)</w:t>
      </w:r>
      <w:r>
        <w:t xml:space="preserve"> </w:t>
      </w:r>
      <w:r>
        <w:t xml:space="preserve">Gas-</w:t>
      </w:r>
      <w:r>
        <w:t xml:space="preserve"> </w:t>
      </w:r>
      <w:r>
        <w:t xml:space="preserve">powered</w:t>
      </w:r>
      <w:r>
        <w:t xml:space="preserve"> </w:t>
      </w:r>
      <w:r>
        <w:t xml:space="preserve">vehicles</w:t>
      </w:r>
      <w:r>
        <w:t xml:space="preserve"> </w:t>
      </w:r>
      <w:r>
        <w:t xml:space="preserve">PHEV</w:t>
      </w:r>
      <w:r>
        <w:t xml:space="preserve"> </w:t>
      </w:r>
      <w:r>
        <w:t xml:space="preserve">BEV</w:t>
      </w:r>
      <w:r>
        <w:t xml:space="preserve"> </w:t>
      </w:r>
      <w:r>
        <w:t xml:space="preserve">Hydrogen-</w:t>
      </w:r>
      <w:r>
        <w:t xml:space="preserve"> </w:t>
      </w:r>
      <w:r>
        <w:t xml:space="preserve">powered</w:t>
      </w:r>
      <w:r>
        <w:t xml:space="preserve"> </w:t>
      </w:r>
      <w:r>
        <w:t xml:space="preserve">vehicles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69%</w:t>
      </w:r>
      <w:r>
        <w:t xml:space="preserve"> </w:t>
      </w:r>
      <w:r>
        <w:t xml:space="preserve">14%</w:t>
      </w:r>
      <w:r>
        <w:t xml:space="preserve"> </w:t>
      </w:r>
      <w:r>
        <w:t xml:space="preserve">6%</w:t>
      </w:r>
      <w:r>
        <w:t xml:space="preserve"> </w:t>
      </w:r>
      <w:r>
        <w:t xml:space="preserve">9%</w:t>
      </w:r>
      <w:r>
        <w:t xml:space="preserve"> </w:t>
      </w:r>
      <w:r>
        <w:t xml:space="preserve">2%</w:t>
      </w:r>
      <w:r>
        <w:t xml:space="preserve"> </w:t>
      </w:r>
      <w:r>
        <w:t xml:space="preserve">TL_Low</w:t>
      </w:r>
      <w:r>
        <w:br/>
      </w:r>
      <w:r>
        <w:t xml:space="preserve">57%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18%</w:t>
      </w:r>
      <w:r>
        <w:t xml:space="preserve"> </w:t>
      </w:r>
      <w:r>
        <w:t xml:space="preserve">3%</w:t>
      </w:r>
      <w:r>
        <w:t xml:space="preserve"> </w:t>
      </w:r>
      <w:r>
        <w:t xml:space="preserve">TL_Med</w:t>
      </w:r>
      <w:r>
        <w:br/>
      </w:r>
      <w:r>
        <w:t xml:space="preserve">52%</w:t>
      </w:r>
      <w:r>
        <w:t xml:space="preserve"> </w:t>
      </w:r>
      <w:r>
        <w:t xml:space="preserve">11%</w:t>
      </w:r>
      <w:r>
        <w:t xml:space="preserve"> </w:t>
      </w:r>
      <w:r>
        <w:t xml:space="preserve">12%</w:t>
      </w:r>
      <w:r>
        <w:t xml:space="preserve"> </w:t>
      </w:r>
      <w:r>
        <w:t xml:space="preserve">22%</w:t>
      </w:r>
      <w:r>
        <w:t xml:space="preserve"> </w:t>
      </w:r>
      <w:r>
        <w:t xml:space="preserve">3%</w:t>
      </w:r>
      <w:r>
        <w:t xml:space="preserve"> </w:t>
      </w:r>
      <w:r>
        <w:t xml:space="preserve">TL_High</w:t>
      </w:r>
      <w:r>
        <w:t xml:space="preserve"> </w:t>
      </w:r>
      <w:r>
        <w:t xml:space="preserve">39%</w:t>
      </w:r>
      <w:r>
        <w:t xml:space="preserve"> </w:t>
      </w:r>
      <w:r>
        <w:t xml:space="preserve">8%</w:t>
      </w:r>
      <w:r>
        <w:t xml:space="preserve"> </w:t>
      </w:r>
      <w:r>
        <w:t xml:space="preserve">15%</w:t>
      </w:r>
      <w:r>
        <w:t xml:space="preserve"> </w:t>
      </w:r>
      <w:r>
        <w:t xml:space="preserve">33%</w:t>
      </w:r>
      <w:r>
        <w:t xml:space="preserve"> </w:t>
      </w:r>
      <w:r>
        <w:t xml:space="preserve">5%</w:t>
      </w:r>
      <w:r>
        <w:t xml:space="preserve"> </w:t>
      </w:r>
      <w:r>
        <w:t xml:space="preserve">2035</w:t>
      </w:r>
      <w:r>
        <w:t xml:space="preserve"> </w:t>
      </w:r>
      <w:r>
        <w:t xml:space="preserve">Baseline</w:t>
      </w:r>
      <w:r>
        <w:t xml:space="preserve"> </w:t>
      </w:r>
      <w:r>
        <w:t xml:space="preserve">57%</w:t>
      </w:r>
      <w:r>
        <w:t xml:space="preserve"> </w:t>
      </w:r>
      <w:r>
        <w:t xml:space="preserve">19%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4%</w:t>
      </w:r>
      <w:r>
        <w:t xml:space="preserve"> </w:t>
      </w:r>
      <w:r>
        <w:t xml:space="preserve">TL_Low</w:t>
      </w:r>
      <w:r>
        <w:br/>
      </w:r>
      <w:r>
        <w:t xml:space="preserve">40%</w:t>
      </w:r>
      <w:r>
        <w:t xml:space="preserve"> </w:t>
      </w:r>
      <w:r>
        <w:t xml:space="preserve">13%</w:t>
      </w:r>
      <w:r>
        <w:t xml:space="preserve"> </w:t>
      </w:r>
      <w:r>
        <w:t xml:space="preserve">11%</w:t>
      </w:r>
      <w:r>
        <w:t xml:space="preserve"> </w:t>
      </w:r>
      <w:r>
        <w:t xml:space="preserve">30%</w:t>
      </w:r>
      <w:r>
        <w:t xml:space="preserve"> </w:t>
      </w:r>
      <w:r>
        <w:t xml:space="preserve">6%</w:t>
      </w:r>
      <w:r>
        <w:t xml:space="preserve"> </w:t>
      </w:r>
      <w:r>
        <w:t xml:space="preserve">TL_Med</w:t>
      </w:r>
      <w:r>
        <w:br/>
      </w:r>
      <w:r>
        <w:t xml:space="preserve">31%</w:t>
      </w:r>
      <w:r>
        <w:t xml:space="preserve"> </w:t>
      </w:r>
      <w:r>
        <w:t xml:space="preserve">11%</w:t>
      </w:r>
      <w:r>
        <w:t xml:space="preserve"> </w:t>
      </w:r>
      <w:r>
        <w:t xml:space="preserve">12%</w:t>
      </w:r>
      <w:r>
        <w:t xml:space="preserve"> </w:t>
      </w:r>
      <w:r>
        <w:t xml:space="preserve">39%</w:t>
      </w:r>
      <w:r>
        <w:t xml:space="preserve"> </w:t>
      </w:r>
      <w:r>
        <w:t xml:space="preserve">8%</w:t>
      </w:r>
      <w:r>
        <w:t xml:space="preserve"> </w:t>
      </w:r>
      <w:r>
        <w:t xml:space="preserve">TL_High</w:t>
      </w:r>
      <w:r>
        <w:t xml:space="preserve"> </w:t>
      </w:r>
      <w:r>
        <w:t xml:space="preserve">21%</w:t>
      </w:r>
      <w:r>
        <w:t xml:space="preserve"> </w:t>
      </w:r>
      <w:r>
        <w:t xml:space="preserve">7%</w:t>
      </w:r>
      <w:r>
        <w:t xml:space="preserve"> </w:t>
      </w:r>
      <w:r>
        <w:t xml:space="preserve">11%</w:t>
      </w:r>
      <w:r>
        <w:t xml:space="preserve"> </w:t>
      </w:r>
      <w:r>
        <w:t xml:space="preserve">50%</w:t>
      </w:r>
      <w:r>
        <w:t xml:space="preserve"> </w:t>
      </w:r>
      <w:r>
        <w:t xml:space="preserve">10%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118</w:t>
      </w:r>
    </w:p>
    <w:p>
      <w:pPr>
        <w:pStyle w:val="BodyText"/>
      </w:pPr>
      <w:r>
        <w:t xml:space="preserve">2040</w:t>
      </w:r>
      <w:r>
        <w:t xml:space="preserve"> </w:t>
      </w:r>
      <w:r>
        <w:t xml:space="preserve">Baseline</w:t>
      </w:r>
      <w:r>
        <w:t xml:space="preserve"> </w:t>
      </w:r>
      <w:r>
        <w:t xml:space="preserve">44%</w:t>
      </w:r>
      <w:r>
        <w:t xml:space="preserve"> </w:t>
      </w:r>
      <w:r>
        <w:t xml:space="preserve">23%</w:t>
      </w:r>
      <w:r>
        <w:t xml:space="preserve"> </w:t>
      </w:r>
      <w:r>
        <w:t xml:space="preserve">4%</w:t>
      </w:r>
      <w:r>
        <w:t xml:space="preserve"> </w:t>
      </w:r>
      <w:r>
        <w:t xml:space="preserve">22%</w:t>
      </w:r>
      <w:r>
        <w:t xml:space="preserve"> </w:t>
      </w:r>
      <w:r>
        <w:t xml:space="preserve">7%</w:t>
      </w:r>
      <w:r>
        <w:t xml:space="preserve"> </w:t>
      </w:r>
      <w:r>
        <w:t xml:space="preserve">TL_Low</w:t>
      </w:r>
      <w:r>
        <w:br/>
      </w:r>
      <w:r>
        <w:t xml:space="preserve">24%</w:t>
      </w:r>
      <w:r>
        <w:t xml:space="preserve"> </w:t>
      </w:r>
      <w:r>
        <w:t xml:space="preserve">9%</w:t>
      </w:r>
      <w:r>
        <w:t xml:space="preserve"> </w:t>
      </w:r>
      <w:r>
        <w:t xml:space="preserve">10%</w:t>
      </w:r>
      <w:r>
        <w:t xml:space="preserve"> </w:t>
      </w:r>
      <w:r>
        <w:t xml:space="preserve">46%</w:t>
      </w:r>
      <w:r>
        <w:t xml:space="preserve"> </w:t>
      </w:r>
      <w:r>
        <w:t xml:space="preserve">12%</w:t>
      </w:r>
      <w:r>
        <w:t xml:space="preserve"> </w:t>
      </w:r>
      <w:r>
        <w:t xml:space="preserve">TL_Med</w:t>
      </w:r>
      <w:r>
        <w:t xml:space="preserve"> </w:t>
      </w:r>
      <w:r>
        <w:t xml:space="preserve">16%</w:t>
      </w:r>
      <w:r>
        <w:t xml:space="preserve"> </w:t>
      </w:r>
      <w:r>
        <w:t xml:space="preserve">6%</w:t>
      </w:r>
      <w:r>
        <w:t xml:space="preserve"> </w:t>
      </w:r>
      <w:r>
        <w:t xml:space="preserve">8%</w:t>
      </w:r>
      <w:r>
        <w:t xml:space="preserve"> </w:t>
      </w:r>
      <w:r>
        <w:t xml:space="preserve">57%</w:t>
      </w:r>
      <w:r>
        <w:t xml:space="preserve"> </w:t>
      </w:r>
      <w:r>
        <w:t xml:space="preserve">14%</w:t>
      </w:r>
      <w:r>
        <w:t xml:space="preserve"> </w:t>
      </w:r>
      <w:r>
        <w:t xml:space="preserve">TL_High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78%</w:t>
      </w:r>
      <w:r>
        <w:t xml:space="preserve"> </w:t>
      </w:r>
      <w:r>
        <w:t xml:space="preserve">22%</w:t>
      </w:r>
    </w:p>
    <w:p>
      <w:pPr>
        <w:pStyle w:val="BodyText"/>
      </w:pPr>
      <w:r>
        <w:t xml:space="preserve">Lorries above 16 t</w:t>
      </w:r>
      <w:r>
        <w:t xml:space="preserve"> </w:t>
      </w:r>
      <w:r>
        <w:t xml:space="preserve">(as in scope 1)</w:t>
      </w:r>
      <w:r>
        <w:t xml:space="preserve"> </w:t>
      </w:r>
      <w:r>
        <w:t xml:space="preserve">Diesel</w:t>
      </w:r>
      <w:r>
        <w:t xml:space="preserve"> </w:t>
      </w:r>
      <w:r>
        <w:t xml:space="preserve">(including</w:t>
      </w:r>
      <w:r>
        <w:t xml:space="preserve"> </w:t>
      </w:r>
      <w:r>
        <w:t xml:space="preserve">hybrid)</w:t>
      </w:r>
      <w:r>
        <w:t xml:space="preserve"> </w:t>
      </w:r>
      <w:r>
        <w:t xml:space="preserve">Gas-</w:t>
      </w:r>
      <w:r>
        <w:t xml:space="preserve"> </w:t>
      </w:r>
      <w:r>
        <w:t xml:space="preserve">powered</w:t>
      </w:r>
      <w:r>
        <w:t xml:space="preserve"> </w:t>
      </w:r>
      <w:r>
        <w:t xml:space="preserve">vehicles</w:t>
      </w:r>
      <w:r>
        <w:t xml:space="preserve"> </w:t>
      </w:r>
      <w:r>
        <w:t xml:space="preserve">PHEV</w:t>
      </w:r>
      <w:r>
        <w:t xml:space="preserve"> </w:t>
      </w:r>
      <w:r>
        <w:t xml:space="preserve">BEV</w:t>
      </w:r>
      <w:r>
        <w:t xml:space="preserve"> </w:t>
      </w:r>
      <w:r>
        <w:t xml:space="preserve">Hydrogen-</w:t>
      </w:r>
      <w:r>
        <w:t xml:space="preserve"> </w:t>
      </w:r>
      <w:r>
        <w:t xml:space="preserve">powered</w:t>
      </w:r>
      <w:r>
        <w:t xml:space="preserve"> </w:t>
      </w:r>
      <w:r>
        <w:t xml:space="preserve">vehicles</w:t>
      </w:r>
      <w:r>
        <w:t xml:space="preserve"> </w:t>
      </w:r>
      <w:r>
        <w:t xml:space="preserve">2030</w:t>
      </w:r>
      <w:r>
        <w:t xml:space="preserve"> </w:t>
      </w:r>
      <w:r>
        <w:t xml:space="preserve">Baseline</w:t>
      </w:r>
      <w:r>
        <w:t xml:space="preserve"> </w:t>
      </w:r>
      <w:r>
        <w:t xml:space="preserve">66%</w:t>
      </w:r>
      <w:r>
        <w:t xml:space="preserve"> </w:t>
      </w:r>
      <w:r>
        <w:t xml:space="preserve">20%</w:t>
      </w:r>
      <w:r>
        <w:t xml:space="preserve"> </w:t>
      </w:r>
      <w:r>
        <w:t xml:space="preserve">0%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TL_Low</w:t>
      </w:r>
      <w:r>
        <w:br/>
      </w:r>
      <w:r>
        <w:t xml:space="preserve">64%</w:t>
      </w:r>
      <w:r>
        <w:t xml:space="preserve"> </w:t>
      </w:r>
      <w:r>
        <w:t xml:space="preserve">16%</w:t>
      </w:r>
      <w:r>
        <w:t xml:space="preserve"> </w:t>
      </w:r>
      <w:r>
        <w:t xml:space="preserve">0%</w:t>
      </w:r>
      <w:r>
        <w:t xml:space="preserve"> </w:t>
      </w:r>
      <w:r>
        <w:t xml:space="preserve">9%</w:t>
      </w:r>
      <w:r>
        <w:t xml:space="preserve"> </w:t>
      </w:r>
      <w:r>
        <w:t xml:space="preserve">11%</w:t>
      </w:r>
      <w:r>
        <w:t xml:space="preserve"> </w:t>
      </w:r>
      <w:r>
        <w:t xml:space="preserve">TL_Med</w:t>
      </w:r>
      <w:r>
        <w:br/>
      </w:r>
      <w:r>
        <w:t xml:space="preserve">63%</w:t>
      </w:r>
      <w:r>
        <w:t xml:space="preserve"> </w:t>
      </w:r>
      <w:r>
        <w:t xml:space="preserve">13%</w:t>
      </w:r>
      <w:r>
        <w:t xml:space="preserve"> </w:t>
      </w:r>
      <w:r>
        <w:t xml:space="preserve">1%</w:t>
      </w:r>
      <w:r>
        <w:t xml:space="preserve"> </w:t>
      </w:r>
      <w:r>
        <w:t xml:space="preserve">10%</w:t>
      </w:r>
      <w:r>
        <w:t xml:space="preserve"> </w:t>
      </w:r>
      <w:r>
        <w:t xml:space="preserve">13%</w:t>
      </w:r>
      <w:r>
        <w:t xml:space="preserve"> </w:t>
      </w:r>
      <w:r>
        <w:t xml:space="preserve">TL_High</w:t>
      </w:r>
      <w:r>
        <w:t xml:space="preserve"> </w:t>
      </w:r>
      <w:r>
        <w:t xml:space="preserve">58%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14%</w:t>
      </w:r>
      <w:r>
        <w:t xml:space="preserve"> </w:t>
      </w:r>
      <w:r>
        <w:t xml:space="preserve">18%</w:t>
      </w:r>
      <w:r>
        <w:t xml:space="preserve"> </w:t>
      </w:r>
      <w:r>
        <w:t xml:space="preserve">2035</w:t>
      </w:r>
      <w:r>
        <w:t xml:space="preserve"> </w:t>
      </w:r>
      <w:r>
        <w:t xml:space="preserve">Baseline</w:t>
      </w:r>
      <w:r>
        <w:t xml:space="preserve"> </w:t>
      </w:r>
      <w:r>
        <w:t xml:space="preserve">52%</w:t>
      </w:r>
      <w:r>
        <w:t xml:space="preserve"> </w:t>
      </w:r>
      <w:r>
        <w:t xml:space="preserve">26%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13%</w:t>
      </w:r>
      <w:r>
        <w:t xml:space="preserve"> </w:t>
      </w:r>
      <w:r>
        <w:t xml:space="preserve">TL_Low</w:t>
      </w:r>
      <w:r>
        <w:br/>
      </w:r>
      <w:r>
        <w:t xml:space="preserve">45%</w:t>
      </w:r>
      <w:r>
        <w:t xml:space="preserve"> </w:t>
      </w:r>
      <w:r>
        <w:t xml:space="preserve">18%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21%</w:t>
      </w:r>
      <w:r>
        <w:t xml:space="preserve"> </w:t>
      </w:r>
      <w:r>
        <w:t xml:space="preserve">TL_Med</w:t>
      </w:r>
      <w:r>
        <w:br/>
      </w:r>
      <w:r>
        <w:t xml:space="preserve">39%</w:t>
      </w:r>
      <w:r>
        <w:t xml:space="preserve"> </w:t>
      </w:r>
      <w:r>
        <w:t xml:space="preserve">14%</w:t>
      </w:r>
      <w:r>
        <w:t xml:space="preserve"> </w:t>
      </w:r>
      <w:r>
        <w:t xml:space="preserve">0%</w:t>
      </w:r>
      <w:r>
        <w:t xml:space="preserve"> </w:t>
      </w:r>
      <w:r>
        <w:t xml:space="preserve">19%</w:t>
      </w:r>
      <w:r>
        <w:t xml:space="preserve"> </w:t>
      </w:r>
      <w:r>
        <w:t xml:space="preserve">28%</w:t>
      </w:r>
      <w:r>
        <w:t xml:space="preserve"> </w:t>
      </w:r>
      <w:r>
        <w:t xml:space="preserve">TL_High</w:t>
      </w:r>
      <w:r>
        <w:t xml:space="preserve"> </w:t>
      </w:r>
      <w:r>
        <w:t xml:space="preserve">32%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24%</w:t>
      </w:r>
      <w:r>
        <w:t xml:space="preserve"> </w:t>
      </w:r>
      <w:r>
        <w:t xml:space="preserve">35%</w:t>
      </w:r>
      <w:r>
        <w:t xml:space="preserve"> </w:t>
      </w:r>
      <w:r>
        <w:t xml:space="preserve">2040</w:t>
      </w:r>
      <w:r>
        <w:t xml:space="preserve"> </w:t>
      </w:r>
      <w:r>
        <w:t xml:space="preserve">Baseline</w:t>
      </w:r>
      <w:r>
        <w:t xml:space="preserve"> </w:t>
      </w:r>
      <w:r>
        <w:t xml:space="preserve">35%</w:t>
      </w:r>
      <w:r>
        <w:t xml:space="preserve"> </w:t>
      </w:r>
      <w:r>
        <w:t xml:space="preserve">30%</w:t>
      </w:r>
      <w:r>
        <w:t xml:space="preserve"> </w:t>
      </w:r>
      <w:r>
        <w:t xml:space="preserve">0%</w:t>
      </w:r>
      <w:r>
        <w:t xml:space="preserve"> </w:t>
      </w:r>
      <w:r>
        <w:t xml:space="preserve">13%</w:t>
      </w:r>
      <w:r>
        <w:t xml:space="preserve"> </w:t>
      </w:r>
      <w:r>
        <w:t xml:space="preserve">21%</w:t>
      </w:r>
      <w:r>
        <w:t xml:space="preserve"> </w:t>
      </w:r>
      <w:r>
        <w:t xml:space="preserve">TL_Low</w:t>
      </w:r>
      <w:r>
        <w:br/>
      </w:r>
      <w:r>
        <w:t xml:space="preserve">27%</w:t>
      </w:r>
      <w:r>
        <w:t xml:space="preserve"> </w:t>
      </w:r>
      <w:r>
        <w:t xml:space="preserve">12%</w:t>
      </w:r>
      <w:r>
        <w:t xml:space="preserve"> </w:t>
      </w:r>
      <w:r>
        <w:t xml:space="preserve">0%</w:t>
      </w:r>
      <w:r>
        <w:t xml:space="preserve"> </w:t>
      </w:r>
      <w:r>
        <w:t xml:space="preserve">21%</w:t>
      </w:r>
      <w:r>
        <w:t xml:space="preserve"> </w:t>
      </w:r>
      <w:r>
        <w:t xml:space="preserve">40%</w:t>
      </w:r>
      <w:r>
        <w:t xml:space="preserve"> </w:t>
      </w:r>
      <w:r>
        <w:t xml:space="preserve">TL_Med</w:t>
      </w:r>
      <w:r>
        <w:t xml:space="preserve"> </w:t>
      </w:r>
      <w:r>
        <w:t xml:space="preserve">19%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48%</w:t>
      </w:r>
      <w:r>
        <w:t xml:space="preserve"> </w:t>
      </w:r>
      <w:r>
        <w:t xml:space="preserve">TL_High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31%</w:t>
      </w:r>
      <w:r>
        <w:t xml:space="preserve"> </w:t>
      </w:r>
      <w:r>
        <w:t xml:space="preserve">69%</w:t>
      </w:r>
    </w:p>
    <w:p>
      <w:pPr>
        <w:pStyle w:val="BodyText"/>
      </w:pPr>
      <w:r>
        <w:t xml:space="preserve">18.3.2</w:t>
      </w:r>
      <w:r>
        <w:t xml:space="preserve"> </w:t>
      </w:r>
      <w:r>
        <w:t xml:space="preserve">Electricity demand</w:t>
      </w:r>
      <w:r>
        <w:t xml:space="preserve"> </w:t>
      </w:r>
      <w:r>
        <w:t xml:space="preserve">Figure 27 shows the share of the total EU-27 electricity consumption used by HDV for</w:t>
      </w:r>
      <w:r>
        <w:t xml:space="preserve"> </w:t>
      </w:r>
      <w:r>
        <w:t xml:space="preserve">the considered three TL options. HDV in general (and long-haul road transport in</w:t>
      </w:r>
      <w:r>
        <w:t xml:space="preserve"> </w:t>
      </w:r>
      <w:r>
        <w:t xml:space="preserve">particular) will demand about 14, 78 and 130 GWh in 2030, 2040 and 2050 in the most</w:t>
      </w:r>
      <w:r>
        <w:t xml:space="preserve"> </w:t>
      </w:r>
      <w:r>
        <w:t xml:space="preserve">ambitious scenario TL_High. This represents approximatively 0.5%, 2.3% and 3.5% of</w:t>
      </w:r>
      <w:r>
        <w:t xml:space="preserve"> </w:t>
      </w:r>
      <w:r>
        <w:t xml:space="preserve">the total electricity consumption in those years.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119</w:t>
      </w:r>
    </w:p>
    <w:p>
      <w:pPr>
        <w:pStyle w:val="BodyText"/>
      </w:pPr>
      <w:r>
        <w:t xml:space="preserve">Figure 27: Electricity consumption by HDVs as a percentage of total electricity</w:t>
      </w:r>
      <w:r>
        <w:t xml:space="preserve"> </w:t>
      </w:r>
      <w:r>
        <w:t xml:space="preserve">consumption (EU-27) under different TL options</w:t>
      </w:r>
    </w:p>
    <w:p>
      <w:pPr>
        <w:pStyle w:val="BodyText"/>
      </w:pPr>
      <w:r>
        <w:t xml:space="preserve">18.3.3</w:t>
      </w:r>
      <w:r>
        <w:t xml:space="preserve"> </w:t>
      </w:r>
      <w:r>
        <w:t xml:space="preserve">Hydrogen consumption</w:t>
      </w:r>
      <w:r>
        <w:t xml:space="preserve"> </w:t>
      </w:r>
      <w:r>
        <w:t xml:space="preserve">Hydrogen has also an important role to play in reducing emissions in HDV, as illustrated</w:t>
      </w:r>
      <w:r>
        <w:t xml:space="preserve"> </w:t>
      </w:r>
      <w:r>
        <w:t xml:space="preserve">in the Figure 28. below that shows its expected consumption by lorries, buses and</w:t>
      </w:r>
      <w:r>
        <w:t xml:space="preserve"> </w:t>
      </w:r>
      <w:r>
        <w:t xml:space="preserve">coaches in 2030, 2035, 2040 and 2050 for the considered TL options.</w:t>
      </w:r>
      <w:r>
        <w:t xml:space="preserve"> </w:t>
      </w:r>
      <w:r>
        <w:t xml:space="preserve">Figure 28. Hydrogen demand by HDVs (EU-27) under different TL options.</w:t>
      </w:r>
    </w:p>
    <w:p>
      <w:pPr>
        <w:pStyle w:val="BodyText"/>
      </w:pPr>
      <w:r>
        <w:t xml:space="preserve">18.3.4</w:t>
      </w:r>
      <w:r>
        <w:t xml:space="preserve"> </w:t>
      </w:r>
      <w:r>
        <w:t xml:space="preserve">WTW CO2 emissions</w:t>
      </w:r>
      <w:r>
        <w:t xml:space="preserve"> </w:t>
      </w:r>
      <w:r>
        <w:t xml:space="preserve">Well-To-Wheel (WTW) CO2 emissions trend progress across the different TL options</w:t>
      </w:r>
      <w:r>
        <w:t xml:space="preserve"> </w:t>
      </w:r>
      <w:r>
        <w:t xml:space="preserve">very similar as for the tailpipe CO2 emissions. Nonetheless, the regression trend is softer</w:t>
      </w:r>
      <w:r>
        <w:t xml:space="preserve"> </w:t>
      </w:r>
      <w:r>
        <w:t xml:space="preserve">in reason of the upstream emissions (WTT, Well-To-Tank).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120</w:t>
      </w:r>
    </w:p>
    <w:p>
      <w:pPr>
        <w:pStyle w:val="BodyText"/>
      </w:pPr>
      <w:r>
        <w:t xml:space="preserve">The cumulative savings of WTW CO2 emissions between 2031 and 2050 amount to 719,</w:t>
      </w:r>
      <w:r>
        <w:t xml:space="preserve"> </w:t>
      </w:r>
      <w:r>
        <w:t xml:space="preserve">841, 1023 Mtons in TL_Low, TL_Medium and TL_High respectively. These represent</w:t>
      </w:r>
      <w:r>
        <w:t xml:space="preserve"> </w:t>
      </w:r>
      <w:r>
        <w:t xml:space="preserve">respectively 31, 36 and 44 % of the projected emissions in the baseline scenario over the</w:t>
      </w:r>
      <w:r>
        <w:t xml:space="preserve"> </w:t>
      </w:r>
      <w:r>
        <w:t xml:space="preserve">same 20 years.</w:t>
      </w:r>
      <w:r>
        <w:t xml:space="preserve"> </w:t>
      </w:r>
      <w:r>
        <w:t xml:space="preserve">18.3.5</w:t>
      </w:r>
      <w:r>
        <w:t xml:space="preserve"> </w:t>
      </w:r>
      <w:r>
        <w:t xml:space="preserve">Air pollutant emissions</w:t>
      </w:r>
      <w:r>
        <w:t xml:space="preserve"> </w:t>
      </w:r>
      <w:r>
        <w:t xml:space="preserve">Many climate change mitigation strategies in the transport sector would have several co-</w:t>
      </w:r>
      <w:r>
        <w:t xml:space="preserve"> </w:t>
      </w:r>
      <w:r>
        <w:t xml:space="preserve">benefits, including air quality improvements and health benefits.109 The HDV standards</w:t>
      </w:r>
      <w:r>
        <w:t xml:space="preserve"> </w:t>
      </w:r>
      <w:r>
        <w:t xml:space="preserve">contribute to reducing air pollutant emissions through the reduction of fuel consumption</w:t>
      </w:r>
      <w:r>
        <w:t xml:space="preserve"> </w:t>
      </w:r>
      <w:r>
        <w:t xml:space="preserve">by both the adoption of energy efficiency technologies and shift to ZEV (which do not</w:t>
      </w:r>
      <w:r>
        <w:t xml:space="preserve"> </w:t>
      </w:r>
      <w:r>
        <w:t xml:space="preserve">produce tailpipe emissions). The benefits of changes in fuel consumption and mix as a</w:t>
      </w:r>
      <w:r>
        <w:t xml:space="preserve"> </w:t>
      </w:r>
      <w:r>
        <w:t xml:space="preserve">result of stricter standards have been assessed. Effects of stricter air pollutant emission</w:t>
      </w:r>
      <w:r>
        <w:t xml:space="preserve"> </w:t>
      </w:r>
      <w:r>
        <w:t xml:space="preserve">standards for internal combustion engine vehicles, as estimated in Euro 7, are taken into</w:t>
      </w:r>
      <w:r>
        <w:t xml:space="preserve"> </w:t>
      </w:r>
      <w:r>
        <w:t xml:space="preserve">account (also in the baseline) as they should further reduce the pollutant emissions from</w:t>
      </w:r>
      <w:r>
        <w:t xml:space="preserve"> </w:t>
      </w:r>
      <w:r>
        <w:t xml:space="preserve">these vehicles. Cumulative discounted health benefits would sum up to EUR 7 to 14 billion</w:t>
      </w:r>
      <w:r>
        <w:t xml:space="preserve"> </w:t>
      </w:r>
      <w:r>
        <w:t xml:space="preserve">between 2031 and 2050. The most ambitions targets deliver the better results in terms of</w:t>
      </w:r>
      <w:r>
        <w:t xml:space="preserve"> </w:t>
      </w:r>
      <w:r>
        <w:t xml:space="preserve">higher air quality co-benefits, with the ZEV mandate for buses having a positive effect. On</w:t>
      </w:r>
      <w:r>
        <w:t xml:space="preserve"> </w:t>
      </w:r>
      <w:r>
        <w:t xml:space="preserve">the other hand, keeping the current scope and accounting for renewable and low-carbon fuels</w:t>
      </w:r>
      <w:r>
        <w:t xml:space="preserve"> </w:t>
      </w:r>
      <w:r>
        <w:t xml:space="preserve">would reduce such savings. Additional details are provided in Table 22 and</w:t>
      </w:r>
    </w:p>
    <w:p>
      <w:pPr>
        <w:pStyle w:val="BodyText"/>
      </w:pPr>
      <w:r>
        <w:t xml:space="preserve">109 IPCC Sixth Assessment Report. Mitigation of Climate Change. Summary for Policymakers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121</w:t>
      </w:r>
    </w:p>
    <w:p>
      <w:pPr>
        <w:pStyle w:val="BodyText"/>
      </w:pPr>
      <w:r>
        <w:t xml:space="preserve">Table 23 (source: PRIMES-TREMOVE)</w:t>
      </w:r>
      <w:r>
        <w:t xml:space="preserve"> </w:t>
      </w:r>
      <w:r>
        <w:t xml:space="preserve">Table 22 Reductions in air pollutants compared to the baseline under different TL</w:t>
      </w:r>
      <w:r>
        <w:t xml:space="preserve"> </w:t>
      </w:r>
      <w:r>
        <w:t xml:space="preserve">options.</w:t>
      </w:r>
    </w:p>
    <w:p>
      <w:pPr>
        <w:pStyle w:val="BodyText"/>
      </w:pPr>
      <w:r>
        <w:t xml:space="preserve">Savings vs Baseline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TL_Low, SCOPE1</w:t>
      </w:r>
    </w:p>
    <w:p>
      <w:pPr>
        <w:pStyle w:val="BodyText"/>
      </w:pPr>
      <w:r>
        <w:t xml:space="preserve">CO</w:t>
      </w:r>
      <w:r>
        <w:t xml:space="preserve"> </w:t>
      </w:r>
      <w:r>
        <w:t xml:space="preserve">-2%</w:t>
      </w:r>
      <w:r>
        <w:t xml:space="preserve"> </w:t>
      </w:r>
      <w:r>
        <w:t xml:space="preserve">-6%</w:t>
      </w:r>
      <w:r>
        <w:t xml:space="preserve"> </w:t>
      </w:r>
      <w:r>
        <w:t xml:space="preserve">-13%</w:t>
      </w:r>
      <w:r>
        <w:t xml:space="preserve"> </w:t>
      </w:r>
      <w:r>
        <w:t xml:space="preserve">-38%</w:t>
      </w:r>
      <w:r>
        <w:t xml:space="preserve"> </w:t>
      </w:r>
      <w:r>
        <w:t xml:space="preserve">-66%</w:t>
      </w:r>
      <w:r>
        <w:t xml:space="preserve"> </w:t>
      </w:r>
      <w:r>
        <w:t xml:space="preserve">NOx</w:t>
      </w:r>
      <w:r>
        <w:t xml:space="preserve"> </w:t>
      </w:r>
      <w:r>
        <w:t xml:space="preserve">-2%</w:t>
      </w:r>
      <w:r>
        <w:t xml:space="preserve"> </w:t>
      </w:r>
      <w:r>
        <w:t xml:space="preserve">-6%</w:t>
      </w:r>
      <w:r>
        <w:t xml:space="preserve"> </w:t>
      </w:r>
      <w:r>
        <w:t xml:space="preserve">-13%</w:t>
      </w:r>
      <w:r>
        <w:t xml:space="preserve"> </w:t>
      </w:r>
      <w:r>
        <w:t xml:space="preserve">-37%</w:t>
      </w:r>
      <w:r>
        <w:t xml:space="preserve"> </w:t>
      </w:r>
      <w:r>
        <w:t xml:space="preserve">-67%</w:t>
      </w:r>
      <w:r>
        <w:t xml:space="preserve"> </w:t>
      </w:r>
      <w:r>
        <w:t xml:space="preserve">PM2.5</w:t>
      </w:r>
      <w:r>
        <w:t xml:space="preserve"> </w:t>
      </w:r>
      <w:r>
        <w:t xml:space="preserve">-3%</w:t>
      </w:r>
      <w:r>
        <w:t xml:space="preserve"> </w:t>
      </w:r>
      <w:r>
        <w:t xml:space="preserve">-7%</w:t>
      </w:r>
      <w:r>
        <w:t xml:space="preserve"> </w:t>
      </w:r>
      <w:r>
        <w:t xml:space="preserve">-13%</w:t>
      </w:r>
      <w:r>
        <w:t xml:space="preserve"> </w:t>
      </w:r>
      <w:r>
        <w:t xml:space="preserve">-37%</w:t>
      </w:r>
      <w:r>
        <w:t xml:space="preserve"> </w:t>
      </w:r>
      <w:r>
        <w:t xml:space="preserve">-66%</w:t>
      </w:r>
      <w:r>
        <w:t xml:space="preserve"> </w:t>
      </w:r>
      <w:r>
        <w:t xml:space="preserve">SO2</w:t>
      </w:r>
      <w:r>
        <w:t xml:space="preserve"> </w:t>
      </w:r>
      <w:r>
        <w:t xml:space="preserve">-3%</w:t>
      </w:r>
      <w:r>
        <w:t xml:space="preserve"> </w:t>
      </w:r>
      <w:r>
        <w:t xml:space="preserve">-8%</w:t>
      </w:r>
      <w:r>
        <w:t xml:space="preserve"> </w:t>
      </w:r>
      <w:r>
        <w:t xml:space="preserve">-14%</w:t>
      </w:r>
      <w:r>
        <w:t xml:space="preserve"> </w:t>
      </w:r>
      <w:r>
        <w:t xml:space="preserve">-34%</w:t>
      </w:r>
      <w:r>
        <w:t xml:space="preserve"> </w:t>
      </w:r>
      <w:r>
        <w:t xml:space="preserve">-61%</w:t>
      </w:r>
      <w:r>
        <w:t xml:space="preserve"> </w:t>
      </w:r>
      <w:r>
        <w:t xml:space="preserve">TL_Med, SCOPE1</w:t>
      </w:r>
    </w:p>
    <w:p>
      <w:pPr>
        <w:pStyle w:val="BodyText"/>
      </w:pPr>
      <w:r>
        <w:t xml:space="preserve">CO</w:t>
      </w:r>
      <w:r>
        <w:t xml:space="preserve"> </w:t>
      </w:r>
      <w:r>
        <w:t xml:space="preserve">-3%</w:t>
      </w:r>
      <w:r>
        <w:t xml:space="preserve"> </w:t>
      </w:r>
      <w:r>
        <w:t xml:space="preserve">-9%</w:t>
      </w:r>
      <w:r>
        <w:t xml:space="preserve"> </w:t>
      </w:r>
      <w:r>
        <w:t xml:space="preserve">-22%</w:t>
      </w:r>
      <w:r>
        <w:t xml:space="preserve"> </w:t>
      </w:r>
      <w:r>
        <w:t xml:space="preserve">-48%</w:t>
      </w:r>
      <w:r>
        <w:t xml:space="preserve"> </w:t>
      </w:r>
      <w:r>
        <w:t xml:space="preserve">-72%</w:t>
      </w:r>
      <w:r>
        <w:t xml:space="preserve"> </w:t>
      </w:r>
      <w:r>
        <w:t xml:space="preserve">NOx</w:t>
      </w:r>
      <w:r>
        <w:t xml:space="preserve"> </w:t>
      </w:r>
      <w:r>
        <w:t xml:space="preserve">-3%</w:t>
      </w:r>
      <w:r>
        <w:t xml:space="preserve"> </w:t>
      </w:r>
      <w:r>
        <w:t xml:space="preserve">-9%</w:t>
      </w:r>
      <w:r>
        <w:t xml:space="preserve"> </w:t>
      </w:r>
      <w:r>
        <w:t xml:space="preserve">-22%</w:t>
      </w:r>
      <w:r>
        <w:t xml:space="preserve"> </w:t>
      </w:r>
      <w:r>
        <w:t xml:space="preserve">-47%</w:t>
      </w:r>
      <w:r>
        <w:t xml:space="preserve"> </w:t>
      </w:r>
      <w:r>
        <w:t xml:space="preserve">-74%</w:t>
      </w:r>
      <w:r>
        <w:t xml:space="preserve"> </w:t>
      </w:r>
      <w:r>
        <w:t xml:space="preserve">PM2.5</w:t>
      </w:r>
      <w:r>
        <w:t xml:space="preserve"> </w:t>
      </w:r>
      <w:r>
        <w:t xml:space="preserve">-4%</w:t>
      </w:r>
      <w:r>
        <w:t xml:space="preserve"> </w:t>
      </w:r>
      <w:r>
        <w:t xml:space="preserve">-10%</w:t>
      </w:r>
      <w:r>
        <w:t xml:space="preserve"> </w:t>
      </w:r>
      <w:r>
        <w:t xml:space="preserve">-21%</w:t>
      </w:r>
      <w:r>
        <w:t xml:space="preserve"> </w:t>
      </w:r>
      <w:r>
        <w:t xml:space="preserve">-46%</w:t>
      </w:r>
      <w:r>
        <w:t xml:space="preserve"> </w:t>
      </w:r>
      <w:r>
        <w:t xml:space="preserve">-72%</w:t>
      </w:r>
      <w:r>
        <w:t xml:space="preserve"> </w:t>
      </w:r>
      <w:r>
        <w:t xml:space="preserve">SO2</w:t>
      </w:r>
      <w:r>
        <w:t xml:space="preserve"> </w:t>
      </w:r>
      <w:r>
        <w:t xml:space="preserve">-4%</w:t>
      </w:r>
      <w:r>
        <w:t xml:space="preserve"> </w:t>
      </w:r>
      <w:r>
        <w:t xml:space="preserve">-12%</w:t>
      </w:r>
      <w:r>
        <w:t xml:space="preserve"> </w:t>
      </w:r>
      <w:r>
        <w:t xml:space="preserve">-24%</w:t>
      </w:r>
      <w:r>
        <w:t xml:space="preserve"> </w:t>
      </w:r>
      <w:r>
        <w:t xml:space="preserve">-45%</w:t>
      </w:r>
      <w:r>
        <w:t xml:space="preserve"> </w:t>
      </w:r>
      <w:r>
        <w:t xml:space="preserve">-68%</w:t>
      </w:r>
      <w:r>
        <w:t xml:space="preserve"> </w:t>
      </w:r>
      <w:r>
        <w:t xml:space="preserve">TL_High, SCOPE1</w:t>
      </w:r>
      <w:r>
        <w:t xml:space="preserve"> </w:t>
      </w:r>
      <w:r>
        <w:t xml:space="preserve">CO</w:t>
      </w:r>
      <w:r>
        <w:t xml:space="preserve"> </w:t>
      </w:r>
      <w:r>
        <w:t xml:space="preserve">-4%</w:t>
      </w:r>
      <w:r>
        <w:t xml:space="preserve"> </w:t>
      </w:r>
      <w:r>
        <w:t xml:space="preserve">-14%</w:t>
      </w:r>
      <w:r>
        <w:t xml:space="preserve"> </w:t>
      </w:r>
      <w:r>
        <w:t xml:space="preserve">-36%</w:t>
      </w:r>
      <w:r>
        <w:t xml:space="preserve"> </w:t>
      </w:r>
      <w:r>
        <w:t xml:space="preserve">-61%</w:t>
      </w:r>
      <w:r>
        <w:t xml:space="preserve"> </w:t>
      </w:r>
      <w:r>
        <w:t xml:space="preserve">-80%</w:t>
      </w:r>
      <w:r>
        <w:t xml:space="preserve"> </w:t>
      </w:r>
      <w:r>
        <w:t xml:space="preserve">NOx</w:t>
      </w:r>
      <w:r>
        <w:t xml:space="preserve"> </w:t>
      </w:r>
      <w:r>
        <w:t xml:space="preserve">-5%</w:t>
      </w:r>
      <w:r>
        <w:t xml:space="preserve"> </w:t>
      </w:r>
      <w:r>
        <w:t xml:space="preserve">-14%</w:t>
      </w:r>
      <w:r>
        <w:t xml:space="preserve"> </w:t>
      </w:r>
      <w:r>
        <w:t xml:space="preserve">-37%</w:t>
      </w:r>
      <w:r>
        <w:t xml:space="preserve"> </w:t>
      </w:r>
      <w:r>
        <w:t xml:space="preserve">-62%</w:t>
      </w:r>
      <w:r>
        <w:t xml:space="preserve"> </w:t>
      </w:r>
      <w:r>
        <w:t xml:space="preserve">-83%</w:t>
      </w:r>
      <w:r>
        <w:t xml:space="preserve"> </w:t>
      </w:r>
      <w:r>
        <w:t xml:space="preserve">PM2.5</w:t>
      </w:r>
      <w:r>
        <w:t xml:space="preserve"> </w:t>
      </w:r>
      <w:r>
        <w:t xml:space="preserve">-5%</w:t>
      </w:r>
      <w:r>
        <w:t xml:space="preserve"> </w:t>
      </w:r>
      <w:r>
        <w:t xml:space="preserve">-15%</w:t>
      </w:r>
      <w:r>
        <w:t xml:space="preserve"> </w:t>
      </w:r>
      <w:r>
        <w:t xml:space="preserve">-35%</w:t>
      </w:r>
      <w:r>
        <w:t xml:space="preserve"> </w:t>
      </w:r>
      <w:r>
        <w:t xml:space="preserve">-60%</w:t>
      </w:r>
      <w:r>
        <w:t xml:space="preserve"> </w:t>
      </w:r>
      <w:r>
        <w:t xml:space="preserve">-81%</w:t>
      </w:r>
      <w:r>
        <w:t xml:space="preserve"> </w:t>
      </w:r>
      <w:r>
        <w:t xml:space="preserve">SO2</w:t>
      </w:r>
      <w:r>
        <w:t xml:space="preserve"> </w:t>
      </w:r>
      <w:r>
        <w:t xml:space="preserve">-5%</w:t>
      </w:r>
      <w:r>
        <w:t xml:space="preserve"> </w:t>
      </w:r>
      <w:r>
        <w:t xml:space="preserve">-18%</w:t>
      </w:r>
      <w:r>
        <w:t xml:space="preserve"> </w:t>
      </w:r>
      <w:r>
        <w:t xml:space="preserve">-40%</w:t>
      </w:r>
      <w:r>
        <w:t xml:space="preserve"> </w:t>
      </w:r>
      <w:r>
        <w:t xml:space="preserve">-61%</w:t>
      </w:r>
      <w:r>
        <w:t xml:space="preserve"> </w:t>
      </w:r>
      <w:r>
        <w:t xml:space="preserve">-79%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122</w:t>
      </w:r>
    </w:p>
    <w:p>
      <w:pPr>
        <w:pStyle w:val="BodyText"/>
      </w:pPr>
      <w:r>
        <w:t xml:space="preserve">Table 23 Reductions in air pollutants compared to the TL_Low, TL_Med and</w:t>
      </w:r>
      <w:r>
        <w:t xml:space="preserve"> </w:t>
      </w:r>
      <w:r>
        <w:t xml:space="preserve">TL_High under different options</w:t>
      </w:r>
    </w:p>
    <w:p>
      <w:pPr>
        <w:pStyle w:val="BodyText"/>
      </w:pPr>
      <w:r>
        <w:t xml:space="preserve">Difference vs TL_Low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TL_Low, SCOPE1, ZEV BUS2</w:t>
      </w:r>
      <w:r>
        <w:t xml:space="preserve"> </w:t>
      </w:r>
      <w:r>
        <w:t xml:space="preserve">CO</w:t>
      </w:r>
      <w:r>
        <w:t xml:space="preserve"> </w:t>
      </w:r>
      <w:r>
        <w:t xml:space="preserve">-1%</w:t>
      </w:r>
      <w:r>
        <w:t xml:space="preserve"> </w:t>
      </w:r>
      <w:r>
        <w:t xml:space="preserve">-2%</w:t>
      </w:r>
      <w:r>
        <w:t xml:space="preserve"> </w:t>
      </w:r>
      <w:r>
        <w:t xml:space="preserve">-2%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NOx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0%</w:t>
      </w:r>
      <w:r>
        <w:t xml:space="preserve"> </w:t>
      </w:r>
      <w:r>
        <w:t xml:space="preserve">PM2.5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0%</w:t>
      </w:r>
      <w:r>
        <w:t xml:space="preserve"> </w:t>
      </w:r>
      <w:r>
        <w:t xml:space="preserve">SO2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Difference vs TL_Med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TL_Med, SCOPE0</w:t>
      </w:r>
      <w:r>
        <w:t xml:space="preserve"> </w:t>
      </w:r>
      <w:r>
        <w:t xml:space="preserve">CO</w:t>
      </w:r>
      <w:r>
        <w:t xml:space="preserve"> </w:t>
      </w:r>
      <w:r>
        <w:t xml:space="preserve">5%</w:t>
      </w:r>
      <w:r>
        <w:t xml:space="preserve"> </w:t>
      </w:r>
      <w:r>
        <w:t xml:space="preserve">9%</w:t>
      </w:r>
      <w:r>
        <w:t xml:space="preserve"> </w:t>
      </w:r>
      <w:r>
        <w:t xml:space="preserve">17%</w:t>
      </w:r>
      <w:r>
        <w:t xml:space="preserve"> </w:t>
      </w:r>
      <w:r>
        <w:t xml:space="preserve">35%</w:t>
      </w:r>
      <w:r>
        <w:t xml:space="preserve"> </w:t>
      </w:r>
      <w:r>
        <w:t xml:space="preserve">52%</w:t>
      </w:r>
      <w:r>
        <w:t xml:space="preserve"> </w:t>
      </w:r>
      <w:r>
        <w:t xml:space="preserve">NOx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9%</w:t>
      </w:r>
      <w:r>
        <w:t xml:space="preserve"> </w:t>
      </w:r>
      <w:r>
        <w:t xml:space="preserve">22%</w:t>
      </w:r>
      <w:r>
        <w:t xml:space="preserve"> </w:t>
      </w:r>
      <w:r>
        <w:t xml:space="preserve">37%</w:t>
      </w:r>
      <w:r>
        <w:t xml:space="preserve"> </w:t>
      </w:r>
      <w:r>
        <w:t xml:space="preserve">PM2.5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14%</w:t>
      </w:r>
      <w:r>
        <w:t xml:space="preserve"> </w:t>
      </w:r>
      <w:r>
        <w:t xml:space="preserve">30%</w:t>
      </w:r>
      <w:r>
        <w:t xml:space="preserve"> </w:t>
      </w:r>
      <w:r>
        <w:t xml:space="preserve">46%</w:t>
      </w:r>
      <w:r>
        <w:t xml:space="preserve"> </w:t>
      </w:r>
      <w:r>
        <w:t xml:space="preserve">SO2</w:t>
      </w:r>
      <w:r>
        <w:t xml:space="preserve"> </w:t>
      </w:r>
      <w:r>
        <w:t xml:space="preserve">4%</w:t>
      </w:r>
      <w:r>
        <w:t xml:space="preserve"> </w:t>
      </w:r>
      <w:r>
        <w:t xml:space="preserve">8%</w:t>
      </w:r>
      <w:r>
        <w:t xml:space="preserve"> </w:t>
      </w:r>
      <w:r>
        <w:t xml:space="preserve">16%</w:t>
      </w:r>
      <w:r>
        <w:t xml:space="preserve"> </w:t>
      </w:r>
      <w:r>
        <w:t xml:space="preserve">31%</w:t>
      </w:r>
      <w:r>
        <w:t xml:space="preserve"> </w:t>
      </w:r>
      <w:r>
        <w:t xml:space="preserve">51%</w:t>
      </w:r>
      <w:r>
        <w:t xml:space="preserve"> </w:t>
      </w:r>
      <w:r>
        <w:t xml:space="preserve">TL_Med, SCOPE1, LCF_factor</w:t>
      </w:r>
      <w:r>
        <w:t xml:space="preserve"> </w:t>
      </w:r>
      <w:r>
        <w:t xml:space="preserve">CO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NOx</w:t>
      </w:r>
      <w:r>
        <w:t xml:space="preserve"> </w:t>
      </w:r>
      <w:r>
        <w:t xml:space="preserve">2%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PM2.5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SO2</w:t>
      </w:r>
      <w:r>
        <w:t xml:space="preserve"> </w:t>
      </w:r>
      <w:r>
        <w:t xml:space="preserve">2%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7%</w:t>
      </w:r>
      <w:r>
        <w:t xml:space="preserve"> </w:t>
      </w:r>
      <w:r>
        <w:t xml:space="preserve">4%</w:t>
      </w:r>
      <w:r>
        <w:t xml:space="preserve"> </w:t>
      </w:r>
      <w:r>
        <w:t xml:space="preserve">TL_Med, SCOPE1, LCF Credits</w:t>
      </w:r>
      <w:r>
        <w:t xml:space="preserve"> </w:t>
      </w:r>
      <w:r>
        <w:t xml:space="preserve">CO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NOx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PM2.5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SO2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TL_Med, SCOPE1, ZEV BUS2</w:t>
      </w:r>
      <w:r>
        <w:t xml:space="preserve"> </w:t>
      </w:r>
      <w:r>
        <w:t xml:space="preserve">CO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0%</w:t>
      </w:r>
      <w:r>
        <w:t xml:space="preserve"> </w:t>
      </w:r>
      <w:r>
        <w:t xml:space="preserve">NOx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0%</w:t>
      </w:r>
      <w:r>
        <w:t xml:space="preserve"> </w:t>
      </w:r>
      <w:r>
        <w:t xml:space="preserve">PM2.5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0%</w:t>
      </w:r>
      <w:r>
        <w:t xml:space="preserve"> </w:t>
      </w:r>
      <w:r>
        <w:t xml:space="preserve">SO2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Difference vs TL_High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TL_High, SCOPE0</w:t>
      </w:r>
      <w:r>
        <w:t xml:space="preserve"> </w:t>
      </w:r>
      <w:r>
        <w:t xml:space="preserve">CO</w:t>
      </w:r>
      <w:r>
        <w:t xml:space="preserve"> </w:t>
      </w:r>
      <w:r>
        <w:t xml:space="preserve">6%</w:t>
      </w:r>
      <w:r>
        <w:t xml:space="preserve"> </w:t>
      </w:r>
      <w:r>
        <w:t xml:space="preserve">12%</w:t>
      </w:r>
      <w:r>
        <w:t xml:space="preserve"> </w:t>
      </w:r>
      <w:r>
        <w:t xml:space="preserve">24%</w:t>
      </w:r>
      <w:r>
        <w:t xml:space="preserve"> </w:t>
      </w:r>
      <w:r>
        <w:t xml:space="preserve">42%</w:t>
      </w:r>
      <w:r>
        <w:t xml:space="preserve"> </w:t>
      </w:r>
      <w:r>
        <w:t xml:space="preserve">56%</w:t>
      </w:r>
      <w:r>
        <w:t xml:space="preserve"> </w:t>
      </w:r>
      <w:r>
        <w:t xml:space="preserve">NOx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13%</w:t>
      </w:r>
      <w:r>
        <w:t xml:space="preserve"> </w:t>
      </w:r>
      <w:r>
        <w:t xml:space="preserve">27%</w:t>
      </w:r>
      <w:r>
        <w:t xml:space="preserve"> </w:t>
      </w:r>
      <w:r>
        <w:t xml:space="preserve">40%</w:t>
      </w:r>
      <w:r>
        <w:t xml:space="preserve"> </w:t>
      </w:r>
      <w:r>
        <w:t xml:space="preserve">PM2.5</w:t>
      </w:r>
      <w:r>
        <w:t xml:space="preserve"> </w:t>
      </w:r>
      <w:r>
        <w:t xml:space="preserve">5%</w:t>
      </w:r>
      <w:r>
        <w:t xml:space="preserve"> </w:t>
      </w:r>
      <w:r>
        <w:t xml:space="preserve">9%</w:t>
      </w:r>
      <w:r>
        <w:t xml:space="preserve"> </w:t>
      </w:r>
      <w:r>
        <w:t xml:space="preserve">20%</w:t>
      </w:r>
      <w:r>
        <w:t xml:space="preserve"> </w:t>
      </w:r>
      <w:r>
        <w:t xml:space="preserve">37%</w:t>
      </w:r>
      <w:r>
        <w:t xml:space="preserve"> </w:t>
      </w:r>
      <w:r>
        <w:t xml:space="preserve">50%</w:t>
      </w:r>
      <w:r>
        <w:t xml:space="preserve"> </w:t>
      </w:r>
      <w:r>
        <w:t xml:space="preserve">SO2</w:t>
      </w:r>
      <w:r>
        <w:t xml:space="preserve"> </w:t>
      </w:r>
      <w:r>
        <w:t xml:space="preserve">4%</w:t>
      </w:r>
      <w:r>
        <w:t xml:space="preserve"> </w:t>
      </w:r>
      <w:r>
        <w:t xml:space="preserve">10%</w:t>
      </w:r>
      <w:r>
        <w:t xml:space="preserve"> </w:t>
      </w:r>
      <w:r>
        <w:t xml:space="preserve">21%</w:t>
      </w:r>
      <w:r>
        <w:t xml:space="preserve"> </w:t>
      </w:r>
      <w:r>
        <w:t xml:space="preserve">37%</w:t>
      </w:r>
      <w:r>
        <w:t xml:space="preserve"> </w:t>
      </w:r>
      <w:r>
        <w:t xml:space="preserve">55%</w:t>
      </w:r>
      <w:r>
        <w:t xml:space="preserve"> </w:t>
      </w:r>
      <w:r>
        <w:t xml:space="preserve">TL_High, SCOPE1, ZEV BUS2</w:t>
      </w:r>
      <w:r>
        <w:t xml:space="preserve"> </w:t>
      </w:r>
      <w:r>
        <w:t xml:space="preserve">CO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NOx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0%</w:t>
      </w:r>
      <w:r>
        <w:t xml:space="preserve"> </w:t>
      </w:r>
      <w:r>
        <w:t xml:space="preserve">PM2.5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SO2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123</w:t>
      </w:r>
    </w:p>
    <w:p>
      <w:pPr>
        <w:pStyle w:val="BodyText"/>
      </w:pPr>
      <w:r>
        <w:t xml:space="preserve">1.34. 18.4</w:t>
      </w:r>
      <w:r>
        <w:t xml:space="preserve"> </w:t>
      </w:r>
      <w:r>
        <w:t xml:space="preserve">Complementary information on trailer modelling</w:t>
      </w:r>
      <w:r>
        <w:t xml:space="preserve"> </w:t>
      </w:r>
      <w:r>
        <w:t xml:space="preserve">1.35. 18.4.1</w:t>
      </w:r>
      <w:r>
        <w:t xml:space="preserve"> </w:t>
      </w:r>
      <w:r>
        <w:t xml:space="preserve">Methodology for energy efficient trailer modelling</w:t>
      </w:r>
      <w:r>
        <w:t xml:space="preserve"> </w:t>
      </w:r>
      <w:r>
        <w:t xml:space="preserve">1.36. 18.4.1.1 Introduction</w:t>
      </w:r>
      <w:r>
        <w:t xml:space="preserve"> </w:t>
      </w:r>
      <w:r>
        <w:t xml:space="preserve">A total cost of ownership (TCO) and fleet-wide greenhouse gas (GHG) emission analysis</w:t>
      </w:r>
      <w:r>
        <w:t xml:space="preserve"> </w:t>
      </w:r>
      <w:r>
        <w:t xml:space="preserve">was carried out for the potential introduction of energy-efficient (semi-)trailer targets</w:t>
      </w:r>
      <w:r>
        <w:t xml:space="preserve"> </w:t>
      </w:r>
      <w:r>
        <w:t xml:space="preserve">from 2030 to 2050. The whole analysis was performed by Ricardo, with data from DG</w:t>
      </w:r>
      <w:r>
        <w:t xml:space="preserve"> </w:t>
      </w:r>
      <w:r>
        <w:t xml:space="preserve">Joint Research Centre (JRC) and TU Graz (Graz University of Technology) for the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1.37. 18.4.1.2 Key inputs and assumptions</w:t>
      </w:r>
      <w:r>
        <w:t xml:space="preserve"> </w:t>
      </w:r>
      <w:r>
        <w:t xml:space="preserve">The analysis performed by Ricardo consists of two elements:</w:t>
      </w:r>
      <w:r>
        <w:br/>
      </w:r>
      <w:r>
        <w:t xml:space="preserve">(i) HDV (semi-)trailer EU fleet impacts analysis, and</w:t>
      </w:r>
      <w:r>
        <w:br/>
      </w:r>
      <w:r>
        <w:t xml:space="preserve">(ii) Marginal total cost of ownership (TCO) of new (semi-)trailers analysis.</w:t>
      </w:r>
    </w:p>
    <w:p>
      <w:pPr>
        <w:pStyle w:val="BodyText"/>
      </w:pPr>
      <w:r>
        <w:t xml:space="preserve">1.38. 18.4.1.2.1</w:t>
      </w:r>
      <w:r>
        <w:t xml:space="preserve"> </w:t>
      </w:r>
      <w:r>
        <w:t xml:space="preserve">Data sources used</w:t>
      </w:r>
      <w:r>
        <w:t xml:space="preserve"> </w:t>
      </w:r>
      <w:r>
        <w:t xml:space="preserve">The energy efficient trailer modelling utilised a number of key datasets:</w:t>
      </w:r>
      <w:r>
        <w:t xml:space="preserve"> </w:t>
      </w:r>
      <w:r>
        <w:t xml:space="preserve"> Cost/energy consumption cost-curves for energy efficient trailer technologies</w:t>
      </w:r>
      <w:r>
        <w:t xml:space="preserve"> </w:t>
      </w:r>
      <w:r>
        <w:t xml:space="preserve">provided by the JRC using the Dione model, based on trailer technology</w:t>
      </w:r>
      <w:r>
        <w:t xml:space="preserve"> </w:t>
      </w:r>
      <w:r>
        <w:t xml:space="preserve">simulation results undertaken by TU Graz and cost data developed by Ricardo;</w:t>
      </w:r>
      <w:r>
        <w:t xml:space="preserve"> </w:t>
      </w:r>
      <w:r>
        <w:t xml:space="preserve"> PRIMES-TREMOVE modelling outputs for baseline, low ambition, medium</w:t>
      </w:r>
      <w:r>
        <w:t xml:space="preserve"> </w:t>
      </w:r>
      <w:r>
        <w:t xml:space="preserve">ambition and high ambition vehicle CO2 target scenarios; including number of</w:t>
      </w:r>
      <w:r>
        <w:t xml:space="preserve"> </w:t>
      </w:r>
      <w:r>
        <w:t xml:space="preserve">vehicles per group and powertrain, total vehicle activity, total GHG emissions,</w:t>
      </w:r>
      <w:r>
        <w:t xml:space="preserve"> </w:t>
      </w:r>
      <w:r>
        <w:t xml:space="preserve">fuel prices and fuel emission factors;</w:t>
      </w:r>
      <w:r>
        <w:t xml:space="preserve"> </w:t>
      </w:r>
      <w:r>
        <w:t xml:space="preserve"> Total trailer stock, new trailer stock per year based on a European trailer database</w:t>
      </w:r>
      <w:r>
        <w:t xml:space="preserve"> </w:t>
      </w:r>
      <w:r>
        <w:t xml:space="preserve">from 2005 to 2025 (provided by CLEAR International).</w:t>
      </w:r>
      <w:r>
        <w:t xml:space="preserve"> </w:t>
      </w:r>
      <w:r>
        <w:t xml:space="preserve">1.39. 18.4.1.2.2</w:t>
      </w:r>
      <w:r>
        <w:t xml:space="preserve"> </w:t>
      </w:r>
      <w:r>
        <w:t xml:space="preserve">(Semi-)trailer EU fleet impact</w:t>
      </w:r>
      <w:r>
        <w:t xml:space="preserve"> </w:t>
      </w:r>
      <w:r>
        <w:t xml:space="preserve">In order to calculate the potential fleet-level impacts (on capital costs, fuel costs and CO2</w:t>
      </w:r>
      <w:r>
        <w:t xml:space="preserve"> </w:t>
      </w:r>
      <w:r>
        <w:t xml:space="preserve">emissions), Ricardo developed a simple trailer stock model based on trailer stock dataset,</w:t>
      </w:r>
      <w:r>
        <w:t xml:space="preserve"> </w:t>
      </w:r>
      <w:r>
        <w:t xml:space="preserve">and future projections beyond 2025 based on the EC modelling scenario outputs. The</w:t>
      </w:r>
      <w:r>
        <w:t xml:space="preserve"> </w:t>
      </w:r>
      <w:r>
        <w:t xml:space="preserve">analysis disaggregates by trailer type (Semi/Drawbar, as described in Table 24) and</w:t>
      </w:r>
      <w:r>
        <w:t xml:space="preserve"> </w:t>
      </w:r>
      <w:r>
        <w:t xml:space="preserve">trailer group (Box/Curtain, Reefer, others, as described in Table 25), and calculates</w:t>
      </w:r>
      <w:r>
        <w:t xml:space="preserve"> </w:t>
      </w:r>
      <w:r>
        <w:t xml:space="preserve">impacts based on different scenarios for trailer efficiency targets, and for different</w:t>
      </w:r>
      <w:r>
        <w:t xml:space="preserve"> </w:t>
      </w:r>
      <w:r>
        <w:t xml:space="preserve">ambition levels for the main vehicle modelling.</w:t>
      </w:r>
      <w:r>
        <w:t xml:space="preserve"> </w:t>
      </w:r>
      <w:r>
        <w:t xml:space="preserve">The main inputs for the (semi-)trailer EU fleet impact analysis included:</w:t>
      </w:r>
      <w:r>
        <w:t xml:space="preserve"> </w:t>
      </w:r>
      <w:r>
        <w:t xml:space="preserve"> The CLEAR international trailer dataset, containing total stock of trailers by</w:t>
      </w:r>
      <w:r>
        <w:t xml:space="preserve"> </w:t>
      </w:r>
      <w:r>
        <w:t xml:space="preserve">trailer type and new trailers by trailer type projected to 2025;</w:t>
      </w:r>
      <w:r>
        <w:t xml:space="preserve"> </w:t>
      </w:r>
      <w:r>
        <w:t xml:space="preserve"> The (semi-)trailer efficiency cost-curves developed (by JRC using their Dione</w:t>
      </w:r>
      <w:r>
        <w:t xml:space="preserve"> </w:t>
      </w:r>
      <w:r>
        <w:t xml:space="preserve">model) from the outputs from Task 4 (of the CO2 regulations support project) at a</w:t>
      </w:r>
      <w:r>
        <w:t xml:space="preserve"> </w:t>
      </w:r>
      <w:r>
        <w:t xml:space="preserve">powertrain group level (See Table 26 for more details) and by HDV segment</w:t>
      </w:r>
      <w:r>
        <w:t xml:space="preserve"> </w:t>
      </w:r>
      <w:r>
        <w:t xml:space="preserve">(Table 24);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124</w:t>
      </w:r>
    </w:p>
    <w:p>
      <w:pPr>
        <w:pStyle w:val="BodyText"/>
      </w:pPr>
      <w:r>
        <w:t xml:space="preserve"> Trailer activity and utilisation rates (per trailer type and vehicle group), derived</w:t>
      </w:r>
      <w:r>
        <w:t xml:space="preserve"> </w:t>
      </w:r>
      <w:r>
        <w:t xml:space="preserve">from PRIMES-TREMOVE modelling outputs of vehicle activity and stock along</w:t>
      </w:r>
      <w:r>
        <w:t xml:space="preserve"> </w:t>
      </w:r>
      <w:r>
        <w:t xml:space="preserve">with the CLEAR trailer dataset;</w:t>
      </w:r>
      <w:r>
        <w:t xml:space="preserve"> </w:t>
      </w:r>
      <w:r>
        <w:t xml:space="preserve"> Inputs for different scenarios from PRIMES-TREMOVE for the baseline and</w:t>
      </w:r>
      <w:r>
        <w:t xml:space="preserve"> </w:t>
      </w:r>
      <w:r>
        <w:t xml:space="preserve">different ambition levels (low, medium and high) for CO2 targets for HDVs,</w:t>
      </w:r>
      <w:r>
        <w:t xml:space="preserve"> </w:t>
      </w:r>
      <w:r>
        <w:t xml:space="preserve">including:</w:t>
      </w:r>
      <w:r>
        <w:br/>
      </w:r>
      <w:r>
        <w:t xml:space="preserve">(a) Vehicle stock and average efficiency (energy consumption per km) for</w:t>
      </w:r>
      <w:r>
        <w:t xml:space="preserve"> </w:t>
      </w:r>
      <w:r>
        <w:t xml:space="preserve">relevant HDV segments and powertrain types to 2050.</w:t>
      </w:r>
      <w:r>
        <w:t xml:space="preserve"> </w:t>
      </w:r>
      <w:r>
        <w:t xml:space="preserve">(b) Total vehicle fleet GHG emissions (ktCO2e) for relevant HDV segments and</w:t>
      </w:r>
      <w:r>
        <w:t xml:space="preserve"> </w:t>
      </w:r>
      <w:r>
        <w:t xml:space="preserve">powertrain types to 2050.</w:t>
      </w:r>
      <w:r>
        <w:t xml:space="preserve"> </w:t>
      </w:r>
      <w:r>
        <w:t xml:space="preserve">(c) Fuel price projections and emission factors for the different fuel types to</w:t>
      </w:r>
      <w:r>
        <w:t xml:space="preserve"> </w:t>
      </w:r>
      <w:r>
        <w:t xml:space="preserve">2050.</w:t>
      </w:r>
      <w:r>
        <w:t xml:space="preserve"> </w:t>
      </w:r>
      <w:r>
        <w:t xml:space="preserve">Fleet modelling assumptions</w:t>
      </w:r>
      <w:r>
        <w:t xml:space="preserve"> </w:t>
      </w:r>
      <w:r>
        <w:t xml:space="preserve">For the purposes of the energy-efficient trailer modelling, 5 vehicle segments (Table 24)</w:t>
      </w:r>
      <w:r>
        <w:t xml:space="preserve"> </w:t>
      </w:r>
      <w:r>
        <w:t xml:space="preserve">were included as they operate potentially regulated trailers.</w:t>
      </w:r>
      <w:r>
        <w:br/>
      </w:r>
      <w:r>
        <w:t xml:space="preserve">Table 24: Potentially regulated trailers and motor vehicles towing them</w:t>
      </w:r>
      <w:r>
        <w:t xml:space="preserve"> </w:t>
      </w:r>
      <w:r>
        <w:t xml:space="preserve">Vehicle segment</w:t>
      </w:r>
      <w:r>
        <w:br/>
      </w:r>
      <w:r>
        <w:t xml:space="preserve">Trailer type</w:t>
      </w:r>
      <w:r>
        <w:t xml:space="preserve"> </w:t>
      </w:r>
      <w:r>
        <w:t xml:space="preserve">Vehicle type</w:t>
      </w:r>
      <w:r>
        <w:t xml:space="preserve"> </w:t>
      </w:r>
      <w:r>
        <w:t xml:space="preserve">Group 4</w:t>
      </w:r>
      <w:r>
        <w:t xml:space="preserve"> </w:t>
      </w:r>
      <w:r>
        <w:t xml:space="preserve">Drawbar</w:t>
      </w:r>
      <w:r>
        <w:t xml:space="preserve"> </w:t>
      </w:r>
      <w:r>
        <w:t xml:space="preserve">Rigid Lorry</w:t>
      </w:r>
      <w:r>
        <w:t xml:space="preserve"> </w:t>
      </w:r>
      <w:r>
        <w:t xml:space="preserve">Group 5</w:t>
      </w:r>
      <w:r>
        <w:t xml:space="preserve"> </w:t>
      </w:r>
      <w:r>
        <w:t xml:space="preserve">Semi-trailer</w:t>
      </w:r>
      <w:r>
        <w:t xml:space="preserve"> </w:t>
      </w:r>
      <w:r>
        <w:t xml:space="preserve">Articulated Lorry</w:t>
      </w:r>
      <w:r>
        <w:t xml:space="preserve"> </w:t>
      </w:r>
      <w:r>
        <w:t xml:space="preserve">Group 9</w:t>
      </w:r>
      <w:r>
        <w:t xml:space="preserve"> </w:t>
      </w:r>
      <w:r>
        <w:t xml:space="preserve">Drawbar</w:t>
      </w:r>
      <w:r>
        <w:t xml:space="preserve"> </w:t>
      </w:r>
      <w:r>
        <w:t xml:space="preserve">Rigid Lorry</w:t>
      </w:r>
      <w:r>
        <w:t xml:space="preserve"> </w:t>
      </w:r>
      <w:r>
        <w:t xml:space="preserve">Group 10</w:t>
      </w:r>
      <w:r>
        <w:t xml:space="preserve"> </w:t>
      </w:r>
      <w:r>
        <w:t xml:space="preserve">Semi-trailer</w:t>
      </w:r>
      <w:r>
        <w:t xml:space="preserve"> </w:t>
      </w:r>
      <w:r>
        <w:t xml:space="preserve">Articulated Lorry</w:t>
      </w:r>
      <w:r>
        <w:t xml:space="preserve"> </w:t>
      </w:r>
      <w:r>
        <w:t xml:space="preserve">Group 12</w:t>
      </w:r>
      <w:r>
        <w:t xml:space="preserve"> </w:t>
      </w:r>
      <w:r>
        <w:t xml:space="preserve">Semi-trailer</w:t>
      </w:r>
      <w:r>
        <w:t xml:space="preserve"> </w:t>
      </w:r>
      <w:r>
        <w:t xml:space="preserve">Articulated Lorry</w:t>
      </w:r>
    </w:p>
    <w:p>
      <w:pPr>
        <w:pStyle w:val="BodyText"/>
      </w:pPr>
      <w:r>
        <w:t xml:space="preserve">The trailers were categorised into three groups: BoxCurtain (Dry Box, Curtain), Reefer</w:t>
      </w:r>
      <w:r>
        <w:t xml:space="preserve"> </w:t>
      </w:r>
      <w:r>
        <w:t xml:space="preserve">(refrigerated trailers) and Others (tipper, chassis, tankbulk, etc). The BoxCurtain and</w:t>
      </w:r>
      <w:r>
        <w:t xml:space="preserve"> </w:t>
      </w:r>
      <w:r>
        <w:t xml:space="preserve">Reefer trailer categories will have potential energy efficient targets explored, whereas the</w:t>
      </w:r>
      <w:r>
        <w:t xml:space="preserve"> </w:t>
      </w:r>
      <w:r>
        <w:t xml:space="preserve">Other trailer types are not proposed/deemed suitable to be regulated at this stage. The</w:t>
      </w:r>
      <w:r>
        <w:t xml:space="preserve"> </w:t>
      </w:r>
      <w:r>
        <w:t xml:space="preserve">trailer cost curve outputs were potentially different for the Reefer trailer types (as there</w:t>
      </w:r>
      <w:r>
        <w:t xml:space="preserve"> </w:t>
      </w:r>
      <w:r>
        <w:t xml:space="preserve">are additional reefer-specific measures available – such as improved insulation and</w:t>
      </w:r>
      <w:r>
        <w:t xml:space="preserve"> </w:t>
      </w:r>
      <w:r>
        <w:t xml:space="preserve">cooling systems) 110, and therefore they are kept separate from the BoxCurtain trailer</w:t>
      </w:r>
      <w:r>
        <w:t xml:space="preserve"> </w:t>
      </w:r>
      <w:r>
        <w:t xml:space="preserve">group in the modelling.</w:t>
      </w:r>
      <w:r>
        <w:br/>
      </w:r>
      <w:r>
        <w:t xml:space="preserve">Table 25: Trailer grouping considered in the modelling</w:t>
      </w:r>
      <w:r>
        <w:t xml:space="preserve"> </w:t>
      </w:r>
      <w:r>
        <w:t xml:space="preserve">Trailer group</w:t>
      </w:r>
      <w:r>
        <w:t xml:space="preserve"> </w:t>
      </w:r>
      <w:r>
        <w:t xml:space="preserve">Trailers covered</w:t>
      </w:r>
      <w:r>
        <w:t xml:space="preserve"> </w:t>
      </w:r>
      <w:r>
        <w:t xml:space="preserve">Regulated/Unregulated</w:t>
      </w:r>
      <w:r>
        <w:t xml:space="preserve"> </w:t>
      </w:r>
      <w:r>
        <w:t xml:space="preserve">BoxCurtain</w:t>
      </w:r>
      <w:r>
        <w:t xml:space="preserve"> </w:t>
      </w:r>
      <w:r>
        <w:t xml:space="preserve">Dry Box, Curtain</w:t>
      </w:r>
      <w:r>
        <w:t xml:space="preserve"> </w:t>
      </w:r>
      <w:r>
        <w:t xml:space="preserve">Regulated (proposed)</w:t>
      </w:r>
      <w:r>
        <w:t xml:space="preserve"> </w:t>
      </w:r>
      <w:r>
        <w:t xml:space="preserve">Reefer</w:t>
      </w:r>
      <w:r>
        <w:t xml:space="preserve"> </w:t>
      </w:r>
      <w:r>
        <w:t xml:space="preserve">Reefer</w:t>
      </w:r>
      <w:r>
        <w:t xml:space="preserve"> </w:t>
      </w:r>
      <w:r>
        <w:t xml:space="preserve">Regulated (proposed)</w:t>
      </w:r>
      <w:r>
        <w:t xml:space="preserve"> </w:t>
      </w:r>
      <w:r>
        <w:t xml:space="preserve">Others</w:t>
      </w:r>
      <w:r>
        <w:t xml:space="preserve"> </w:t>
      </w:r>
      <w:r>
        <w:t xml:space="preserve">Tipper, Chassis, TankBulk, etc.</w:t>
      </w:r>
      <w:r>
        <w:t xml:space="preserve"> </w:t>
      </w:r>
      <w:r>
        <w:t xml:space="preserve">Unregulated</w:t>
      </w:r>
    </w:p>
    <w:p>
      <w:pPr>
        <w:pStyle w:val="BodyText"/>
      </w:pPr>
      <w:r>
        <w:t xml:space="preserve">110 There are currently not established mechanisms for inclusion of such Reefer-specific technologies in the</w:t>
      </w:r>
      <w:r>
        <w:t xml:space="preserve"> </w:t>
      </w:r>
      <w:r>
        <w:t xml:space="preserve">modelling/certification approach developed for trailers, so these were not in the end included in the cost-</w:t>
      </w:r>
      <w:r>
        <w:t xml:space="preserve"> </w:t>
      </w:r>
      <w:r>
        <w:t xml:space="preserve">curves. However, they may be added at a future time, once suitable certification approaches are put in</w:t>
      </w:r>
      <w:r>
        <w:t xml:space="preserve"> </w:t>
      </w:r>
      <w:r>
        <w:t xml:space="preserve">place.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125</w:t>
      </w:r>
    </w:p>
    <w:p>
      <w:pPr>
        <w:pStyle w:val="BodyText"/>
      </w:pPr>
      <w:r>
        <w:t xml:space="preserve">Future projections of the different vehicle powertrains for the 5 vehicle segments were</w:t>
      </w:r>
      <w:r>
        <w:t xml:space="preserve"> </w:t>
      </w:r>
      <w:r>
        <w:t xml:space="preserve">included. Although trailers can be attached to any vehicle and powertrain type, there are</w:t>
      </w:r>
      <w:r>
        <w:t xml:space="preserve"> </w:t>
      </w:r>
      <w:r>
        <w:t xml:space="preserve">different cost curve associated with different trailer and powertrain combinations. For the</w:t>
      </w:r>
      <w:r>
        <w:t xml:space="preserve"> </w:t>
      </w:r>
      <w:r>
        <w:t xml:space="preserve">purposes of the modelling, the cost curves were grouped into 4 powertrain groups, where</w:t>
      </w:r>
      <w:r>
        <w:t xml:space="preserve"> </w:t>
      </w:r>
      <w:r>
        <w:t xml:space="preserve">the trailer cost-curves for the vehicle powertrains within these groups were minimally</w:t>
      </w:r>
      <w:r>
        <w:t xml:space="preserve"> </w:t>
      </w:r>
      <w:r>
        <w:t xml:space="preserve">different, namely: ICEs (internal combustion engines), xEVs (mono-fuel electric</w:t>
      </w:r>
      <w:r>
        <w:t xml:space="preserve"> </w:t>
      </w:r>
      <w:r>
        <w:t xml:space="preserve">powertrains), PHEVs (plug-in hybrid electric vehicles), and REEVs (range-extended</w:t>
      </w:r>
      <w:r>
        <w:t xml:space="preserve"> </w:t>
      </w:r>
      <w:r>
        <w:t xml:space="preserve">electric vehicles). The mapping of powertrains to each powertrain group is shown in</w:t>
      </w:r>
      <w:r>
        <w:t xml:space="preserve"> </w:t>
      </w:r>
      <w:r>
        <w:t xml:space="preserve">Table 26 below.</w:t>
      </w:r>
      <w:r>
        <w:t xml:space="preserve"> </w:t>
      </w:r>
      <w:r>
        <w:t xml:space="preserve">Table 26: Vehicle powertrains mapping to trailer cost curve group</w:t>
      </w:r>
      <w:r>
        <w:t xml:space="preserve"> </w:t>
      </w:r>
      <w:r>
        <w:t xml:space="preserve">Powertrains included</w:t>
      </w:r>
      <w:r>
        <w:t xml:space="preserve"> </w:t>
      </w:r>
      <w:r>
        <w:t xml:space="preserve">Powertrain trailer cost curve group</w:t>
      </w:r>
      <w:r>
        <w:t xml:space="preserve"> </w:t>
      </w:r>
      <w:r>
        <w:t xml:space="preserve">CI ICE</w:t>
      </w:r>
      <w:r>
        <w:t xml:space="preserve"> </w:t>
      </w:r>
      <w:r>
        <w:t xml:space="preserve">ICE/HEVs</w:t>
      </w:r>
      <w:r>
        <w:t xml:space="preserve"> </w:t>
      </w:r>
      <w:r>
        <w:t xml:space="preserve">CI HEV</w:t>
      </w:r>
      <w:r>
        <w:t xml:space="preserve"> </w:t>
      </w:r>
      <w:r>
        <w:t xml:space="preserve">ICE/HEVs</w:t>
      </w:r>
      <w:r>
        <w:t xml:space="preserve"> </w:t>
      </w:r>
      <w:r>
        <w:t xml:space="preserve">SI ICE-CNG</w:t>
      </w:r>
      <w:r>
        <w:t xml:space="preserve"> </w:t>
      </w:r>
      <w:r>
        <w:t xml:space="preserve">ICE/HEVs</w:t>
      </w:r>
      <w:r>
        <w:t xml:space="preserve"> </w:t>
      </w:r>
      <w:r>
        <w:t xml:space="preserve">SI ICE-LNG</w:t>
      </w:r>
      <w:r>
        <w:t xml:space="preserve"> </w:t>
      </w:r>
      <w:r>
        <w:t xml:space="preserve">ICE/HEVs</w:t>
      </w:r>
      <w:r>
        <w:t xml:space="preserve"> </w:t>
      </w:r>
      <w:r>
        <w:t xml:space="preserve">CI ICE-LNG</w:t>
      </w:r>
      <w:r>
        <w:t xml:space="preserve"> </w:t>
      </w:r>
      <w:r>
        <w:t xml:space="preserve">ICE/HEVs</w:t>
      </w:r>
      <w:r>
        <w:t xml:space="preserve"> </w:t>
      </w:r>
      <w:r>
        <w:t xml:space="preserve">SI ICE-H2</w:t>
      </w:r>
      <w:r>
        <w:t xml:space="preserve"> </w:t>
      </w:r>
      <w:r>
        <w:t xml:space="preserve">ICE/HEVs</w:t>
      </w:r>
      <w:r>
        <w:t xml:space="preserve"> </w:t>
      </w:r>
      <w:r>
        <w:t xml:space="preserve">CI PHEV</w:t>
      </w:r>
      <w:r>
        <w:t xml:space="preserve"> </w:t>
      </w:r>
      <w:r>
        <w:t xml:space="preserve">PHEVs</w:t>
      </w:r>
      <w:r>
        <w:t xml:space="preserve"> </w:t>
      </w:r>
      <w:r>
        <w:t xml:space="preserve">BEV</w:t>
      </w:r>
      <w:r>
        <w:t xml:space="preserve"> </w:t>
      </w:r>
      <w:r>
        <w:t xml:space="preserve">xEVs</w:t>
      </w:r>
      <w:r>
        <w:t xml:space="preserve"> </w:t>
      </w:r>
      <w:r>
        <w:t xml:space="preserve">BCEV</w:t>
      </w:r>
      <w:r>
        <w:t xml:space="preserve"> </w:t>
      </w:r>
      <w:r>
        <w:t xml:space="preserve">xEVs</w:t>
      </w:r>
      <w:r>
        <w:t xml:space="preserve"> </w:t>
      </w:r>
      <w:r>
        <w:t xml:space="preserve">FCEV</w:t>
      </w:r>
      <w:r>
        <w:t xml:space="preserve"> </w:t>
      </w:r>
      <w:r>
        <w:t xml:space="preserve">xEVs</w:t>
      </w:r>
      <w:r>
        <w:t xml:space="preserve"> </w:t>
      </w:r>
      <w:r>
        <w:t xml:space="preserve">FC-REEV</w:t>
      </w:r>
      <w:r>
        <w:t xml:space="preserve"> </w:t>
      </w:r>
      <w:r>
        <w:t xml:space="preserve">REEVs</w:t>
      </w:r>
    </w:p>
    <w:p>
      <w:pPr>
        <w:pStyle w:val="BodyText"/>
      </w:pPr>
      <w:r>
        <w:t xml:space="preserve">Energy scaling</w:t>
      </w:r>
      <w:r>
        <w:t xml:space="preserve"> </w:t>
      </w:r>
      <w:r>
        <w:t xml:space="preserve">Energy efficient trailer targets are proposed to be implemented based on (i.e. with energy</w:t>
      </w:r>
      <w:r>
        <w:t xml:space="preserve"> </w:t>
      </w:r>
      <w:r>
        <w:t xml:space="preserve">savings potential defined relative to) the current diesel vehicle standard; however, a</w:t>
      </w:r>
      <w:r>
        <w:t xml:space="preserve"> </w:t>
      </w:r>
      <w:r>
        <w:t xml:space="preserve">trailer could be pulled by any type of powertrain in actual applications. The developed</w:t>
      </w:r>
      <w:r>
        <w:t xml:space="preserve"> </w:t>
      </w:r>
      <w:r>
        <w:t xml:space="preserve">trailer cost curves are different for each powertrain group, and therefore will have</w:t>
      </w:r>
      <w:r>
        <w:t xml:space="preserve"> </w:t>
      </w:r>
      <w:r>
        <w:t xml:space="preserve">different effects on real-world operational energy consumption for the fleet impacts</w:t>
      </w:r>
      <w:r>
        <w:t xml:space="preserve"> </w:t>
      </w:r>
      <w:r>
        <w:t xml:space="preserve">analysis, despite having the same energy-efficient trailer target. This scaling for effects of</w:t>
      </w:r>
      <w:r>
        <w:t xml:space="preserve"> </w:t>
      </w:r>
      <w:r>
        <w:t xml:space="preserve">standards on vehicles with different powertrains was calculated using the end points of</w:t>
      </w:r>
      <w:r>
        <w:t xml:space="preserve"> </w:t>
      </w:r>
      <w:r>
        <w:t xml:space="preserve">the powertrain group cost curves, as some powertrain groups will have a higher energy-</w:t>
      </w:r>
      <w:r>
        <w:t xml:space="preserve"> </w:t>
      </w:r>
      <w:r>
        <w:t xml:space="preserve">saving potential compared to diesel (e.g. presented for a group 4 rigid lorry in Figure 29</w:t>
      </w:r>
      <w:r>
        <w:t xml:space="preserve"> </w:t>
      </w:r>
      <w:r>
        <w:t xml:space="preserve">below).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126</w:t>
      </w:r>
    </w:p>
    <w:p>
      <w:pPr>
        <w:pStyle w:val="BodyText"/>
      </w:pPr>
      <w:r>
        <w:t xml:space="preserve">Figure 29: Proportion of energy consumption for different powertrain groups</w:t>
      </w:r>
      <w:r>
        <w:t xml:space="preserve"> </w:t>
      </w:r>
      <w:r>
        <w:t xml:space="preserve">against a diesel ICE baseline (Group 4, BoxCurtain, 2020)</w:t>
      </w:r>
    </w:p>
    <w:p>
      <w:pPr>
        <w:pStyle w:val="BodyText"/>
      </w:pPr>
      <w:r>
        <w:t xml:space="preserve">1.40. 18.4.1.2.3</w:t>
      </w:r>
      <w:r>
        <w:t xml:space="preserve"> </w:t>
      </w:r>
      <w:r>
        <w:t xml:space="preserve">TCO of new (semi)trailers</w:t>
      </w:r>
      <w:r>
        <w:t xml:space="preserve"> </w:t>
      </w:r>
      <w:r>
        <w:t xml:space="preserve">The estimated marginal impacts (compared to the baseline of no efficiency standards) on</w:t>
      </w:r>
      <w:r>
        <w:t xml:space="preserve"> </w:t>
      </w:r>
      <w:r>
        <w:t xml:space="preserve">TCO for the whole vehicle in combination with the trailer (i.e. rigid lorry+drawbar</w:t>
      </w:r>
      <w:r>
        <w:t xml:space="preserve"> </w:t>
      </w:r>
      <w:r>
        <w:t xml:space="preserve">trailer, or tractor+semi-trailer) were calculated. The impacts of possible cost elements</w:t>
      </w:r>
      <w:r>
        <w:t xml:space="preserve"> </w:t>
      </w:r>
      <w:r>
        <w:t xml:space="preserve">from policy scenarios on TCO were considered, i.e. effects of improved efficiencies but</w:t>
      </w:r>
      <w:r>
        <w:t xml:space="preserve"> </w:t>
      </w:r>
      <w:r>
        <w:t xml:space="preserve">also new elements such as road tolls as function of the vehicle+trailer efficiency levels.</w:t>
      </w:r>
      <w:r>
        <w:t xml:space="preserve"> </w:t>
      </w:r>
      <w:r>
        <w:t xml:space="preserve">The main inputs for the TCO of new (semi-) trailers included:</w:t>
      </w:r>
      <w:r>
        <w:t xml:space="preserve"> </w:t>
      </w:r>
      <w:r>
        <w:t xml:space="preserve"> The (semi-)trailer efficiency cost-curves.</w:t>
      </w:r>
      <w:r>
        <w:t xml:space="preserve"> </w:t>
      </w:r>
      <w:r>
        <w:t xml:space="preserve"> The emission/energy savings at a vehicle/trailer level.</w:t>
      </w:r>
      <w:r>
        <w:t xml:space="preserve"> </w:t>
      </w:r>
      <w:r>
        <w:t xml:space="preserve"> Data on trailers, including:</w:t>
      </w:r>
      <w:r>
        <w:t xml:space="preserve"> </w:t>
      </w:r>
      <w:r>
        <w:t xml:space="preserve">o Annual trailer mileage</w:t>
      </w:r>
      <w:r>
        <w:t xml:space="preserve"> </w:t>
      </w:r>
      <w:r>
        <w:t xml:space="preserve">o Trailer lifetime (for societal cost) and payback period (for end-user cost)111</w:t>
      </w:r>
      <w:r>
        <w:t xml:space="preserve"> </w:t>
      </w:r>
      <w:r>
        <w:t xml:space="preserve">o Fuel cost (with and without taxes), taken from PRIMES-TREMOVE</w:t>
      </w:r>
      <w:r>
        <w:t xml:space="preserve"> </w:t>
      </w:r>
      <w:r>
        <w:t xml:space="preserve">o External cost of GHG emissions112</w:t>
      </w:r>
      <w:r>
        <w:t xml:space="preserve"> </w:t>
      </w:r>
      <w:r>
        <w:t xml:space="preserve">o Discount rates (to society and end-user, taken from PRIMES-TREMOVE</w:t>
      </w:r>
      <w:r>
        <w:t xml:space="preserve"> </w:t>
      </w:r>
      <w:r>
        <w:t xml:space="preserve">Annual trailer mileage profiles are shown in</w:t>
      </w:r>
    </w:p>
    <w:p>
      <w:pPr>
        <w:pStyle w:val="BodyText"/>
      </w:pPr>
      <w:r>
        <w:t xml:space="preserve">111 Bodies and trailers – development of CO2 emissions determination procedure; Procedure no:</w:t>
      </w:r>
      <w:r>
        <w:t xml:space="preserve"> </w:t>
      </w:r>
      <w:r>
        <w:t xml:space="preserve">CLIMA/C.4/SER/OC/2018/0005</w:t>
      </w:r>
      <w:r>
        <w:t xml:space="preserve"> </w:t>
      </w:r>
      <w:r>
        <w:t xml:space="preserve">112 Handbook on the external costs of transport: Handbook on the external costs of transport - Publications</w:t>
      </w:r>
      <w:r>
        <w:t xml:space="preserve"> </w:t>
      </w:r>
      <w:r>
        <w:t xml:space="preserve">Office of the EU (europa.eu)</w:t>
      </w:r>
      <w:r>
        <w:t xml:space="preserve"> </w:t>
      </w:r>
      <w:r>
        <w:t xml:space="preserve">100%</w:t>
      </w:r>
      <w:r>
        <w:t xml:space="preserve"> </w:t>
      </w:r>
      <w:r>
        <w:t xml:space="preserve">91%</w:t>
      </w:r>
      <w:r>
        <w:t xml:space="preserve"> </w:t>
      </w:r>
      <w:r>
        <w:t xml:space="preserve">77%</w:t>
      </w:r>
      <w:r>
        <w:t xml:space="preserve"> </w:t>
      </w:r>
      <w:r>
        <w:t xml:space="preserve">77%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ICES</w:t>
      </w:r>
      <w:r>
        <w:t xml:space="preserve"> </w:t>
      </w:r>
      <w:r>
        <w:t xml:space="preserve">xEVs</w:t>
      </w:r>
      <w:r>
        <w:t xml:space="preserve"> </w:t>
      </w:r>
      <w:r>
        <w:t xml:space="preserve">PHEVs</w:t>
      </w:r>
      <w:r>
        <w:t xml:space="preserve"> </w:t>
      </w:r>
      <w:r>
        <w:t xml:space="preserve">REEVs</w:t>
      </w:r>
      <w:r>
        <w:t xml:space="preserve"> </w:t>
      </w:r>
      <w:r>
        <w:t xml:space="preserve">CLASS 4</w:t>
      </w:r>
      <w:r>
        <w:t xml:space="preserve"> </w:t>
      </w:r>
      <w:r>
        <w:t xml:space="preserve">CLASS 4</w:t>
      </w:r>
      <w:r>
        <w:t xml:space="preserve"> </w:t>
      </w:r>
      <w:r>
        <w:t xml:space="preserve">CLASS 4</w:t>
      </w:r>
      <w:r>
        <w:t xml:space="preserve"> </w:t>
      </w:r>
      <w:r>
        <w:t xml:space="preserve">CLASS 4</w:t>
      </w:r>
      <w:r>
        <w:t xml:space="preserve"> </w:t>
      </w:r>
      <w:r>
        <w:t xml:space="preserve">Proportion of energy</w:t>
      </w:r>
      <w:r>
        <w:t xml:space="preserve"> </w:t>
      </w:r>
      <w:r>
        <w:t xml:space="preserve">consumption (ICE baseline)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127</w:t>
      </w:r>
    </w:p>
    <w:p>
      <w:pPr>
        <w:pStyle w:val="BodyText"/>
      </w:pPr>
      <w:r>
        <w:t xml:space="preserve">Figure 30 below as a function of the trailer/vehicle age. Vehicles pulling drawbar trailers</w:t>
      </w:r>
      <w:r>
        <w:t xml:space="preserve"> </w:t>
      </w:r>
      <w:r>
        <w:t xml:space="preserve">(group 4, group 9) have a lower annual activity compared to vehicles pulling semi-</w:t>
      </w:r>
      <w:r>
        <w:t xml:space="preserve"> </w:t>
      </w:r>
      <w:r>
        <w:t xml:space="preserve">trailers (group 5, 10, 12). Trailer mileage was aligned to vehicle mileage for drawbar</w:t>
      </w:r>
      <w:r>
        <w:t xml:space="preserve"> </w:t>
      </w:r>
      <w:r>
        <w:t xml:space="preserve">trailers, as there are more vehicles (group 4 and 9) compared to drawbar trailers. The</w:t>
      </w:r>
      <w:r>
        <w:t xml:space="preserve"> </w:t>
      </w:r>
      <w:r>
        <w:t xml:space="preserve">Semi-trailer mileage was scaled down as there are more trailers compared to vehicles</w:t>
      </w:r>
      <w:r>
        <w:t xml:space="preserve"> </w:t>
      </w:r>
      <w:r>
        <w:t xml:space="preserve">(group 5, 10 and 12).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128</w:t>
      </w:r>
    </w:p>
    <w:p>
      <w:pPr>
        <w:pStyle w:val="BodyText"/>
      </w:pPr>
      <w:r>
        <w:t xml:space="preserve">Figure 30: Annual activity profiles per vehicle age, for vehicles pulling drawbar</w:t>
      </w:r>
      <w:r>
        <w:t xml:space="preserve"> </w:t>
      </w:r>
      <w:r>
        <w:t xml:space="preserve">trailers and vehicles pulling semi-trailers (‘Other’ trailers only)</w:t>
      </w:r>
    </w:p>
    <w:p>
      <w:pPr>
        <w:pStyle w:val="BodyText"/>
      </w:pPr>
      <w:r>
        <w:t xml:space="preserve">Trailer types have different lifetimes, with reefer trailers averaging 10 years lifetime,</w:t>
      </w:r>
      <w:r>
        <w:t xml:space="preserve"> </w:t>
      </w:r>
      <w:r>
        <w:t xml:space="preserve">whilst BoxCurtain trailers have a slightly longer lifespan of 14 years (Figure 31). The</w:t>
      </w:r>
      <w:r>
        <w:t xml:space="preserve"> </w:t>
      </w:r>
      <w:r>
        <w:t xml:space="preserve">trailer lifetimes and lifetime activities were used to understand marginal TCO from</w:t>
      </w:r>
      <w:r>
        <w:t xml:space="preserve"> </w:t>
      </w:r>
      <w:r>
        <w:t xml:space="preserve">different user perspectives, and also used in the trailer stock modelling exercise.</w:t>
      </w:r>
      <w:r>
        <w:br/>
      </w:r>
      <w:r>
        <w:t xml:space="preserve">Figure 31: Average trailer lifetime per trailer type</w:t>
      </w:r>
    </w:p>
    <w:p>
      <w:pPr>
        <w:pStyle w:val="BodyText"/>
      </w:pPr>
      <w:r>
        <w:t xml:space="preserve">Source: Bodies and trailers – development of CO2 emissions determination procedure;</w:t>
      </w:r>
      <w:r>
        <w:t xml:space="preserve"> </w:t>
      </w:r>
      <w:r>
        <w:t xml:space="preserve">Procedure no: CLIMA/C.4/SER/OC/2018/0005</w:t>
      </w:r>
      <w:r>
        <w:t xml:space="preserve"> </w:t>
      </w:r>
      <w:r>
        <w:t xml:space="preserve">The external cost of GHG emissions were taken directly from the Handbook on the</w:t>
      </w:r>
      <w:r>
        <w:t xml:space="preserve"> </w:t>
      </w:r>
      <w:r>
        <w:t xml:space="preserve">external costs of transport (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129</w:t>
      </w:r>
    </w:p>
    <w:p>
      <w:pPr>
        <w:pStyle w:val="BodyText"/>
      </w:pPr>
      <w:r>
        <w:t xml:space="preserve">Figure 32) in €/tonne, and multiplied by the total tonnes of GHG saved from</w:t>
      </w:r>
      <w:r>
        <w:t xml:space="preserve"> </w:t>
      </w:r>
      <w:r>
        <w:t xml:space="preserve">implementing energy efficient trailers. For the purposes of target setting, the Central</w:t>
      </w:r>
      <w:r>
        <w:t xml:space="preserve"> </w:t>
      </w:r>
      <w:r>
        <w:t xml:space="preserve">values were used to calculated GHG monetary savings from the social perspective. GHG</w:t>
      </w:r>
      <w:r>
        <w:t xml:space="preserve"> </w:t>
      </w:r>
      <w:r>
        <w:t xml:space="preserve">external costs do not apply to the end user perspectives.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130</w:t>
      </w:r>
    </w:p>
    <w:p>
      <w:pPr>
        <w:pStyle w:val="BodyText"/>
      </w:pPr>
      <w:r>
        <w:t xml:space="preserve">Figure 32: External costs of climate change from the Update of the Handbook on</w:t>
      </w:r>
      <w:r>
        <w:t xml:space="preserve"> </w:t>
      </w:r>
      <w:r>
        <w:t xml:space="preserve">External Costs of Transport (in €/tonne CO2)</w:t>
      </w:r>
    </w:p>
    <w:p>
      <w:pPr>
        <w:pStyle w:val="BodyText"/>
      </w:pPr>
      <w:r>
        <w:t xml:space="preserve">Source: Handbook on the external costs of transport: Handbook on the external costs of</w:t>
      </w:r>
      <w:r>
        <w:t xml:space="preserve"> </w:t>
      </w:r>
      <w:r>
        <w:t xml:space="preserve">transport - Publications Office of the EU (europa.eu)</w:t>
      </w:r>
      <w:r>
        <w:t xml:space="preserve"> </w:t>
      </w:r>
      <w:r>
        <w:t xml:space="preserve">Marginal TCO assumptions</w:t>
      </w:r>
      <w:r>
        <w:t xml:space="preserve"> </w:t>
      </w:r>
      <w:r>
        <w:t xml:space="preserve">The marginal TCO calculations include the same vehicle segments and trailer groups as</w:t>
      </w:r>
      <w:r>
        <w:t xml:space="preserve"> </w:t>
      </w:r>
      <w:r>
        <w:t xml:space="preserve">the fleet impacts analysis. The results are provided for new trailers across their lifetime</w:t>
      </w:r>
      <w:r>
        <w:t xml:space="preserve"> </w:t>
      </w:r>
      <w:r>
        <w:t xml:space="preserve">for each powertrain type, and from two aspects:</w:t>
      </w:r>
      <w:r>
        <w:t xml:space="preserve"> </w:t>
      </w:r>
      <w:r>
        <w:t xml:space="preserve">1. Marginal total cost to society: excluding taxes on trailer CAPEX and</w:t>
      </w:r>
      <w:r>
        <w:t xml:space="preserve"> </w:t>
      </w:r>
      <w:r>
        <w:t xml:space="preserve">fuels/electricity, including price of carbon for GHG emissions, and costs provided</w:t>
      </w:r>
      <w:r>
        <w:t xml:space="preserve"> </w:t>
      </w:r>
      <w:r>
        <w:t xml:space="preserve">over the whole trailer lifetime. Social discount rates will apply.</w:t>
      </w:r>
      <w:r>
        <w:t xml:space="preserve"> </w:t>
      </w:r>
      <w:r>
        <w:t xml:space="preserve">2. Marginal total cost to the end-user: including taxes on trailer CAPEX and</w:t>
      </w:r>
      <w:r>
        <w:t xml:space="preserve"> </w:t>
      </w:r>
      <w:r>
        <w:t xml:space="preserve">fuels/ electricity, excluding the price of carbon for GHG emissions, and costs</w:t>
      </w:r>
      <w:r>
        <w:t xml:space="preserve"> </w:t>
      </w:r>
      <w:r>
        <w:t xml:space="preserve">provided over the payback period of the trailer. Private discount rates will apply.</w:t>
      </w:r>
      <w:r>
        <w:t xml:space="preserve"> </w:t>
      </w:r>
      <w:r>
        <w:t xml:space="preserve">The total cost to end-user is calculated on a trailer lifetime basis, as well as being further</w:t>
      </w:r>
      <w:r>
        <w:t xml:space="preserve"> </w:t>
      </w:r>
      <w:r>
        <w:t xml:space="preserve">separated into marginal TCO for end-user 1 and end-user 2. This is to better understand</w:t>
      </w:r>
      <w:r>
        <w:t xml:space="preserve"> </w:t>
      </w:r>
      <w:r>
        <w:t xml:space="preserve">the marginal TCO for second-hand trailers and accounts for trailer depreciation (see</w:t>
      </w:r>
      <w:r>
        <w:t xml:space="preserve"> </w:t>
      </w:r>
      <w:r>
        <w:t xml:space="preserve">depreciation curves for trailer types in</w:t>
      </w:r>
    </w:p>
    <w:p>
      <w:pPr>
        <w:pStyle w:val="BodyText"/>
      </w:pPr>
      <w:r>
        <w:t xml:space="preserve">0,0</w:t>
      </w:r>
      <w:r>
        <w:t xml:space="preserve"> </w:t>
      </w:r>
      <w:r>
        <w:t xml:space="preserve">100,0</w:t>
      </w:r>
      <w:r>
        <w:t xml:space="preserve"> </w:t>
      </w:r>
      <w:r>
        <w:t xml:space="preserve">200,0</w:t>
      </w:r>
      <w:r>
        <w:t xml:space="preserve"> </w:t>
      </w:r>
      <w:r>
        <w:t xml:space="preserve">300,0</w:t>
      </w:r>
      <w:r>
        <w:t xml:space="preserve"> </w:t>
      </w:r>
      <w:r>
        <w:t xml:space="preserve">400,0</w:t>
      </w:r>
      <w:r>
        <w:t xml:space="preserve"> </w:t>
      </w:r>
      <w:r>
        <w:t xml:space="preserve">500,0</w:t>
      </w:r>
      <w:r>
        <w:t xml:space="preserve"> </w:t>
      </w:r>
      <w:r>
        <w:t xml:space="preserve">600,0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€/tonne</w:t>
      </w:r>
      <w:r>
        <w:t xml:space="preserve"> </w:t>
      </w:r>
      <w:r>
        <w:t xml:space="preserve">Low</w:t>
      </w:r>
      <w:r>
        <w:t xml:space="preserve"> </w:t>
      </w:r>
      <w:r>
        <w:t xml:space="preserve">Central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131</w:t>
      </w:r>
    </w:p>
    <w:p>
      <w:pPr>
        <w:pStyle w:val="BodyText"/>
      </w:pPr>
      <w:r>
        <w:t xml:space="preserve">Figure 33.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132</w:t>
      </w:r>
    </w:p>
    <w:p>
      <w:pPr>
        <w:pStyle w:val="BodyText"/>
      </w:pPr>
      <w:r>
        <w:t xml:space="preserve">Figure 33: Remaining trailer value as % of purchase price, per trailer type</w:t>
      </w:r>
    </w:p>
    <w:p>
      <w:pPr>
        <w:pStyle w:val="BodyText"/>
      </w:pPr>
      <w:r>
        <w:t xml:space="preserve">End-user 1’s perspective represents a user purchasing a new trailer a keeping it for the</w:t>
      </w:r>
      <w:r>
        <w:t xml:space="preserve"> </w:t>
      </w:r>
      <w:r>
        <w:t xml:space="preserve">end-user depreciation period (i.e. 5 years used in the analysis), and end-user 2’s</w:t>
      </w:r>
      <w:r>
        <w:t xml:space="preserve"> </w:t>
      </w:r>
      <w:r>
        <w:t xml:space="preserve">perspective will represent another user purchasing the trailer second hand after the end-</w:t>
      </w:r>
      <w:r>
        <w:t xml:space="preserve"> </w:t>
      </w:r>
      <w:r>
        <w:t xml:space="preserve">user 1 period and using this trailer for a further period (i.e. also 5 years used in the</w:t>
      </w:r>
      <w:r>
        <w:t xml:space="preserve"> </w:t>
      </w:r>
      <w:r>
        <w:t xml:space="preserve">analysis).</w:t>
      </w:r>
      <w:r>
        <w:br/>
      </w:r>
      <w:r>
        <w:t xml:space="preserve">It is assumed that the following elements remain the same between the baseline trailer</w:t>
      </w:r>
      <w:r>
        <w:t xml:space="preserve"> </w:t>
      </w:r>
      <w:r>
        <w:t xml:space="preserve">efficiency scenario and the energy efficient trailer scenario, so net to zero in the marginal</w:t>
      </w:r>
      <w:r>
        <w:t xml:space="preserve"> </w:t>
      </w:r>
      <w:r>
        <w:t xml:space="preserve">TCO analysis:</w:t>
      </w:r>
      <w:r>
        <w:t xml:space="preserve"> </w:t>
      </w:r>
      <w:r>
        <w:t xml:space="preserve"> Maintenance costs (energy efficient technologies assumed to not increase</w:t>
      </w:r>
      <w:r>
        <w:t xml:space="preserve"> </w:t>
      </w:r>
      <w:r>
        <w:t xml:space="preserve">maintenance cost)</w:t>
      </w:r>
      <w:r>
        <w:t xml:space="preserve"> </w:t>
      </w:r>
      <w:r>
        <w:t xml:space="preserve"> Driver costs (cost of the driver unchanged due to technologies)</w:t>
      </w:r>
      <w:r>
        <w:t xml:space="preserve"> </w:t>
      </w:r>
      <w:r>
        <w:t xml:space="preserve"> Taxes (except road charges)</w:t>
      </w:r>
    </w:p>
    <w:p>
      <w:pPr>
        <w:pStyle w:val="BodyText"/>
      </w:pPr>
      <w:r>
        <w:t xml:space="preserve">The following elements may be different for the baseline trailer efficiency scenario and</w:t>
      </w:r>
      <w:r>
        <w:t xml:space="preserve"> </w:t>
      </w:r>
      <w:r>
        <w:t xml:space="preserve">the energy efficient trailer scenario:</w:t>
      </w:r>
      <w:r>
        <w:t xml:space="preserve"> </w:t>
      </w:r>
      <w:r>
        <w:t xml:space="preserve"> Trailer CAPEX cost (due to technology costs, derived from cost curves)</w:t>
      </w:r>
      <w:r>
        <w:t xml:space="preserve"> </w:t>
      </w:r>
      <w:r>
        <w:t xml:space="preserve"> Energy cost (due to energy savings)</w:t>
      </w:r>
      <w:r>
        <w:t xml:space="preserve"> </w:t>
      </w:r>
      <w:r>
        <w:t xml:space="preserve"> Road charges (for non zero-emission powertrains)113</w:t>
      </w:r>
    </w:p>
    <w:p>
      <w:pPr>
        <w:pStyle w:val="BodyText"/>
      </w:pPr>
      <w:r>
        <w:t xml:space="preserve">Weighted average targets</w:t>
      </w:r>
      <w:r>
        <w:t xml:space="preserve"> </w:t>
      </w:r>
      <w:r>
        <w:t xml:space="preserve">The energy-efficient trailer input targets are defined as a weighted average for the</w:t>
      </w:r>
      <w:r>
        <w:t xml:space="preserve"> </w:t>
      </w:r>
      <w:r>
        <w:t xml:space="preserve">different vehicle groups under each trailer class (i.e. group 4 and 9 – drawbar; group 5</w:t>
      </w:r>
      <w:r>
        <w:t xml:space="preserve"> </w:t>
      </w:r>
      <w:r>
        <w:t xml:space="preserve">and 10 – semi-trailer). The % targets are based on the weighted averages, but the</w:t>
      </w:r>
    </w:p>
    <w:p>
      <w:pPr>
        <w:pStyle w:val="BodyText"/>
      </w:pPr>
      <w:r>
        <w:t xml:space="preserve">113 Road charges are aligned with the PRIMES-TREMOVE modelling outputs, and are proportioned down</w:t>
      </w:r>
      <w:r>
        <w:t xml:space="preserve"> </w:t>
      </w:r>
      <w:r>
        <w:t xml:space="preserve">for energy efficient trailers based on the trailer target (e.g. a 5% reduction target will result in 5% reduction</w:t>
      </w:r>
      <w:r>
        <w:t xml:space="preserve"> </w:t>
      </w:r>
      <w:r>
        <w:t xml:space="preserve">in road user charges)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133</w:t>
      </w:r>
    </w:p>
    <w:p>
      <w:pPr>
        <w:pStyle w:val="BodyText"/>
      </w:pPr>
      <w:r>
        <w:t xml:space="preserve">costs/savings based on the disaggregated equivalent values for the specific vehicle group.</w:t>
      </w:r>
      <w:r>
        <w:t xml:space="preserve"> </w:t>
      </w:r>
      <w:r>
        <w:t xml:space="preserve">In determining the actual costs, the equivalent % reduction for each class (e.g. group 4</w:t>
      </w:r>
      <w:r>
        <w:t xml:space="preserve"> </w:t>
      </w:r>
      <w:r>
        <w:t xml:space="preserve">and group 9 for drawbars) is calculated based on the differences in their maximum %</w:t>
      </w:r>
      <w:r>
        <w:t xml:space="preserve"> </w:t>
      </w:r>
      <w:r>
        <w:t xml:space="preserve">reduction potential compared to the weighted average, e.g. for 2030</w:t>
      </w:r>
      <w:r>
        <w:t xml:space="preserve"> </w:t>
      </w:r>
      <w:r>
        <w:t xml:space="preserve">Maximum reduction potential from cost curve for drawbar:</w:t>
      </w:r>
      <w:r>
        <w:t xml:space="preserve"> </w:t>
      </w:r>
      <w:r>
        <w:t xml:space="preserve"> group 4: 7.8%</w:t>
      </w:r>
      <w:r>
        <w:t xml:space="preserve"> </w:t>
      </w:r>
      <w:r>
        <w:t xml:space="preserve"> group 9: 11.2%</w:t>
      </w:r>
      <w:r>
        <w:t xml:space="preserve"> </w:t>
      </w:r>
      <w:r>
        <w:t xml:space="preserve"> Weighted Av.: 9.5%</w:t>
      </w:r>
      <w:r>
        <w:t xml:space="preserve"> </w:t>
      </w:r>
      <w:r>
        <w:t xml:space="preserve">Implemented % reduction in the calculations for 7.6% reduction target (weighted</w:t>
      </w:r>
      <w:r>
        <w:t xml:space="preserve"> </w:t>
      </w:r>
      <w:r>
        <w:t xml:space="preserve">average):</w:t>
      </w:r>
      <w:r>
        <w:t xml:space="preserve"> </w:t>
      </w:r>
      <w:r>
        <w:t xml:space="preserve"> group 4: 7.6%* 7.8%/9.5% = 6.3% (i.e. equivalent target for group 4)</w:t>
      </w:r>
      <w:r>
        <w:t xml:space="preserve"> </w:t>
      </w:r>
      <w:r>
        <w:t xml:space="preserve"> group 9: 7.6% * 11.2%/9.5% = 8.9% (i.e. equivalent target for group 9)</w:t>
      </w:r>
      <w:r>
        <w:t xml:space="preserve"> </w:t>
      </w:r>
      <w:r>
        <w:t xml:space="preserve">These figures can be considered the equivalent group-specific targets based on the 7.6%</w:t>
      </w:r>
      <w:r>
        <w:t xml:space="preserve"> </w:t>
      </w:r>
      <w:r>
        <w:t xml:space="preserve">average target.</w:t>
      </w:r>
      <w:r>
        <w:t xml:space="preserve"> </w:t>
      </w:r>
      <w:r>
        <w:t xml:space="preserve">1.41. 18.4.1.3 Calculation methodology</w:t>
      </w:r>
      <w:r>
        <w:t xml:space="preserve"> </w:t>
      </w:r>
      <w:r>
        <w:t xml:space="preserve">1.42. 18.4.1.3.1</w:t>
      </w:r>
      <w:r>
        <w:t xml:space="preserve"> </w:t>
      </w:r>
      <w:r>
        <w:t xml:space="preserve">HDV fleet impact analysis</w:t>
      </w:r>
      <w:r>
        <w:t xml:space="preserve"> </w:t>
      </w:r>
      <w:r>
        <w:t xml:space="preserve">The HDV fleet Impacts analysis schematic is shown below (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134</w:t>
      </w:r>
    </w:p>
    <w:p>
      <w:pPr>
        <w:pStyle w:val="BodyText"/>
      </w:pPr>
      <w:r>
        <w:t xml:space="preserve">Figure 34), and the main calculations included:</w:t>
      </w:r>
      <w:r>
        <w:t xml:space="preserve"> </w:t>
      </w:r>
      <w:r>
        <w:t xml:space="preserve"> Trailer stock extrapolation. Extrapolation of the total trailer stock from 2025 to</w:t>
      </w:r>
      <w:r>
        <w:t xml:space="preserve"> </w:t>
      </w:r>
      <w:r>
        <w:t xml:space="preserve">2050, using the trailer/vehicle activity increase (from the relevant PRIMES-</w:t>
      </w:r>
      <w:r>
        <w:t xml:space="preserve"> </w:t>
      </w:r>
      <w:r>
        <w:t xml:space="preserve">TREMOVE EC modelling scenario results data) as a proxy along with the</w:t>
      </w:r>
      <w:r>
        <w:t xml:space="preserve"> </w:t>
      </w:r>
      <w:r>
        <w:t xml:space="preserve">CLEAR international trailer dataset. Activity ratios were derived per trailer type</w:t>
      </w:r>
      <w:r>
        <w:t xml:space="preserve"> </w:t>
      </w:r>
      <w:r>
        <w:t xml:space="preserve">(BoxCurtain, Reefer, Others) to calculate the total activity per vehicle group and</w:t>
      </w:r>
      <w:r>
        <w:t xml:space="preserve"> </w:t>
      </w:r>
      <w:r>
        <w:t xml:space="preserve">therefore the total trailers required to fulfil the required activity.</w:t>
      </w:r>
      <w:r>
        <w:t xml:space="preserve"> </w:t>
      </w:r>
      <w:r>
        <w:t xml:space="preserve"> Trailer stock model. Calculate the fleet-wide efficiency per year as a result of</w:t>
      </w:r>
      <w:r>
        <w:t xml:space="preserve"> </w:t>
      </w:r>
      <w:r>
        <w:t xml:space="preserve">introducing new energy efficient trailers. The trailer stock included new trailers,</w:t>
      </w:r>
      <w:r>
        <w:t xml:space="preserve"> </w:t>
      </w:r>
      <w:r>
        <w:t xml:space="preserve">removed trailers and total trailers. The new trailer introduced have the energy-</w:t>
      </w:r>
      <w:r>
        <w:t xml:space="preserve"> </w:t>
      </w:r>
      <w:r>
        <w:t xml:space="preserve">efficient targets applied, and as a result the overall trailer fleet becomes more</w:t>
      </w:r>
      <w:r>
        <w:t xml:space="preserve"> </w:t>
      </w:r>
      <w:r>
        <w:t xml:space="preserve">efficient.</w:t>
      </w:r>
      <w:r>
        <w:t xml:space="preserve"> </w:t>
      </w:r>
      <w:r>
        <w:t xml:space="preserve"> Scenario emissions of the fleet. Apply the fleet-wide trailer efficiency (relevant</w:t>
      </w:r>
      <w:r>
        <w:t xml:space="preserve"> </w:t>
      </w:r>
      <w:r>
        <w:t xml:space="preserve">to the baseline) calculated in the trailer stock model to the baseline emissions</w:t>
      </w:r>
      <w:r>
        <w:t xml:space="preserve"> </w:t>
      </w:r>
      <w:r>
        <w:t xml:space="preserve">(taken directly from PRIMES-TREMOVE modelling output).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135</w:t>
      </w:r>
    </w:p>
    <w:p>
      <w:pPr>
        <w:pStyle w:val="BodyText"/>
      </w:pPr>
      <w:r>
        <w:t xml:space="preserve">Figure 34: HDV fleet impacts analysis schematic</w:t>
      </w:r>
    </w:p>
    <w:p>
      <w:pPr>
        <w:pStyle w:val="BodyText"/>
      </w:pPr>
      <w:r>
        <w:t xml:space="preserve">1.43. 18.4.1.3.2</w:t>
      </w:r>
      <w:r>
        <w:t xml:space="preserve"> </w:t>
      </w:r>
      <w:r>
        <w:t xml:space="preserve">Marginal TCO analysis</w:t>
      </w:r>
      <w:r>
        <w:t xml:space="preserve"> </w:t>
      </w:r>
      <w:r>
        <w:t xml:space="preserve">The schematic for the marginal TCO analysis is shown below. The main calculations</w:t>
      </w:r>
      <w:r>
        <w:t xml:space="preserve"> </w:t>
      </w:r>
      <w:r>
        <w:t xml:space="preserve">included:</w:t>
      </w:r>
      <w:r>
        <w:t xml:space="preserve"> </w:t>
      </w:r>
      <w:r>
        <w:t xml:space="preserve"> Fuel cost. The total annual fuel cost calculated using the energy savings output</w:t>
      </w:r>
      <w:r>
        <w:t xml:space="preserve"> </w:t>
      </w:r>
      <w:r>
        <w:t xml:space="preserve">(for the average lorry/trailer combination) from Module 1 and associated fuel</w:t>
      </w:r>
      <w:r>
        <w:t xml:space="preserve"> </w:t>
      </w:r>
      <w:r>
        <w:t xml:space="preserve">costs per powertrain.</w:t>
      </w:r>
      <w:r>
        <w:br/>
      </w:r>
      <w:r>
        <w:t xml:space="preserve"> TCO for end-user. The cost curves will be combined with the fuel cost (with</w:t>
      </w:r>
      <w:r>
        <w:t xml:space="preserve"> </w:t>
      </w:r>
      <w:r>
        <w:t xml:space="preserve">taxes) and trailer cost (from cost curves) to calculate the TCO for the end-user.</w:t>
      </w:r>
      <w:r>
        <w:t xml:space="preserve"> </w:t>
      </w:r>
      <w:r>
        <w:t xml:space="preserve"> TCO for society. This module will use the fuel cost (without taxes), trailer cost</w:t>
      </w:r>
      <w:r>
        <w:t xml:space="preserve"> </w:t>
      </w:r>
      <w:r>
        <w:t xml:space="preserve">(without taxes) and GHG externalities to calculate the TCO for society.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136</w:t>
      </w:r>
    </w:p>
    <w:p>
      <w:pPr>
        <w:pStyle w:val="BodyText"/>
      </w:pPr>
      <w:r>
        <w:t xml:space="preserve">Figure 35: Marginal TCO analysis schematic</w:t>
      </w:r>
    </w:p>
    <w:p>
      <w:pPr>
        <w:pStyle w:val="BodyText"/>
      </w:pPr>
      <w:r>
        <w:t xml:space="preserve">1.44. 18.4.2</w:t>
      </w:r>
      <w:r>
        <w:t xml:space="preserve"> </w:t>
      </w:r>
      <w:r>
        <w:t xml:space="preserve">Additional data</w:t>
      </w:r>
      <w:r>
        <w:t xml:space="preserve"> </w:t>
      </w:r>
      <w:r>
        <w:t xml:space="preserve">Figure 36: TCO savings for 1st user as a function of the energy consumption</w:t>
      </w:r>
      <w:r>
        <w:t xml:space="preserve"> </w:t>
      </w:r>
      <w:r>
        <w:t xml:space="preserve">reduction target for trailers (for trailers registered in 2030)</w:t>
      </w:r>
    </w:p>
    <w:p>
      <w:pPr>
        <w:pStyle w:val="BodyText"/>
      </w:pPr>
      <w:r>
        <w:t xml:space="preserve">€ -</w:t>
      </w:r>
      <w:r>
        <w:t xml:space="preserve"> </w:t>
      </w:r>
      <w:r>
        <w:t xml:space="preserve">€ 5.000</w:t>
      </w:r>
      <w:r>
        <w:t xml:space="preserve"> </w:t>
      </w:r>
      <w:r>
        <w:t xml:space="preserve">€ 10.000</w:t>
      </w:r>
      <w:r>
        <w:t xml:space="preserve"> </w:t>
      </w:r>
      <w:r>
        <w:t xml:space="preserve">€ 15.000</w:t>
      </w:r>
      <w:r>
        <w:t xml:space="preserve"> </w:t>
      </w:r>
      <w:r>
        <w:t xml:space="preserve">€ 20.000</w:t>
      </w:r>
      <w:r>
        <w:t xml:space="preserve"> </w:t>
      </w:r>
      <w:r>
        <w:t xml:space="preserve">€ 25.000</w:t>
      </w:r>
      <w:r>
        <w:t xml:space="preserve"> </w:t>
      </w:r>
      <w:r>
        <w:t xml:space="preserve">€ 30.000</w:t>
      </w:r>
      <w:r>
        <w:t xml:space="preserve"> </w:t>
      </w:r>
      <w:r>
        <w:t xml:space="preserve">€ 35.000</w:t>
      </w:r>
      <w:r>
        <w:t xml:space="preserve"> </w:t>
      </w:r>
      <w:r>
        <w:t xml:space="preserve">0% 1% 2% 3% 4% 5% 6% 7% 8% 9% 10%11%12%13%14%15%16%17%18%19%</w:t>
      </w:r>
      <w:r>
        <w:t xml:space="preserve"> </w:t>
      </w:r>
      <w:r>
        <w:t xml:space="preserve">TCO savings (EUR)</w:t>
      </w:r>
      <w:r>
        <w:t xml:space="preserve"> </w:t>
      </w:r>
      <w:r>
        <w:t xml:space="preserve">Energy consumption reduction target</w:t>
      </w:r>
      <w:r>
        <w:t xml:space="preserve"> </w:t>
      </w:r>
      <w:r>
        <w:t xml:space="preserve">1st user perspective</w:t>
      </w:r>
      <w:r>
        <w:t xml:space="preserve"> </w:t>
      </w:r>
      <w:r>
        <w:t xml:space="preserve">Drawbar trailer Box body</w:t>
      </w:r>
      <w:r>
        <w:t xml:space="preserve"> </w:t>
      </w:r>
      <w:r>
        <w:t xml:space="preserve">Drawbar trailer Reefer</w:t>
      </w:r>
      <w:r>
        <w:t xml:space="preserve"> </w:t>
      </w:r>
      <w:r>
        <w:t xml:space="preserve">Semi-trailer Box body</w:t>
      </w:r>
      <w:r>
        <w:t xml:space="preserve"> </w:t>
      </w:r>
      <w:r>
        <w:t xml:space="preserve">Semi-trailer Reefer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137</w:t>
      </w:r>
    </w:p>
    <w:p>
      <w:pPr>
        <w:pStyle w:val="BodyText"/>
      </w:pPr>
      <w:r>
        <w:t xml:space="preserve">Figure 37. TCO savings from a societal perspective as a function of the energy</w:t>
      </w:r>
      <w:r>
        <w:t xml:space="preserve"> </w:t>
      </w:r>
      <w:r>
        <w:t xml:space="preserve">consumption reduction target for trailers (for trailers registered in 2030).</w:t>
      </w:r>
    </w:p>
    <w:p>
      <w:pPr>
        <w:pStyle w:val="BodyText"/>
      </w:pPr>
      <w:r>
        <w:t xml:space="preserve">Table 27. and</w:t>
      </w:r>
    </w:p>
    <w:p>
      <w:pPr>
        <w:pStyle w:val="BodyText"/>
      </w:pPr>
      <w:r>
        <w:t xml:space="preserve">€ -</w:t>
      </w:r>
      <w:r>
        <w:t xml:space="preserve"> </w:t>
      </w:r>
      <w:r>
        <w:t xml:space="preserve">€ 5.000</w:t>
      </w:r>
      <w:r>
        <w:t xml:space="preserve"> </w:t>
      </w:r>
      <w:r>
        <w:t xml:space="preserve">€ 10.000</w:t>
      </w:r>
      <w:r>
        <w:t xml:space="preserve"> </w:t>
      </w:r>
      <w:r>
        <w:t xml:space="preserve">€ 15.000</w:t>
      </w:r>
      <w:r>
        <w:t xml:space="preserve"> </w:t>
      </w:r>
      <w:r>
        <w:t xml:space="preserve">€ 20.000</w:t>
      </w:r>
      <w:r>
        <w:t xml:space="preserve"> </w:t>
      </w:r>
      <w:r>
        <w:t xml:space="preserve">€ 25.000</w:t>
      </w:r>
      <w:r>
        <w:t xml:space="preserve"> </w:t>
      </w:r>
      <w:r>
        <w:t xml:space="preserve">€ 30.000</w:t>
      </w:r>
      <w:r>
        <w:t xml:space="preserve"> </w:t>
      </w:r>
      <w:r>
        <w:t xml:space="preserve">€ 35.000</w:t>
      </w:r>
      <w:r>
        <w:t xml:space="preserve"> </w:t>
      </w:r>
      <w:r>
        <w:t xml:space="preserve">€ 40.000</w:t>
      </w:r>
      <w:r>
        <w:t xml:space="preserve"> </w:t>
      </w:r>
      <w:r>
        <w:t xml:space="preserve">€ 45.000</w:t>
      </w:r>
      <w:r>
        <w:t xml:space="preserve"> </w:t>
      </w:r>
      <w:r>
        <w:t xml:space="preserve">0% 1% 2% 3% 4% 5% 6% 7% 8% 9% 10%11%12%13%14%15%16%17%18%19%</w:t>
      </w:r>
      <w:r>
        <w:t xml:space="preserve"> </w:t>
      </w:r>
      <w:r>
        <w:t xml:space="preserve">TCO savings (EUR)</w:t>
      </w:r>
      <w:r>
        <w:t xml:space="preserve"> </w:t>
      </w:r>
      <w:r>
        <w:t xml:space="preserve">Energy consumption reduction target</w:t>
      </w:r>
      <w:r>
        <w:t xml:space="preserve"> </w:t>
      </w:r>
      <w:r>
        <w:t xml:space="preserve">Societal perspective</w:t>
      </w:r>
      <w:r>
        <w:t xml:space="preserve"> </w:t>
      </w:r>
      <w:r>
        <w:t xml:space="preserve">Drawbar trailer Box body</w:t>
      </w:r>
      <w:r>
        <w:t xml:space="preserve"> </w:t>
      </w:r>
      <w:r>
        <w:t xml:space="preserve">Drawbar trailer Reefer</w:t>
      </w:r>
      <w:r>
        <w:t xml:space="preserve"> </w:t>
      </w:r>
      <w:r>
        <w:t xml:space="preserve">Semi-trailer Box body</w:t>
      </w:r>
      <w:r>
        <w:t xml:space="preserve"> </w:t>
      </w:r>
      <w:r>
        <w:t xml:space="preserve">Semi-trailer Reefer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138</w:t>
      </w:r>
    </w:p>
    <w:p>
      <w:pPr>
        <w:pStyle w:val="BodyText"/>
      </w:pPr>
      <w:r>
        <w:t xml:space="preserve">Table 28 show various economic data for trailers determined for the cost optimal targets</w:t>
      </w:r>
      <w:r>
        <w:t xml:space="preserve"> </w:t>
      </w:r>
      <w:r>
        <w:t xml:space="preserve">as presented above in figures 14 and 15 in chapter 6.4. In addition they also show the</w:t>
      </w:r>
      <w:r>
        <w:t xml:space="preserve"> </w:t>
      </w:r>
      <w:r>
        <w:t xml:space="preserve">manufacturing costs.</w:t>
      </w:r>
      <w:r>
        <w:t xml:space="preserve"> </w:t>
      </w:r>
      <w:r>
        <w:t xml:space="preserve">Table 27. Trailer TCOs for cost optimal energy consumption targets from 1st user</w:t>
      </w:r>
      <w:r>
        <w:t xml:space="preserve"> </w:t>
      </w:r>
      <w:r>
        <w:t xml:space="preserve">perspective (for trailers registered in 2030, compared to baseline).</w:t>
      </w:r>
      <w:r>
        <w:t xml:space="preserve"> </w:t>
      </w:r>
      <w:r>
        <w:t xml:space="preserve">Trailer group</w:t>
      </w:r>
      <w:r>
        <w:t xml:space="preserve"> </w:t>
      </w:r>
      <w:r>
        <w:t xml:space="preserve">Cost optimal 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reduction target from</w:t>
      </w:r>
      <w:r>
        <w:t xml:space="preserve"> </w:t>
      </w:r>
      <w:r>
        <w:t xml:space="preserve">a 1st user perspective</w:t>
      </w:r>
      <w:r>
        <w:t xml:space="preserve"> </w:t>
      </w:r>
      <w:r>
        <w:t xml:space="preserve">Manufacturing</w:t>
      </w:r>
      <w:r>
        <w:t xml:space="preserve"> </w:t>
      </w:r>
      <w:r>
        <w:t xml:space="preserve">costs</w:t>
      </w:r>
      <w:r>
        <w:t xml:space="preserve"> </w:t>
      </w:r>
      <w:r>
        <w:t xml:space="preserve">TCO</w:t>
      </w:r>
      <w:r>
        <w:t xml:space="preserve"> </w:t>
      </w:r>
      <w:r>
        <w:t xml:space="preserve">savings from</w:t>
      </w:r>
      <w:r>
        <w:t xml:space="preserve"> </w:t>
      </w:r>
      <w:r>
        <w:t xml:space="preserve">a 1st user</w:t>
      </w:r>
      <w:r>
        <w:t xml:space="preserve"> </w:t>
      </w:r>
      <w:r>
        <w:t xml:space="preserve">perspective</w:t>
      </w:r>
      <w:r>
        <w:t xml:space="preserve"> </w:t>
      </w:r>
      <w:r>
        <w:t xml:space="preserve">TCO</w:t>
      </w:r>
      <w:r>
        <w:t xml:space="preserve"> </w:t>
      </w:r>
      <w:r>
        <w:t xml:space="preserve">savings</w:t>
      </w:r>
      <w:r>
        <w:t xml:space="preserve"> </w:t>
      </w:r>
      <w:r>
        <w:t xml:space="preserve">from a 2nd</w:t>
      </w:r>
      <w:r>
        <w:t xml:space="preserve"> </w:t>
      </w:r>
      <w:r>
        <w:t xml:space="preserve">user</w:t>
      </w:r>
      <w:r>
        <w:t xml:space="preserve"> </w:t>
      </w:r>
      <w:r>
        <w:t xml:space="preserve">perspective</w:t>
      </w:r>
      <w:r>
        <w:t xml:space="preserve"> </w:t>
      </w:r>
      <w:r>
        <w:t xml:space="preserve">TCO savings</w:t>
      </w:r>
      <w:r>
        <w:t xml:space="preserve"> </w:t>
      </w:r>
      <w:r>
        <w:t xml:space="preserve">from a societal</w:t>
      </w:r>
      <w:r>
        <w:t xml:space="preserve"> </w:t>
      </w:r>
      <w:r>
        <w:t xml:space="preserve">perspective</w:t>
      </w:r>
      <w:r>
        <w:t xml:space="preserve"> </w:t>
      </w:r>
      <w:r>
        <w:t xml:space="preserve">Drawbar</w:t>
      </w:r>
      <w:r>
        <w:t xml:space="preserve"> </w:t>
      </w:r>
      <w:r>
        <w:t xml:space="preserve">trailer</w:t>
      </w:r>
      <w:r>
        <w:t xml:space="preserve"> </w:t>
      </w:r>
      <w:r>
        <w:t xml:space="preserve">Box</w:t>
      </w:r>
      <w:r>
        <w:t xml:space="preserve"> </w:t>
      </w:r>
      <w:r>
        <w:t xml:space="preserve">body</w:t>
      </w:r>
      <w:r>
        <w:t xml:space="preserve"> </w:t>
      </w:r>
      <w:r>
        <w:t xml:space="preserve">7,6%</w:t>
      </w:r>
      <w:r>
        <w:t xml:space="preserve"> </w:t>
      </w:r>
      <w:r>
        <w:t xml:space="preserve">2 521 €</w:t>
      </w:r>
      <w:r>
        <w:br/>
      </w:r>
      <w:r>
        <w:t xml:space="preserve">9 025 €</w:t>
      </w:r>
      <w:r>
        <w:br/>
      </w:r>
      <w:r>
        <w:t xml:space="preserve">5 568 €</w:t>
      </w:r>
      <w:r>
        <w:br/>
      </w:r>
      <w:r>
        <w:t xml:space="preserve">13 199 €</w:t>
      </w:r>
      <w:r>
        <w:br/>
      </w:r>
      <w:r>
        <w:t xml:space="preserve">Reefer</w:t>
      </w:r>
      <w:r>
        <w:t xml:space="preserve"> </w:t>
      </w:r>
      <w:r>
        <w:t xml:space="preserve">7,5%</w:t>
      </w:r>
      <w:r>
        <w:t xml:space="preserve"> </w:t>
      </w:r>
      <w:r>
        <w:t xml:space="preserve">2 530 €</w:t>
      </w:r>
      <w:r>
        <w:br/>
      </w:r>
      <w:r>
        <w:t xml:space="preserve">8 881 €</w:t>
      </w:r>
      <w:r>
        <w:br/>
      </w:r>
      <w:r>
        <w:t xml:space="preserve">5 081 €</w:t>
      </w:r>
      <w:r>
        <w:br/>
      </w:r>
      <w:r>
        <w:t xml:space="preserve">11 437 €</w:t>
      </w:r>
      <w:r>
        <w:br/>
      </w:r>
      <w:r>
        <w:t xml:space="preserve">Semi-</w:t>
      </w:r>
      <w:r>
        <w:t xml:space="preserve"> </w:t>
      </w:r>
      <w:r>
        <w:t xml:space="preserve">trailer</w:t>
      </w:r>
      <w:r>
        <w:t xml:space="preserve"> </w:t>
      </w:r>
      <w:r>
        <w:t xml:space="preserve">Box</w:t>
      </w:r>
      <w:r>
        <w:t xml:space="preserve"> </w:t>
      </w:r>
      <w:r>
        <w:t xml:space="preserve">body</w:t>
      </w:r>
      <w:r>
        <w:t xml:space="preserve"> </w:t>
      </w:r>
      <w:r>
        <w:t xml:space="preserve">15,0%</w:t>
      </w:r>
      <w:r>
        <w:t xml:space="preserve"> </w:t>
      </w:r>
      <w:r>
        <w:t xml:space="preserve">5 076 €</w:t>
      </w:r>
      <w:r>
        <w:br/>
      </w:r>
      <w:r>
        <w:t xml:space="preserve">29 036 €</w:t>
      </w:r>
      <w:r>
        <w:br/>
      </w:r>
      <w:r>
        <w:t xml:space="preserve">17 613 €</w:t>
      </w:r>
      <w:r>
        <w:br/>
      </w:r>
      <w:r>
        <w:t xml:space="preserve">42.632 €</w:t>
      </w:r>
      <w:r>
        <w:br/>
      </w:r>
      <w:r>
        <w:t xml:space="preserve">Reefer</w:t>
      </w:r>
      <w:r>
        <w:t xml:space="preserve"> </w:t>
      </w:r>
      <w:r>
        <w:t xml:space="preserve">14,9%</w:t>
      </w:r>
      <w:r>
        <w:t xml:space="preserve"> </w:t>
      </w:r>
      <w:r>
        <w:t xml:space="preserve">5 252 €</w:t>
      </w:r>
      <w:r>
        <w:br/>
      </w:r>
      <w:r>
        <w:t xml:space="preserve">28 941 €</w:t>
      </w:r>
      <w:r>
        <w:br/>
      </w:r>
      <w:r>
        <w:t xml:space="preserve">16 718 €</w:t>
      </w:r>
      <w:r>
        <w:br/>
      </w:r>
      <w:r>
        <w:t xml:space="preserve">37 540 €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139</w:t>
      </w:r>
    </w:p>
    <w:p>
      <w:pPr>
        <w:pStyle w:val="BodyText"/>
      </w:pPr>
      <w:r>
        <w:t xml:space="preserve">Table 28. Trailer TCOs for cost optimal energy consumption targets from societal</w:t>
      </w:r>
      <w:r>
        <w:t xml:space="preserve"> </w:t>
      </w:r>
      <w:r>
        <w:t xml:space="preserve">perspective (for trailers registered in 2030, compared to baseline).</w:t>
      </w:r>
      <w:r>
        <w:t xml:space="preserve"> </w:t>
      </w:r>
      <w:r>
        <w:t xml:space="preserve">Trailer group</w:t>
      </w:r>
      <w:r>
        <w:t xml:space="preserve"> </w:t>
      </w:r>
      <w:r>
        <w:t xml:space="preserve">Cost optimal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reduction</w:t>
      </w:r>
      <w:r>
        <w:t xml:space="preserve"> </w:t>
      </w:r>
      <w:r>
        <w:t xml:space="preserve">target from a</w:t>
      </w:r>
      <w:r>
        <w:t xml:space="preserve"> </w:t>
      </w:r>
      <w:r>
        <w:t xml:space="preserve">societal</w:t>
      </w:r>
      <w:r>
        <w:t xml:space="preserve"> </w:t>
      </w:r>
      <w:r>
        <w:t xml:space="preserve">perspective</w:t>
      </w:r>
      <w:r>
        <w:t xml:space="preserve"> </w:t>
      </w:r>
      <w:r>
        <w:t xml:space="preserve">Manufacturing</w:t>
      </w:r>
      <w:r>
        <w:t xml:space="preserve"> </w:t>
      </w:r>
      <w:r>
        <w:t xml:space="preserve">costs</w:t>
      </w:r>
      <w:r>
        <w:t xml:space="preserve"> </w:t>
      </w:r>
      <w:r>
        <w:t xml:space="preserve">TCO savings</w:t>
      </w:r>
      <w:r>
        <w:t xml:space="preserve"> </w:t>
      </w:r>
      <w:r>
        <w:t xml:space="preserve">from a 1st</w:t>
      </w:r>
      <w:r>
        <w:t xml:space="preserve"> </w:t>
      </w:r>
      <w:r>
        <w:t xml:space="preserve">user</w:t>
      </w:r>
      <w:r>
        <w:t xml:space="preserve"> </w:t>
      </w:r>
      <w:r>
        <w:t xml:space="preserve">perspective</w:t>
      </w:r>
      <w:r>
        <w:t xml:space="preserve"> </w:t>
      </w:r>
      <w:r>
        <w:t xml:space="preserve">TCO</w:t>
      </w:r>
      <w:r>
        <w:t xml:space="preserve"> </w:t>
      </w:r>
      <w:r>
        <w:t xml:space="preserve">savings</w:t>
      </w:r>
      <w:r>
        <w:t xml:space="preserve"> </w:t>
      </w:r>
      <w:r>
        <w:t xml:space="preserve">from a 2nd</w:t>
      </w:r>
      <w:r>
        <w:t xml:space="preserve"> </w:t>
      </w:r>
      <w:r>
        <w:t xml:space="preserve">user</w:t>
      </w:r>
      <w:r>
        <w:t xml:space="preserve"> </w:t>
      </w:r>
      <w:r>
        <w:t xml:space="preserve">perspective</w:t>
      </w:r>
      <w:r>
        <w:t xml:space="preserve"> </w:t>
      </w:r>
      <w:r>
        <w:t xml:space="preserve">TCO savings</w:t>
      </w:r>
      <w:r>
        <w:t xml:space="preserve"> </w:t>
      </w:r>
      <w:r>
        <w:t xml:space="preserve">from a</w:t>
      </w:r>
      <w:r>
        <w:t xml:space="preserve"> </w:t>
      </w:r>
      <w:r>
        <w:t xml:space="preserve">societal</w:t>
      </w:r>
      <w:r>
        <w:t xml:space="preserve"> </w:t>
      </w:r>
      <w:r>
        <w:t xml:space="preserve">perspective</w:t>
      </w:r>
      <w:r>
        <w:t xml:space="preserve"> </w:t>
      </w:r>
      <w:r>
        <w:t xml:space="preserve">Drawbar</w:t>
      </w:r>
      <w:r>
        <w:t xml:space="preserve"> </w:t>
      </w:r>
      <w:r>
        <w:t xml:space="preserve">trailer</w:t>
      </w:r>
      <w:r>
        <w:t xml:space="preserve"> </w:t>
      </w:r>
      <w:r>
        <w:t xml:space="preserve">Box</w:t>
      </w:r>
      <w:r>
        <w:t xml:space="preserve"> </w:t>
      </w:r>
      <w:r>
        <w:t xml:space="preserve">body</w:t>
      </w:r>
      <w:r>
        <w:t xml:space="preserve"> </w:t>
      </w:r>
      <w:r>
        <w:t xml:space="preserve">7,6%</w:t>
      </w:r>
      <w:r>
        <w:t xml:space="preserve"> </w:t>
      </w:r>
      <w:r>
        <w:t xml:space="preserve">3 696 €</w:t>
      </w:r>
      <w:r>
        <w:br/>
      </w:r>
      <w:r>
        <w:t xml:space="preserve">9 025 €</w:t>
      </w:r>
      <w:r>
        <w:br/>
      </w:r>
      <w:r>
        <w:t xml:space="preserve">5 568 €</w:t>
      </w:r>
      <w:r>
        <w:br/>
      </w:r>
      <w:r>
        <w:t xml:space="preserve">13 199 €</w:t>
      </w:r>
      <w:r>
        <w:br/>
      </w:r>
      <w:r>
        <w:t xml:space="preserve">Reefer</w:t>
      </w:r>
      <w:r>
        <w:t xml:space="preserve"> </w:t>
      </w:r>
      <w:r>
        <w:t xml:space="preserve">7,5%</w:t>
      </w:r>
      <w:r>
        <w:t xml:space="preserve"> </w:t>
      </w:r>
      <w:r>
        <w:t xml:space="preserve">3 400 €</w:t>
      </w:r>
      <w:r>
        <w:br/>
      </w:r>
      <w:r>
        <w:t xml:space="preserve">8 881 €</w:t>
      </w:r>
      <w:r>
        <w:br/>
      </w:r>
      <w:r>
        <w:t xml:space="preserve">5 081 €</w:t>
      </w:r>
      <w:r>
        <w:br/>
      </w:r>
      <w:r>
        <w:t xml:space="preserve">11 432 €</w:t>
      </w:r>
      <w:r>
        <w:br/>
      </w:r>
      <w:r>
        <w:t xml:space="preserve">Semi-</w:t>
      </w:r>
      <w:r>
        <w:t xml:space="preserve"> </w:t>
      </w:r>
      <w:r>
        <w:t xml:space="preserve">trailer</w:t>
      </w:r>
      <w:r>
        <w:t xml:space="preserve"> </w:t>
      </w:r>
      <w:r>
        <w:t xml:space="preserve">Box</w:t>
      </w:r>
      <w:r>
        <w:t xml:space="preserve"> </w:t>
      </w:r>
      <w:r>
        <w:t xml:space="preserve">body</w:t>
      </w:r>
      <w:r>
        <w:t xml:space="preserve"> </w:t>
      </w:r>
      <w:r>
        <w:t xml:space="preserve">15,0%</w:t>
      </w:r>
      <w:r>
        <w:t xml:space="preserve"> </w:t>
      </w:r>
      <w:r>
        <w:t xml:space="preserve">7 617 €</w:t>
      </w:r>
      <w:r>
        <w:br/>
      </w:r>
      <w:r>
        <w:t xml:space="preserve">29 036 €</w:t>
      </w:r>
      <w:r>
        <w:br/>
      </w:r>
      <w:r>
        <w:t xml:space="preserve">17 613 €</w:t>
      </w:r>
      <w:r>
        <w:br/>
      </w:r>
      <w:r>
        <w:t xml:space="preserve">42 632 €</w:t>
      </w:r>
      <w:r>
        <w:br/>
      </w:r>
      <w:r>
        <w:t xml:space="preserve">Reefer</w:t>
      </w:r>
      <w:r>
        <w:t xml:space="preserve"> </w:t>
      </w:r>
      <w:r>
        <w:t xml:space="preserve">14,8%</w:t>
      </w:r>
      <w:r>
        <w:t xml:space="preserve"> </w:t>
      </w:r>
      <w:r>
        <w:t xml:space="preserve">6 978 €</w:t>
      </w:r>
      <w:r>
        <w:br/>
      </w:r>
      <w:r>
        <w:t xml:space="preserve">28 935 €</w:t>
      </w:r>
      <w:r>
        <w:br/>
      </w:r>
      <w:r>
        <w:t xml:space="preserve">16 727 €</w:t>
      </w:r>
      <w:r>
        <w:br/>
      </w:r>
      <w:r>
        <w:t xml:space="preserve">37 548 €</w:t>
      </w:r>
    </w:p>
    <w:p>
      <w:pPr>
        <w:pStyle w:val="BodyText"/>
      </w:pPr>
      <w:r>
        <w:t xml:space="preserve">1.45. 18.5</w:t>
      </w:r>
      <w:r>
        <w:t xml:space="preserve"> </w:t>
      </w:r>
      <w:r>
        <w:t xml:space="preserve">Impacts of CO2 target levels options on SMEs</w:t>
      </w:r>
      <w:r>
        <w:t xml:space="preserve"> </w:t>
      </w:r>
      <w:r>
        <w:t xml:space="preserve">18.5.1</w:t>
      </w:r>
      <w:r>
        <w:t xml:space="preserve"> </w:t>
      </w:r>
      <w:r>
        <w:t xml:space="preserve">Introduction and data used</w:t>
      </w:r>
      <w:r>
        <w:t xml:space="preserve"> </w:t>
      </w:r>
      <w:r>
        <w:t xml:space="preserve">The analysis of the impacts on SMEs takes into account particular characteristics of these</w:t>
      </w:r>
      <w:r>
        <w:t xml:space="preserve"> </w:t>
      </w:r>
      <w:r>
        <w:t xml:space="preserve">enterprises and is aimed to highlight when and how these particularities have</w:t>
      </w:r>
      <w:r>
        <w:t xml:space="preserve"> </w:t>
      </w:r>
      <w:r>
        <w:t xml:space="preserve">implications in terms of impacts on the firms. To quantify and illustrate the impacts on</w:t>
      </w:r>
      <w:r>
        <w:t xml:space="preserve"> </w:t>
      </w:r>
      <w:r>
        <w:t xml:space="preserve">SMEs, the firms of different sizes are compared.</w:t>
      </w:r>
      <w:r>
        <w:t xml:space="preserve"> </w:t>
      </w:r>
      <w:r>
        <w:t xml:space="preserve">The analysis relies on the same methodology as the analysis of impacts on consumers</w:t>
      </w:r>
      <w:r>
        <w:t xml:space="preserve"> </w:t>
      </w:r>
      <w:r>
        <w:t xml:space="preserve">from different income groups in the Impact Assessment “as regards strengthening the</w:t>
      </w:r>
      <w:r>
        <w:t xml:space="preserve"> </w:t>
      </w:r>
      <w:r>
        <w:t xml:space="preserve">CO2 emission performance standards for new passenger cars and new light commercial</w:t>
      </w:r>
      <w:r>
        <w:t xml:space="preserve"> </w:t>
      </w:r>
      <w:r>
        <w:t xml:space="preserve">vehicles in line with the Union’s increased climate ambition”114. Due to variability of</w:t>
      </w:r>
      <w:r>
        <w:t xml:space="preserve"> </w:t>
      </w:r>
      <w:r>
        <w:t xml:space="preserve">characteristics between firms in the SME segment, and varying conditions across</w:t>
      </w:r>
      <w:r>
        <w:t xml:space="preserve"> </w:t>
      </w:r>
      <w:r>
        <w:t xml:space="preserve">Member States, the results of this exercise should be interpreted as sensitivity analysis of</w:t>
      </w:r>
      <w:r>
        <w:t xml:space="preserve"> </w:t>
      </w:r>
      <w:r>
        <w:t xml:space="preserve">the main TCO calculations.</w:t>
      </w:r>
      <w:r>
        <w:br/>
      </w:r>
      <w:r>
        <w:t xml:space="preserve">SME definition for Freight transport by road and removal services sector [H49.4]</w:t>
      </w:r>
    </w:p>
    <w:p>
      <w:pPr>
        <w:pStyle w:val="BodyText"/>
      </w:pPr>
      <w:r>
        <w:t xml:space="preserve">114 https://eur-lex.europa.eu/legal-content/EN/TXT/?uri=CELEX:52021SC0613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140</w:t>
      </w:r>
    </w:p>
    <w:p>
      <w:pPr>
        <w:pStyle w:val="BodyText"/>
      </w:pPr>
      <w:r>
        <w:t xml:space="preserve">Table 29 Number of firms, average headcount, turnover and gross profit by firm type in</w:t>
      </w:r>
      <w:r>
        <w:t xml:space="preserve"> </w:t>
      </w:r>
      <w:r>
        <w:t xml:space="preserve">Freight transport by road and removal services sector</w:t>
      </w:r>
    </w:p>
    <w:p>
      <w:pPr>
        <w:pStyle w:val="BodyText"/>
      </w:pPr>
      <w:r>
        <w:t xml:space="preserve">Micro</w:t>
      </w:r>
      <w:r>
        <w:t xml:space="preserve"> </w:t>
      </w:r>
      <w:r>
        <w:t xml:space="preserve">enterprise</w:t>
      </w:r>
      <w:r>
        <w:t xml:space="preserve"> </w:t>
      </w:r>
      <w:r>
        <w:t xml:space="preserve">Small</w:t>
      </w:r>
      <w:r>
        <w:t xml:space="preserve"> </w:t>
      </w:r>
      <w:r>
        <w:t xml:space="preserve">enterprise</w:t>
      </w:r>
      <w:r>
        <w:t xml:space="preserve"> </w:t>
      </w:r>
      <w:r>
        <w:t xml:space="preserve">Medium</w:t>
      </w:r>
      <w:r>
        <w:t xml:space="preserve"> </w:t>
      </w:r>
      <w:r>
        <w:t xml:space="preserve">enterprise</w:t>
      </w:r>
      <w:r>
        <w:t xml:space="preserve"> </w:t>
      </w:r>
      <w:r>
        <w:t xml:space="preserve">Large</w:t>
      </w:r>
      <w:r>
        <w:t xml:space="preserve"> </w:t>
      </w:r>
      <w:r>
        <w:t xml:space="preserve">enterprise</w:t>
      </w:r>
      <w:r>
        <w:t xml:space="preserve"> </w:t>
      </w:r>
      <w:r>
        <w:t xml:space="preserve">Number of firms</w:t>
      </w:r>
      <w:r>
        <w:t xml:space="preserve"> </w:t>
      </w:r>
      <w:r>
        <w:t xml:space="preserve">203,692</w:t>
      </w:r>
      <w:r>
        <w:t xml:space="preserve"> </w:t>
      </w:r>
      <w:r>
        <w:t xml:space="preserve">52,006</w:t>
      </w:r>
      <w:r>
        <w:t xml:space="preserve"> </w:t>
      </w:r>
      <w:r>
        <w:t xml:space="preserve">6,726</w:t>
      </w:r>
      <w:r>
        <w:t xml:space="preserve"> </w:t>
      </w:r>
      <w:r>
        <w:t xml:space="preserve">715</w:t>
      </w:r>
      <w:r>
        <w:t xml:space="preserve"> </w:t>
      </w:r>
      <w:r>
        <w:t xml:space="preserve">Total headcount (number)</w:t>
      </w:r>
      <w:r>
        <w:t xml:space="preserve"> </w:t>
      </w:r>
      <w:r>
        <w:t xml:space="preserve">785,092</w:t>
      </w:r>
      <w:r>
        <w:t xml:space="preserve"> </w:t>
      </w:r>
      <w:r>
        <w:t xml:space="preserve">1,036,272</w:t>
      </w:r>
      <w:r>
        <w:t xml:space="preserve"> </w:t>
      </w:r>
      <w:r>
        <w:t xml:space="preserve">642,890</w:t>
      </w:r>
      <w:r>
        <w:t xml:space="preserve"> </w:t>
      </w:r>
      <w:r>
        <w:t xml:space="preserve">467,429</w:t>
      </w:r>
      <w:r>
        <w:t xml:space="preserve"> </w:t>
      </w:r>
      <w:r>
        <w:t xml:space="preserve">Average headcount (number)</w:t>
      </w:r>
      <w:r>
        <w:t xml:space="preserve"> </w:t>
      </w:r>
      <w:r>
        <w:t xml:space="preserve">3.9</w:t>
      </w:r>
      <w:r>
        <w:t xml:space="preserve"> </w:t>
      </w:r>
      <w:r>
        <w:t xml:space="preserve">19.9</w:t>
      </w:r>
      <w:r>
        <w:t xml:space="preserve"> </w:t>
      </w:r>
      <w:r>
        <w:t xml:space="preserve">95.6</w:t>
      </w:r>
      <w:r>
        <w:t xml:space="preserve"> </w:t>
      </w:r>
      <w:r>
        <w:t xml:space="preserve">653.7</w:t>
      </w:r>
      <w:r>
        <w:t xml:space="preserve"> </w:t>
      </w:r>
      <w:r>
        <w:t xml:space="preserve">Total turnover (m EUR 2018)</w:t>
      </w:r>
      <w:r>
        <w:t xml:space="preserve"> </w:t>
      </w:r>
      <w:r>
        <w:t xml:space="preserve">65,360</w:t>
      </w:r>
      <w:r>
        <w:t xml:space="preserve"> </w:t>
      </w:r>
      <w:r>
        <w:t xml:space="preserve">110,220</w:t>
      </w:r>
      <w:r>
        <w:t xml:space="preserve"> </w:t>
      </w:r>
      <w:r>
        <w:t xml:space="preserve">81,940</w:t>
      </w:r>
      <w:r>
        <w:t xml:space="preserve"> </w:t>
      </w:r>
      <w:r>
        <w:t xml:space="preserve">66,665</w:t>
      </w:r>
      <w:r>
        <w:t xml:space="preserve"> </w:t>
      </w:r>
      <w:r>
        <w:t xml:space="preserve">Turnover per firm (m EUR 2018)</w:t>
      </w:r>
      <w:r>
        <w:t xml:space="preserve"> </w:t>
      </w:r>
      <w:r>
        <w:t xml:space="preserve">0.32</w:t>
      </w:r>
      <w:r>
        <w:t xml:space="preserve"> </w:t>
      </w:r>
      <w:r>
        <w:t xml:space="preserve">2.12</w:t>
      </w:r>
      <w:r>
        <w:t xml:space="preserve"> </w:t>
      </w:r>
      <w:r>
        <w:t xml:space="preserve">12.18</w:t>
      </w:r>
      <w:r>
        <w:t xml:space="preserve"> </w:t>
      </w:r>
      <w:r>
        <w:t xml:space="preserve">93.24</w:t>
      </w:r>
      <w:r>
        <w:t xml:space="preserve"> </w:t>
      </w:r>
      <w:r>
        <w:t xml:space="preserve">Wages and salaries per firm (m EUR 2018)</w:t>
      </w:r>
      <w:r>
        <w:t xml:space="preserve"> </w:t>
      </w:r>
      <w:r>
        <w:t xml:space="preserve">0.1</w:t>
      </w:r>
      <w:r>
        <w:t xml:space="preserve"> </w:t>
      </w:r>
      <w:r>
        <w:t xml:space="preserve">0.4</w:t>
      </w:r>
      <w:r>
        <w:t xml:space="preserve"> </w:t>
      </w:r>
      <w:r>
        <w:t xml:space="preserve">2.2</w:t>
      </w:r>
      <w:r>
        <w:t xml:space="preserve"> </w:t>
      </w:r>
      <w:r>
        <w:t xml:space="preserve">16.9</w:t>
      </w:r>
      <w:r>
        <w:t xml:space="preserve"> </w:t>
      </w:r>
      <w:r>
        <w:t xml:space="preserve">Costs of goods and services per firm (m EUR</w:t>
      </w:r>
      <w:r>
        <w:t xml:space="preserve"> </w:t>
      </w:r>
      <w:r>
        <w:t xml:space="preserve">2018)</w:t>
      </w:r>
      <w:r>
        <w:t xml:space="preserve"> </w:t>
      </w:r>
      <w:r>
        <w:t xml:space="preserve">0.2</w:t>
      </w:r>
      <w:r>
        <w:t xml:space="preserve"> </w:t>
      </w:r>
      <w:r>
        <w:t xml:space="preserve">1.5</w:t>
      </w:r>
      <w:r>
        <w:t xml:space="preserve"> </w:t>
      </w:r>
      <w:r>
        <w:t xml:space="preserve">8.8</w:t>
      </w:r>
      <w:r>
        <w:t xml:space="preserve"> </w:t>
      </w:r>
      <w:r>
        <w:t xml:space="preserve">67.5</w:t>
      </w:r>
      <w:r>
        <w:t xml:space="preserve"> </w:t>
      </w:r>
      <w:r>
        <w:t xml:space="preserve">Gross profit per firm (m EUR 2018)</w:t>
      </w:r>
      <w:r>
        <w:t xml:space="preserve"> </w:t>
      </w:r>
      <w:r>
        <w:t xml:space="preserve">0.04</w:t>
      </w:r>
      <w:r>
        <w:t xml:space="preserve"> </w:t>
      </w:r>
      <w:r>
        <w:t xml:space="preserve">0.24</w:t>
      </w:r>
      <w:r>
        <w:t xml:space="preserve"> </w:t>
      </w:r>
      <w:r>
        <w:t xml:space="preserve">1.35</w:t>
      </w:r>
      <w:r>
        <w:t xml:space="preserve"> </w:t>
      </w:r>
      <w:r>
        <w:t xml:space="preserve">10.36</w:t>
      </w:r>
      <w:r>
        <w:t xml:space="preserve"> </w:t>
      </w:r>
      <w:r>
        <w:t xml:space="preserve">Gross profit per employee (EUR 2018)</w:t>
      </w:r>
      <w:r>
        <w:t xml:space="preserve"> </w:t>
      </w:r>
      <w:r>
        <w:t xml:space="preserve">9,254</w:t>
      </w:r>
      <w:r>
        <w:t xml:space="preserve"> </w:t>
      </w:r>
      <w:r>
        <w:t xml:space="preserve">11,823</w:t>
      </w:r>
      <w:r>
        <w:t xml:space="preserve"> </w:t>
      </w:r>
      <w:r>
        <w:t xml:space="preserve">14,167</w:t>
      </w:r>
      <w:r>
        <w:t xml:space="preserve"> </w:t>
      </w:r>
      <w:r>
        <w:t xml:space="preserve">15,853</w:t>
      </w:r>
      <w:r>
        <w:t xml:space="preserve"> </w:t>
      </w:r>
      <w:r>
        <w:t xml:space="preserve">Gross profit per employee (EUR 2020)</w:t>
      </w:r>
      <w:r>
        <w:t xml:space="preserve"> </w:t>
      </w:r>
      <w:r>
        <w:t xml:space="preserve">9,459</w:t>
      </w:r>
      <w:r>
        <w:t xml:space="preserve"> </w:t>
      </w:r>
      <w:r>
        <w:t xml:space="preserve">12,085</w:t>
      </w:r>
      <w:r>
        <w:t xml:space="preserve"> </w:t>
      </w:r>
      <w:r>
        <w:t xml:space="preserve">14,482</w:t>
      </w:r>
      <w:r>
        <w:t xml:space="preserve"> </w:t>
      </w:r>
      <w:r>
        <w:t xml:space="preserve">16,205</w:t>
      </w:r>
      <w:r>
        <w:t xml:space="preserve"> </w:t>
      </w:r>
      <w:r>
        <w:t xml:space="preserve">Source: Ricardo calculations, based on Structural Business Statistics database</w:t>
      </w:r>
      <w:r>
        <w:t xml:space="preserve"> </w:t>
      </w:r>
      <w:r>
        <w:t xml:space="preserve">(Eurostat), 2018. Values for wages and salaries, costs of goods and services, and gross</w:t>
      </w:r>
      <w:r>
        <w:t xml:space="preserve"> </w:t>
      </w:r>
      <w:r>
        <w:t xml:space="preserve">profit were reconstructed by assuming an equal share of turnover by company size.</w:t>
      </w:r>
      <w:r>
        <w:t xml:space="preserve"> </w:t>
      </w:r>
      <w:r>
        <w:t xml:space="preserve">Note: Gross profit in EUR 2020 is based on EUR 2018 and an assumed price index</w:t>
      </w:r>
      <w:r>
        <w:t xml:space="preserve"> </w:t>
      </w:r>
      <w:r>
        <w:t xml:space="preserve">increase of 2.22% between 2018 and 2020115.</w:t>
      </w:r>
      <w:r>
        <w:t xml:space="preserve"> </w:t>
      </w:r>
      <w:r>
        <w:t xml:space="preserve">The standard definition of SMEs refers to the firms with headcount less than 250 or</w:t>
      </w:r>
      <w:r>
        <w:t xml:space="preserve"> </w:t>
      </w:r>
      <w:r>
        <w:t xml:space="preserve">turnover less than 50 million euros per year116. However, given the firm composition of</w:t>
      </w:r>
      <w:r>
        <w:t xml:space="preserve"> </w:t>
      </w:r>
      <w:r>
        <w:t xml:space="preserve">logistics sector in the European Union, to analyse the potential impacts of different</w:t>
      </w:r>
      <w:r>
        <w:t xml:space="preserve"> </w:t>
      </w:r>
      <w:r>
        <w:t xml:space="preserve">scenarios on SMEs, more granular approach is appropriate. For the purpose of this</w:t>
      </w:r>
      <w:r>
        <w:t xml:space="preserve"> </w:t>
      </w:r>
      <w:r>
        <w:t xml:space="preserve">analysis, the firms are split into the following groups: Micro (0 to 9 employees), Small</w:t>
      </w:r>
      <w:r>
        <w:t xml:space="preserve"> </w:t>
      </w:r>
      <w:r>
        <w:t xml:space="preserve">(10 to 49 employees), Medium-sized (50 to 249 employees) and Large enterprise (those</w:t>
      </w:r>
      <w:r>
        <w:t xml:space="preserve"> </w:t>
      </w:r>
      <w:r>
        <w:t xml:space="preserve">with headcount higher than 250). Each group is characterised in terms of economic</w:t>
      </w:r>
      <w:r>
        <w:t xml:space="preserve"> </w:t>
      </w:r>
      <w:r>
        <w:t xml:space="preserve">characteristics, such as average annual headcount, turnover and gross profit (see</w:t>
      </w:r>
    </w:p>
    <w:p>
      <w:pPr>
        <w:pStyle w:val="BodyText"/>
      </w:pPr>
      <w:r>
        <w:t xml:space="preserve">115 EC and the ECB’s Harmonized Index of Consumer prices (HICP), which is computed based on the</w:t>
      </w:r>
      <w:r>
        <w:t xml:space="preserve"> </w:t>
      </w:r>
      <w:r>
        <w:t xml:space="preserve">reported</w:t>
      </w:r>
      <w:r>
        <w:t xml:space="preserve"> </w:t>
      </w:r>
      <w:r>
        <w:t xml:space="preserve">consumer</w:t>
      </w:r>
      <w:r>
        <w:t xml:space="preserve"> </w:t>
      </w:r>
      <w:r>
        <w:t xml:space="preserve">price</w:t>
      </w:r>
      <w:r>
        <w:t xml:space="preserve"> </w:t>
      </w:r>
      <w:r>
        <w:t xml:space="preserve">indices</w:t>
      </w:r>
      <w:r>
        <w:t xml:space="preserve"> </w:t>
      </w:r>
      <w:r>
        <w:t xml:space="preserve">in</w:t>
      </w:r>
      <w:r>
        <w:t xml:space="preserve"> </w:t>
      </w:r>
      <w:r>
        <w:t xml:space="preserve">member</w:t>
      </w:r>
      <w:r>
        <w:t xml:space="preserve"> </w:t>
      </w:r>
      <w:r>
        <w:t xml:space="preserve">countries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Union.</w:t>
      </w:r>
      <w:r>
        <w:t xml:space="preserve"> </w:t>
      </w:r>
      <w:r>
        <w:t xml:space="preserve">https://www.officialdata.org/europe/inflation/2018?endYear=2020&amp;amount=100</w:t>
      </w:r>
      <w:r>
        <w:t xml:space="preserve"> </w:t>
      </w:r>
      <w:r>
        <w:t xml:space="preserve">116 https://ec.europa.eu/growth/smes/sme-definition_en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141</w:t>
      </w:r>
    </w:p>
    <w:p>
      <w:pPr>
        <w:pStyle w:val="BodyText"/>
      </w:pPr>
      <w:r>
        <w:t xml:space="preserve">Table 29), interest rates they face (see Table 30), and discount rates used for intertemporal</w:t>
      </w:r>
      <w:r>
        <w:t xml:space="preserve"> </w:t>
      </w:r>
      <w:r>
        <w:t xml:space="preserve">analysis (see Table 31)117.</w:t>
      </w:r>
      <w:r>
        <w:br/>
      </w:r>
      <w:r>
        <w:t xml:space="preserve">In the absence of data for logistic sector specifically, Freight transport by road and</w:t>
      </w:r>
      <w:r>
        <w:t xml:space="preserve"> </w:t>
      </w:r>
      <w:r>
        <w:t xml:space="preserve">removal services NACE sector (H49.4) has been chosen for the analysis as the one,</w:t>
      </w:r>
      <w:r>
        <w:t xml:space="preserve"> </w:t>
      </w:r>
      <w:r>
        <w:t xml:space="preserve">where the issue of acquiring HDVs is most critical for operations.</w:t>
      </w:r>
      <w:r>
        <w:br/>
      </w:r>
      <w:r>
        <w:t xml:space="preserve">Access to finance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117 Driving behaviour and average annual mileage are assumed not to vary across firms of different size.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142</w:t>
      </w:r>
    </w:p>
    <w:p>
      <w:pPr>
        <w:pStyle w:val="BodyText"/>
      </w:pPr>
      <w:r>
        <w:t xml:space="preserve">Table 29 shows, enterprises of smaller size have relatively lower earnings, on average.</w:t>
      </w:r>
      <w:r>
        <w:t xml:space="preserve"> </w:t>
      </w:r>
      <w:r>
        <w:t xml:space="preserve">That is why, to purchase a vehicle, smaller enterprises are first, more likely to need a</w:t>
      </w:r>
      <w:r>
        <w:t xml:space="preserve"> </w:t>
      </w:r>
      <w:r>
        <w:t xml:space="preserve">loan, and second, more likely to request larger loan amounts, leading to higher loan to</w:t>
      </w:r>
      <w:r>
        <w:t xml:space="preserve"> </w:t>
      </w:r>
      <w:r>
        <w:t xml:space="preserve">income ratios. At the same time, as lower gross profits limit the capacity to quickly repay</w:t>
      </w:r>
      <w:r>
        <w:t xml:space="preserve"> </w:t>
      </w:r>
      <w:r>
        <w:t xml:space="preserve">the loan, these enterprises will likely need loans with longer maturities. This translates to,</w:t>
      </w:r>
      <w:r>
        <w:t xml:space="preserve"> </w:t>
      </w:r>
      <w:r>
        <w:t xml:space="preserve">on average, lower credit scores for the enterprises of lower size118,119. In addition to that,</w:t>
      </w:r>
      <w:r>
        <w:t xml:space="preserve"> </w:t>
      </w:r>
      <w:r>
        <w:t xml:space="preserve">smaller enterprises may have less time to spend comparing the offers from different</w:t>
      </w:r>
      <w:r>
        <w:t xml:space="preserve"> </w:t>
      </w:r>
      <w:r>
        <w:t xml:space="preserve">institutions and have less bargaining power to negotiate better loan conditions. All these</w:t>
      </w:r>
      <w:r>
        <w:t xml:space="preserve"> </w:t>
      </w:r>
      <w:r>
        <w:t xml:space="preserve">factors lead to relatively higher average interest rates for smaller firms as a consequence.</w:t>
      </w:r>
      <w:r>
        <w:t xml:space="preserve"> </w:t>
      </w:r>
      <w:r>
        <w:t xml:space="preserve">Table 30 shows the assumptions on average annualised percentage rate (APR or average</w:t>
      </w:r>
      <w:r>
        <w:t xml:space="preserve"> </w:t>
      </w:r>
      <w:r>
        <w:t xml:space="preserve">interest rate) for the enterprise of different size. These assumptions were made using the</w:t>
      </w:r>
      <w:r>
        <w:t xml:space="preserve"> </w:t>
      </w:r>
      <w:r>
        <w:t xml:space="preserve">information on the evolution of the average interest rates spread for business loans across</w:t>
      </w:r>
      <w:r>
        <w:t xml:space="preserve"> </w:t>
      </w:r>
      <w:r>
        <w:t xml:space="preserve">Euro-area Member States published by the European Central Bank.</w:t>
      </w:r>
      <w:r>
        <w:br/>
      </w:r>
      <w:r>
        <w:t xml:space="preserve">Table 30 Interest rate distribution and assumed averages by firm size</w:t>
      </w:r>
    </w:p>
    <w:p>
      <w:pPr>
        <w:pStyle w:val="BodyText"/>
      </w:pPr>
      <w:r>
        <w:t xml:space="preserve">Micro</w:t>
      </w:r>
      <w:r>
        <w:t xml:space="preserve"> </w:t>
      </w:r>
      <w:r>
        <w:t xml:space="preserve">enterprise</w:t>
      </w:r>
      <w:r>
        <w:t xml:space="preserve"> </w:t>
      </w:r>
      <w:r>
        <w:t xml:space="preserve">Small</w:t>
      </w:r>
      <w:r>
        <w:t xml:space="preserve"> </w:t>
      </w:r>
      <w:r>
        <w:t xml:space="preserve">enterprise</w:t>
      </w:r>
      <w:r>
        <w:t xml:space="preserve"> </w:t>
      </w:r>
      <w:r>
        <w:t xml:space="preserve">Medium enterprise</w:t>
      </w:r>
      <w:r>
        <w:t xml:space="preserve"> </w:t>
      </w:r>
      <w:r>
        <w:t xml:space="preserve">Large</w:t>
      </w:r>
      <w:r>
        <w:t xml:space="preserve"> </w:t>
      </w:r>
      <w:r>
        <w:t xml:space="preserve">enterprise</w:t>
      </w:r>
      <w:r>
        <w:t xml:space="preserve"> </w:t>
      </w:r>
      <w:r>
        <w:t xml:space="preserve">Assumed interest rate,</w:t>
      </w:r>
      <w:r>
        <w:t xml:space="preserve"> </w:t>
      </w:r>
      <w:r>
        <w:t xml:space="preserve">%</w:t>
      </w:r>
      <w:r>
        <w:t xml:space="preserve"> </w:t>
      </w:r>
      <w:r>
        <w:t xml:space="preserve">4.5%</w:t>
      </w:r>
      <w:r>
        <w:t xml:space="preserve"> </w:t>
      </w:r>
      <w:r>
        <w:t xml:space="preserve">4%</w:t>
      </w:r>
      <w:r>
        <w:t xml:space="preserve"> </w:t>
      </w:r>
      <w:r>
        <w:t xml:space="preserve">3.5%</w:t>
      </w:r>
      <w:r>
        <w:t xml:space="preserve"> </w:t>
      </w:r>
      <w:r>
        <w:t xml:space="preserve">3%</w:t>
      </w:r>
      <w:r>
        <w:t xml:space="preserve"> </w:t>
      </w:r>
      <w:r>
        <w:t xml:space="preserve">Historical spread, %</w:t>
      </w:r>
      <w:r>
        <w:t xml:space="preserve"> </w:t>
      </w:r>
      <w:r>
        <w:t xml:space="preserve">R%</w:t>
      </w:r>
      <w:r>
        <w:t xml:space="preserve"> </w:t>
      </w:r>
      <w:r>
        <w:t xml:space="preserve">(R-1%; R-</w:t>
      </w:r>
      <w:r>
        <w:t xml:space="preserve"> </w:t>
      </w:r>
      <w:r>
        <w:t xml:space="preserve">1.5%)</w:t>
      </w:r>
      <w:r>
        <w:t xml:space="preserve"> </w:t>
      </w:r>
      <w:r>
        <w:t xml:space="preserve">Source: Ricardo, based on Survey on the Access to Finance of Enterprises in the euro area (ECB, 2021)</w:t>
      </w:r>
      <w:r>
        <w:t xml:space="preserve"> </w:t>
      </w:r>
      <w:r>
        <w:t xml:space="preserve">Great variability of interest rates is observed inside and across different Member States,</w:t>
      </w:r>
      <w:r>
        <w:t xml:space="preserve"> </w:t>
      </w:r>
      <w:r>
        <w:t xml:space="preserve">and in addition to firm size, the future rates will be influenced by different economic</w:t>
      </w:r>
      <w:r>
        <w:t xml:space="preserve"> </w:t>
      </w:r>
      <w:r>
        <w:t xml:space="preserve">factors120.</w:t>
      </w:r>
      <w:r>
        <w:br/>
      </w:r>
      <w:r>
        <w:t xml:space="preserve">Although the observed ranges were acknowledged, for the purposes of modelling, it was</w:t>
      </w:r>
      <w:r>
        <w:t xml:space="preserve"> </w:t>
      </w:r>
      <w:r>
        <w:t xml:space="preserve">assumed that the interest rate declines monotonously with the gross profit or firm size,</w:t>
      </w:r>
      <w:r>
        <w:t xml:space="preserve"> </w:t>
      </w:r>
      <w:r>
        <w:t xml:space="preserve">that is, Micro enterprise faces an interest rate of 4.5% and each next group of firms sees</w:t>
      </w:r>
      <w:r>
        <w:t xml:space="preserve"> </w:t>
      </w:r>
      <w:r>
        <w:t xml:space="preserve">an interest rate which is 0.5% lower than the previous group. This equal-spacing</w:t>
      </w:r>
      <w:r>
        <w:t xml:space="preserve"> </w:t>
      </w:r>
      <w:r>
        <w:t xml:space="preserve">assumption with respect to the interest rate and make the results more illustrative as it</w:t>
      </w:r>
      <w:r>
        <w:t xml:space="preserve"> </w:t>
      </w:r>
      <w:r>
        <w:t xml:space="preserve">avoids placing groups of enterprises too closely together.</w:t>
      </w:r>
      <w:r>
        <w:t xml:space="preserve"> </w:t>
      </w:r>
      <w:r>
        <w:t xml:space="preserve">Discount rate</w:t>
      </w:r>
      <w:r>
        <w:t xml:space="preserve"> </w:t>
      </w:r>
      <w:r>
        <w:t xml:space="preserve">Smaller firms, or firms with lower gross profits are shown to value the present more,</w:t>
      </w:r>
      <w:r>
        <w:t xml:space="preserve"> </w:t>
      </w:r>
      <w:r>
        <w:t xml:space="preserve">when compared to larger enterprise and/or the enterprise with higher earnings121.</w:t>
      </w:r>
      <w:r>
        <w:t xml:space="preserve"> </w:t>
      </w:r>
      <w:r>
        <w:t xml:space="preserve">Although, there is no common understanding or a general rule in the literature on how to</w:t>
      </w:r>
      <w:r>
        <w:t xml:space="preserve"> </w:t>
      </w:r>
      <w:r>
        <w:t xml:space="preserve">translate differences in time preferences over time into specific discount rates, it is well</w:t>
      </w:r>
      <w:r>
        <w:t xml:space="preserve"> </w:t>
      </w:r>
      <w:r>
        <w:t xml:space="preserve">understood 122 that smaller firms have higher cost of debt, cost of capital and discount</w:t>
      </w:r>
      <w:r>
        <w:t xml:space="preserve"> </w:t>
      </w:r>
      <w:r>
        <w:t xml:space="preserve">rates as a consequence. A 9.5% discount rate, in line with the approach of the EU</w:t>
      </w:r>
      <w:r>
        <w:t xml:space="preserve"> </w:t>
      </w:r>
      <w:r>
        <w:t xml:space="preserve">Reference Scenario 2020, is used to analyse lorry sector.</w:t>
      </w:r>
    </w:p>
    <w:p>
      <w:pPr>
        <w:pStyle w:val="BodyText"/>
      </w:pPr>
      <w:r>
        <w:t xml:space="preserve">118Survey on the Access to Finance of Enterprises in the euro area (ECB, 2021). Available at:</w:t>
      </w:r>
      <w:r>
        <w:t xml:space="preserve"> </w:t>
      </w:r>
      <w:r>
        <w:t xml:space="preserve">https://www.ecb.europa.eu/stats/accesstofinancesofenterprises/pdf/ecb.safe202111~0380b0c0a2.en.pdf</w:t>
      </w:r>
      <w:r>
        <w:t xml:space="preserve"> </w:t>
      </w:r>
      <w:r>
        <w:t xml:space="preserve">119EBA</w:t>
      </w:r>
      <w:r>
        <w:t xml:space="preserve"> </w:t>
      </w:r>
      <w:r>
        <w:t xml:space="preserve">report</w:t>
      </w:r>
      <w:r>
        <w:t xml:space="preserve"> </w:t>
      </w:r>
      <w:r>
        <w:t xml:space="preserve">on</w:t>
      </w:r>
      <w:r>
        <w:t xml:space="preserve"> </w:t>
      </w:r>
      <w:r>
        <w:t xml:space="preserve">SMEs</w:t>
      </w:r>
      <w:r>
        <w:t xml:space="preserve"> </w:t>
      </w:r>
      <w:r>
        <w:t xml:space="preserve">and</w:t>
      </w:r>
      <w:r>
        <w:t xml:space="preserve"> </w:t>
      </w:r>
      <w:r>
        <w:t xml:space="preserve">SME</w:t>
      </w:r>
      <w:r>
        <w:t xml:space="preserve"> </w:t>
      </w:r>
      <w:r>
        <w:t xml:space="preserve">supporting</w:t>
      </w:r>
      <w:r>
        <w:t xml:space="preserve"> </w:t>
      </w:r>
      <w:r>
        <w:t xml:space="preserve">factor</w:t>
      </w:r>
      <w:r>
        <w:t xml:space="preserve"> </w:t>
      </w:r>
      <w:r>
        <w:t xml:space="preserve">(EBA,2016).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https://www.eba.europa.eu/regulation-and-policy/credit-risk/discussion-paper-and-call-for-evidence-on-</w:t>
      </w:r>
      <w:r>
        <w:t xml:space="preserve"> </w:t>
      </w:r>
      <w:r>
        <w:t xml:space="preserve">smes-and-the-sme-supporting-factor</w:t>
      </w:r>
      <w:r>
        <w:t xml:space="preserve"> </w:t>
      </w:r>
      <w:r>
        <w:t xml:space="preserve">120 The modelling assumes the interest rates stay constant in the future, to avoid making assumptions on</w:t>
      </w:r>
      <w:r>
        <w:t xml:space="preserve"> </w:t>
      </w:r>
      <w:r>
        <w:t xml:space="preserve">interest rate evolution, as there are no official projections that cover the whole period of analysis.</w:t>
      </w:r>
      <w:r>
        <w:t xml:space="preserve"> </w:t>
      </w:r>
      <w:r>
        <w:t xml:space="preserve">121 A Practical Guide to Business Valuations for SMEs, 2009</w:t>
      </w:r>
      <w:r>
        <w:t xml:space="preserve"> </w:t>
      </w:r>
      <w:r>
        <w:t xml:space="preserve">122 Financing SMEs and Entrepreneurs 2022: An OECD Scoreboard, OECD, 2022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143</w:t>
      </w:r>
    </w:p>
    <w:p>
      <w:pPr>
        <w:pStyle w:val="BodyText"/>
      </w:pPr>
      <w:r>
        <w:t xml:space="preserve">For this analysis, following the underlying assumptions of the main TCO analysis,</w:t>
      </w:r>
      <w:r>
        <w:t xml:space="preserve"> </w:t>
      </w:r>
      <w:r>
        <w:t xml:space="preserve">differentiated rates are assumed, based on the size of the enterprise. It is assumed that the</w:t>
      </w:r>
      <w:r>
        <w:t xml:space="preserve"> </w:t>
      </w:r>
      <w:r>
        <w:t xml:space="preserve">discount rate is 13% for Micro, Small and Medium enterprise and 9% for Large</w:t>
      </w:r>
      <w:r>
        <w:t xml:space="preserve"> </w:t>
      </w:r>
      <w:r>
        <w:t xml:space="preserve">enterprise, being 9.5% the average (consistent with TCO analysis). Table 31 shows</w:t>
      </w:r>
      <w:r>
        <w:t xml:space="preserve"> </w:t>
      </w:r>
      <w:r>
        <w:t xml:space="preserve">subjective discount rate assumptions by company size, based on the negative relationship</w:t>
      </w:r>
      <w:r>
        <w:t xml:space="preserve"> </w:t>
      </w:r>
      <w:r>
        <w:t xml:space="preserve">between size and the discount rate.</w:t>
      </w:r>
      <w:r>
        <w:t xml:space="preserve"> </w:t>
      </w:r>
      <w:r>
        <w:t xml:space="preserve">Table 31 Discount rate assumptions by firm size</w:t>
      </w:r>
    </w:p>
    <w:p>
      <w:pPr>
        <w:pStyle w:val="BodyText"/>
      </w:pPr>
      <w:r>
        <w:t xml:space="preserve">Micro enterprise</w:t>
      </w:r>
      <w:r>
        <w:t xml:space="preserve"> </w:t>
      </w:r>
      <w:r>
        <w:t xml:space="preserve">Small enterprise</w:t>
      </w:r>
      <w:r>
        <w:t xml:space="preserve"> </w:t>
      </w:r>
      <w:r>
        <w:t xml:space="preserve">Medium enterprise</w:t>
      </w:r>
      <w:r>
        <w:t xml:space="preserve"> </w:t>
      </w:r>
      <w:r>
        <w:t xml:space="preserve">Large enterprise</w:t>
      </w:r>
      <w:r>
        <w:t xml:space="preserve"> </w:t>
      </w:r>
      <w:r>
        <w:t xml:space="preserve">LORRIES:</w:t>
      </w:r>
    </w:p>
    <w:p>
      <w:pPr>
        <w:pStyle w:val="BodyText"/>
      </w:pPr>
      <w:r>
        <w:t xml:space="preserve">Assumed discount rate, %</w:t>
      </w:r>
      <w:r>
        <w:t xml:space="preserve"> </w:t>
      </w:r>
      <w:r>
        <w:t xml:space="preserve">13%</w:t>
      </w:r>
      <w:r>
        <w:t xml:space="preserve"> </w:t>
      </w:r>
      <w:r>
        <w:t xml:space="preserve">9%</w:t>
      </w:r>
    </w:p>
    <w:p>
      <w:pPr>
        <w:pStyle w:val="BodyText"/>
      </w:pPr>
      <w:r>
        <w:t xml:space="preserve">Source: Ricardo, based on the average values used for TCO and literature review.</w:t>
      </w:r>
      <w:r>
        <w:t xml:space="preserve"> </w:t>
      </w:r>
      <w:r>
        <w:t xml:space="preserve">Other assumptions</w:t>
      </w:r>
      <w:r>
        <w:t xml:space="preserve"> </w:t>
      </w:r>
      <w:r>
        <w:t xml:space="preserve">Maximum loan maturity is assumed to be 7 years, and two cases are considered for initial</w:t>
      </w:r>
      <w:r>
        <w:t xml:space="preserve"> </w:t>
      </w:r>
      <w:r>
        <w:t xml:space="preserve">payment: (a) no initial payment, describing the case of business expansion, when a new</w:t>
      </w:r>
      <w:r>
        <w:t xml:space="preserve"> </w:t>
      </w:r>
      <w:r>
        <w:t xml:space="preserve">vehicle is needed, and (b) used ICE vehicle of the same class is sold, describing the case</w:t>
      </w:r>
      <w:r>
        <w:t xml:space="preserve"> </w:t>
      </w:r>
      <w:r>
        <w:t xml:space="preserve">of replacement. Up to 60% of firm’s gross profits are assumed to be available for loan</w:t>
      </w:r>
      <w:r>
        <w:t xml:space="preserve"> </w:t>
      </w:r>
      <w:r>
        <w:t xml:space="preserve">repayment. Table 32 contains the assumptions on these variables related to loans.</w:t>
      </w:r>
      <w:r>
        <w:t xml:space="preserve"> </w:t>
      </w:r>
      <w:r>
        <w:t xml:space="preserve">Table 32 Other assumptions</w:t>
      </w:r>
      <w:r>
        <w:t xml:space="preserve"> </w:t>
      </w:r>
      <w:r>
        <w:t xml:space="preserve">Other assumptions</w:t>
      </w:r>
      <w:r>
        <w:t xml:space="preserve"> </w:t>
      </w:r>
      <w:r>
        <w:t xml:space="preserve">Ownership duration/ Maximum loan maturity (years)</w:t>
      </w:r>
      <w:r>
        <w:t xml:space="preserve"> </w:t>
      </w:r>
      <w:r>
        <w:t xml:space="preserve">7</w:t>
      </w:r>
      <w:r>
        <w:t xml:space="preserve"> </w:t>
      </w:r>
      <w:r>
        <w:t xml:space="preserve">Initial payment</w:t>
      </w:r>
      <w:r>
        <w:t xml:space="preserve"> </w:t>
      </w:r>
      <w:r>
        <w:t xml:space="preserve">0% or used ICE vehicle price</w:t>
      </w:r>
      <w:r>
        <w:t xml:space="preserve"> </w:t>
      </w:r>
      <w:r>
        <w:t xml:space="preserve">Maximum loan quota (% of gross profits)</w:t>
      </w:r>
      <w:r>
        <w:t xml:space="preserve"> </w:t>
      </w:r>
      <w:r>
        <w:t xml:space="preserve">60%</w:t>
      </w:r>
      <w:r>
        <w:t xml:space="preserve"> </w:t>
      </w:r>
      <w:r>
        <w:t xml:space="preserve">Source: Ricardo, based on own telephone benchmarking and literature review.</w:t>
      </w:r>
      <w:r>
        <w:t xml:space="preserve"> </w:t>
      </w:r>
      <w:r>
        <w:t xml:space="preserve">18.5.2</w:t>
      </w:r>
      <w:r>
        <w:t xml:space="preserve"> </w:t>
      </w:r>
      <w:r>
        <w:t xml:space="preserve">Methodology</w:t>
      </w:r>
      <w:r>
        <w:t xml:space="preserve"> </w:t>
      </w:r>
      <w:r>
        <w:t xml:space="preserve">In addition to the financial assumptions described above, it is also important to consider</w:t>
      </w:r>
      <w:r>
        <w:t xml:space="preserve"> </w:t>
      </w:r>
      <w:r>
        <w:t xml:space="preserve">the fact that the vehicle age groups are interconnected through the market for used</w:t>
      </w:r>
      <w:r>
        <w:t xml:space="preserve"> </w:t>
      </w:r>
      <w:r>
        <w:t xml:space="preserve">lorries, where 2nd users purchase their vehicles from the 1st users respectively. This</w:t>
      </w:r>
      <w:r>
        <w:t xml:space="preserve"> </w:t>
      </w:r>
      <w:r>
        <w:t xml:space="preserve">analysis is performed separately for 1st and 2nd users.</w:t>
      </w:r>
      <w:r>
        <w:t xml:space="preserve"> </w:t>
      </w:r>
      <w:r>
        <w:t xml:space="preserve">The following Heavy (Class 5 Long Haul, Class 9 Municipal Utility and Class 12</w:t>
      </w:r>
      <w:r>
        <w:t xml:space="preserve"> </w:t>
      </w:r>
      <w:r>
        <w:t xml:space="preserve">Construction) and medium lorries (Class 2 Regional Delivery) are analysed. To get the</w:t>
      </w:r>
      <w:r>
        <w:t xml:space="preserve"> </w:t>
      </w:r>
      <w:r>
        <w:t xml:space="preserve">average TCOs, the sales numbers by vehicle class and powertrain in each scenario has</w:t>
      </w:r>
      <w:r>
        <w:t xml:space="preserve"> </w:t>
      </w:r>
      <w:r>
        <w:t xml:space="preserve">been used as weights123.</w:t>
      </w:r>
      <w:r>
        <w:t xml:space="preserve"> </w:t>
      </w:r>
      <w:r>
        <w:t xml:space="preserve">The analysis of the impacts on SMEs looks at the impacts of the options considered on</w:t>
      </w:r>
      <w:r>
        <w:t xml:space="preserve"> </w:t>
      </w:r>
      <w:r>
        <w:t xml:space="preserve">firms of different size in terms of (i) affordability of vehicles (access to finance), and (ii)</w:t>
      </w:r>
      <w:r>
        <w:t xml:space="preserve"> </w:t>
      </w:r>
      <w:r>
        <w:t xml:space="preserve">‘subjective TCO’ (total costs).</w:t>
      </w:r>
    </w:p>
    <w:p>
      <w:pPr>
        <w:pStyle w:val="BodyText"/>
      </w:pPr>
      <w:r>
        <w:t xml:space="preserve">123 Where more than one vehicle class is included in the group, in order for the results not to be biased by</w:t>
      </w:r>
      <w:r>
        <w:t xml:space="preserve"> </w:t>
      </w:r>
      <w:r>
        <w:t xml:space="preserve">the total fleet evolution for each class, the total fleet for each class is normalized to year 2030 for each</w:t>
      </w:r>
      <w:r>
        <w:t xml:space="preserve"> </w:t>
      </w:r>
      <w:r>
        <w:t xml:space="preserve">scenario.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144</w:t>
      </w:r>
    </w:p>
    <w:p>
      <w:pPr>
        <w:pStyle w:val="BodyText"/>
      </w:pPr>
      <w:r>
        <w:t xml:space="preserve">Affordability reflects the variety of vehicle choice available to the firms124. It is defined</w:t>
      </w:r>
      <w:r>
        <w:t xml:space="preserve"> </w:t>
      </w:r>
      <w:r>
        <w:t xml:space="preserve">in terms of financial capacity of an enterprise relative to the vehicle upfront price. A</w:t>
      </w:r>
      <w:r>
        <w:t xml:space="preserve"> </w:t>
      </w:r>
      <w:r>
        <w:t xml:space="preserve">vehicle class/ powertrain is said to be affordable when a firm has sufficient earnings to be</w:t>
      </w:r>
      <w:r>
        <w:t xml:space="preserve"> </w:t>
      </w:r>
      <w:r>
        <w:t xml:space="preserve">able to repay the loan for upfront capital costs in seven years, provided that no more than</w:t>
      </w:r>
      <w:r>
        <w:t xml:space="preserve"> </w:t>
      </w:r>
      <w:r>
        <w:t xml:space="preserve">60% of gross profits can be designated to the loan repayment.</w:t>
      </w:r>
      <w:r>
        <w:t xml:space="preserve"> </w:t>
      </w:r>
      <w:r>
        <w:t xml:space="preserve">Subjective TCO reflects total costs associated to the ownership of the vehicle125. It takes</w:t>
      </w:r>
      <w:r>
        <w:t xml:space="preserve"> </w:t>
      </w:r>
      <w:r>
        <w:t xml:space="preserve">into account firm-specific parameters and is considered in relation to average annual</w:t>
      </w:r>
      <w:r>
        <w:t xml:space="preserve"> </w:t>
      </w:r>
      <w:r>
        <w:t xml:space="preserve">gross profits per employee (as a proxy for earnings per vehicle). It is calculated as</w:t>
      </w:r>
      <w:r>
        <w:t xml:space="preserve"> </w:t>
      </w:r>
      <w:r>
        <w:t xml:space="preserve">discounted sum of all loan payments, operation, maintenance and insurance costs, fuel</w:t>
      </w:r>
      <w:r>
        <w:t xml:space="preserve"> </w:t>
      </w:r>
      <w:r>
        <w:t xml:space="preserve">costs minus residual value of the vehicle at the end of the ownership period.</w:t>
      </w:r>
      <w:r>
        <w:br/>
      </w:r>
      <w:r>
        <w:t xml:space="preserve">To conclude on the impact of policy options on SMEs, affordability and subjective TCO</w:t>
      </w:r>
      <w:r>
        <w:t xml:space="preserve"> </w:t>
      </w:r>
      <w:r>
        <w:t xml:space="preserve">are compared in the baseline scenario and policy scenarios. In addition, some other</w:t>
      </w:r>
      <w:r>
        <w:t xml:space="preserve"> </w:t>
      </w:r>
      <w:r>
        <w:t xml:space="preserve">barriers were considered, combining a range of non-monetary factors that are likely to</w:t>
      </w:r>
      <w:r>
        <w:t xml:space="preserve"> </w:t>
      </w:r>
      <w:r>
        <w:t xml:space="preserve">have unequal impacts for different firm sizes. The factors assessed include unequal</w:t>
      </w:r>
      <w:r>
        <w:t xml:space="preserve"> </w:t>
      </w:r>
      <w:r>
        <w:t xml:space="preserve">access to information, charging infrastructure, sensitivity to global shocks and capacity to</w:t>
      </w:r>
      <w:r>
        <w:t xml:space="preserve"> </w:t>
      </w:r>
      <w:r>
        <w:t xml:space="preserve">compare between financial options and the level of awareness about potential monetary</w:t>
      </w:r>
      <w:r>
        <w:t xml:space="preserve"> </w:t>
      </w:r>
      <w:r>
        <w:t xml:space="preserve">savings. These factors are analysed qualitatively.</w:t>
      </w:r>
      <w:r>
        <w:t xml:space="preserve"> </w:t>
      </w:r>
      <w:r>
        <w:t xml:space="preserve">Affordability, access to finance and extra capital costs</w:t>
      </w:r>
      <w:r>
        <w:t xml:space="preserve"> </w:t>
      </w:r>
      <w:r>
        <w:t xml:space="preserve">For vehicles with higher initial purchase prices, firms will require access to higher initial</w:t>
      </w:r>
      <w:r>
        <w:t xml:space="preserve"> </w:t>
      </w:r>
      <w:r>
        <w:t xml:space="preserve">capital, which is more limited for enterprises with lower earnings. As long as access to</w:t>
      </w:r>
      <w:r>
        <w:t xml:space="preserve"> </w:t>
      </w:r>
      <w:r>
        <w:t xml:space="preserve">finance and financing conditions are linked to the earning of the firms, those with lower</w:t>
      </w:r>
      <w:r>
        <w:t xml:space="preserve"> </w:t>
      </w:r>
      <w:r>
        <w:t xml:space="preserve">gross profits would find it harder to be able to acquire a vehicle due to credit restrictions.</w:t>
      </w:r>
      <w:r>
        <w:t xml:space="preserve"> </w:t>
      </w:r>
      <w:r>
        <w:t xml:space="preserve">That is, some firms may not be able to afford a vehicle with lower TCO, some will only</w:t>
      </w:r>
      <w:r>
        <w:t xml:space="preserve"> </w:t>
      </w:r>
      <w:r>
        <w:t xml:space="preserve">be able to do so with a loan, and others will have enough capital to cover the full upfront</w:t>
      </w:r>
      <w:r>
        <w:t xml:space="preserve"> </w:t>
      </w:r>
      <w:r>
        <w:t xml:space="preserve">price.</w:t>
      </w:r>
      <w:r>
        <w:t xml:space="preserve"> </w:t>
      </w:r>
      <w:r>
        <w:t xml:space="preserve">Those who need a loan would also need to pay interests, which in its turn increases total</w:t>
      </w:r>
      <w:r>
        <w:t xml:space="preserve"> </w:t>
      </w:r>
      <w:r>
        <w:t xml:space="preserve">capital costs that the firms face over the lifetime/ownership period. Affordability and</w:t>
      </w:r>
      <w:r>
        <w:t xml:space="preserve"> </w:t>
      </w:r>
      <w:r>
        <w:t xml:space="preserve">access to finance are considered as follows:</w:t>
      </w:r>
      <w:r>
        <w:t xml:space="preserve"> </w:t>
      </w:r>
      <w:r>
        <w:t xml:space="preserve"> First, the amount to be financed is calculated: in one case (expansion) it is</w:t>
      </w:r>
      <w:r>
        <w:t xml:space="preserve"> </w:t>
      </w:r>
      <w:r>
        <w:t xml:space="preserve">assumed to be the full vehicle price, and in another case (replacement) it is the</w:t>
      </w:r>
      <w:r>
        <w:t xml:space="preserve"> </w:t>
      </w:r>
      <w:r>
        <w:t xml:space="preserve">difference between full vehicle price and the residual value of the existent vehicle</w:t>
      </w:r>
      <w:r>
        <w:t xml:space="preserve"> </w:t>
      </w:r>
      <w:r>
        <w:t xml:space="preserve">(assumed to be an ICE vehicle of the same class). For used battery vehicles, it is</w:t>
      </w:r>
      <w:r>
        <w:t xml:space="preserve"> </w:t>
      </w:r>
      <w:r>
        <w:t xml:space="preserve">assumed that the battery replacement takes place at the moment of purchase and</w:t>
      </w:r>
      <w:r>
        <w:t xml:space="preserve"> </w:t>
      </w:r>
      <w:r>
        <w:t xml:space="preserve">the costs of this replacement are also being financed. Loan maturity is assumed to</w:t>
      </w:r>
      <w:r>
        <w:t xml:space="preserve"> </w:t>
      </w:r>
      <w:r>
        <w:t xml:space="preserve">be 7 years, to match the ownership period in TCO calculations and the usual</w:t>
      </w:r>
      <w:r>
        <w:t xml:space="preserve"> </w:t>
      </w:r>
      <w:r>
        <w:t xml:space="preserve">practice of the banks to finance purchase of a vehicle of these values. For more</w:t>
      </w:r>
      <w:r>
        <w:t xml:space="preserve"> </w:t>
      </w:r>
      <w:r>
        <w:t xml:space="preserve">expensive vehicles and powertrains, longer loan maturity could be appropriate.</w:t>
      </w:r>
      <w:r>
        <w:t xml:space="preserve"> </w:t>
      </w:r>
      <w:r>
        <w:t xml:space="preserve"> Second, loan payment is calculated using the assumption on group-specific</w:t>
      </w:r>
      <w:r>
        <w:t xml:space="preserve"> </w:t>
      </w:r>
      <w:r>
        <w:t xml:space="preserve">interest rate. It is assumed that up to 60% of gross profits can be used for loan</w:t>
      </w:r>
      <w:r>
        <w:t xml:space="preserve"> </w:t>
      </w:r>
      <w:r>
        <w:t xml:space="preserve">repayment, following common practice by banks with respect to liquidity ratio126.</w:t>
      </w:r>
    </w:p>
    <w:p>
      <w:pPr>
        <w:pStyle w:val="BodyText"/>
      </w:pPr>
      <w:r>
        <w:t xml:space="preserve">124 Analysis includes four vehicle classes (Class 2 (C2), Class 5 (C5), Class 9 (C9), Class 12 (C12, seven</w:t>
      </w:r>
      <w:r>
        <w:t xml:space="preserve"> </w:t>
      </w:r>
      <w:r>
        <w:t xml:space="preserve">powertrains (ICEV, BEV, FCEV, H2-ICEV, PHEV, BCEV, LNG-ICEV) and two vehicle age groups (1st</w:t>
      </w:r>
      <w:r>
        <w:t xml:space="preserve"> </w:t>
      </w:r>
      <w:r>
        <w:t xml:space="preserve">user, 0-5 years and 2nd user, 6-10 years).</w:t>
      </w:r>
      <w:r>
        <w:t xml:space="preserve"> </w:t>
      </w:r>
      <w:r>
        <w:t xml:space="preserve">125 Based on survey conducted by Oeko, the analysis assumes that the HDV vehicles are mainly bought and</w:t>
      </w:r>
      <w:r>
        <w:t xml:space="preserve"> </w:t>
      </w:r>
      <w:r>
        <w:t xml:space="preserve">owned.</w:t>
      </w:r>
      <w:r>
        <w:t xml:space="preserve"> </w:t>
      </w:r>
      <w:r>
        <w:t xml:space="preserve">126Ranges of liquidity rations accepted by banks vary from case to case and are Member State – and bank-</w:t>
      </w:r>
      <w:r>
        <w:t xml:space="preserve"> </w:t>
      </w:r>
      <w:r>
        <w:t xml:space="preserve">specific. As an example (case of Spain), see https://aptki.com/publicaciones/ratio-endeudamiento/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145</w:t>
      </w:r>
    </w:p>
    <w:p>
      <w:pPr>
        <w:pStyle w:val="BodyText"/>
      </w:pPr>
      <w:r>
        <w:t xml:space="preserve">So, if calculated loan payment exceeds 60% of firm’s gross profits, it is</w:t>
      </w:r>
      <w:r>
        <w:t xml:space="preserve"> </w:t>
      </w:r>
      <w:r>
        <w:t xml:space="preserve">concluded that this particular vehicle cannot be afforded by the firm.</w:t>
      </w:r>
      <w:r>
        <w:t xml:space="preserve"> </w:t>
      </w:r>
      <w:r>
        <w:t xml:space="preserve">Subjective TCO</w:t>
      </w:r>
      <w:r>
        <w:t xml:space="preserve"> </w:t>
      </w:r>
      <w:r>
        <w:t xml:space="preserve">A number of parameters need to be adjusted to depart from TCO calculated for average</w:t>
      </w:r>
      <w:r>
        <w:t xml:space="preserve"> </w:t>
      </w:r>
      <w:r>
        <w:t xml:space="preserve">user and aim at estimating TCO as perceived by each particular group of firms. In</w:t>
      </w:r>
      <w:r>
        <w:t xml:space="preserve"> </w:t>
      </w:r>
      <w:r>
        <w:t xml:space="preserve">addition to differences in interest rates, different firms have different discount rates,</w:t>
      </w:r>
      <w:r>
        <w:t xml:space="preserve"> </w:t>
      </w:r>
      <w:r>
        <w:t xml:space="preserve">reflecting time patience regarding their cash flows and the opportunity cost of capital.</w:t>
      </w:r>
      <w:r>
        <w:br/>
      </w:r>
      <w:r>
        <w:t xml:space="preserve">Subjective TCO is calculated according to standard TCO formula, but with two</w:t>
      </w:r>
      <w:r>
        <w:t xml:space="preserve"> </w:t>
      </w:r>
      <w:r>
        <w:t xml:space="preserve">modifications:</w:t>
      </w:r>
      <w:r>
        <w:t xml:space="preserve"> </w:t>
      </w:r>
      <w:r>
        <w:t xml:space="preserve"> In addition to vehicle price, interest payments are incorporated. At the end of user</w:t>
      </w:r>
      <w:r>
        <w:t xml:space="preserve"> </w:t>
      </w:r>
      <w:r>
        <w:t xml:space="preserve">life, it is assumed that the vehicle is sold, and the residual value of the vehicle is</w:t>
      </w:r>
      <w:r>
        <w:t xml:space="preserve"> </w:t>
      </w:r>
      <w:r>
        <w:t xml:space="preserve">subtracted.</w:t>
      </w:r>
      <w:r>
        <w:t xml:space="preserve"> </w:t>
      </w:r>
      <w:r>
        <w:t xml:space="preserve"> Firm-size specific discount rate is used to calculate present value of future loan</w:t>
      </w:r>
      <w:r>
        <w:t xml:space="preserve"> </w:t>
      </w:r>
      <w:r>
        <w:t xml:space="preserve">payments, fuel costs and operation, maintenance and insurance costs.</w:t>
      </w:r>
      <w:r>
        <w:br/>
      </w:r>
      <w:r>
        <w:t xml:space="preserve">Other barriers</w:t>
      </w:r>
      <w:r>
        <w:t xml:space="preserve"> </w:t>
      </w:r>
      <w:r>
        <w:t xml:space="preserve">In addition to access to credit and higher interest rates representing a financial barrier for</w:t>
      </w:r>
      <w:r>
        <w:t xml:space="preserve"> </w:t>
      </w:r>
      <w:r>
        <w:t xml:space="preserve">smaller enterprises, there are other barriers for EV uptake for some groups of the</w:t>
      </w:r>
      <w:r>
        <w:t xml:space="preserve"> </w:t>
      </w:r>
      <w:r>
        <w:t xml:space="preserve">enterprises.</w:t>
      </w:r>
      <w:r>
        <w:t xml:space="preserve"> </w:t>
      </w:r>
      <w:r>
        <w:t xml:space="preserve">First, upfront costs for depot (overnight) charging (not included in this analysis)</w:t>
      </w:r>
      <w:r>
        <w:t xml:space="preserve"> </w:t>
      </w:r>
      <w:r>
        <w:t xml:space="preserve">represent an additional need for investment. Smaller enterprises might find own charging</w:t>
      </w:r>
      <w:r>
        <w:t xml:space="preserve"> </w:t>
      </w:r>
      <w:r>
        <w:t xml:space="preserve">not affordable, meaning they may be forced to rely on more costly public infrastructure.</w:t>
      </w:r>
      <w:r>
        <w:t xml:space="preserve"> </w:t>
      </w:r>
      <w:r>
        <w:t xml:space="preserve">It will also be harder for them to go through the process due to more limited</w:t>
      </w:r>
      <w:r>
        <w:t xml:space="preserve"> </w:t>
      </w:r>
      <w:r>
        <w:t xml:space="preserve">understanding of charging requirements (e.g. installation process, charger, location,</w:t>
      </w:r>
      <w:r>
        <w:t xml:space="preserve"> </w:t>
      </w:r>
      <w:r>
        <w:t xml:space="preserve">charger suitability and network constraints), lack of understanding, awareness of</w:t>
      </w:r>
      <w:r>
        <w:t xml:space="preserve"> </w:t>
      </w:r>
      <w:r>
        <w:t xml:space="preserve">technical or commercial solutions available to reduce connection costs; and suitability of</w:t>
      </w:r>
      <w:r>
        <w:t xml:space="preserve"> </w:t>
      </w:r>
      <w:r>
        <w:t xml:space="preserve">these to individual SMEs.127</w:t>
      </w:r>
      <w:r>
        <w:t xml:space="preserve"> </w:t>
      </w:r>
      <w:r>
        <w:t xml:space="preserve">Second, access to information about financial options and lack of capacity to compare</w:t>
      </w:r>
      <w:r>
        <w:t xml:space="preserve"> </w:t>
      </w:r>
      <w:r>
        <w:t xml:space="preserve">among different financial offers is already implicitly reflected through the different</w:t>
      </w:r>
      <w:r>
        <w:t xml:space="preserve"> </w:t>
      </w:r>
      <w:r>
        <w:t xml:space="preserve">interest rates. It, however, constitutes a barrier on its own, as this may disincentivise</w:t>
      </w:r>
      <w:r>
        <w:t xml:space="preserve"> </w:t>
      </w:r>
      <w:r>
        <w:t xml:space="preserve">smaller enterprise from exploring ‘new’ powertrains.</w:t>
      </w:r>
      <w:r>
        <w:t xml:space="preserve"> </w:t>
      </w:r>
      <w:r>
        <w:t xml:space="preserve">Third, potentially, SMEs are more sensitive to global shocks and supply chain</w:t>
      </w:r>
      <w:r>
        <w:t xml:space="preserve"> </w:t>
      </w:r>
      <w:r>
        <w:t xml:space="preserve">disruptions (as their operations are somewhat more regional), and this may affect firm</w:t>
      </w:r>
      <w:r>
        <w:t xml:space="preserve"> </w:t>
      </w:r>
      <w:r>
        <w:t xml:space="preserve">survival and ability to repay the debt, possibly causing some SMEs to ‘shy away’ from</w:t>
      </w:r>
      <w:r>
        <w:t xml:space="preserve"> </w:t>
      </w:r>
      <w:r>
        <w:t xml:space="preserve">large loans or unwillingness of banks to extend these loans to the SMEs. These patterns</w:t>
      </w:r>
      <w:r>
        <w:t xml:space="preserve"> </w:t>
      </w:r>
      <w:r>
        <w:t xml:space="preserve">are reflected by higher loan rejection rates, as the statistics from the European Central</w:t>
      </w:r>
      <w:r>
        <w:t xml:space="preserve"> </w:t>
      </w:r>
      <w:r>
        <w:t xml:space="preserve">Bank and Eurostat illustrate128.</w:t>
      </w:r>
      <w:r>
        <w:br/>
      </w:r>
      <w:r>
        <w:t xml:space="preserve">Finally, access to information and lack of consumer awareness about potential savings</w:t>
      </w:r>
      <w:r>
        <w:t xml:space="preserve"> </w:t>
      </w:r>
      <w:r>
        <w:t xml:space="preserve">may also limit uptake of alternative powertrains for smaller enterprises, despite of them</w:t>
      </w:r>
      <w:r>
        <w:t xml:space="preserve"> </w:t>
      </w:r>
      <w:r>
        <w:t xml:space="preserve">being affordable financially and having lower TCO.</w:t>
      </w:r>
      <w:r>
        <w:t xml:space="preserve"> </w:t>
      </w:r>
      <w:r>
        <w:t xml:space="preserve">It must be acknowledged, however, that thanks to numerous EU and Member States</w:t>
      </w:r>
      <w:r>
        <w:t xml:space="preserve"> </w:t>
      </w:r>
      <w:r>
        <w:t xml:space="preserve">individual policies targeted to SMEs and banking sector, many these factors are being</w:t>
      </w:r>
      <w:r>
        <w:t xml:space="preserve"> </w:t>
      </w:r>
      <w:r>
        <w:t xml:space="preserve">alleviated. Examples of such policies include grants to help purchase a certain vehicle,</w:t>
      </w:r>
    </w:p>
    <w:p>
      <w:pPr>
        <w:pStyle w:val="BodyText"/>
      </w:pPr>
      <w:r>
        <w:t xml:space="preserve">127 https://innovation.ukpowernetworks.co.uk/wp-content/uploads/2022/02/Final-Report-January-2022.pdf</w:t>
      </w:r>
      <w:r>
        <w:t xml:space="preserve"> </w:t>
      </w:r>
      <w:r>
        <w:t xml:space="preserve">128 https://www.ecb.europa.eu/stats/accesstofinancesofenterprises/pdf/ecb.safe202111~0380b0c0a2.en.pdf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146</w:t>
      </w:r>
    </w:p>
    <w:p>
      <w:pPr>
        <w:pStyle w:val="BodyText"/>
      </w:pPr>
      <w:r>
        <w:t xml:space="preserve">specifically for SMEs, collaboration with banks to make the loans less costly and more</w:t>
      </w:r>
      <w:r>
        <w:t xml:space="preserve"> </w:t>
      </w:r>
      <w:r>
        <w:t xml:space="preserve">accessible in general.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147</w:t>
      </w:r>
    </w:p>
    <w:p>
      <w:pPr>
        <w:pStyle w:val="BodyText"/>
      </w:pPr>
      <w:r>
        <w:t xml:space="preserve">18.5.3</w:t>
      </w:r>
      <w:r>
        <w:t xml:space="preserve"> </w:t>
      </w:r>
      <w:r>
        <w:t xml:space="preserve">Results</w:t>
      </w:r>
      <w:r>
        <w:t xml:space="preserve"> </w:t>
      </w:r>
      <w:r>
        <w:t xml:space="preserve">Affordability and access to finance</w:t>
      </w:r>
      <w:r>
        <w:t xml:space="preserve"> </w:t>
      </w:r>
      <w:r>
        <w:t xml:space="preserve">Table 33 summarises the results on affordability analysis for the baseline and the</w:t>
      </w:r>
      <w:r>
        <w:t xml:space="preserve"> </w:t>
      </w:r>
      <w:r>
        <w:t xml:space="preserve">scenario ambition options in the years 2030, 2035 and 2040. Only Micro enterprises are</w:t>
      </w:r>
      <w:r>
        <w:t xml:space="preserve"> </w:t>
      </w:r>
      <w:r>
        <w:t xml:space="preserve">included as only they are affected by affordability considerations.</w:t>
      </w:r>
      <w:r>
        <w:br/>
      </w:r>
      <w:r>
        <w:t xml:space="preserve">A colour code included in the legend was designed to depict the differences across</w:t>
      </w:r>
      <w:r>
        <w:t xml:space="preserve"> </w:t>
      </w:r>
      <w:r>
        <w:t xml:space="preserve">scenarios for each vehicle class, powertrain, timeframe and the enterprise size. The</w:t>
      </w:r>
      <w:r>
        <w:t xml:space="preserve"> </w:t>
      </w:r>
      <w:r>
        <w:t xml:space="preserve">results also illustrate starting from which firm size a certain powertrains become</w:t>
      </w:r>
      <w:r>
        <w:t xml:space="preserve"> </w:t>
      </w:r>
      <w:r>
        <w:t xml:space="preserve">affordable, for each scenario.</w:t>
      </w:r>
      <w:r>
        <w:br/>
      </w:r>
      <w:r>
        <w:t xml:space="preserve">Large, Medium, and Small enterprises, have no affordability restrictions at any of the</w:t>
      </w:r>
      <w:r>
        <w:t xml:space="preserve"> </w:t>
      </w:r>
      <w:r>
        <w:t xml:space="preserve">scenarios. For Micro enterprises also, in general, affordability does not seem to be a</w:t>
      </w:r>
      <w:r>
        <w:t xml:space="preserve"> </w:t>
      </w:r>
      <w:r>
        <w:t xml:space="preserve">critical issue. While Micro enterprise will face some affordability restrictions, these</w:t>
      </w:r>
      <w:r>
        <w:t xml:space="preserve"> </w:t>
      </w:r>
      <w:r>
        <w:t xml:space="preserve">restrictions do not vary across scenarios. In general, ZEV become affordable in later</w:t>
      </w:r>
      <w:r>
        <w:t xml:space="preserve"> </w:t>
      </w:r>
      <w:r>
        <w:t xml:space="preserve">periods and are affordable in 2040 in all analysed groups. These trends are somewhat</w:t>
      </w:r>
      <w:r>
        <w:t xml:space="preserve"> </w:t>
      </w:r>
      <w:r>
        <w:t xml:space="preserve">more pronounced in higher ambition scenarios for class 5.</w:t>
      </w:r>
      <w:r>
        <w:t xml:space="preserve"> </w:t>
      </w:r>
      <w:r>
        <w:t xml:space="preserve">The following Heavy (Class 5 Long Haul, Class 9 Municipal Utility and Class 12</w:t>
      </w:r>
      <w:r>
        <w:t xml:space="preserve"> </w:t>
      </w:r>
      <w:r>
        <w:t xml:space="preserve">Construction) and medium lorries (Class 2 Regional Delivery) are analysed. To get the</w:t>
      </w:r>
      <w:r>
        <w:t xml:space="preserve"> </w:t>
      </w:r>
      <w:r>
        <w:t xml:space="preserve">average TCOs, the sales numbers by vehicle class and powertrain in each scenario has</w:t>
      </w:r>
      <w:r>
        <w:t xml:space="preserve"> </w:t>
      </w:r>
      <w:r>
        <w:t xml:space="preserve">been used as weights129.</w:t>
      </w:r>
      <w:r>
        <w:t xml:space="preserve"> </w:t>
      </w:r>
      <w:r>
        <w:t xml:space="preserve">Table 33 Overview of unaffordable vehicle types (powertrains) and segments for</w:t>
      </w:r>
      <w:r>
        <w:t xml:space="preserve"> </w:t>
      </w:r>
      <w:r>
        <w:t xml:space="preserve">micro enterprises under the baseline and scenario options in 2030, 2035 and 2040</w:t>
      </w:r>
    </w:p>
    <w:p>
      <w:pPr>
        <w:pStyle w:val="BodyText"/>
      </w:pPr>
      <w:r>
        <w:t xml:space="preserve">Legend: Green (affordable at all scenarios); red (not affordable in any scenario);ZEV=</w:t>
      </w:r>
      <w:r>
        <w:t xml:space="preserve"> </w:t>
      </w:r>
      <w:r>
        <w:t xml:space="preserve">either BEV, FCEV or H2-ICE.</w:t>
      </w:r>
    </w:p>
    <w:p>
      <w:pPr>
        <w:pStyle w:val="BodyText"/>
      </w:pPr>
      <w:r>
        <w:t xml:space="preserve">Subjective TCO</w:t>
      </w:r>
      <w:r>
        <w:t xml:space="preserve"> </w:t>
      </w:r>
      <w:r>
        <w:t xml:space="preserve">It has been assessed how each of the scenario options affects subjective TCO for</w:t>
      </w:r>
      <w:r>
        <w:t xml:space="preserve"> </w:t>
      </w:r>
      <w:r>
        <w:t xml:space="preserve">affordable options, as compared to the baseline. For all scenarios, additional TCO and</w:t>
      </w:r>
      <w:r>
        <w:t xml:space="preserve"> </w:t>
      </w:r>
      <w:r>
        <w:t xml:space="preserve">absolute net savings are positively associated with firms’ earnings. Figure 38 and Figure</w:t>
      </w:r>
      <w:r>
        <w:t xml:space="preserve"> </w:t>
      </w:r>
      <w:r>
        <w:t xml:space="preserve">39 show the changes in subjective TCO per year (only accounting for the affordable</w:t>
      </w:r>
    </w:p>
    <w:p>
      <w:pPr>
        <w:pStyle w:val="BodyText"/>
      </w:pPr>
      <w:r>
        <w:t xml:space="preserve">129 Where more than one vehicle class is included in the group, in order for the results not to be biased by</w:t>
      </w:r>
      <w:r>
        <w:t xml:space="preserve"> </w:t>
      </w:r>
      <w:r>
        <w:t xml:space="preserve">the total fleet evolution for each class, the total fleet for each class is normalized to year 2030 for each</w:t>
      </w:r>
      <w:r>
        <w:t xml:space="preserve"> </w:t>
      </w:r>
      <w:r>
        <w:t xml:space="preserve">scenario.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Class 12</w:t>
      </w:r>
      <w:r>
        <w:t xml:space="preserve"> </w:t>
      </w:r>
      <w:r>
        <w:t xml:space="preserve">CI ICE 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ZEV e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Class 2</w:t>
      </w:r>
      <w:r>
        <w:t xml:space="preserve"> </w:t>
      </w:r>
      <w:r>
        <w:t xml:space="preserve">CI ICE 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CI PHEV 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ZEV 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Class 5</w:t>
      </w:r>
      <w:r>
        <w:t xml:space="preserve"> </w:t>
      </w:r>
      <w:r>
        <w:t xml:space="preserve">CI ICE 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CI PHEV 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ZEV e</w:t>
      </w:r>
      <w:r>
        <w:t xml:space="preserve"> </w:t>
      </w:r>
      <w:r>
        <w:t xml:space="preserve">e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Class 9</w:t>
      </w:r>
      <w:r>
        <w:t xml:space="preserve"> </w:t>
      </w:r>
      <w:r>
        <w:t xml:space="preserve">CI ICE 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ZEV 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a</w:t>
      </w:r>
      <w:r>
        <w:t xml:space="preserve"> </w:t>
      </w:r>
      <w:r>
        <w:t xml:space="preserve">Replacement case</w:t>
      </w:r>
      <w:r>
        <w:t xml:space="preserve"> </w:t>
      </w:r>
      <w:r>
        <w:t xml:space="preserve">First user</w:t>
      </w:r>
      <w:r>
        <w:t xml:space="preserve"> </w:t>
      </w:r>
      <w:r>
        <w:t xml:space="preserve">Second user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148</w:t>
      </w:r>
    </w:p>
    <w:p>
      <w:pPr>
        <w:pStyle w:val="BodyText"/>
      </w:pPr>
      <w:r>
        <w:t xml:space="preserve">vehicles option per company size) divided by the average annual earnings per employee</w:t>
      </w:r>
      <w:r>
        <w:t xml:space="preserve"> </w:t>
      </w:r>
      <w:r>
        <w:t xml:space="preserve">for different scenarios, as compared to the baseline. A negative value indicates cost</w:t>
      </w:r>
      <w:r>
        <w:t xml:space="preserve"> </w:t>
      </w:r>
      <w:r>
        <w:t xml:space="preserve">savings.</w:t>
      </w:r>
      <w:r>
        <w:t xml:space="preserve"> </w:t>
      </w:r>
      <w:r>
        <w:t xml:space="preserve">Figure 38 Average “subjective” TCO changes for Heavy Lorries (% of gross</w:t>
      </w:r>
      <w:r>
        <w:t xml:space="preserve"> </w:t>
      </w:r>
      <w:r>
        <w:t xml:space="preserve">earnings per employee) for firm sizes across scenarios for a vehicle purchased in</w:t>
      </w:r>
      <w:r>
        <w:t xml:space="preserve"> </w:t>
      </w:r>
      <w:r>
        <w:t xml:space="preserve">2030, 2035 and 2040</w:t>
      </w:r>
    </w:p>
    <w:p>
      <w:pPr>
        <w:pStyle w:val="BodyText"/>
      </w:pPr>
      <w:r>
        <w:t xml:space="preserve">Note: Negative values represent savings.</w:t>
      </w:r>
      <w:r>
        <w:br/>
      </w:r>
      <w:r>
        <w:t xml:space="preserve">Figure 39 Average “subjective” TCO changes for Small Lorries (% of gross</w:t>
      </w:r>
      <w:r>
        <w:t xml:space="preserve"> </w:t>
      </w:r>
      <w:r>
        <w:t xml:space="preserve">earnings per employee) for firm sizes across scenarios for a vehicle purchased in</w:t>
      </w:r>
      <w:r>
        <w:t xml:space="preserve"> </w:t>
      </w:r>
      <w:r>
        <w:t xml:space="preserve">2030, 2035 and 2040</w:t>
      </w:r>
    </w:p>
    <w:p>
      <w:pPr>
        <w:pStyle w:val="BodyText"/>
      </w:pPr>
      <w:r>
        <w:t xml:space="preserve">Note: Negative values represent savings.</w:t>
      </w:r>
      <w:r>
        <w:br/>
      </w:r>
      <w:r>
        <w:t xml:space="preserve">The figures show that also SMEs would see savings, which are higher, relative to the</w:t>
      </w:r>
      <w:r>
        <w:t xml:space="preserve"> </w:t>
      </w:r>
      <w:r>
        <w:t xml:space="preserve">gross earnings per employee, for smaller companies. This result is partially driven by the</w:t>
      </w:r>
      <w:r>
        <w:t xml:space="preserve"> </w:t>
      </w:r>
      <w:r>
        <w:t xml:space="preserve">fact that even the same differences in technology costs would imply higher differences in</w:t>
      </w:r>
      <w:r>
        <w:t xml:space="preserve"> </w:t>
      </w:r>
      <w:r>
        <w:t xml:space="preserve">savings across scenarios for smaller enterprises, when the savings are expressed in shares</w:t>
      </w:r>
      <w:r>
        <w:t xml:space="preserve"> </w:t>
      </w:r>
      <w:r>
        <w:t xml:space="preserve">of annual earnings. It has to be, however, highlighted that the benefits for the smaller</w:t>
      </w:r>
      <w:r>
        <w:t xml:space="preserve"> </w:t>
      </w:r>
      <w:r>
        <w:t xml:space="preserve">enterprises may be delayed in some cases, until they are able to access these more</w:t>
      </w:r>
      <w:r>
        <w:t xml:space="preserve"> </w:t>
      </w:r>
      <w:r>
        <w:t xml:space="preserve">efficient vehicles in the second-hand market. Therefore, the faster these vehicles become</w:t>
      </w:r>
      <w:r>
        <w:t xml:space="preserve"> </w:t>
      </w:r>
      <w:r>
        <w:t xml:space="preserve">available on the second-hand market, the faster the benefits for the smaller enterprises</w:t>
      </w:r>
      <w:r>
        <w:t xml:space="preserve"> </w:t>
      </w:r>
      <w:r>
        <w:t xml:space="preserve">will materialise.</w:t>
      </w:r>
      <w:r>
        <w:t xml:space="preserve"> </w:t>
      </w:r>
      <w:r>
        <w:t xml:space="preserve">The results are broadly consistent across scenarios and vehicle groups. On aggregate,</w:t>
      </w:r>
      <w:r>
        <w:t xml:space="preserve"> </w:t>
      </w:r>
      <w:r>
        <w:t xml:space="preserve">Micro and Small enterprises are projected to see higher net saving relative to their gross</w:t>
      </w:r>
      <w:r>
        <w:t xml:space="preserve"> </w:t>
      </w:r>
      <w:r>
        <w:t xml:space="preserve">profit per employee compared to Medium and Large enterprise. On aggregate, the</w:t>
      </w:r>
      <w:r>
        <w:t xml:space="preserve"> </w:t>
      </w:r>
      <w:r>
        <w:t xml:space="preserve">expected additional costs and savings are also increasing with the level of ambition of the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149</w:t>
      </w:r>
    </w:p>
    <w:p>
      <w:pPr>
        <w:pStyle w:val="BodyText"/>
      </w:pPr>
      <w:r>
        <w:t xml:space="preserve">CO2 emission standards and with time. Larger enterprises are expected to benefit less</w:t>
      </w:r>
      <w:r>
        <w:t xml:space="preserve"> </w:t>
      </w:r>
      <w:r>
        <w:t xml:space="preserve">from higher ambition scenarios and will see lower increases in saving with time,</w:t>
      </w:r>
      <w:r>
        <w:t xml:space="preserve"> </w:t>
      </w:r>
      <w:r>
        <w:t xml:space="preserve">compared to smaller enterprises.</w:t>
      </w:r>
      <w:r>
        <w:t xml:space="preserve"> </w:t>
      </w:r>
      <w:r>
        <w:t xml:space="preserve">18.5.4</w:t>
      </w:r>
      <w:r>
        <w:t xml:space="preserve"> </w:t>
      </w:r>
      <w:r>
        <w:t xml:space="preserve">Conclusions</w:t>
      </w:r>
      <w:r>
        <w:t xml:space="preserve"> </w:t>
      </w:r>
      <w:r>
        <w:t xml:space="preserve">In summary, the main results of the analysis show:</w:t>
      </w:r>
      <w:r>
        <w:t xml:space="preserve"> </w:t>
      </w:r>
      <w:r>
        <w:t xml:space="preserve"> Large, medium, and small enterprises, have no affordability restrictions at any of</w:t>
      </w:r>
      <w:r>
        <w:t xml:space="preserve"> </w:t>
      </w:r>
      <w:r>
        <w:t xml:space="preserve">the scenarios. Micro enterprises face some restrictions at the first user market</w:t>
      </w:r>
      <w:r>
        <w:t xml:space="preserve"> </w:t>
      </w:r>
      <w:r>
        <w:t xml:space="preserve">especially for xEVs in early years, but they still can access these vehicles on the</w:t>
      </w:r>
      <w:r>
        <w:t xml:space="preserve"> </w:t>
      </w:r>
      <w:r>
        <w:t xml:space="preserve">second user market. These restrictions do not vary across scenarios significantly.</w:t>
      </w:r>
      <w:r>
        <w:t xml:space="preserve"> </w:t>
      </w:r>
      <w:r>
        <w:t xml:space="preserve">There are some differences in affordability restrictions for Micro enterprise,</w:t>
      </w:r>
      <w:r>
        <w:t xml:space="preserve"> </w:t>
      </w:r>
      <w:r>
        <w:t xml:space="preserve">depending on whether the purchased vehicle is intended to replace an old one</w:t>
      </w:r>
      <w:r>
        <w:t xml:space="preserve"> </w:t>
      </w:r>
      <w:r>
        <w:t xml:space="preserve">from existing fleet or to increase the fleet. In general, there are less affordability</w:t>
      </w:r>
      <w:r>
        <w:t xml:space="preserve"> </w:t>
      </w:r>
      <w:r>
        <w:t xml:space="preserve">issues in replacement case than in the expansion case for Micro enterprises.</w:t>
      </w:r>
      <w:r>
        <w:t xml:space="preserve"> </w:t>
      </w:r>
      <w:r>
        <w:t xml:space="preserve"> From a TCO perspective for the affordable options, smaller enterprises are</w:t>
      </w:r>
      <w:r>
        <w:t xml:space="preserve"> </w:t>
      </w:r>
      <w:r>
        <w:t xml:space="preserve">projected to see higher savings relative to their annual income. These relative</w:t>
      </w:r>
      <w:r>
        <w:t xml:space="preserve"> </w:t>
      </w:r>
      <w:r>
        <w:t xml:space="preserve">additional savings and costs increase with higher target levels.</w:t>
      </w:r>
    </w:p>
    <w:p>
      <w:pPr>
        <w:pStyle w:val="BodyText"/>
      </w:pPr>
      <w:r>
        <w:t xml:space="preserve">1.46. 18.6</w:t>
      </w:r>
      <w:r>
        <w:t xml:space="preserve"> </w:t>
      </w:r>
      <w:r>
        <w:t xml:space="preserve">Fuel Crediting System – Assumptions and Methodologies for</w:t>
      </w:r>
      <w:r>
        <w:t xml:space="preserve"> </w:t>
      </w:r>
      <w:r>
        <w:t xml:space="preserve">the economic impacts</w:t>
      </w:r>
      <w:r>
        <w:t xml:space="preserve"> </w:t>
      </w:r>
      <w:r>
        <w:t xml:space="preserve">Introduction and data used</w:t>
      </w:r>
      <w:r>
        <w:t xml:space="preserve"> </w:t>
      </w:r>
      <w:r>
        <w:t xml:space="preserve">A cost impact analysis was carried out for the option FUEL2 to assess the cost impact for</w:t>
      </w:r>
      <w:r>
        <w:t xml:space="preserve"> </w:t>
      </w:r>
      <w:r>
        <w:t xml:space="preserve">the manufacturer, as well as for the vehicle users and society. These cost analyses were</w:t>
      </w:r>
      <w:r>
        <w:t xml:space="preserve"> </w:t>
      </w:r>
      <w:r>
        <w:t xml:space="preserve">performed for vehicles in subgroup 5 Long-Haul as well as for coaches (P32) with the</w:t>
      </w:r>
      <w:r>
        <w:t xml:space="preserve"> </w:t>
      </w:r>
      <w:r>
        <w:t xml:space="preserve">long-haul use case Coach.</w:t>
      </w:r>
      <w:r>
        <w:t xml:space="preserve"> </w:t>
      </w:r>
      <w:r>
        <w:t xml:space="preserve">Methodology and Assumptions</w:t>
      </w:r>
      <w:r>
        <w:br/>
      </w:r>
      <w:r>
        <w:t xml:space="preserve">To assess the costs of the fuels crediting system option, the costs for manufacturers</w:t>
      </w:r>
      <w:r>
        <w:t xml:space="preserve"> </w:t>
      </w:r>
      <w:r>
        <w:t xml:space="preserve">acquiring LCF credits are compared with the costs for further emission reductions</w:t>
      </w:r>
      <w:r>
        <w:t xml:space="preserve"> </w:t>
      </w:r>
      <w:r>
        <w:t xml:space="preserve">through different ZEV technologies. Therefore, for the purpose of this analysis, the cost</w:t>
      </w:r>
      <w:r>
        <w:t xml:space="preserve"> </w:t>
      </w:r>
      <w:r>
        <w:t xml:space="preserve">of compliance with the CO2 standards through an additional newly registered ZEV is the</w:t>
      </w:r>
      <w:r>
        <w:t xml:space="preserve"> </w:t>
      </w:r>
      <w:r>
        <w:t xml:space="preserve">reference against which the cost of compliance with LCF credits is assessed.</w:t>
      </w:r>
      <w:r>
        <w:br/>
      </w:r>
      <w:r>
        <w:t xml:space="preserve">As the FUEL2 option provides the opportunity to comply with the CO2 emission</w:t>
      </w:r>
      <w:r>
        <w:t xml:space="preserve"> </w:t>
      </w:r>
      <w:r>
        <w:t xml:space="preserve">standards with LCF credits instead of introducing zero-emission powertrains, the extra</w:t>
      </w:r>
      <w:r>
        <w:t xml:space="preserve"> </w:t>
      </w:r>
      <w:r>
        <w:t xml:space="preserve">costs for an additional ZLEV compared to the respective ICEV are related to the extra</w:t>
      </w:r>
      <w:r>
        <w:t xml:space="preserve"> </w:t>
      </w:r>
      <w:r>
        <w:t xml:space="preserve">costs that the manufacturer would have to pay to the fuel suppliers in order to achieve the</w:t>
      </w:r>
      <w:r>
        <w:t xml:space="preserve"> </w:t>
      </w:r>
      <w:r>
        <w:t xml:space="preserve">same level of CO2 savings as the ZLEV under the CO2 emission standards.</w:t>
      </w:r>
      <w:r>
        <w:br/>
      </w:r>
      <w:r>
        <w:t xml:space="preserve">To estimate the amount of LCF credits that an OEM needs to buy, a frontloading</w:t>
      </w:r>
      <w:r>
        <w:t xml:space="preserve"> </w:t>
      </w:r>
      <w:r>
        <w:t xml:space="preserve">approach is considered, which ensures that enough credits are available for the entire</w:t>
      </w:r>
      <w:r>
        <w:t xml:space="preserve"> </w:t>
      </w:r>
      <w:r>
        <w:t xml:space="preserve">lifetime of the vehicles. For these calculations, a mileage equal to that of 10 years of</w:t>
      </w:r>
      <w:r>
        <w:t xml:space="preserve"> </w:t>
      </w:r>
      <w:r>
        <w:t xml:space="preserve">driving with the mileage specified for the specific vehicle and use case in the Regulation</w:t>
      </w:r>
      <w:r>
        <w:t xml:space="preserve"> </w:t>
      </w:r>
      <w:r>
        <w:t xml:space="preserve">(EU) 2019/1242 is assumed for the subgroup 5 Long-Haul vehicle. An annual mileage of</w:t>
      </w:r>
      <w:r>
        <w:t xml:space="preserve"> </w:t>
      </w:r>
      <w:r>
        <w:t xml:space="preserve">100,000 km for the duration of 10 years was assumed for the coach (P32) and its Coach</w:t>
      </w:r>
      <w:r>
        <w:t xml:space="preserve"> </w:t>
      </w:r>
      <w:r>
        <w:t xml:space="preserve">use case130.</w:t>
      </w:r>
    </w:p>
    <w:p>
      <w:pPr>
        <w:pStyle w:val="BodyText"/>
      </w:pPr>
      <w:r>
        <w:t xml:space="preserve">130 This value was derived from analyses for this impact assessment.</w:t>
      </w:r>
    </w:p>
    <w:p>
      <w:pPr>
        <w:pStyle w:val="BodyText"/>
      </w:pPr>
      <w:r>
        <w:t xml:space="preserve">SENSITIVE</w:t>
      </w:r>
      <w:r>
        <w:t xml:space="preserve"> </w:t>
      </w:r>
      <w:r>
        <w:t xml:space="preserve">150</w:t>
      </w:r>
    </w:p>
    <w:p>
      <w:pPr>
        <w:pStyle w:val="BodyText"/>
      </w:pPr>
      <w:r>
        <w:t xml:space="preserve">In order to determine the level of emission savings from additional quantities of LCF, the</w:t>
      </w:r>
      <w:r>
        <w:t xml:space="preserve"> </w:t>
      </w:r>
      <w:r>
        <w:t xml:space="preserve">GHG emission values according to the RED calculation methodology are used, i.e. the</w:t>
      </w:r>
      <w:r>
        <w:t xml:space="preserve"> </w:t>
      </w:r>
      <w:r>
        <w:t xml:space="preserve">emission reduction is calculated from the difference between the respective LCF and the</w:t>
      </w:r>
      <w:r>
        <w:t xml:space="preserve"> </w:t>
      </w:r>
      <w:r>
        <w:t xml:space="preserve">RED fossil comparator of 94 g CO2e/MJ. The GHG emission values used for the LCF in</w:t>
      </w:r>
      <w:r>
        <w:t xml:space="preserve"> </w:t>
      </w:r>
      <w:r>
        <w:t xml:space="preserve">the calculation are from the calculations with PRIMES-TREMOVE and are 0 g CO2e/MJ</w:t>
      </w:r>
      <w:r>
        <w:t xml:space="preserve"> </w:t>
      </w:r>
      <w:r>
        <w:t xml:space="preserve">(RFNBO) and 24 - 26 g CO2e/MJ (advanced biofuels), respectively.</w:t>
      </w:r>
      <w:r>
        <w:br/>
      </w:r>
      <w:r>
        <w:t xml:space="preserve">The costs of additional quantities of advanced biodiesel and RFNBO are also in line with</w:t>
      </w:r>
      <w:r>
        <w:t xml:space="preserve"> </w:t>
      </w:r>
      <w:r>
        <w:t xml:space="preserve">the scenario calculations with PRIMES-TREMOVE and literature, respectively, and</w:t>
      </w:r>
      <w:r>
        <w:t xml:space="preserve"> </w:t>
      </w:r>
      <w:r>
        <w:t xml:space="preserve">represent the marginal costs for additional quantities of LCF production. These costs are</w:t>
      </w:r>
      <w:r>
        <w:t xml:space="preserve"> </w:t>
      </w:r>
      <w:r>
        <w:t xml:space="preserve">also consistent with collected literature values for the RED Impact Assessment (notably</w:t>
      </w:r>
      <w:r>
        <w:t xml:space="preserve"> </w:t>
      </w:r>
      <w:r>
        <w:t xml:space="preserve">those presented in its Figure 31).</w:t>
      </w:r>
      <w:r>
        <w:t xml:space="preserve"> </w:t>
      </w:r>
      <w:r>
        <w:t xml:space="preserve">Concerning the production costs of RFNBO diesel and petrol, though many of the</w:t>
      </w:r>
      <w:r>
        <w:t xml:space="preserve"> </w:t>
      </w:r>
      <w:r>
        <w:t xml:space="preserve">necessary processes are well developed and are used in industrial processes today, no</w:t>
      </w:r>
      <w:r>
        <w:t xml:space="preserve"> </w:t>
      </w:r>
      <w:r>
        <w:t xml:space="preserve">complete industrial-scale process chain is available today. First small-scale industrial</w:t>
      </w:r>
      <w:r>
        <w:t xml:space="preserve"> </w:t>
      </w:r>
      <w:r>
        <w:t xml:space="preserve">plants are being built. Therfore, the production costs of RFNBO today are multiple times</w:t>
      </w:r>
      <w:r>
        <w:t xml:space="preserve"> </w:t>
      </w:r>
      <w:r>
        <w:t xml:space="preserve">the costs of fossil fuels. Due to decreasing investment costs, especially for electrolysers,</w:t>
      </w:r>
      <w:r>
        <w:t xml:space="preserve"> </w:t>
      </w:r>
      <w:r>
        <w:t xml:space="preserve">increasing process efficiency and decreasing electricity generation costs, the production</w:t>
      </w:r>
      <w:r>
        <w:t xml:space="preserve"> </w:t>
      </w:r>
      <w:r>
        <w:t xml:space="preserve">costs of RFNBO can be expected to decrease significantly over time.</w:t>
      </w:r>
      <w:r>
        <w:br/>
      </w:r>
      <w:r>
        <w:t xml:space="preserve">The same assumptions are also used for the user and societal perspective, through the</w:t>
      </w:r>
      <w:r>
        <w:t xml:space="preserve"> </w:t>
      </w:r>
      <w:r>
        <w:t xml:space="preserve">calculation of the total cost of ownership (TCO). This includes not only the technology</w:t>
      </w:r>
      <w:r>
        <w:t xml:space="preserve"> </w:t>
      </w:r>
      <w:r>
        <w:t xml:space="preserve">costs that are decisive for the manufacturer to comply with the CO2 emission standards</w:t>
      </w:r>
      <w:r>
        <w:t xml:space="preserve"> </w:t>
      </w:r>
      <w:r>
        <w:t xml:space="preserve">and that are reflected in the purchase price of the vehicles, but also the costs that arise</w:t>
      </w:r>
      <w:r>
        <w:t xml:space="preserve"> </w:t>
      </w:r>
      <w:r>
        <w:t xml:space="preserve">during the use of the vehicles. These consist of the energy costs as well as O&amp;M costs for</w:t>
      </w:r>
      <w:r>
        <w:t xml:space="preserve"> </w:t>
      </w:r>
      <w:r>
        <w:t xml:space="preserve">insurance, vehicle taxes and vehicle maintenance. The cost assumptions required for this</w:t>
      </w:r>
      <w:r>
        <w:t xml:space="preserve"> </w:t>
      </w:r>
      <w:r>
        <w:t xml:space="preserve">purpose were obtained from the scenario calculations with PRIMES-TREMOVE.</w:t>
      </w:r>
      <w:r>
        <w:t xml:space="preserve"> </w:t>
      </w:r>
      <w:r>
        <w:t xml:space="preserve">The additional technology costs compared to an ICEV, which are caused by either the</w:t>
      </w:r>
      <w:r>
        <w:t xml:space="preserve"> </w:t>
      </w:r>
      <w:r>
        <w:t xml:space="preserve">crediting of emission savings from LCF or an additional ZLEV, are part the cost</w:t>
      </w:r>
      <w:r>
        <w:t xml:space="preserve"> </w:t>
      </w:r>
      <w:r>
        <w:t xml:space="preserve">comparison from the user’s and the societal perspective between the different possible</w:t>
      </w:r>
      <w:r>
        <w:t xml:space="preserve"> </w:t>
      </w:r>
      <w:r>
        <w:t xml:space="preserve">compliance strategies of the manufacturers. In these calculations it is also considered that</w:t>
      </w:r>
      <w:r>
        <w:t xml:space="preserve"> </w:t>
      </w:r>
      <w:r>
        <w:t xml:space="preserve">both strategies have the same emission reduction impact for meeting the CO2 emission</w:t>
      </w:r>
      <w:r>
        <w:t xml:space="preserve"> </w:t>
      </w:r>
      <w:r>
        <w:t xml:space="preserve">standards.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5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9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0">
    <w:abstractNumId w:val="991"/>
  </w:num>
  <w:num w:numId="1011">
    <w:abstractNumId w:val="991"/>
  </w:num>
  <w:num w:numId="101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3">
    <w:abstractNumId w:val="991"/>
  </w:num>
  <w:num w:numId="1014">
    <w:abstractNumId w:val="991"/>
  </w:num>
  <w:num w:numId="1015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6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2026-07-31T16:48:22Z</dcterms:created>
  <dcterms:modified xsi:type="dcterms:W3CDTF">2026-07-31T16:48:22Z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