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26.1.2024</w:t>
      </w:r>
      <w:r>
        <w:br/>
      </w:r>
      <w:r>
        <w:t xml:space="preserve">SWD(2024) 15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Directive of the European Parliament and of the Council</w:t>
      </w:r>
      <w:r>
        <w:t xml:space="preserve"> </w:t>
      </w:r>
      <w:r>
        <w:t xml:space="preserve">amending Directive 2005/44/EC on harmonised river information services (RIS) on</w:t>
      </w:r>
      <w:r>
        <w:t xml:space="preserve"> </w:t>
      </w:r>
      <w:r>
        <w:t xml:space="preserve">inland waterways in the Community</w:t>
      </w:r>
      <w:r>
        <w:t xml:space="preserve"> </w:t>
      </w:r>
      <w:r>
        <w:t xml:space="preserve">{COM(2024) 33 final} - {SEC(2024) 38 final} - {SWD(2024) 16 final}</w:t>
      </w:r>
    </w:p>
    <w:p>
      <w:pPr>
        <w:pStyle w:val="BodyText"/>
      </w:pPr>
      <w:r>
        <w:t xml:space="preserve">I</w:t>
      </w:r>
      <w:r>
        <w:t xml:space="preserve"> </w:t>
      </w:r>
      <w:r>
        <w:t xml:space="preserve">Table of contents</w:t>
      </w:r>
      <w:r>
        <w:t xml:space="preserve"> </w:t>
      </w:r>
      <w:r>
        <w:t xml:space="preserve">1</w:t>
      </w:r>
      <w:r>
        <w:t xml:space="preserve"> </w:t>
      </w:r>
      <w:r>
        <w:t xml:space="preserve">INTRODUCTION …………………………………………………………………………………………. 1</w:t>
      </w:r>
      <w:r>
        <w:t xml:space="preserve"> </w:t>
      </w:r>
      <w:r>
        <w:t xml:space="preserve">1.1</w:t>
      </w:r>
      <w:r>
        <w:t xml:space="preserve"> </w:t>
      </w:r>
      <w:r>
        <w:t xml:space="preserve">Context ……………………………………………………………………………………………….. 1</w:t>
      </w:r>
      <w:r>
        <w:t xml:space="preserve"> </w:t>
      </w:r>
      <w:r>
        <w:t xml:space="preserve">1.2</w:t>
      </w:r>
      <w:r>
        <w:t xml:space="preserve"> </w:t>
      </w:r>
      <w:r>
        <w:t xml:space="preserve">What are River Information Services (RIS) ……………………………………………… 3</w:t>
      </w:r>
      <w:r>
        <w:t xml:space="preserve"> </w:t>
      </w:r>
      <w:r>
        <w:t xml:space="preserve">1.3</w:t>
      </w:r>
      <w:r>
        <w:t xml:space="preserve"> </w:t>
      </w:r>
      <w:r>
        <w:t xml:space="preserve">Political and legal context ……………………………………………………………………… 4</w:t>
      </w:r>
      <w:r>
        <w:t xml:space="preserve"> </w:t>
      </w:r>
      <w:r>
        <w:t xml:space="preserve">1.4</w:t>
      </w:r>
      <w:r>
        <w:t xml:space="preserve"> </w:t>
      </w:r>
      <w:r>
        <w:t xml:space="preserve">Evaluation of the RIS Directive ……………………………………………………………… 9</w:t>
      </w:r>
      <w:r>
        <w:t xml:space="preserve"> </w:t>
      </w:r>
      <w:r>
        <w:t xml:space="preserve">1.5</w:t>
      </w:r>
      <w:r>
        <w:t xml:space="preserve"> </w:t>
      </w:r>
      <w:r>
        <w:t xml:space="preserve">Sustainable Development Goals ……………………………………………………………. 10</w:t>
      </w:r>
      <w:r>
        <w:t xml:space="preserve"> </w:t>
      </w:r>
      <w:r>
        <w:t xml:space="preserve">2</w:t>
      </w:r>
      <w:r>
        <w:t xml:space="preserve"> </w:t>
      </w:r>
      <w:r>
        <w:t xml:space="preserve">PROBLEM DEFINITION ……………………………………………………………………………. 10</w:t>
      </w:r>
      <w:r>
        <w:t xml:space="preserve"> </w:t>
      </w:r>
      <w:r>
        <w:t xml:space="preserve">2.1</w:t>
      </w:r>
      <w:r>
        <w:t xml:space="preserve"> </w:t>
      </w:r>
      <w:r>
        <w:t xml:space="preserve">What is the problem? …………………………………………………………………………… 11</w:t>
      </w:r>
      <w:r>
        <w:t xml:space="preserve"> </w:t>
      </w:r>
      <w:r>
        <w:t xml:space="preserve">2.2</w:t>
      </w:r>
      <w:r>
        <w:t xml:space="preserve"> </w:t>
      </w:r>
      <w:r>
        <w:t xml:space="preserve">What are the problem drivers? ……………………………………………………………… 16</w:t>
      </w:r>
      <w:r>
        <w:t xml:space="preserve"> </w:t>
      </w:r>
      <w:r>
        <w:t xml:space="preserve">2.3</w:t>
      </w:r>
      <w:r>
        <w:t xml:space="preserve"> </w:t>
      </w:r>
      <w:r>
        <w:t xml:space="preserve">How likely is the problem to persist? …………………………………………………….. 22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 …………………………………………………………………… 24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 …………………………………………………………………………………………. 24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of EU action …………………………………………………….. 24</w:t>
      </w:r>
      <w:r>
        <w:t xml:space="preserve"> </w:t>
      </w:r>
      <w:r>
        <w:t xml:space="preserve">3.3</w:t>
      </w:r>
      <w:r>
        <w:t xml:space="preserve"> </w:t>
      </w:r>
      <w:r>
        <w:t xml:space="preserve">Subsidiarity: Added value of EU action …………………………………………………. 25</w:t>
      </w:r>
      <w:r>
        <w:t xml:space="preserve"> </w:t>
      </w:r>
      <w:r>
        <w:t xml:space="preserve">4</w:t>
      </w:r>
      <w:r>
        <w:t xml:space="preserve"> </w:t>
      </w:r>
      <w:r>
        <w:t xml:space="preserve">OBJECTIVES: WHAT IS TO BE ACHIEVED? …………………………………………….. 26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 ………………………………………………………………………………. 26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 ………………………………………………………………………………. 27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AVAILABLE POLICY OPTIONS? …………………………………… 28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 ……………………………. 28</w:t>
      </w:r>
      <w:r>
        <w:t xml:space="preserve"> </w:t>
      </w:r>
      <w:r>
        <w:t xml:space="preserve">5.2</w:t>
      </w:r>
      <w:r>
        <w:t xml:space="preserve"> </w:t>
      </w:r>
      <w:r>
        <w:t xml:space="preserve">Policy measures and policy options ………………………………………………………. 31</w:t>
      </w:r>
      <w:r>
        <w:t xml:space="preserve"> </w:t>
      </w:r>
      <w:r>
        <w:t xml:space="preserve">6</w:t>
      </w:r>
      <w:r>
        <w:t xml:space="preserve"> </w:t>
      </w:r>
      <w:r>
        <w:t xml:space="preserve">WHAT ARE THE IMPACTS OF THE POLICY OPTIONS? …………………………… 41</w:t>
      </w:r>
      <w:r>
        <w:t xml:space="preserve"> </w:t>
      </w:r>
      <w:r>
        <w:t xml:space="preserve">6.1</w:t>
      </w:r>
      <w:r>
        <w:t xml:space="preserve"> </w:t>
      </w:r>
      <w:r>
        <w:t xml:space="preserve">Economic impacts ………………………………………………………………………………. 42</w:t>
      </w:r>
      <w:r>
        <w:t xml:space="preserve"> </w:t>
      </w:r>
      <w:r>
        <w:t xml:space="preserve">6.2</w:t>
      </w:r>
      <w:r>
        <w:t xml:space="preserve"> </w:t>
      </w:r>
      <w:r>
        <w:t xml:space="preserve">Social impacts ……………………………………………………………………………………. 58</w:t>
      </w:r>
      <w:r>
        <w:t xml:space="preserve"> </w:t>
      </w:r>
      <w:r>
        <w:t xml:space="preserve">6.3</w:t>
      </w:r>
      <w:r>
        <w:t xml:space="preserve"> </w:t>
      </w:r>
      <w:r>
        <w:t xml:space="preserve">Environmental impacts ………………………………………………………………………… 59</w:t>
      </w:r>
      <w:r>
        <w:t xml:space="preserve"> </w:t>
      </w:r>
      <w:r>
        <w:t xml:space="preserve">7</w:t>
      </w:r>
      <w:r>
        <w:t xml:space="preserve"> </w:t>
      </w:r>
      <w:r>
        <w:t xml:space="preserve">HOW DO THE OPTIONS COMPARE? ………………………………………………………… 61</w:t>
      </w:r>
      <w:r>
        <w:t xml:space="preserve"> </w:t>
      </w:r>
      <w:r>
        <w:t xml:space="preserve">7.1</w:t>
      </w:r>
      <w:r>
        <w:t xml:space="preserve"> </w:t>
      </w:r>
      <w:r>
        <w:t xml:space="preserve">Effectiveness ……………………………………………………………………………………… 61</w:t>
      </w:r>
      <w:r>
        <w:t xml:space="preserve"> </w:t>
      </w:r>
      <w:r>
        <w:t xml:space="preserve">7.2</w:t>
      </w:r>
      <w:r>
        <w:t xml:space="preserve"> </w:t>
      </w:r>
      <w:r>
        <w:t xml:space="preserve">Efficiency ………………………………………………………………………………………….. 64</w:t>
      </w:r>
      <w:r>
        <w:t xml:space="preserve"> </w:t>
      </w:r>
      <w:r>
        <w:t xml:space="preserve">7.3</w:t>
      </w:r>
      <w:r>
        <w:t xml:space="preserve"> </w:t>
      </w:r>
      <w:r>
        <w:t xml:space="preserve">Coherence ………………………………………………………………………………………….. 65</w:t>
      </w:r>
      <w:r>
        <w:t xml:space="preserve"> </w:t>
      </w:r>
      <w:r>
        <w:t xml:space="preserve">7.4</w:t>
      </w:r>
      <w:r>
        <w:t xml:space="preserve"> </w:t>
      </w:r>
      <w:r>
        <w:t xml:space="preserve">Subsidiarity and proportionality ……………………………………………………………. 66</w:t>
      </w:r>
      <w:r>
        <w:t xml:space="preserve"> </w:t>
      </w:r>
      <w:r>
        <w:t xml:space="preserve">7.5</w:t>
      </w:r>
      <w:r>
        <w:t xml:space="preserve"> </w:t>
      </w:r>
      <w:r>
        <w:t xml:space="preserve">Summary of the comparison of policy options ……………………………………….. 67</w:t>
      </w:r>
      <w:r>
        <w:t xml:space="preserve"> </w:t>
      </w:r>
      <w:r>
        <w:t xml:space="preserve">7.6</w:t>
      </w:r>
      <w:r>
        <w:t xml:space="preserve"> </w:t>
      </w:r>
      <w:r>
        <w:t xml:space="preserve">Sensitivity analysis ……………………………………………………………………………… 67</w:t>
      </w:r>
      <w:r>
        <w:t xml:space="preserve"> </w:t>
      </w:r>
      <w:r>
        <w:t xml:space="preserve">8</w:t>
      </w:r>
      <w:r>
        <w:t xml:space="preserve"> </w:t>
      </w:r>
      <w:r>
        <w:t xml:space="preserve">PREFERRED OPTION ……………………………………………………………………………….. 69</w:t>
      </w:r>
      <w:r>
        <w:t xml:space="preserve"> </w:t>
      </w:r>
      <w:r>
        <w:t xml:space="preserve">8.1</w:t>
      </w:r>
      <w:r>
        <w:t xml:space="preserve"> </w:t>
      </w:r>
      <w:r>
        <w:t xml:space="preserve">Identification of the preferred policy option and stakeholders views …………. 69</w:t>
      </w:r>
      <w:r>
        <w:t xml:space="preserve"> </w:t>
      </w:r>
      <w:r>
        <w:t xml:space="preserve">8.2</w:t>
      </w:r>
      <w:r>
        <w:t xml:space="preserve"> </w:t>
      </w:r>
      <w:r>
        <w:t xml:space="preserve">REFIT (simplification and improved efficiency) …………………………………….. 70</w:t>
      </w:r>
      <w:r>
        <w:t xml:space="preserve"> </w:t>
      </w:r>
      <w:r>
        <w:t xml:space="preserve">8.3</w:t>
      </w:r>
      <w:r>
        <w:t xml:space="preserve"> </w:t>
      </w:r>
      <w:r>
        <w:t xml:space="preserve">Application of the ‘one in, one out’ approach …………………………………………. 71</w:t>
      </w:r>
      <w:r>
        <w:t xml:space="preserve"> </w:t>
      </w:r>
      <w:r>
        <w:t xml:space="preserve">9</w:t>
      </w:r>
      <w:r>
        <w:t xml:space="preserve"> </w:t>
      </w:r>
      <w:r>
        <w:t xml:space="preserve">HOW WILL ACTUAL IMPACTS BE MONITORED AND EVALUATED? ……. 71</w:t>
      </w:r>
      <w:r>
        <w:t xml:space="preserve"> </w:t>
      </w:r>
      <w:r>
        <w:t xml:space="preserve">ANNEX 1: PROCEDURAL INFORMATION ………………………………………………………. 75</w:t>
      </w:r>
    </w:p>
    <w:p>
      <w:pPr>
        <w:pStyle w:val="BodyText"/>
      </w:pPr>
      <w:r>
        <w:t xml:space="preserve">II</w:t>
      </w:r>
      <w:r>
        <w:t xml:space="preserve"> </w:t>
      </w:r>
      <w:r>
        <w:t xml:space="preserve">ANNEX 2: STAKEHOLDER CONSULTATION (SYNOPSIS REPORT) ……………….. 78</w:t>
      </w:r>
      <w:r>
        <w:t xml:space="preserve"> </w:t>
      </w:r>
      <w:r>
        <w:t xml:space="preserve">ANNEX 3: WHO IS AFFECTED AND HOW? …………………………………………………….. 92</w:t>
      </w:r>
      <w:r>
        <w:t xml:space="preserve"> </w:t>
      </w:r>
      <w:r>
        <w:t xml:space="preserve">ANNEX 4: ANALYTICAL METHODS ……………………………………………………………….. 96</w:t>
      </w:r>
      <w:r>
        <w:t xml:space="preserve"> </w:t>
      </w:r>
      <w:r>
        <w:t xml:space="preserve">ANNEX 5: COMPETITIVENESS CHECK …………………………………………………………. 148</w:t>
      </w:r>
      <w:r>
        <w:t xml:space="preserve"> </w:t>
      </w:r>
      <w:r>
        <w:t xml:space="preserve">ANNEX 6: SME TEST ……………………………………………………………………………………… 150</w:t>
      </w:r>
      <w:r>
        <w:t xml:space="preserve"> </w:t>
      </w:r>
      <w:r>
        <w:t xml:space="preserve">ANNEX 7: CONCLUSIONS OF THE EVALUATION ………………………………………… 154</w:t>
      </w:r>
      <w:r>
        <w:t xml:space="preserve"> </w:t>
      </w:r>
      <w:r>
        <w:t xml:space="preserve">ANNEX 8: EFFECTIVENESS OF THE DIFFERENT POLICY OPTIONS ……………. 155</w:t>
      </w:r>
      <w:r>
        <w:t xml:space="preserve"> </w:t>
      </w:r>
      <w:r>
        <w:t xml:space="preserve">ANNEX 9: OVERVIEW OF RIS ……………………………………………………………………….. 160</w:t>
      </w:r>
    </w:p>
    <w:p>
      <w:pPr>
        <w:pStyle w:val="BodyText"/>
      </w:pPr>
      <w:r>
        <w:t xml:space="preserve">III</w:t>
      </w:r>
      <w:r>
        <w:t xml:space="preserve"> </w:t>
      </w: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</w:t>
      </w:r>
      <w:r>
        <w:t xml:space="preserve"> </w:t>
      </w:r>
      <w:r>
        <w:t xml:space="preserve">Definition</w:t>
      </w:r>
      <w:r>
        <w:t xml:space="preserve"> </w:t>
      </w:r>
      <w:r>
        <w:t xml:space="preserve">AIS</w:t>
      </w:r>
      <w:r>
        <w:t xml:space="preserve"> </w:t>
      </w:r>
      <w:r>
        <w:t xml:space="preserve">Automatic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System</w:t>
      </w:r>
      <w:r>
        <w:t xml:space="preserve"> </w:t>
      </w:r>
      <w:r>
        <w:t xml:space="preserve">AIS is an automatic communication and</w:t>
      </w:r>
      <w:r>
        <w:t xml:space="preserve"> </w:t>
      </w:r>
      <w:r>
        <w:t xml:space="preserve">identification system that displays (on electronic</w:t>
      </w:r>
      <w:r>
        <w:t xml:space="preserve"> </w:t>
      </w:r>
      <w:r>
        <w:t xml:space="preserve">charts) the position and orientation of other</w:t>
      </w:r>
      <w:r>
        <w:t xml:space="preserve"> </w:t>
      </w:r>
      <w:r>
        <w:t xml:space="preserve">vessels in the vicinity</w:t>
      </w:r>
      <w:r>
        <w:br/>
      </w:r>
      <w:r>
        <w:t xml:space="preserve">CCNR</w:t>
      </w:r>
      <w:r>
        <w:t xml:space="preserve"> </w:t>
      </w:r>
      <w:r>
        <w:t xml:space="preserve">Central</w:t>
      </w:r>
      <w:r>
        <w:t xml:space="preserve"> </w:t>
      </w:r>
      <w:r>
        <w:t xml:space="preserve">Commission</w:t>
      </w:r>
      <w:r>
        <w:t xml:space="preserve"> </w:t>
      </w:r>
      <w:r>
        <w:t xml:space="preserve">for</w:t>
      </w:r>
      <w:r>
        <w:t xml:space="preserve"> </w:t>
      </w:r>
      <w:r>
        <w:t xml:space="preserve">Navigation on the Rhine</w:t>
      </w:r>
      <w:r>
        <w:t xml:space="preserve"> </w:t>
      </w:r>
      <w:r>
        <w:t xml:space="preserve">The CCNR is an international organization that is</w:t>
      </w:r>
      <w:r>
        <w:t xml:space="preserve"> </w:t>
      </w:r>
      <w:r>
        <w:t xml:space="preserve">responsible for promoting the development and</w:t>
      </w:r>
      <w:r>
        <w:t xml:space="preserve"> </w:t>
      </w:r>
      <w:r>
        <w:t xml:space="preserve">safety of inland navigation on the Rhine and its</w:t>
      </w:r>
      <w:r>
        <w:t xml:space="preserve"> </w:t>
      </w:r>
      <w:r>
        <w:t xml:space="preserve">tributaries.</w:t>
      </w:r>
      <w:r>
        <w:br/>
      </w:r>
      <w:r>
        <w:t xml:space="preserve">CEF</w:t>
      </w:r>
      <w:r>
        <w:t xml:space="preserve"> </w:t>
      </w:r>
      <w:r>
        <w:t xml:space="preserve">Connecting Europe Facility</w:t>
      </w:r>
      <w:r>
        <w:t xml:space="preserve"> </w:t>
      </w:r>
      <w:r>
        <w:t xml:space="preserve">The CEF is a European Union funding instrument</w:t>
      </w:r>
      <w:r>
        <w:t xml:space="preserve"> </w:t>
      </w:r>
      <w:r>
        <w:t xml:space="preserve">that supports the development of trans-European</w:t>
      </w:r>
      <w:r>
        <w:t xml:space="preserve"> </w:t>
      </w:r>
      <w:r>
        <w:t xml:space="preserve">infrastructure networks in the fields of transport,</w:t>
      </w:r>
      <w:r>
        <w:t xml:space="preserve"> </w:t>
      </w:r>
      <w:r>
        <w:t xml:space="preserve">energy, and telecommunications.</w:t>
      </w:r>
      <w:r>
        <w:br/>
      </w:r>
      <w:r>
        <w:t xml:space="preserve">CESNI</w:t>
      </w:r>
      <w:r>
        <w:t xml:space="preserve"> </w:t>
      </w:r>
      <w:r>
        <w:t xml:space="preserve">European</w:t>
      </w:r>
      <w:r>
        <w:t xml:space="preserve"> </w:t>
      </w:r>
      <w:r>
        <w:t xml:space="preserve">Committee</w:t>
      </w:r>
      <w:r>
        <w:t xml:space="preserve"> </w:t>
      </w:r>
      <w:r>
        <w:t xml:space="preserve">for</w:t>
      </w:r>
      <w:r>
        <w:t xml:space="preserve"> </w:t>
      </w:r>
      <w:r>
        <w:t xml:space="preserve">Drawing Up Standards in the</w:t>
      </w:r>
      <w:r>
        <w:t xml:space="preserve"> </w:t>
      </w:r>
      <w:r>
        <w:t xml:space="preserve">Field of Inland Navigation</w:t>
      </w:r>
      <w:r>
        <w:br/>
      </w:r>
      <w:r>
        <w:t xml:space="preserve">The CESNI is an intergovernmental organization</w:t>
      </w:r>
      <w:r>
        <w:t xml:space="preserve"> </w:t>
      </w:r>
      <w:r>
        <w:t xml:space="preserve">that develops technical and safety standards for</w:t>
      </w:r>
      <w:r>
        <w:t xml:space="preserve"> </w:t>
      </w:r>
      <w:r>
        <w:t xml:space="preserve">inland navigation in Europe.</w:t>
      </w:r>
      <w:r>
        <w:br/>
      </w:r>
      <w:r>
        <w:t xml:space="preserve">CEMT Class</w:t>
      </w:r>
      <w:r>
        <w:t xml:space="preserve"> </w:t>
      </w:r>
      <w:r>
        <w:t xml:space="preserve">Classification of</w:t>
      </w:r>
      <w:r>
        <w:t xml:space="preserve"> </w:t>
      </w:r>
      <w:r>
        <w:t xml:space="preserve">European</w:t>
      </w:r>
      <w:r>
        <w:t xml:space="preserve"> </w:t>
      </w:r>
      <w:r>
        <w:t xml:space="preserve">Inland Waterways</w:t>
      </w:r>
      <w:r>
        <w:t xml:space="preserve"> </w:t>
      </w:r>
      <w:r>
        <w:t xml:space="preserve">An inland waterway classification according to</w:t>
      </w:r>
      <w:r>
        <w:t xml:space="preserve"> </w:t>
      </w:r>
      <w:r>
        <w:t xml:space="preserve">CEMT (European Conference of Ministers of</w:t>
      </w:r>
      <w:r>
        <w:t xml:space="preserve"> </w:t>
      </w:r>
      <w:r>
        <w:t xml:space="preserve">Transport)</w:t>
      </w:r>
      <w:r>
        <w:t xml:space="preserve"> </w:t>
      </w:r>
      <w:r>
        <w:t xml:space="preserve">concerning</w:t>
      </w:r>
      <w:r>
        <w:t xml:space="preserve"> </w:t>
      </w:r>
      <w:r>
        <w:t xml:space="preserve">allowed</w:t>
      </w:r>
      <w:r>
        <w:t xml:space="preserve"> </w:t>
      </w:r>
      <w:r>
        <w:t xml:space="preserve">vessels</w:t>
      </w:r>
      <w:r>
        <w:t xml:space="preserve"> </w:t>
      </w:r>
      <w:r>
        <w:t xml:space="preserve">dimensions on a fairway.</w:t>
      </w:r>
      <w:r>
        <w:br/>
      </w:r>
      <w:r>
        <w:t xml:space="preserve">CEVNI</w:t>
      </w:r>
      <w:r>
        <w:t xml:space="preserve"> </w:t>
      </w:r>
      <w:r>
        <w:t xml:space="preserve">European Code for Inland</w:t>
      </w:r>
      <w:r>
        <w:t xml:space="preserve"> </w:t>
      </w:r>
      <w:r>
        <w:t xml:space="preserve">Waterways</w:t>
      </w:r>
      <w:r>
        <w:t xml:space="preserve"> </w:t>
      </w:r>
      <w:r>
        <w:t xml:space="preserve">CEVNI contains the core rules applicable to the</w:t>
      </w:r>
      <w:r>
        <w:t xml:space="preserve"> </w:t>
      </w:r>
      <w:r>
        <w:t xml:space="preserve">traffic on inland waterways in the UNECE region</w:t>
      </w:r>
      <w:r>
        <w:t xml:space="preserve"> </w:t>
      </w:r>
      <w:r>
        <w:t xml:space="preserve">such as marks and draught scales on vessels,</w:t>
      </w:r>
      <w:r>
        <w:t xml:space="preserve"> </w:t>
      </w:r>
      <w:r>
        <w:t xml:space="preserve">visual signals on vessels, sound signals and</w:t>
      </w:r>
      <w:r>
        <w:t xml:space="preserve"> </w:t>
      </w:r>
      <w:r>
        <w:t xml:space="preserve">radiotelephony, waterway signs and markings,</w:t>
      </w:r>
      <w:r>
        <w:t xml:space="preserve"> </w:t>
      </w:r>
      <w:r>
        <w:t xml:space="preserve">rules of the road, berthing rules, signalling and</w:t>
      </w:r>
      <w:r>
        <w:t xml:space="preserve"> </w:t>
      </w:r>
      <w:r>
        <w:t xml:space="preserve">reporting requirements as well as prevention of</w:t>
      </w:r>
      <w:r>
        <w:t xml:space="preserve"> </w:t>
      </w:r>
      <w:r>
        <w:t xml:space="preserve">pollution of water and disposal of waste</w:t>
      </w:r>
      <w:r>
        <w:br/>
      </w:r>
      <w:r>
        <w:t xml:space="preserve">DINA</w:t>
      </w:r>
      <w:r>
        <w:t xml:space="preserve"> </w:t>
      </w:r>
      <w:r>
        <w:t xml:space="preserve">Digital</w:t>
      </w:r>
      <w:r>
        <w:t xml:space="preserve"> </w:t>
      </w:r>
      <w:r>
        <w:t xml:space="preserve">Inland</w:t>
      </w:r>
      <w:r>
        <w:t xml:space="preserve"> </w:t>
      </w:r>
      <w:r>
        <w:t xml:space="preserve">Navigation</w:t>
      </w:r>
      <w:r>
        <w:t xml:space="preserve"> </w:t>
      </w:r>
      <w:r>
        <w:t xml:space="preserve">Area</w:t>
      </w:r>
      <w:r>
        <w:t xml:space="preserve"> </w:t>
      </w:r>
      <w:r>
        <w:t xml:space="preserve">DINA is a concept to interconnect information</w:t>
      </w:r>
      <w:r>
        <w:t xml:space="preserve"> </w:t>
      </w:r>
      <w:r>
        <w:t xml:space="preserve">between IWT’s stakeholders and with other</w:t>
      </w:r>
      <w:r>
        <w:t xml:space="preserve"> </w:t>
      </w:r>
      <w:r>
        <w:t xml:space="preserve">transport modes.</w:t>
      </w:r>
      <w:r>
        <w:br/>
      </w:r>
      <w:r>
        <w:t xml:space="preserve">ECDIS</w:t>
      </w:r>
      <w:r>
        <w:t xml:space="preserve"> </w:t>
      </w:r>
      <w:r>
        <w:t xml:space="preserve">Electronic Chart Display and</w:t>
      </w:r>
      <w:r>
        <w:t xml:space="preserve"> </w:t>
      </w:r>
      <w:r>
        <w:t xml:space="preserve">Information System</w:t>
      </w:r>
      <w:r>
        <w:t xml:space="preserve"> </w:t>
      </w:r>
      <w:r>
        <w:t xml:space="preserve">ECDIS is a computer-based navigation system</w:t>
      </w:r>
      <w:r>
        <w:t xml:space="preserve"> </w:t>
      </w:r>
      <w:r>
        <w:t xml:space="preserve">used on ships to display navigational information</w:t>
      </w:r>
      <w:r>
        <w:t xml:space="preserve"> </w:t>
      </w:r>
      <w:r>
        <w:t xml:space="preserve">and provide real-time information about the ship’s</w:t>
      </w:r>
      <w:r>
        <w:t xml:space="preserve"> </w:t>
      </w:r>
      <w:r>
        <w:t xml:space="preserve">position, course, and speed.</w:t>
      </w:r>
      <w:r>
        <w:br/>
      </w:r>
      <w:r>
        <w:t xml:space="preserve">EFTI</w:t>
      </w:r>
      <w:r>
        <w:t xml:space="preserve"> </w:t>
      </w:r>
      <w:r>
        <w:t xml:space="preserve">Electronic Freight Transport</w:t>
      </w:r>
      <w:r>
        <w:t xml:space="preserve"> </w:t>
      </w:r>
      <w:r>
        <w:t xml:space="preserve">Information</w:t>
      </w:r>
      <w:r>
        <w:t xml:space="preserve"> </w:t>
      </w:r>
      <w:r>
        <w:t xml:space="preserve">eFTI is a digital system that enables the exchange</w:t>
      </w:r>
      <w:r>
        <w:t xml:space="preserve"> </w:t>
      </w:r>
      <w:r>
        <w:t xml:space="preserve">of information related to freight transport</w:t>
      </w:r>
    </w:p>
    <w:p>
      <w:pPr>
        <w:pStyle w:val="BodyText"/>
      </w:pPr>
      <w:r>
        <w:t xml:space="preserve">IV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</w:t>
      </w:r>
      <w:r>
        <w:t xml:space="preserve"> </w:t>
      </w:r>
      <w:r>
        <w:t xml:space="preserve">Definition</w:t>
      </w:r>
      <w:r>
        <w:t xml:space="preserve"> </w:t>
      </w:r>
      <w:r>
        <w:t xml:space="preserve">between different actors in the supply chain.</w:t>
      </w:r>
      <w:r>
        <w:br/>
      </w:r>
      <w:r>
        <w:t xml:space="preserve">EHDB</w:t>
      </w:r>
      <w:r>
        <w:t xml:space="preserve"> </w:t>
      </w:r>
      <w:r>
        <w:t xml:space="preserve">European Hull Database</w:t>
      </w:r>
      <w:r>
        <w:t xml:space="preserve"> </w:t>
      </w:r>
      <w:r>
        <w:t xml:space="preserve">The EHDB is a database kept by the European</w:t>
      </w:r>
      <w:r>
        <w:t xml:space="preserve"> </w:t>
      </w:r>
      <w:r>
        <w:t xml:space="preserve">Commission in which the data of the vessels</w:t>
      </w:r>
      <w:r>
        <w:t xml:space="preserve"> </w:t>
      </w:r>
      <w:r>
        <w:t xml:space="preserve">operating on European inland waterways is</w:t>
      </w:r>
      <w:r>
        <w:t xml:space="preserve"> </w:t>
      </w:r>
      <w:r>
        <w:t xml:space="preserve">collected. The EHDB is used to support the</w:t>
      </w:r>
      <w:r>
        <w:t xml:space="preserve"> </w:t>
      </w:r>
      <w:r>
        <w:t xml:space="preserve">proper functioning of river information services</w:t>
      </w:r>
      <w:r>
        <w:t xml:space="preserve"> </w:t>
      </w:r>
      <w:r>
        <w:t xml:space="preserve">(RIS) in accordance with Directive 2005/44/EC.</w:t>
      </w:r>
      <w:r>
        <w:br/>
      </w:r>
      <w:r>
        <w:t xml:space="preserve">EMSWe</w:t>
      </w:r>
      <w:r>
        <w:t xml:space="preserve"> </w:t>
      </w:r>
      <w:r>
        <w:t xml:space="preserve">European</w:t>
      </w:r>
      <w:r>
        <w:t xml:space="preserve"> </w:t>
      </w:r>
      <w:r>
        <w:t xml:space="preserve">Maritime</w:t>
      </w:r>
      <w:r>
        <w:t xml:space="preserve"> </w:t>
      </w:r>
      <w:r>
        <w:t xml:space="preserve">Single</w:t>
      </w:r>
      <w:r>
        <w:t xml:space="preserve"> </w:t>
      </w:r>
      <w:r>
        <w:t xml:space="preserve">Window environment</w:t>
      </w:r>
      <w:r>
        <w:t xml:space="preserve"> </w:t>
      </w:r>
      <w:r>
        <w:t xml:space="preserve">The main aim of the EMSWe Regulation is to lay</w:t>
      </w:r>
      <w:r>
        <w:t xml:space="preserve"> </w:t>
      </w:r>
      <w:r>
        <w:t xml:space="preserve">down harmonised rules for the provision of the</w:t>
      </w:r>
      <w:r>
        <w:t xml:space="preserve"> </w:t>
      </w:r>
      <w:r>
        <w:t xml:space="preserve">information that is required for port calls, in</w:t>
      </w:r>
      <w:r>
        <w:t xml:space="preserve"> </w:t>
      </w:r>
      <w:r>
        <w:t xml:space="preserve">particular by ensuring that the same data sets can</w:t>
      </w:r>
      <w:r>
        <w:t xml:space="preserve"> </w:t>
      </w:r>
      <w:r>
        <w:t xml:space="preserve">be reported to each Maritime National Single</w:t>
      </w:r>
      <w:r>
        <w:t xml:space="preserve"> </w:t>
      </w:r>
      <w:r>
        <w:t xml:space="preserve">Window in the same way. This Regulation also</w:t>
      </w:r>
      <w:r>
        <w:t xml:space="preserve"> </w:t>
      </w:r>
      <w:r>
        <w:t xml:space="preserve">aims to facilitate the transmission of information</w:t>
      </w:r>
      <w:r>
        <w:t xml:space="preserve"> </w:t>
      </w:r>
      <w:r>
        <w:t xml:space="preserve">between declarants, relevant authorities and the</w:t>
      </w:r>
      <w:r>
        <w:t xml:space="preserve"> </w:t>
      </w:r>
      <w:r>
        <w:t xml:space="preserve">providers of port services in the port of call, and</w:t>
      </w:r>
      <w:r>
        <w:t xml:space="preserve"> </w:t>
      </w:r>
      <w:r>
        <w:t xml:space="preserve">other Member States.</w:t>
      </w:r>
      <w:r>
        <w:br/>
      </w:r>
      <w:r>
        <w:t xml:space="preserve">ENC</w:t>
      </w:r>
      <w:r>
        <w:t xml:space="preserve"> </w:t>
      </w:r>
      <w:r>
        <w:t xml:space="preserve">Electronic Navigation Charts</w:t>
      </w:r>
      <w:r>
        <w:t xml:space="preserve"> </w:t>
      </w:r>
      <w:r>
        <w:t xml:space="preserve">ENC are developed in accordance with the Inland</w:t>
      </w:r>
      <w:r>
        <w:t xml:space="preserve"> </w:t>
      </w:r>
      <w:r>
        <w:t xml:space="preserve">ECDIS Standard for Electronic Chart Display in</w:t>
      </w:r>
      <w:r>
        <w:t xml:space="preserve"> </w:t>
      </w:r>
      <w:r>
        <w:t xml:space="preserve">inland navigation.</w:t>
      </w:r>
      <w:r>
        <w:br/>
      </w:r>
      <w:r>
        <w:t xml:space="preserve">ERDMS</w:t>
      </w:r>
      <w:r>
        <w:t xml:space="preserve"> </w:t>
      </w:r>
      <w:r>
        <w:t xml:space="preserve">European</w:t>
      </w:r>
      <w:r>
        <w:t xml:space="preserve"> </w:t>
      </w:r>
      <w:r>
        <w:t xml:space="preserve">Reference</w:t>
      </w:r>
      <w:r>
        <w:t xml:space="preserve"> </w:t>
      </w:r>
      <w:r>
        <w:t xml:space="preserve">Data</w:t>
      </w:r>
      <w:r>
        <w:t xml:space="preserve"> </w:t>
      </w:r>
      <w:r>
        <w:t xml:space="preserve">Management System</w:t>
      </w:r>
      <w:r>
        <w:t xml:space="preserve"> </w:t>
      </w:r>
      <w:r>
        <w:t xml:space="preserve">The ERDMS is a database containing information</w:t>
      </w:r>
      <w:r>
        <w:t xml:space="preserve"> </w:t>
      </w:r>
      <w:r>
        <w:t xml:space="preserve">and data necessary to efficient and harmonise</w:t>
      </w:r>
      <w:r>
        <w:t xml:space="preserve"> </w:t>
      </w:r>
      <w:r>
        <w:t xml:space="preserve">implementation of RIS.</w:t>
      </w:r>
      <w:r>
        <w:br/>
      </w:r>
      <w:r>
        <w:t xml:space="preserve">ERI</w:t>
      </w:r>
      <w:r>
        <w:t xml:space="preserve"> </w:t>
      </w:r>
      <w:r>
        <w:t xml:space="preserve">Electronic</w:t>
      </w:r>
      <w:r>
        <w:t xml:space="preserve"> </w:t>
      </w:r>
      <w:r>
        <w:t xml:space="preserve">Reporting</w:t>
      </w:r>
      <w:r>
        <w:t xml:space="preserve"> </w:t>
      </w:r>
      <w:r>
        <w:t xml:space="preserve">International</w:t>
      </w:r>
      <w:r>
        <w:t xml:space="preserve"> </w:t>
      </w:r>
      <w:r>
        <w:t xml:space="preserve">The ERI endeavour to harmonise and facilitate</w:t>
      </w:r>
      <w:r>
        <w:t xml:space="preserve"> </w:t>
      </w:r>
      <w:r>
        <w:t xml:space="preserve">standardised electronic inland ship reporting in</w:t>
      </w:r>
      <w:r>
        <w:t xml:space="preserve"> </w:t>
      </w:r>
      <w:r>
        <w:t xml:space="preserve">the EU.</w:t>
      </w:r>
      <w:r>
        <w:br/>
      </w:r>
      <w:r>
        <w:t xml:space="preserve">ETA</w:t>
      </w:r>
      <w:r>
        <w:t xml:space="preserve"> </w:t>
      </w:r>
      <w:r>
        <w:t xml:space="preserve">Estimated Time of Arrival</w:t>
      </w:r>
      <w:r>
        <w:t xml:space="preserve"> </w:t>
      </w:r>
      <w:r>
        <w:t xml:space="preserve">The ETA, is a frequently used term globally to</w:t>
      </w:r>
      <w:r>
        <w:t xml:space="preserve"> </w:t>
      </w:r>
      <w:r>
        <w:t xml:space="preserve">denote the time of coming. In the shipping &amp;</w:t>
      </w:r>
      <w:r>
        <w:t xml:space="preserve"> </w:t>
      </w:r>
      <w:r>
        <w:t xml:space="preserve">logistics industry, it is used to forecast when the</w:t>
      </w:r>
      <w:r>
        <w:t xml:space="preserve"> </w:t>
      </w:r>
      <w:r>
        <w:t xml:space="preserve">shipment will arrive at its final port of</w:t>
      </w:r>
      <w:r>
        <w:t xml:space="preserve"> </w:t>
      </w:r>
      <w:r>
        <w:t xml:space="preserve">destination.</w:t>
      </w:r>
      <w:r>
        <w:br/>
      </w:r>
      <w:r>
        <w:t xml:space="preserve">GDPR</w:t>
      </w:r>
      <w:r>
        <w:t xml:space="preserve"> </w:t>
      </w:r>
      <w:r>
        <w:t xml:space="preserve">General</w:t>
      </w:r>
      <w:r>
        <w:t xml:space="preserve"> </w:t>
      </w:r>
      <w:r>
        <w:t xml:space="preserve">Data</w:t>
      </w:r>
      <w:r>
        <w:t xml:space="preserve"> </w:t>
      </w:r>
      <w:r>
        <w:t xml:space="preserve">Protection</w:t>
      </w:r>
      <w:r>
        <w:t xml:space="preserve"> </w:t>
      </w:r>
      <w:r>
        <w:t xml:space="preserve">Regulation</w:t>
      </w:r>
      <w:r>
        <w:t xml:space="preserve"> </w:t>
      </w:r>
      <w:r>
        <w:t xml:space="preserve">The GDPR is a regulation implemented by the</w:t>
      </w:r>
      <w:r>
        <w:t xml:space="preserve"> </w:t>
      </w:r>
      <w:r>
        <w:t xml:space="preserve">EU to protect the privacy and personal data of</w:t>
      </w:r>
      <w:r>
        <w:t xml:space="preserve"> </w:t>
      </w:r>
      <w:r>
        <w:t xml:space="preserve">EU citizens.</w:t>
      </w:r>
      <w:r>
        <w:br/>
      </w:r>
      <w:r>
        <w:t xml:space="preserve">IWT</w:t>
      </w:r>
      <w:r>
        <w:t xml:space="preserve"> </w:t>
      </w:r>
      <w:r>
        <w:t xml:space="preserve">Inland Waterway Transport</w:t>
      </w:r>
      <w:r>
        <w:t xml:space="preserve"> </w:t>
      </w:r>
      <w:r>
        <w:t xml:space="preserve">IWT refers to the transportation of goods and</w:t>
      </w:r>
      <w:r>
        <w:t xml:space="preserve"> </w:t>
      </w:r>
      <w:r>
        <w:t xml:space="preserve">passengers using rivers, canals, and other inland</w:t>
      </w:r>
      <w:r>
        <w:t xml:space="preserve"> </w:t>
      </w:r>
      <w:r>
        <w:t xml:space="preserve">waterways.</w:t>
      </w:r>
    </w:p>
    <w:p>
      <w:pPr>
        <w:pStyle w:val="BodyText"/>
      </w:pPr>
      <w:r>
        <w:t xml:space="preserve">V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</w:t>
      </w:r>
      <w:r>
        <w:t xml:space="preserve"> </w:t>
      </w:r>
      <w:r>
        <w:t xml:space="preserve">Definition</w:t>
      </w:r>
      <w:r>
        <w:t xml:space="preserve"> </w:t>
      </w:r>
      <w:r>
        <w:t xml:space="preserve">NtS</w:t>
      </w:r>
      <w:r>
        <w:t xml:space="preserve"> </w:t>
      </w:r>
      <w:r>
        <w:t xml:space="preserve">Notices to Skippers</w:t>
      </w:r>
      <w:r>
        <w:t xml:space="preserve"> </w:t>
      </w:r>
      <w:r>
        <w:t xml:space="preserve">The NtS serve to communicate information such</w:t>
      </w:r>
      <w:r>
        <w:t xml:space="preserve"> </w:t>
      </w:r>
      <w:r>
        <w:t xml:space="preserve">as the status of the inland waterway infrastructure</w:t>
      </w:r>
      <w:r>
        <w:t xml:space="preserve"> </w:t>
      </w:r>
      <w:r>
        <w:t xml:space="preserve">(i.e. bridges and locks), failures of aids to</w:t>
      </w:r>
      <w:r>
        <w:t xml:space="preserve"> </w:t>
      </w:r>
      <w:r>
        <w:t xml:space="preserve">navigation, temporary blockages of waterway</w:t>
      </w:r>
      <w:r>
        <w:t xml:space="preserve"> </w:t>
      </w:r>
      <w:r>
        <w:t xml:space="preserve">sections or other types of infrastructure, works,</w:t>
      </w:r>
      <w:r>
        <w:t xml:space="preserve"> </w:t>
      </w:r>
      <w:r>
        <w:t xml:space="preserve">water level and water depth information, ice</w:t>
      </w:r>
      <w:r>
        <w:t xml:space="preserve"> </w:t>
      </w:r>
      <w:r>
        <w:t xml:space="preserve">information and weather messages.</w:t>
      </w:r>
      <w:r>
        <w:br/>
      </w:r>
      <w:r>
        <w:t xml:space="preserve">RIS</w:t>
      </w:r>
      <w:r>
        <w:t xml:space="preserve"> </w:t>
      </w:r>
      <w:r>
        <w:t xml:space="preserve">River Information Services</w:t>
      </w:r>
      <w:r>
        <w:t xml:space="preserve"> </w:t>
      </w:r>
      <w:r>
        <w:t xml:space="preserve">RIS are a set of digital services and tools</w:t>
      </w:r>
      <w:r>
        <w:t xml:space="preserve"> </w:t>
      </w:r>
      <w:r>
        <w:t xml:space="preserve">designed to enhance the safety, efficiency, and</w:t>
      </w:r>
      <w:r>
        <w:t xml:space="preserve"> </w:t>
      </w:r>
      <w:r>
        <w:t xml:space="preserve">sustainability of inland waterway transport.</w:t>
      </w:r>
      <w:r>
        <w:br/>
      </w:r>
      <w:r>
        <w:t xml:space="preserve">RIS COMEX</w:t>
      </w:r>
      <w:r>
        <w:t xml:space="preserve"> </w:t>
      </w:r>
      <w:r>
        <w:t xml:space="preserve">RIS</w:t>
      </w:r>
      <w:r>
        <w:t xml:space="preserve"> </w:t>
      </w:r>
      <w:r>
        <w:t xml:space="preserve">enabled</w:t>
      </w:r>
      <w:r>
        <w:t xml:space="preserve"> </w:t>
      </w:r>
      <w:r>
        <w:t xml:space="preserve">Corridor</w:t>
      </w:r>
      <w:r>
        <w:t xml:space="preserve"> </w:t>
      </w:r>
      <w:r>
        <w:t xml:space="preserve">Management Execution</w:t>
      </w:r>
      <w:r>
        <w:t xml:space="preserve"> </w:t>
      </w:r>
      <w:r>
        <w:t xml:space="preserve">A IWT platform aiming at the definition,</w:t>
      </w:r>
      <w:r>
        <w:t xml:space="preserve"> </w:t>
      </w:r>
      <w:r>
        <w:t xml:space="preserve">specification, implementation and sustainable</w:t>
      </w:r>
      <w:r>
        <w:t xml:space="preserve"> </w:t>
      </w:r>
      <w:r>
        <w:t xml:space="preserve">operation</w:t>
      </w:r>
      <w:r>
        <w:t xml:space="preserve"> </w:t>
      </w:r>
      <w:r>
        <w:t xml:space="preserve">of</w:t>
      </w:r>
      <w:r>
        <w:t xml:space="preserve"> </w:t>
      </w:r>
      <w:r>
        <w:t xml:space="preserve">Corridor</w:t>
      </w:r>
      <w:r>
        <w:t xml:space="preserve"> </w:t>
      </w:r>
      <w:r>
        <w:t xml:space="preserve">River</w:t>
      </w:r>
      <w:r>
        <w:t xml:space="preserve"> </w:t>
      </w:r>
      <w:r>
        <w:t xml:space="preserve">Information</w:t>
      </w:r>
      <w:r>
        <w:t xml:space="preserve"> </w:t>
      </w:r>
      <w:r>
        <w:t xml:space="preserve">Services.</w:t>
      </w:r>
      <w:r>
        <w:br/>
      </w:r>
      <w:r>
        <w:t xml:space="preserve">SDG</w:t>
      </w:r>
      <w:r>
        <w:t xml:space="preserve"> </w:t>
      </w:r>
      <w:r>
        <w:t xml:space="preserve">Sustainable</w:t>
      </w:r>
      <w:r>
        <w:t xml:space="preserve"> </w:t>
      </w:r>
      <w:r>
        <w:t xml:space="preserve">Development</w:t>
      </w:r>
      <w:r>
        <w:t xml:space="preserve"> </w:t>
      </w:r>
      <w:r>
        <w:t xml:space="preserve">Goal</w:t>
      </w:r>
      <w:r>
        <w:t xml:space="preserve"> </w:t>
      </w:r>
      <w:r>
        <w:t xml:space="preserve">The SDGs are a set of 17 goals established by the</w:t>
      </w:r>
      <w:r>
        <w:t xml:space="preserve"> </w:t>
      </w:r>
      <w:r>
        <w:t xml:space="preserve">United Nations in 2015 as a blueprint for</w:t>
      </w:r>
      <w:r>
        <w:t xml:space="preserve"> </w:t>
      </w:r>
      <w:r>
        <w:t xml:space="preserve">achieving a better and more sustainable future.</w:t>
      </w:r>
      <w:r>
        <w:br/>
      </w:r>
      <w:r>
        <w:t xml:space="preserve">SME</w:t>
      </w:r>
      <w:r>
        <w:t xml:space="preserve"> </w:t>
      </w:r>
      <w:r>
        <w:t xml:space="preserve">Small</w:t>
      </w:r>
      <w:r>
        <w:t xml:space="preserve"> </w:t>
      </w:r>
      <w:r>
        <w:t xml:space="preserve">and</w:t>
      </w:r>
      <w:r>
        <w:t xml:space="preserve"> </w:t>
      </w:r>
      <w:r>
        <w:t xml:space="preserve">Medium-sized</w:t>
      </w:r>
      <w:r>
        <w:t xml:space="preserve"> </w:t>
      </w:r>
      <w:r>
        <w:t xml:space="preserve">Enterprises</w:t>
      </w:r>
      <w:r>
        <w:br/>
      </w:r>
      <w:r>
        <w:t xml:space="preserve">SMEs refers to businesses with a limited number</w:t>
      </w:r>
      <w:r>
        <w:t xml:space="preserve"> </w:t>
      </w:r>
      <w:r>
        <w:t xml:space="preserve">of employees and relatively low revenue</w:t>
      </w:r>
      <w:r>
        <w:t xml:space="preserve"> </w:t>
      </w:r>
      <w:r>
        <w:t xml:space="preserve">compared to larger enterprises.</w:t>
      </w:r>
      <w:r>
        <w:br/>
      </w:r>
      <w:r>
        <w:t xml:space="preserve">SSMS</w:t>
      </w:r>
      <w:r>
        <w:t xml:space="preserve"> </w:t>
      </w:r>
      <w:r>
        <w:t xml:space="preserve">Sustainable</w:t>
      </w:r>
      <w:r>
        <w:t xml:space="preserve"> </w:t>
      </w:r>
      <w:r>
        <w:t xml:space="preserve">and</w:t>
      </w:r>
      <w:r>
        <w:t xml:space="preserve"> </w:t>
      </w:r>
      <w:r>
        <w:t xml:space="preserve">Smart</w:t>
      </w:r>
      <w:r>
        <w:t xml:space="preserve"> </w:t>
      </w:r>
      <w:r>
        <w:t xml:space="preserve">Mobility Strategy</w:t>
      </w:r>
      <w:r>
        <w:t xml:space="preserve"> </w:t>
      </w:r>
      <w:r>
        <w:t xml:space="preserve">Comprehensive EU transport strategy adopted in</w:t>
      </w:r>
      <w:r>
        <w:t xml:space="preserve"> </w:t>
      </w:r>
      <w:r>
        <w:t xml:space="preserve">2020 which lays the foundation for how the EU</w:t>
      </w:r>
      <w:r>
        <w:t xml:space="preserve"> </w:t>
      </w:r>
      <w:r>
        <w:t xml:space="preserve">transport system can achieve its green and digital</w:t>
      </w:r>
      <w:r>
        <w:t xml:space="preserve"> </w:t>
      </w:r>
      <w:r>
        <w:t xml:space="preserve">transformation and become more resilient to</w:t>
      </w:r>
      <w:r>
        <w:t xml:space="preserve"> </w:t>
      </w:r>
      <w:r>
        <w:t xml:space="preserve">future crises.</w:t>
      </w:r>
      <w:r>
        <w:br/>
      </w:r>
      <w:r>
        <w:t xml:space="preserve">TEN-T</w:t>
      </w:r>
      <w:r>
        <w:t xml:space="preserve"> </w:t>
      </w:r>
      <w:r>
        <w:t xml:space="preserve">Trans-European Network -</w:t>
      </w:r>
      <w:r>
        <w:t xml:space="preserve"> </w:t>
      </w:r>
      <w:r>
        <w:t xml:space="preserve">Transport</w:t>
      </w:r>
      <w:r>
        <w:t xml:space="preserve"> </w:t>
      </w:r>
      <w:r>
        <w:t xml:space="preserve">Key instrument for the development of coherent,</w:t>
      </w:r>
      <w:r>
        <w:t xml:space="preserve"> </w:t>
      </w:r>
      <w:r>
        <w:t xml:space="preserve">efficient, multimodal, and high-quality transport</w:t>
      </w:r>
      <w:r>
        <w:t xml:space="preserve"> </w:t>
      </w:r>
      <w:r>
        <w:t xml:space="preserve">infrastructure across the EU. It comprises</w:t>
      </w:r>
      <w:r>
        <w:t xml:space="preserve"> </w:t>
      </w:r>
      <w:r>
        <w:t xml:space="preserve">railways, inland waterways, short sea shipping</w:t>
      </w:r>
      <w:r>
        <w:t xml:space="preserve"> </w:t>
      </w:r>
      <w:r>
        <w:t xml:space="preserve">routes and roads linking urban nodes, maritime</w:t>
      </w:r>
      <w:r>
        <w:t xml:space="preserve"> </w:t>
      </w:r>
      <w:r>
        <w:t xml:space="preserve">and inland ports, airports and terminals.</w:t>
      </w:r>
      <w:r>
        <w:br/>
      </w:r>
      <w:r>
        <w:t xml:space="preserve">Tkm</w:t>
      </w:r>
      <w:r>
        <w:t xml:space="preserve"> </w:t>
      </w:r>
      <w:r>
        <w:t xml:space="preserve">Tonne-kilometre</w:t>
      </w:r>
      <w:r>
        <w:t xml:space="preserve"> </w:t>
      </w:r>
      <w:r>
        <w:t xml:space="preserve">Unit of measure of freight transport which</w:t>
      </w:r>
      <w:r>
        <w:t xml:space="preserve"> </w:t>
      </w:r>
      <w:r>
        <w:t xml:space="preserve">represents the transport of one tonne of goods</w:t>
      </w:r>
      <w:r>
        <w:t xml:space="preserve"> </w:t>
      </w:r>
      <w:r>
        <w:t xml:space="preserve">(including packaging and tare weights of</w:t>
      </w:r>
      <w:r>
        <w:t xml:space="preserve"> </w:t>
      </w:r>
      <w:r>
        <w:t xml:space="preserve">intermodal transport units) by a given transport</w:t>
      </w:r>
      <w:r>
        <w:t xml:space="preserve"> </w:t>
      </w:r>
      <w:r>
        <w:t xml:space="preserve">mode (road, rail, air, sea, inland waterways,</w:t>
      </w:r>
      <w:r>
        <w:t xml:space="preserve"> </w:t>
      </w:r>
      <w:r>
        <w:t xml:space="preserve">pipeline etc.) over a distance of one kilometre.</w:t>
      </w:r>
      <w:r>
        <w:br/>
      </w:r>
      <w:r>
        <w:t xml:space="preserve">UNECE</w:t>
      </w:r>
      <w:r>
        <w:t xml:space="preserve"> </w:t>
      </w:r>
      <w:r>
        <w:t xml:space="preserve">United</w:t>
      </w:r>
      <w:r>
        <w:t xml:space="preserve"> </w:t>
      </w:r>
      <w:r>
        <w:t xml:space="preserve">Nations</w:t>
      </w:r>
      <w:r>
        <w:t xml:space="preserve"> </w:t>
      </w:r>
      <w:r>
        <w:t xml:space="preserve">Economic The UNECE is a regional commission of the</w:t>
      </w:r>
    </w:p>
    <w:p>
      <w:pPr>
        <w:pStyle w:val="BodyText"/>
      </w:pPr>
      <w:r>
        <w:t xml:space="preserve">VI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</w:t>
      </w:r>
      <w:r>
        <w:t xml:space="preserve"> </w:t>
      </w:r>
      <w:r>
        <w:t xml:space="preserve">Definition</w:t>
      </w:r>
      <w:r>
        <w:t xml:space="preserve"> </w:t>
      </w:r>
      <w:r>
        <w:t xml:space="preserve">Commission for Europe</w:t>
      </w:r>
      <w:r>
        <w:t xml:space="preserve"> </w:t>
      </w:r>
      <w:r>
        <w:t xml:space="preserve">UN.</w:t>
      </w:r>
      <w:r>
        <w:br/>
      </w:r>
      <w:r>
        <w:t xml:space="preserve">VTT</w:t>
      </w:r>
      <w:r>
        <w:t xml:space="preserve"> </w:t>
      </w:r>
      <w:r>
        <w:t xml:space="preserve">Vessel Tracking and Tracing</w:t>
      </w:r>
      <w:r>
        <w:t xml:space="preserve"> </w:t>
      </w:r>
      <w:r>
        <w:t xml:space="preserve">It is one component of the “River Information</w:t>
      </w:r>
      <w:r>
        <w:t xml:space="preserve"> </w:t>
      </w:r>
      <w:r>
        <w:t xml:space="preserve">Services” (RIS), contributing to more safety and</w:t>
      </w:r>
      <w:r>
        <w:t xml:space="preserve"> </w:t>
      </w:r>
      <w:r>
        <w:t xml:space="preserve">better efficiency of inland navigation.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INTRODUCTION</w:t>
      </w:r>
      <w:r>
        <w:t xml:space="preserve"> </w:t>
      </w:r>
      <w:r>
        <w:t xml:space="preserve">1.1</w:t>
      </w:r>
      <w:r>
        <w:t xml:space="preserve"> </w:t>
      </w:r>
      <w:r>
        <w:t xml:space="preserve">Context</w:t>
      </w:r>
      <w:r>
        <w:t xml:space="preserve"> </w:t>
      </w:r>
      <w:r>
        <w:t xml:space="preserve">This Impact Assessment accompanies a legislative proposal for a revision of Directive 2005/44/EC</w:t>
      </w:r>
      <w:r>
        <w:t xml:space="preserve"> </w:t>
      </w:r>
      <w:r>
        <w:t xml:space="preserve">on harmonised river information services1 (hereinafter “the RIS Directive” or “the Directive”).</w:t>
      </w:r>
      <w:r>
        <w:t xml:space="preserve"> </w:t>
      </w:r>
      <w:r>
        <w:t xml:space="preserve">The EU’s inland waterways stretch over 42,286 kilometres (km) and are a key means of connecting</w:t>
      </w:r>
      <w:r>
        <w:t xml:space="preserve"> </w:t>
      </w:r>
      <w:r>
        <w:t xml:space="preserve">seaports, cities and industrial centres2. The interconnected waterway network of 13,000 km covers</w:t>
      </w:r>
      <w:r>
        <w:t xml:space="preserve"> </w:t>
      </w:r>
      <w:r>
        <w:t xml:space="preserve">13 Member States3 serving over 250 TEN-T inland ports in the TEN-T network. A map of the main</w:t>
      </w:r>
      <w:r>
        <w:t xml:space="preserve"> </w:t>
      </w:r>
      <w:r>
        <w:t xml:space="preserve">waterways in the EU is provided below.</w:t>
      </w:r>
      <w:r>
        <w:t xml:space="preserve"> </w:t>
      </w:r>
      <w:r>
        <w:t xml:space="preserve">Figure 1: Main waterways in the EU</w:t>
      </w:r>
    </w:p>
    <w:p>
      <w:pPr>
        <w:pStyle w:val="BodyText"/>
      </w:pPr>
      <w:r>
        <w:t xml:space="preserve">Source: European Commission</w:t>
      </w:r>
      <w:r>
        <w:t xml:space="preserve"> </w:t>
      </w:r>
      <w:r>
        <w:t xml:space="preserve">Inland Waterway Transport (IWT) plays an important role in the overall European transport system</w:t>
      </w:r>
      <w:r>
        <w:t xml:space="preserve"> </w:t>
      </w:r>
      <w:r>
        <w:t xml:space="preserve">despite its relatively small size. In 2020, 131.7 billion tonne-kilometres (tkm) were transported</w:t>
      </w:r>
      <w:r>
        <w:t xml:space="preserve"> </w:t>
      </w:r>
      <w:r>
        <w:t xml:space="preserve">through inland waters, making up 4.1% of the total freight transport volumes (with road accounting</w:t>
      </w:r>
    </w:p>
    <w:p>
      <w:pPr>
        <w:pStyle w:val="BodyText"/>
      </w:pPr>
      <w:r>
        <w:t xml:space="preserve">1 Directive 2005/44/EC of the European Parliament and of the Council of 7 September 2005 on harmonised river</w:t>
      </w:r>
      <w:r>
        <w:t xml:space="preserve"> </w:t>
      </w:r>
      <w:r>
        <w:t xml:space="preserve">information services (RIS) on inland waterways in the Community, OJ L 255, 30.9.2005, p. 152–159.</w:t>
      </w:r>
      <w:r>
        <w:t xml:space="preserve"> </w:t>
      </w:r>
      <w:r>
        <w:t xml:space="preserve">2 Source: EU transport in figures. Statistical pocketbook 2022 (europa.eu)</w:t>
      </w:r>
      <w:r>
        <w:t xml:space="preserve"> </w:t>
      </w:r>
      <w:r>
        <w:t xml:space="preserve">3 Austria, Belgium, Bulgaria, Czechia, Germany, France, Croatia, Hungary, Luxembourg, the Netherlands,</w:t>
      </w:r>
      <w:r>
        <w:t xml:space="preserve"> </w:t>
      </w:r>
      <w:r>
        <w:t xml:space="preserve">Poland, Romania and Slovakia.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for 54.9%, sea 29.1% and rail 11.9%)4. Dry cargo (in particular agricultural products, ore and</w:t>
      </w:r>
      <w:r>
        <w:t xml:space="preserve"> </w:t>
      </w:r>
      <w:r>
        <w:t xml:space="preserve">metals, building materials, coal, etc.) accounted for 59.8% of IWT volume in 2020, liquid cargo</w:t>
      </w:r>
      <w:r>
        <w:t xml:space="preserve"> </w:t>
      </w:r>
      <w:r>
        <w:t xml:space="preserve">(chemicals and petroleum products) for 28.1% and containers for 12.1%5.</w:t>
      </w:r>
      <w:r>
        <w:t xml:space="preserve"> </w:t>
      </w:r>
      <w:r>
        <w:t xml:space="preserve">IWT handles 0.9% of the total imports and exports in terms of weight in the EU. Despite its</w:t>
      </w:r>
      <w:r>
        <w:t xml:space="preserve"> </w:t>
      </w:r>
      <w:r>
        <w:t xml:space="preserve">geographically limited and focused network, it offers an important alternative to transport via road</w:t>
      </w:r>
      <w:r>
        <w:t xml:space="preserve"> </w:t>
      </w:r>
      <w:r>
        <w:t xml:space="preserve">or rail for the European hinterland regions closest to inland waterways. Therefore, IWT is mainly in</w:t>
      </w:r>
      <w:r>
        <w:t xml:space="preserve"> </w:t>
      </w:r>
      <w:r>
        <w:t xml:space="preserve">competition and often classified along with land transport modes6, covering 6% of inland freight</w:t>
      </w:r>
      <w:r>
        <w:t xml:space="preserve"> </w:t>
      </w:r>
      <w:r>
        <w:t xml:space="preserve">traffic and 0.01% of passenger inland traffic.</w:t>
      </w:r>
      <w:r>
        <w:t xml:space="preserve"> </w:t>
      </w:r>
      <w:r>
        <w:t xml:space="preserve">The development of inland waterway activity is highly dependent on geography (location of rivers),</w:t>
      </w:r>
      <w:r>
        <w:t xml:space="preserve"> </w:t>
      </w:r>
      <w:r>
        <w:t xml:space="preserve">on the types of goods that are or can be transported, on the location of production and consumption</w:t>
      </w:r>
      <w:r>
        <w:t xml:space="preserve"> </w:t>
      </w:r>
      <w:r>
        <w:t xml:space="preserve">sites in relation to the inland waterway network and on the availability of transhipment</w:t>
      </w:r>
      <w:r>
        <w:t xml:space="preserve"> </w:t>
      </w:r>
      <w:r>
        <w:t xml:space="preserve">infrastructure. In this context, the sector faces limitations in terms of its structural market</w:t>
      </w:r>
      <w:r>
        <w:t xml:space="preserve"> </w:t>
      </w:r>
      <w:r>
        <w:t xml:space="preserve">accessibility and growth potential related to two factors7:</w:t>
      </w:r>
      <w:r>
        <w:br/>
      </w:r>
      <w:r>
        <w:t xml:space="preserve">•</w:t>
      </w:r>
      <w:r>
        <w:t xml:space="preserve"> </w:t>
      </w:r>
      <w:r>
        <w:t xml:space="preserve">Geography. Contrary to road and rail, building new waterways is generally not an option.</w:t>
      </w:r>
      <w:r>
        <w:t xml:space="preserve"> </w:t>
      </w:r>
      <w:r>
        <w:t xml:space="preserve">Therefore, the development of Inland Waterway Transport depends essentially on the</w:t>
      </w:r>
      <w:r>
        <w:t xml:space="preserve"> </w:t>
      </w:r>
      <w:r>
        <w:t xml:space="preserve">respective locations of production and consumption sites in relation to the existing inland</w:t>
      </w:r>
      <w:r>
        <w:t xml:space="preserve"> </w:t>
      </w:r>
      <w:r>
        <w:t xml:space="preserve">waterway network. Indeed, depending on each territorial context and the geographical</w:t>
      </w:r>
      <w:r>
        <w:t xml:space="preserve"> </w:t>
      </w:r>
      <w:r>
        <w:t xml:space="preserve">distribution of each site the total cost of Inland Waterway Transport, including handling and</w:t>
      </w:r>
      <w:r>
        <w:t xml:space="preserve"> </w:t>
      </w:r>
      <w:r>
        <w:t xml:space="preserve">last miles, may turn out to be very high.</w:t>
      </w:r>
      <w:r>
        <w:t xml:space="preserve"> </w:t>
      </w:r>
      <w:r>
        <w:t xml:space="preserve">•</w:t>
      </w:r>
      <w:r>
        <w:t xml:space="preserve"> </w:t>
      </w:r>
      <w:r>
        <w:t xml:space="preserve">Logistics. Inland Waterway Transport is not always an option as IWT vessels cannot carry all</w:t>
      </w:r>
      <w:r>
        <w:t xml:space="preserve"> </w:t>
      </w:r>
      <w:r>
        <w:t xml:space="preserve">kind of goods due to packaging issues (for instance pallets) or size of shipments.</w:t>
      </w:r>
      <w:r>
        <w:t xml:space="preserve"> </w:t>
      </w:r>
      <w:r>
        <w:t xml:space="preserve">Besides constraints due to geography and logistics, IWT faces some challenges to achieve its</w:t>
      </w:r>
      <w:r>
        <w:t xml:space="preserve"> </w:t>
      </w:r>
      <w:r>
        <w:t xml:space="preserve">growth potential8. The growth of IWT can be ensured by meeting the objective of NAIADES III</w:t>
      </w:r>
      <w:r>
        <w:t xml:space="preserve"> </w:t>
      </w:r>
      <w:r>
        <w:t xml:space="preserve">Communication9, which suggests investing in the infrastructure and research, further digitalisation</w:t>
      </w:r>
      <w:r>
        <w:t xml:space="preserve"> </w:t>
      </w:r>
      <w:r>
        <w:t xml:space="preserve">of the sector and improvements in the attractiveness for the crew. Some new and growing markets</w:t>
      </w:r>
      <w:r>
        <w:t xml:space="preserve"> </w:t>
      </w:r>
      <w:r>
        <w:t xml:space="preserve">might trigger modal shift towards IWT, for example, waste/biomass transport, circular</w:t>
      </w:r>
      <w:r>
        <w:t xml:space="preserve"> </w:t>
      </w:r>
      <w:r>
        <w:t xml:space="preserve">economy/new materials, urban logistics and passenger transport.</w:t>
      </w:r>
      <w:r>
        <w:t xml:space="preserve"> </w:t>
      </w:r>
      <w:r>
        <w:t xml:space="preserve">Connected to the geographical distribution of inland waterways, IWT traffic volumes concentrate in</w:t>
      </w:r>
      <w:r>
        <w:t xml:space="preserve"> </w:t>
      </w:r>
      <w:r>
        <w:t xml:space="preserve">a few Member States, with Germany and the Netherlands accounting for 69% of overall EU IWT</w:t>
      </w:r>
      <w:r>
        <w:t xml:space="preserve"> </w:t>
      </w:r>
      <w:r>
        <w:t xml:space="preserve">transport in 202010. In terms of modal shares, IWT plays a significant role in the land freight</w:t>
      </w:r>
    </w:p>
    <w:p>
      <w:pPr>
        <w:pStyle w:val="BodyText"/>
      </w:pPr>
      <w:r>
        <w:t xml:space="preserve">4 Source: EU transport in figures. Statistical pocketbook 2022 (europa.eu)</w:t>
      </w:r>
      <w:r>
        <w:t xml:space="preserve"> </w:t>
      </w:r>
      <w:r>
        <w:t xml:space="preserve">5 CCNR (2022). Thematic report an assessment of new market opportunities for inland waterway transport.</w:t>
      </w:r>
      <w:r>
        <w:t xml:space="preserve"> </w:t>
      </w:r>
      <w:r>
        <w:t xml:space="preserve">Available at: https://inland-navigation-market.org/wp-content/uploads/2022/03/Thematic-</w:t>
      </w:r>
      <w:r>
        <w:t xml:space="preserve"> </w:t>
      </w:r>
      <w:r>
        <w:t xml:space="preserve">report_20212022_EN_BD.pdf</w:t>
      </w:r>
      <w:r>
        <w:br/>
      </w:r>
      <w:r>
        <w:t xml:space="preserve">6 European Commission (2016), Staff Working Document Refit Ex-Post Evaluation of Combined Transport</w:t>
      </w:r>
      <w:r>
        <w:t xml:space="preserve"> </w:t>
      </w:r>
      <w:r>
        <w:t xml:space="preserve">Directive 92/106/EEC Final Report, SWD(2016) 140 final</w:t>
      </w:r>
      <w:r>
        <w:t xml:space="preserve"> </w:t>
      </w:r>
      <w:r>
        <w:t xml:space="preserve">7 European Commission (2020), Assessment of the potential of maritime and inland ports and inland waterways</w:t>
      </w:r>
      <w:r>
        <w:t xml:space="preserve"> </w:t>
      </w:r>
      <w:r>
        <w:t xml:space="preserve">and of related policy measures, including industrial policy measures, https://op.europa.eu/o/opportal-</w:t>
      </w:r>
      <w:r>
        <w:t xml:space="preserve"> </w:t>
      </w:r>
      <w:r>
        <w:t xml:space="preserve">service/download-handler?identifier=4ec82fa8-0dc6-11eb-bc07-</w:t>
      </w:r>
      <w:r>
        <w:t xml:space="preserve"> </w:t>
      </w:r>
      <w:r>
        <w:t xml:space="preserve">01aa75ed71a1&amp;format=pdf&amp;language=en&amp;productionSystem=cellar&amp;part=)</w:t>
      </w:r>
      <w:r>
        <w:br/>
      </w:r>
      <w:r>
        <w:t xml:space="preserve">8 The potential for growth of inland waterway transport (IWT), and its integration into the logistics chains, has</w:t>
      </w:r>
      <w:r>
        <w:t xml:space="preserve"> </w:t>
      </w:r>
      <w:r>
        <w:t xml:space="preserve">been assessed in the context of Platina3 project (H2020 Research project: Market development and logistic</w:t>
      </w:r>
      <w:r>
        <w:t xml:space="preserve"> </w:t>
      </w:r>
      <w:r>
        <w:t xml:space="preserve">integration (platina3.eu)).</w:t>
      </w:r>
      <w:r>
        <w:br/>
      </w:r>
      <w:r>
        <w:t xml:space="preserve">9 COM/2021/324 final</w:t>
      </w:r>
      <w:r>
        <w:t xml:space="preserve"> </w:t>
      </w:r>
      <w:r>
        <w:t xml:space="preserve">10 Source: EU transport in figures. Statistical pocketbook 2022 (europa.eu)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transport activity11 within the Netherlands (39.7%), Bulgaria and Romania (28% each) and a lower</w:t>
      </w:r>
      <w:r>
        <w:t xml:space="preserve"> </w:t>
      </w:r>
      <w:r>
        <w:t xml:space="preserve">role in Belgium (10.9%), Luxemburg (8.2%), Germany (7.3%), Croatia (6.0%) and Hungary</w:t>
      </w:r>
      <w:r>
        <w:t xml:space="preserve"> </w:t>
      </w:r>
      <w:r>
        <w:t xml:space="preserve">(4.7%). Furthermore, (freight) IWT tends to be rather limited in the land freight transport activity in</w:t>
      </w:r>
      <w:r>
        <w:t xml:space="preserve"> </w:t>
      </w:r>
      <w:r>
        <w:t xml:space="preserve">Slovakia (2.9%), Austria and France (2.1% each)12.</w:t>
      </w:r>
      <w:r>
        <w:br/>
      </w:r>
      <w:r>
        <w:t xml:space="preserve">According to Eurostat, around 5,500 IWT freight transport companies are active in Europe (EU plus</w:t>
      </w:r>
      <w:r>
        <w:t xml:space="preserve"> </w:t>
      </w:r>
      <w:r>
        <w:t xml:space="preserve">Bosnia-Herzegovina, Serbia and Switzerland), employing more than 23,000 persons. In addition,</w:t>
      </w:r>
      <w:r>
        <w:t xml:space="preserve"> </w:t>
      </w:r>
      <w:r>
        <w:t xml:space="preserve">there are around 4,000 passenger companies which employ around 14,000 persons. Thus, it is a</w:t>
      </w:r>
      <w:r>
        <w:t xml:space="preserve"> </w:t>
      </w:r>
      <w:r>
        <w:t xml:space="preserve">small sector when considering the overall number of transport companies. The sector is also small in</w:t>
      </w:r>
      <w:r>
        <w:t xml:space="preserve"> </w:t>
      </w:r>
      <w:r>
        <w:t xml:space="preserve">terms of turnover, reporting a turnover of EUR 7 billion in 2020 (1% of the turnover of the transport</w:t>
      </w:r>
      <w:r>
        <w:t xml:space="preserve"> </w:t>
      </w:r>
      <w:r>
        <w:t xml:space="preserve">sector)13.</w:t>
      </w:r>
      <w:r>
        <w:t xml:space="preserve"> </w:t>
      </w:r>
      <w:r>
        <w:t xml:space="preserve">While no detailed data is available at EU level, one characteristic of the IWT sector is the high</w:t>
      </w:r>
      <w:r>
        <w:t xml:space="preserve"> </w:t>
      </w:r>
      <w:r>
        <w:t xml:space="preserve">number of Small and Medium Enterprises (SMEs). According to the CCNR, the majority of IWT</w:t>
      </w:r>
      <w:r>
        <w:t xml:space="preserve"> </w:t>
      </w:r>
      <w:r>
        <w:t xml:space="preserve">companies in Western Europe are small family owned operating one or two vessels, while</w:t>
      </w:r>
      <w:r>
        <w:t xml:space="preserve"> </w:t>
      </w:r>
      <w:r>
        <w:t xml:space="preserve">companies in the Danube region are bigger as they derive from previously state-owned</w:t>
      </w:r>
      <w:r>
        <w:t xml:space="preserve"> </w:t>
      </w:r>
      <w:r>
        <w:t xml:space="preserve">enterprises14.</w:t>
      </w:r>
      <w:r>
        <w:br/>
      </w:r>
      <w:r>
        <w:t xml:space="preserve">1.2</w:t>
      </w:r>
      <w:r>
        <w:t xml:space="preserve"> </w:t>
      </w:r>
      <w:r>
        <w:t xml:space="preserve">What are River Information Services (RIS)</w:t>
      </w:r>
      <w:r>
        <w:br/>
      </w:r>
      <w:r>
        <w:t xml:space="preserve">Currently, RIS concern the provision of a range of services to support traffic and transport</w:t>
      </w:r>
      <w:r>
        <w:t xml:space="preserve"> </w:t>
      </w:r>
      <w:r>
        <w:t xml:space="preserve">management in inland navigation15. The development of these services is based on four</w:t>
      </w:r>
      <w:r>
        <w:t xml:space="preserve"> </w:t>
      </w:r>
      <w:r>
        <w:t xml:space="preserve">technologies16, whose technical specifications govern how the relevant information is shared and</w:t>
      </w:r>
      <w:r>
        <w:t xml:space="preserve"> </w:t>
      </w:r>
      <w:r>
        <w:t xml:space="preserve">presented among the RIS users.</w:t>
      </w:r>
      <w:r>
        <w:br/>
      </w:r>
      <w:r>
        <w:t xml:space="preserve">Member States have set up RIS authorities, who are responsible for the implementation and</w:t>
      </w:r>
      <w:r>
        <w:t xml:space="preserve"> </w:t>
      </w:r>
      <w:r>
        <w:t xml:space="preserve">maintenance of RIS. National RIS authorities inform vessel operators (skippers) about the situation</w:t>
      </w:r>
      <w:r>
        <w:t xml:space="preserve"> </w:t>
      </w:r>
      <w:r>
        <w:t xml:space="preserve">on the rivers (current parameters of waterways like fairway depth, clearance under the bridges,</w:t>
      </w:r>
      <w:r>
        <w:t xml:space="preserve"> </w:t>
      </w:r>
      <w:r>
        <w:t xml:space="preserve">closure of waterways due to accidents/works, lock closures, etc.). This helps operators in safe and</w:t>
      </w:r>
      <w:r>
        <w:t xml:space="preserve"> </w:t>
      </w:r>
      <w:r>
        <w:t xml:space="preserve">efficient navigation. In managing traffic, authorities may request vessels to adapt their navigation</w:t>
      </w:r>
      <w:r>
        <w:t xml:space="preserve"> </w:t>
      </w:r>
      <w:r>
        <w:t xml:space="preserve">(e.g. speed) to avoid bottlenecks. On the other hand, vessel operators report important elements to</w:t>
      </w:r>
      <w:r>
        <w:t xml:space="preserve"> </w:t>
      </w:r>
      <w:r>
        <w:t xml:space="preserve">the national RIS authorities, such as their position, carriage of dangerous goods, etc.</w:t>
      </w:r>
      <w:r>
        <w:br/>
      </w:r>
      <w:r>
        <w:t xml:space="preserve">Vessel operators need to (re)submit reports at various instances during their voyage, and when</w:t>
      </w:r>
      <w:r>
        <w:t xml:space="preserve"> </w:t>
      </w:r>
      <w:r>
        <w:t xml:space="preserve">crossing a border. The exchange of information can take place by electronic means or radio and may</w:t>
      </w:r>
      <w:r>
        <w:t xml:space="preserve"> </w:t>
      </w:r>
      <w:r>
        <w:t xml:space="preserve">vary depending on the situation and the country of navigation. Basic information on RIS (such as</w:t>
      </w:r>
      <w:r>
        <w:t xml:space="preserve"> </w:t>
      </w:r>
      <w:r>
        <w:t xml:space="preserve">geographical positioning of bridges) is included in databases (e.g. RIS Index in ERDMS) which are</w:t>
      </w:r>
      <w:r>
        <w:t xml:space="preserve"> </w:t>
      </w:r>
      <w:r>
        <w:t xml:space="preserve">updated by the Member States. Vessel operators communicate with inland ports (e.g. to announce</w:t>
      </w:r>
      <w:r>
        <w:t xml:space="preserve"> </w:t>
      </w:r>
      <w:r>
        <w:t xml:space="preserve">their expected time of arrival) individually, often via radio, and there is almost no direct exchange of</w:t>
      </w:r>
    </w:p>
    <w:p>
      <w:pPr>
        <w:pStyle w:val="BodyText"/>
      </w:pPr>
      <w:r>
        <w:t xml:space="preserve">11 Including road, rail, IWT and pipeline transport.</w:t>
      </w:r>
      <w:r>
        <w:br/>
      </w:r>
      <w:r>
        <w:t xml:space="preserve">12 Source: EU transport in figures. Statistical pocketbook 2022 (europa.eu)</w:t>
      </w:r>
      <w:r>
        <w:br/>
      </w:r>
      <w:r>
        <w:t xml:space="preserve">13 https://transport.ec.europa.eu/facts-funding/studies-data/eu-transport-figures-statistical-pocketbook/statistical-</w:t>
      </w:r>
      <w:r>
        <w:t xml:space="preserve"> </w:t>
      </w:r>
      <w:r>
        <w:t xml:space="preserve">pocketbook-2023_en</w:t>
      </w:r>
      <w:r>
        <w:br/>
      </w:r>
      <w:r>
        <w:t xml:space="preserve">14 CCNR (2020) Marker Report 2014-2019, Main features and trends of the European Inland Waterway</w:t>
      </w:r>
      <w:r>
        <w:t xml:space="preserve"> </w:t>
      </w:r>
      <w:r>
        <w:t xml:space="preserve">Transport Sector, Market-report-2014-2019_Web_BD.pdf (inland-navigation-market.org)</w:t>
      </w:r>
      <w:r>
        <w:br/>
      </w:r>
      <w:r>
        <w:t xml:space="preserve">15 This includes elements such as fairway information, traffic information, traffic management, calamity</w:t>
      </w:r>
      <w:r>
        <w:t xml:space="preserve"> </w:t>
      </w:r>
      <w:r>
        <w:t xml:space="preserve">abatement support, information for transport logistics, information for law compliance, statistics and waterway</w:t>
      </w:r>
      <w:r>
        <w:t xml:space="preserve"> </w:t>
      </w:r>
      <w:r>
        <w:t xml:space="preserve">charges and harbour dues.</w:t>
      </w:r>
      <w:r>
        <w:br/>
      </w:r>
      <w:r>
        <w:t xml:space="preserve">16 Inland Electronic Chart Display and Information Systems (ECDIS), Electronic Reporting International (ERI),</w:t>
      </w:r>
      <w:r>
        <w:t xml:space="preserve"> </w:t>
      </w:r>
      <w:r>
        <w:t xml:space="preserve">Notices to Skippers (NtS), Vessel Tracking and Tracing (VTT).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information with other modes of transport.</w:t>
      </w:r>
      <w:r>
        <w:t xml:space="preserve"> </w:t>
      </w:r>
      <w:r>
        <w:t xml:space="preserve">Technical specifications for the provision of RIS are adopted by the Commission, with the</w:t>
      </w:r>
      <w:r>
        <w:t xml:space="preserve"> </w:t>
      </w:r>
      <w:r>
        <w:t xml:space="preserve">assistance of RIS experts from the Member States. The Commission is also responsible for</w:t>
      </w:r>
      <w:r>
        <w:t xml:space="preserve"> </w:t>
      </w:r>
      <w:r>
        <w:t xml:space="preserve">monitoring the overall implementation of RIS by Member States. Further technical information on</w:t>
      </w:r>
      <w:r>
        <w:t xml:space="preserve"> </w:t>
      </w:r>
      <w:r>
        <w:t xml:space="preserve">RIS is included in Annex 9. The current setting of RIS in the EU is also illustrated in Figure 2</w:t>
      </w:r>
      <w:r>
        <w:t xml:space="preserve"> </w:t>
      </w:r>
      <w:r>
        <w:t xml:space="preserve">below.</w:t>
      </w:r>
      <w:r>
        <w:t xml:space="preserve"> </w:t>
      </w:r>
      <w:r>
        <w:t xml:space="preserve">Figure 2: Current setting of RIS in the EU</w:t>
      </w:r>
    </w:p>
    <w:p>
      <w:pPr>
        <w:pStyle w:val="BodyText"/>
      </w:pPr>
      <w:r>
        <w:t xml:space="preserve">Source: European Commission</w:t>
      </w:r>
      <w:r>
        <w:t xml:space="preserve"> </w:t>
      </w:r>
      <w:r>
        <w:t xml:space="preserve">1.3</w:t>
      </w:r>
      <w:r>
        <w:t xml:space="preserve"> </w:t>
      </w:r>
      <w:r>
        <w:t xml:space="preserve">Political and legal context</w:t>
      </w:r>
      <w:r>
        <w:t xml:space="preserve"> </w:t>
      </w:r>
      <w:r>
        <w:t xml:space="preserve">International, national and regional context</w:t>
      </w:r>
      <w:r>
        <w:t xml:space="preserve"> </w:t>
      </w:r>
      <w:r>
        <w:t xml:space="preserve">A range of institutional actors play a role in the development and implementation of RIS activities in</w:t>
      </w:r>
      <w:r>
        <w:t xml:space="preserve"> </w:t>
      </w:r>
      <w:r>
        <w:t xml:space="preserve">Europe. These include, at international level: the United Nations Economic Commission for Europe</w:t>
      </w:r>
      <w:r>
        <w:t xml:space="preserve"> </w:t>
      </w:r>
      <w:r>
        <w:t xml:space="preserve">(UNECE), and the World Association for Waterborne Transport Infrastructure (PIANC17), which</w:t>
      </w:r>
      <w:r>
        <w:t xml:space="preserve"> </w:t>
      </w:r>
      <w:r>
        <w:t xml:space="preserve">have developed non-binding standards and guidelines for RIS. At EU level the European</w:t>
      </w:r>
      <w:r>
        <w:t xml:space="preserve"> </w:t>
      </w:r>
      <w:r>
        <w:t xml:space="preserve">Committee for drawing up Common Standards in the field of Inland Navigation (CESNI) was</w:t>
      </w:r>
      <w:r>
        <w:t xml:space="preserve"> </w:t>
      </w:r>
      <w:r>
        <w:t xml:space="preserve">created by the European Commission and the Central Commission for Navigation on the Rhine</w:t>
      </w:r>
      <w:r>
        <w:t xml:space="preserve"> </w:t>
      </w:r>
      <w:r>
        <w:t xml:space="preserve">(CCNR) to develop technical specifications and requirements for vessels, personal qualifications</w:t>
      </w:r>
      <w:r>
        <w:t xml:space="preserve"> </w:t>
      </w:r>
      <w:r>
        <w:t xml:space="preserve">and digitalisation for IWT. Finally at regional area level, river commissions such as (CCNR), the</w:t>
      </w:r>
      <w:r>
        <w:t xml:space="preserve"> </w:t>
      </w:r>
      <w:r>
        <w:t xml:space="preserve">Danube Commission, the Sava Commission and the Moselle Commission should play a role by</w:t>
      </w:r>
      <w:r>
        <w:t xml:space="preserve"> </w:t>
      </w:r>
      <w:r>
        <w:t xml:space="preserve">facilitating the harmonisation of rules in IWT in the respective rivers. Of these the CCNR is</w:t>
      </w:r>
      <w:r>
        <w:t xml:space="preserve"> </w:t>
      </w:r>
      <w:r>
        <w:t xml:space="preserve">developing and applying mandatory requirements and regulations for their Member States in line</w:t>
      </w:r>
      <w:r>
        <w:t xml:space="preserve"> </w:t>
      </w:r>
      <w:r>
        <w:t xml:space="preserve">with the EU legislation.</w:t>
      </w:r>
    </w:p>
    <w:p>
      <w:pPr>
        <w:pStyle w:val="BodyText"/>
      </w:pPr>
      <w:r>
        <w:t xml:space="preserve">17 PIANC (formerly the Permanent International Commission for the Navigation Congresses) is known for the</w:t>
      </w:r>
      <w:r>
        <w:t xml:space="preserve"> </w:t>
      </w:r>
      <w:r>
        <w:t xml:space="preserve">RIS guidelines which have been adopted through Commission Regulation (EC) 414/2007.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In addition, the Member States are involved in different platform and expert groups. These include</w:t>
      </w:r>
      <w:r>
        <w:t xml:space="preserve"> </w:t>
      </w:r>
      <w:r>
        <w:t xml:space="preserve">the four temporary working groups of CESNI/TI (working group on information technologies)</w:t>
      </w:r>
      <w:r>
        <w:t xml:space="preserve"> </w:t>
      </w:r>
      <w:r>
        <w:t xml:space="preserve">tasked with the development and updating of the technical specifications for the different RIS</w:t>
      </w:r>
      <w:r>
        <w:t xml:space="preserve"> </w:t>
      </w:r>
      <w:r>
        <w:t xml:space="preserve">technologies18.</w:t>
      </w:r>
      <w:r>
        <w:t xml:space="preserve"> </w:t>
      </w:r>
      <w:r>
        <w:t xml:space="preserve">EU policy context</w:t>
      </w:r>
      <w:r>
        <w:t xml:space="preserve"> </w:t>
      </w:r>
      <w:r>
        <w:t xml:space="preserve">The Commission’s Communication on a Sustainable and Smart Mobility Strategy (SSMS)19 sets</w:t>
      </w:r>
      <w:r>
        <w:t xml:space="preserve"> </w:t>
      </w:r>
      <w:r>
        <w:t xml:space="preserve">out the EU vision for the transport system of the future. The SSMS recognises that significant steps</w:t>
      </w:r>
      <w:r>
        <w:t xml:space="preserve"> </w:t>
      </w:r>
      <w:r>
        <w:t xml:space="preserve">have been taken to support the deployment of harmonised RIS to enable seamless transport and</w:t>
      </w:r>
      <w:r>
        <w:t xml:space="preserve"> </w:t>
      </w:r>
      <w:r>
        <w:t xml:space="preserve">traffic management on the European inland waterways. The evolution of RIS needs however to take</w:t>
      </w:r>
      <w:r>
        <w:t xml:space="preserve"> </w:t>
      </w:r>
      <w:r>
        <w:t xml:space="preserve">into consideration new requirements stemming from the digital transformation happening in the</w:t>
      </w:r>
      <w:r>
        <w:t xml:space="preserve"> </w:t>
      </w:r>
      <w:r>
        <w:t xml:space="preserve">transport sector (e.g. smart shipping applications that increase performance of IWT operations, port</w:t>
      </w:r>
      <w:r>
        <w:t xml:space="preserve"> </w:t>
      </w:r>
      <w:r>
        <w:t xml:space="preserve">information systems, autonomous ships for inland waterways, etc.). The revision of the RIS</w:t>
      </w:r>
      <w:r>
        <w:t xml:space="preserve"> </w:t>
      </w:r>
      <w:r>
        <w:t xml:space="preserve">Directive has been announced under Flagship 6 of SSMS (Making connected and automated</w:t>
      </w:r>
      <w:r>
        <w:t xml:space="preserve"> </w:t>
      </w:r>
      <w:r>
        <w:t xml:space="preserve">multimodal mobility a reality).</w:t>
      </w:r>
      <w:r>
        <w:br/>
      </w:r>
      <w:r>
        <w:t xml:space="preserve">In 2018, the Council, in its conclusions on Inland Waterway Transport20, invited the Commission to</w:t>
      </w:r>
      <w:r>
        <w:t xml:space="preserve"> </w:t>
      </w:r>
      <w:r>
        <w:t xml:space="preserve">develop an implementation strategy for digitalisation, including River Information Services (RIS).</w:t>
      </w:r>
      <w:r>
        <w:t xml:space="preserve"> </w:t>
      </w:r>
      <w:r>
        <w:t xml:space="preserve">Following the Council conclusions and the SSMS, the 2021 NAIADES III Communication21 set</w:t>
      </w:r>
      <w:r>
        <w:t xml:space="preserve"> </w:t>
      </w:r>
      <w:r>
        <w:t xml:space="preserve">out an action plan to boost the role of inland waterway transport in the EU mobility and logistics</w:t>
      </w:r>
      <w:r>
        <w:t xml:space="preserve"> </w:t>
      </w:r>
      <w:r>
        <w:t xml:space="preserve">systems. The core objectives were to shift more cargo to Europe’s rivers and canals, and to facilitate</w:t>
      </w:r>
      <w:r>
        <w:t xml:space="preserve"> </w:t>
      </w:r>
      <w:r>
        <w:t xml:space="preserve">the transition to zero-emission barges by 2050. The importance for IWT to keep up with digital</w:t>
      </w:r>
      <w:r>
        <w:t xml:space="preserve"> </w:t>
      </w:r>
      <w:r>
        <w:t xml:space="preserve">developments to improve the sector’s competitiveness and ensure that it becomes an active part of</w:t>
      </w:r>
      <w:r>
        <w:t xml:space="preserve"> </w:t>
      </w:r>
      <w:r>
        <w:t xml:space="preserve">broader multimodal chains was recognised. Besides the revision of the Directive, the</w:t>
      </w:r>
      <w:r>
        <w:t xml:space="preserve"> </w:t>
      </w:r>
      <w:r>
        <w:t xml:space="preserve">Communication calls on Member States to implement smart traffic and management solutions</w:t>
      </w:r>
      <w:r>
        <w:t xml:space="preserve"> </w:t>
      </w:r>
      <w:r>
        <w:t xml:space="preserve">based on RIS. It also considers that a permanent operational structure to provide a single point of</w:t>
      </w:r>
      <w:r>
        <w:t xml:space="preserve"> </w:t>
      </w:r>
      <w:r>
        <w:t xml:space="preserve">access for RIS-based corridor information services developed by the Member States could be</w:t>
      </w:r>
      <w:r>
        <w:t xml:space="preserve"> </w:t>
      </w:r>
      <w:r>
        <w:t xml:space="preserve">supported financially by the Connecting Europe Facility (CEF). The Communication confirms that</w:t>
      </w:r>
      <w:r>
        <w:t xml:space="preserve"> </w:t>
      </w:r>
      <w:r>
        <w:t xml:space="preserve">the Commission will continue supporting CESNI through the Connecting Europe Facility, with the</w:t>
      </w:r>
      <w:r>
        <w:t xml:space="preserve"> </w:t>
      </w:r>
      <w:r>
        <w:t xml:space="preserve">mandate of developing harmonised EU technical specifications for inland waterway transport.</w:t>
      </w:r>
      <w:r>
        <w:t xml:space="preserve"> </w:t>
      </w:r>
      <w:r>
        <w:t xml:space="preserve">The 2021 European Parliament report “Towards future-proof inland waterway transport in</w:t>
      </w:r>
      <w:r>
        <w:t xml:space="preserve"> </w:t>
      </w:r>
      <w:r>
        <w:t xml:space="preserve">Europe”22 stressed the need to further harmonise river information services. This should simplify</w:t>
      </w:r>
      <w:r>
        <w:t xml:space="preserve"> </w:t>
      </w:r>
      <w:r>
        <w:t xml:space="preserve">procedures in regulating inland navigation, reduce problems arising from different interpretations of</w:t>
      </w:r>
      <w:r>
        <w:t xml:space="preserve"> </w:t>
      </w:r>
      <w:r>
        <w:t xml:space="preserve">technical standards and the lack of comparable data, and allow for the speedy development and</w:t>
      </w:r>
      <w:r>
        <w:t xml:space="preserve"> </w:t>
      </w:r>
      <w:r>
        <w:t xml:space="preserve">deployment of innovative solutions. In its 2022 conclusions on NAIADES III23, the Council</w:t>
      </w:r>
      <w:r>
        <w:t xml:space="preserve"> </w:t>
      </w:r>
      <w:r>
        <w:t xml:space="preserve">encouraged the Member States to continue and intensify their cooperation in the harmonised</w:t>
      </w:r>
      <w:r>
        <w:t xml:space="preserve"> </w:t>
      </w:r>
      <w:r>
        <w:t xml:space="preserve">implementation of RIS. It invited the Commission to present a proposal for reviewing the RIS</w:t>
      </w:r>
      <w:r>
        <w:t xml:space="preserve"> </w:t>
      </w:r>
      <w:r>
        <w:t xml:space="preserve">Directive, to establish the Directive as an effective tool supporting multimodal freight operations,</w:t>
      </w:r>
      <w:r>
        <w:t xml:space="preserve"> </w:t>
      </w:r>
      <w:r>
        <w:t xml:space="preserve">with a particular focus on seamless cross-border connections and interoperability.</w:t>
      </w:r>
    </w:p>
    <w:p>
      <w:pPr>
        <w:pStyle w:val="BodyText"/>
      </w:pPr>
      <w:r>
        <w:t xml:space="preserve">18 Inland Electronic Chart Display and Information Systems (ECDIS), Electronic Reporting International (ERI),</w:t>
      </w:r>
      <w:r>
        <w:t xml:space="preserve"> </w:t>
      </w:r>
      <w:r>
        <w:t xml:space="preserve">Notices to Skippers (NtS), Vessel Tracking and Tracing (VTT).</w:t>
      </w:r>
      <w:r>
        <w:t xml:space="preserve"> </w:t>
      </w:r>
      <w:r>
        <w:t xml:space="preserve">19 COM/2020/789 final</w:t>
      </w:r>
      <w:r>
        <w:t xml:space="preserve"> </w:t>
      </w:r>
      <w:r>
        <w:t xml:space="preserve">20 https://data.consilium.europa.eu/doc/document/ST-13745-2018-INIT/en/pdf</w:t>
      </w:r>
      <w:r>
        <w:br/>
      </w:r>
      <w:r>
        <w:t xml:space="preserve">21 COM/2021/324 final</w:t>
      </w:r>
      <w:r>
        <w:t xml:space="preserve"> </w:t>
      </w:r>
      <w:r>
        <w:t xml:space="preserve">22 https://www.europarl.europa.eu/doceo/document/A-9-2021-0231_EN.html</w:t>
      </w:r>
      <w:r>
        <w:br/>
      </w:r>
      <w:r>
        <w:t xml:space="preserve">23 https://data.consilium.europa.eu/doc/document/ST-14847-2022-INIT/en/pdf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RIS is not the only digital element for IWT. In accordance with the Directive on technical</w:t>
      </w:r>
      <w:r>
        <w:t xml:space="preserve"> </w:t>
      </w:r>
      <w:r>
        <w:t xml:space="preserve">requirements for inland waterway vessels24, the Commission maintains the European Hull Database</w:t>
      </w:r>
      <w:r>
        <w:t xml:space="preserve"> </w:t>
      </w:r>
      <w:r>
        <w:t xml:space="preserve">(EHDB), containing selected information regarding inland waterway craft, including each vessel’s</w:t>
      </w:r>
      <w:r>
        <w:t xml:space="preserve"> </w:t>
      </w:r>
      <w:r>
        <w:t xml:space="preserve">unique European vessel identification number, its name, its dimensions and other data identifying</w:t>
      </w:r>
      <w:r>
        <w:t xml:space="preserve"> </w:t>
      </w:r>
      <w:r>
        <w:t xml:space="preserve">the vessel. The Directive on the recognition of professional qualifications in inland navigation25 also</w:t>
      </w:r>
      <w:r>
        <w:t xml:space="preserve"> </w:t>
      </w:r>
      <w:r>
        <w:t xml:space="preserve">facilitates the electronic exchange of information about crew members by setting up a system of</w:t>
      </w:r>
      <w:r>
        <w:t xml:space="preserve"> </w:t>
      </w:r>
      <w:r>
        <w:t xml:space="preserve">national registers and a database, kept by the Commission (European Crew Database - ECDB).</w:t>
      </w:r>
      <w:r>
        <w:br/>
      </w:r>
      <w:r>
        <w:t xml:space="preserve">RIS has benefited from EU funding support, in particular EUR 29.6 million TEN-T funding for 19</w:t>
      </w:r>
      <w:r>
        <w:t xml:space="preserve"> </w:t>
      </w:r>
      <w:r>
        <w:t xml:space="preserve">actions during the period 2007-2013 (for projects of total cost of almost EUR 85 million) and some</w:t>
      </w:r>
      <w:r>
        <w:t xml:space="preserve"> </w:t>
      </w:r>
      <w:r>
        <w:t xml:space="preserve">EUR 33 million CEF1 funding for 11 actions (of total cost of EUR 58 million) for the period 2014-</w:t>
      </w:r>
      <w:r>
        <w:t xml:space="preserve"> </w:t>
      </w:r>
      <w:r>
        <w:t xml:space="preserve">202026. Under CEF2 (2021-2027), so far, the EU has supported 1 RIS project with EUR 18.2</w:t>
      </w:r>
      <w:r>
        <w:t xml:space="preserve"> </w:t>
      </w:r>
      <w:r>
        <w:t xml:space="preserve">million (out of a total cost of EUR 36.4 million).</w:t>
      </w:r>
      <w:r>
        <w:t xml:space="preserve"> </w:t>
      </w:r>
      <w:r>
        <w:t xml:space="preserve">The RIS Directive</w:t>
      </w:r>
      <w:r>
        <w:t xml:space="preserve"> </w:t>
      </w:r>
      <w:r>
        <w:t xml:space="preserve">The legislative process to regulate RIS at EU level started in 2005 with the adoption of the RIS</w:t>
      </w:r>
      <w:r>
        <w:t xml:space="preserve"> </w:t>
      </w:r>
      <w:r>
        <w:t xml:space="preserve">Directive. The Directive establishes a framework for the deployment and use of harmonised,</w:t>
      </w:r>
      <w:r>
        <w:t xml:space="preserve"> </w:t>
      </w:r>
      <w:r>
        <w:t xml:space="preserve">interoperable and open RIS aiming to enhance safety, efficiency and environmental friendliness of</w:t>
      </w:r>
      <w:r>
        <w:t xml:space="preserve"> </w:t>
      </w:r>
      <w:r>
        <w:t xml:space="preserve">inland waterway transport in the EU. It intended to facilitate interfaces with other transport modes,</w:t>
      </w:r>
      <w:r>
        <w:t xml:space="preserve"> </w:t>
      </w:r>
      <w:r>
        <w:t xml:space="preserve">thus considering the multimodal potential of IWT. At the same time, however, the definition</w:t>
      </w:r>
      <w:r>
        <w:t xml:space="preserve"> </w:t>
      </w:r>
      <w:r>
        <w:t xml:space="preserve">(Article 3) makes it clear that RIS is aimed at the exchange of information between authorities and</w:t>
      </w:r>
      <w:r>
        <w:t xml:space="preserve"> </w:t>
      </w:r>
      <w:r>
        <w:t xml:space="preserve">between authorities and IWT companies, and not between one or more involved companies (no</w:t>
      </w:r>
      <w:r>
        <w:t xml:space="preserve"> </w:t>
      </w:r>
      <w:r>
        <w:t xml:space="preserve">business-to-business exchange). It specifies though that RIS should be open for interfacing with</w:t>
      </w:r>
      <w:r>
        <w:t xml:space="preserve"> </w:t>
      </w:r>
      <w:r>
        <w:t xml:space="preserve">commercial activities.</w:t>
      </w:r>
      <w:r>
        <w:t xml:space="preserve"> </w:t>
      </w:r>
      <w:r>
        <w:t xml:space="preserve">One of the objectives of RIS is to enhance the safety of inland navigation by optimizing the</w:t>
      </w:r>
      <w:r>
        <w:t xml:space="preserve"> </w:t>
      </w:r>
      <w:r>
        <w:t xml:space="preserve">waterway and traffic related information exchange between vessels, locks and bridges, terminals,</w:t>
      </w:r>
      <w:r>
        <w:t xml:space="preserve"> </w:t>
      </w:r>
      <w:r>
        <w:t xml:space="preserve">and ports. It does not deal with other traffic safety aspects, which are under the responsibility of the</w:t>
      </w:r>
      <w:r>
        <w:t xml:space="preserve"> </w:t>
      </w:r>
      <w:r>
        <w:t xml:space="preserve">Member States through the European Code for Inland Waterways (CEVNI)27, or national Police</w:t>
      </w:r>
      <w:r>
        <w:t xml:space="preserve"> </w:t>
      </w:r>
      <w:r>
        <w:t xml:space="preserve">Regulations.</w:t>
      </w:r>
      <w:r>
        <w:t xml:space="preserve"> </w:t>
      </w:r>
      <w:r>
        <w:t xml:space="preserve">Within the EU framework established by the Directive, the Directive itself provides the general</w:t>
      </w:r>
      <w:r>
        <w:t xml:space="preserve"> </w:t>
      </w:r>
      <w:r>
        <w:t xml:space="preserve">requirements of how RIS should be set up by the Member States, as well as the areas for which</w:t>
      </w:r>
      <w:r>
        <w:t xml:space="preserve"> </w:t>
      </w:r>
      <w:r>
        <w:t xml:space="preserve">technical specifications need to be developed and the principles to be followed. The actual technical</w:t>
      </w:r>
      <w:r>
        <w:t xml:space="preserve"> </w:t>
      </w:r>
      <w:r>
        <w:t xml:space="preserve">guidelines and specifications are developed by the Commission and are then adopted through</w:t>
      </w:r>
      <w:r>
        <w:t xml:space="preserve"> </w:t>
      </w:r>
      <w:r>
        <w:t xml:space="preserve">secondary legislation. Five implementing acts have been adopted to provide the technical aspects of</w:t>
      </w:r>
      <w:r>
        <w:t xml:space="preserve"> </w:t>
      </w:r>
      <w:r>
        <w:t xml:space="preserve">the RIS Directive’s requirements to make up the RIS framework28. Member States are then</w:t>
      </w:r>
      <w:r>
        <w:t xml:space="preserve"> </w:t>
      </w:r>
      <w:r>
        <w:t xml:space="preserve">responsible for implementing the Directive and applying the technical specifications in an efficient,</w:t>
      </w:r>
      <w:r>
        <w:t xml:space="preserve"> </w:t>
      </w:r>
      <w:r>
        <w:t xml:space="preserve">expandable and interoperable way (e.g. establishing RIS centres and designating authorities to</w:t>
      </w:r>
      <w:r>
        <w:t xml:space="preserve"> </w:t>
      </w:r>
      <w:r>
        <w:t xml:space="preserve">oversee its application and the exchange of cross-border data).</w:t>
      </w:r>
    </w:p>
    <w:p>
      <w:pPr>
        <w:pStyle w:val="BodyText"/>
      </w:pPr>
      <w:r>
        <w:t xml:space="preserve">24 Directive (EU) 2016/1629.</w:t>
      </w:r>
      <w:r>
        <w:t xml:space="preserve"> </w:t>
      </w:r>
      <w:r>
        <w:t xml:space="preserve">25 Directive (EU) 2017/2397.</w:t>
      </w:r>
      <w:r>
        <w:t xml:space="preserve"> </w:t>
      </w:r>
      <w:r>
        <w:t xml:space="preserve">26 https://cinea.ec.europa.eu/our-projects_en</w:t>
      </w:r>
      <w:r>
        <w:br/>
      </w:r>
      <w:r>
        <w:t xml:space="preserve">27 This is elaborated within UNECE. The latest version is the sixth revision available here:</w:t>
      </w:r>
      <w:r>
        <w:t xml:space="preserve"> </w:t>
      </w:r>
      <w:r>
        <w:t xml:space="preserve">https://unece.org/info/publications/pub/363912.</w:t>
      </w:r>
      <w:r>
        <w:t xml:space="preserve"> </w:t>
      </w:r>
      <w:r>
        <w:t xml:space="preserve">28 Commission Regulation (EC) No 414/2007, Commission Implementing Regulation (EU) 2019/838;</w:t>
      </w:r>
      <w:r>
        <w:t xml:space="preserve"> </w:t>
      </w:r>
      <w:r>
        <w:t xml:space="preserve">Commission Implementing Regulation (EU) 2018/2032; Commission Implementing Regulation (EU)</w:t>
      </w:r>
      <w:r>
        <w:t xml:space="preserve"> </w:t>
      </w:r>
      <w:r>
        <w:t xml:space="preserve">2019/1744; Commission Implementing Regulation (EU) 2018/1973.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The RIS Directive applies to Member States with cross-border inland waterways of Classification of</w:t>
      </w:r>
      <w:r>
        <w:t xml:space="preserve"> </w:t>
      </w:r>
      <w:r>
        <w:t xml:space="preserve">European Inland Waterways (CEMT) class IV29 and above (Article 2). In practice, these are 13 EU</w:t>
      </w:r>
      <w:r>
        <w:t xml:space="preserve"> </w:t>
      </w:r>
      <w:r>
        <w:t xml:space="preserve">Member States: Austria, Belgium, Bulgaria, Croatia, Czechia, France, Germany, Hungary,</w:t>
      </w:r>
      <w:r>
        <w:t xml:space="preserve"> </w:t>
      </w:r>
      <w:r>
        <w:t xml:space="preserve">Luxembourg, the Netherlands, Poland, Romania and Slovakia, which have all had transposed the</w:t>
      </w:r>
      <w:r>
        <w:t xml:space="preserve"> </w:t>
      </w:r>
      <w:r>
        <w:t xml:space="preserve">Directive by 2011. Several other countries apply the Directive voluntarily (i.e. Spain, Italy, Portugal,</w:t>
      </w:r>
      <w:r>
        <w:t xml:space="preserve"> </w:t>
      </w:r>
      <w:r>
        <w:t xml:space="preserve">Switzerland, Serbia, Moldova and Ukraine).</w:t>
      </w:r>
      <w:r>
        <w:br/>
      </w:r>
      <w:r>
        <w:t xml:space="preserve">Synergies with other EU policy instruments</w:t>
      </w:r>
      <w:r>
        <w:t xml:space="preserve"> </w:t>
      </w:r>
      <w:r>
        <w:t xml:space="preserve">The TEN-T Regulation30 establishes guidelines for the development of the trans-European transport</w:t>
      </w:r>
      <w:r>
        <w:t xml:space="preserve"> </w:t>
      </w:r>
      <w:r>
        <w:t xml:space="preserve">network, which also consists of the infrastructure for inland waterway transport. Some of the</w:t>
      </w:r>
      <w:r>
        <w:t xml:space="preserve"> </w:t>
      </w:r>
      <w:r>
        <w:t xml:space="preserve">Regulation’s priorities deal with information and communication technology, such as implementing</w:t>
      </w:r>
      <w:r>
        <w:t xml:space="preserve"> </w:t>
      </w:r>
      <w:r>
        <w:t xml:space="preserve">telematics applications (including RIS), while others deal with multimodal aspects, such as</w:t>
      </w:r>
      <w:r>
        <w:t xml:space="preserve"> </w:t>
      </w:r>
      <w:r>
        <w:t xml:space="preserve">connecting inland port infrastructure to rail freight and road transport infrastructure. As regards</w:t>
      </w:r>
      <w:r>
        <w:t xml:space="preserve"> </w:t>
      </w:r>
      <w:r>
        <w:t xml:space="preserve">IWT, the TEN-T network is based on a minimum classification (CEMT class IV and above), but</w:t>
      </w:r>
      <w:r>
        <w:t xml:space="preserve"> </w:t>
      </w:r>
      <w:r>
        <w:t xml:space="preserve">unlike the RIS Directive, it is not limited to interconnected waterways (for example the Po in Italy,</w:t>
      </w:r>
      <w:r>
        <w:t xml:space="preserve"> </w:t>
      </w:r>
      <w:r>
        <w:t xml:space="preserve">or the Douro in Portugal are part of TEN-T even if not within the scope of the RIS Directive).</w:t>
      </w:r>
      <w:r>
        <w:t xml:space="preserve"> </w:t>
      </w:r>
      <w:r>
        <w:t xml:space="preserve">Therefore, the scope of these two acts is not identical. The European Commission adopted a</w:t>
      </w:r>
      <w:r>
        <w:t xml:space="preserve"> </w:t>
      </w:r>
      <w:r>
        <w:t xml:space="preserve">legislative proposal31 amending the TEN-T Regulation, where RIS is a requirement for the core</w:t>
      </w:r>
      <w:r>
        <w:t xml:space="preserve"> </w:t>
      </w:r>
      <w:r>
        <w:t xml:space="preserve">network. Under the proposed revision of the TEN-T Regulation, RIS requirements will not be</w:t>
      </w:r>
      <w:r>
        <w:t xml:space="preserve"> </w:t>
      </w:r>
      <w:r>
        <w:t xml:space="preserve">linked any more to the CEMT classification (which are based on parameters for the vessels), but</w:t>
      </w:r>
      <w:r>
        <w:t xml:space="preserve"> </w:t>
      </w:r>
      <w:r>
        <w:t xml:space="preserve">will follow requirements based on the infrastructure (e.g. depth).</w:t>
      </w:r>
      <w:r>
        <w:t xml:space="preserve"> </w:t>
      </w:r>
      <w:r>
        <w:t xml:space="preserve">The RIS Directive requires continuity with systems of other modes and, in particular, with maritime</w:t>
      </w:r>
      <w:r>
        <w:t xml:space="preserve"> </w:t>
      </w:r>
      <w:r>
        <w:t xml:space="preserve">transport (Article 1). In this regard, the regulation establishing a European Maritime Single Window</w:t>
      </w:r>
      <w:r>
        <w:t xml:space="preserve"> </w:t>
      </w:r>
      <w:r>
        <w:t xml:space="preserve">environment32 provides for a legal and technical framework for the electronic transmission of</w:t>
      </w:r>
      <w:r>
        <w:t xml:space="preserve"> </w:t>
      </w:r>
      <w:r>
        <w:t xml:space="preserve">information about reporting obligations for ships calling at EU ports. Certain types of this</w:t>
      </w:r>
      <w:r>
        <w:t xml:space="preserve"> </w:t>
      </w:r>
      <w:r>
        <w:t xml:space="preserve">information may be relevant to be further exchanged with IWTs.</w:t>
      </w:r>
      <w:r>
        <w:br/>
      </w:r>
      <w:r>
        <w:t xml:space="preserve">The eFTI Regulation33, established a legal framework that allows economic operators to share</w:t>
      </w:r>
      <w:r>
        <w:t xml:space="preserve"> </w:t>
      </w:r>
      <w:r>
        <w:t xml:space="preserve">information in an electronic format (i.e. for the transport of goods by road, rail, inland waterways</w:t>
      </w:r>
      <w:r>
        <w:t xml:space="preserve"> </w:t>
      </w:r>
      <w:r>
        <w:t xml:space="preserve">and air in the European Union) with enforcement authorities. Operators are not obliged to make</w:t>
      </w:r>
      <w:r>
        <w:t xml:space="preserve"> </w:t>
      </w:r>
      <w:r>
        <w:t xml:space="preserve">regulatory information available electronically to a competent authority. However, when they</w:t>
      </w:r>
      <w:r>
        <w:t xml:space="preserve"> </w:t>
      </w:r>
      <w:r>
        <w:t xml:space="preserve">choose to make this information available electronically, they must follow a set of requirements.</w:t>
      </w:r>
      <w:r>
        <w:t xml:space="preserve"> </w:t>
      </w:r>
      <w:r>
        <w:t xml:space="preserve">Currently, there is limited interaction between RIS and eFTI, however, there are potential synergies,</w:t>
      </w:r>
      <w:r>
        <w:t xml:space="preserve"> </w:t>
      </w:r>
      <w:r>
        <w:t xml:space="preserve">in terms of use of eFTI platforms for the exchange of cargo information required by RIS.</w:t>
      </w:r>
      <w:r>
        <w:br/>
      </w:r>
      <w:r>
        <w:t xml:space="preserve">The new Alternative Fuels Infrastructure Regulation (AFIR)34 introduces targets for shore-side</w:t>
      </w:r>
      <w:r>
        <w:t xml:space="preserve"> </w:t>
      </w:r>
      <w:r>
        <w:t xml:space="preserve">electricity supply in inland waterway ports, and requires Member States to prepare national policy</w:t>
      </w:r>
      <w:r>
        <w:t xml:space="preserve"> </w:t>
      </w:r>
      <w:r>
        <w:t xml:space="preserve">frameworks, which among others will contain planned initiatives for deployment of infrastructure</w:t>
      </w:r>
      <w:r>
        <w:t xml:space="preserve"> </w:t>
      </w:r>
      <w:r>
        <w:t xml:space="preserve">for alternative fuels in inland waterway transport, such as for hydrogen and electricity. RIS can</w:t>
      </w:r>
      <w:r>
        <w:t xml:space="preserve"> </w:t>
      </w:r>
      <w:r>
        <w:t xml:space="preserve">complement AFIR, by facilitating the exchange of information between inland vessels and ports</w:t>
      </w:r>
    </w:p>
    <w:p>
      <w:pPr>
        <w:pStyle w:val="BodyText"/>
      </w:pPr>
      <w:r>
        <w:t xml:space="preserve">29 80-85 metres in length with tonnage of 100-1500 tonnes</w:t>
      </w:r>
      <w:r>
        <w:t xml:space="preserve"> </w:t>
      </w:r>
      <w:r>
        <w:t xml:space="preserve">30 Regulation (EU) No 1315/2013.</w:t>
      </w:r>
      <w:r>
        <w:t xml:space="preserve"> </w:t>
      </w:r>
      <w:r>
        <w:t xml:space="preserve">31 Proposal for a Regulation of the European Parliament and of the Council on Union guidelines for the</w:t>
      </w:r>
      <w:r>
        <w:t xml:space="preserve"> </w:t>
      </w:r>
      <w:r>
        <w:t xml:space="preserve">development of the trans-European transport network, amending Regulation (EU) 2021/1153 and Regulation</w:t>
      </w:r>
      <w:r>
        <w:t xml:space="preserve"> </w:t>
      </w:r>
      <w:r>
        <w:t xml:space="preserve">(EU) No 913/2010 and repealing Regulation (EU) 1315/2013, COM/2021/812 final</w:t>
      </w:r>
      <w:r>
        <w:t xml:space="preserve"> </w:t>
      </w:r>
      <w:r>
        <w:t xml:space="preserve">32 Regulation (EU) 2019/1239.</w:t>
      </w:r>
      <w:r>
        <w:t xml:space="preserve"> </w:t>
      </w:r>
      <w:r>
        <w:t xml:space="preserve">33 Regulation (EU) 2020/1056.</w:t>
      </w:r>
      <w:r>
        <w:t xml:space="preserve"> </w:t>
      </w:r>
      <w:r>
        <w:t xml:space="preserve">34 Regulation (EU) 2023/1804.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equipped for such alternative fuels and, in particular, on the (real-time) availability of infrastructure.</w:t>
      </w:r>
      <w:r>
        <w:t xml:space="preserve"> </w:t>
      </w:r>
      <w:r>
        <w:t xml:space="preserve">This in turn can support the uptake of these fuels by the IWT sector.</w:t>
      </w:r>
      <w:r>
        <w:br/>
      </w:r>
      <w:r>
        <w:t xml:space="preserve">The RIS Directive enables the exchange of data, and certain elements (such as data relating to the</w:t>
      </w:r>
      <w:r>
        <w:t xml:space="preserve"> </w:t>
      </w:r>
      <w:r>
        <w:t xml:space="preserve">position of the vessel) can be considered as falling under personal data. Two cross-cutting legislative</w:t>
      </w:r>
      <w:r>
        <w:t xml:space="preserve"> </w:t>
      </w:r>
      <w:r>
        <w:t xml:space="preserve">instruments are relevant in the context of digital inland navigation: Regulation (EU) 2016/679 (the</w:t>
      </w:r>
      <w:r>
        <w:t xml:space="preserve"> </w:t>
      </w:r>
      <w:r>
        <w:t xml:space="preserve">General Data Protection Regulation – GDPR) and Regulation (EU) 2018/1725 on processing of</w:t>
      </w:r>
      <w:r>
        <w:t xml:space="preserve"> </w:t>
      </w:r>
      <w:r>
        <w:t xml:space="preserve">personal data by the Union institutions35. The GDPR sets forth a single set of rules across the EU to</w:t>
      </w:r>
      <w:r>
        <w:t xml:space="preserve"> </w:t>
      </w:r>
      <w:r>
        <w:t xml:space="preserve">protect and empower all EU individuals with regard to the processing of their personal data, and to</w:t>
      </w:r>
      <w:r>
        <w:t xml:space="preserve"> </w:t>
      </w:r>
      <w:r>
        <w:t xml:space="preserve">hold organisations processing personal data of individuals in the EU accountable for their</w:t>
      </w:r>
      <w:r>
        <w:t xml:space="preserve"> </w:t>
      </w:r>
      <w:r>
        <w:t xml:space="preserve">processing activities. It gives powers to the competent data protection supervisory authorities to</w:t>
      </w:r>
      <w:r>
        <w:t xml:space="preserve"> </w:t>
      </w:r>
      <w:r>
        <w:t xml:space="preserve">impose corrective measures, fines and penalties on companies that do not comply with these rules.</w:t>
      </w:r>
      <w:r>
        <w:t xml:space="preserve"> </w:t>
      </w:r>
      <w:r>
        <w:t xml:space="preserve">Regulation (EC) No 45/2001, mentioned in the RIS Directive, was replaced by Regulation (EU)</w:t>
      </w:r>
      <w:r>
        <w:t xml:space="preserve"> </w:t>
      </w:r>
      <w:r>
        <w:t xml:space="preserve">2018/1725. A requirement of data protection acquis is to lay down a clear legal framework</w:t>
      </w:r>
      <w:r>
        <w:t xml:space="preserve"> </w:t>
      </w:r>
      <w:r>
        <w:t xml:space="preserve">identifying personal data, which must be shared in situations where the sharing is necessary for an</w:t>
      </w:r>
      <w:r>
        <w:t xml:space="preserve"> </w:t>
      </w:r>
      <w:r>
        <w:t xml:space="preserve">objective of public interest. However, it needs to be taken into consideration that the RIS Directive</w:t>
      </w:r>
      <w:r>
        <w:t xml:space="preserve"> </w:t>
      </w:r>
      <w:r>
        <w:t xml:space="preserve">itself is not obliging the exchange or disclosure of personal data. The RIS Directive is a legal</w:t>
      </w:r>
      <w:r>
        <w:t xml:space="preserve"> </w:t>
      </w:r>
      <w:r>
        <w:t xml:space="preserve">framework providing for the technical requirements, specifications and conditions which ensure the</w:t>
      </w:r>
      <w:r>
        <w:t xml:space="preserve"> </w:t>
      </w:r>
      <w:r>
        <w:t xml:space="preserve">electronic exchange of this data if national or international regulations foresee such exchange. It can</w:t>
      </w:r>
      <w:r>
        <w:t xml:space="preserve"> </w:t>
      </w:r>
      <w:r>
        <w:t xml:space="preserve">therefore only lay down requirements for organisational and technical data protection measures,</w:t>
      </w:r>
      <w:r>
        <w:t xml:space="preserve"> </w:t>
      </w:r>
      <w:r>
        <w:t xml:space="preserve">should RIS be used to exchange also personal data to ensure protection of those data.</w:t>
      </w:r>
      <w:r>
        <w:br/>
      </w:r>
      <w:r>
        <w:t xml:space="preserve">Synergies with other non-legislative tools</w:t>
      </w:r>
      <w:r>
        <w:t xml:space="preserve"> </w:t>
      </w:r>
      <w:r>
        <w:t xml:space="preserve">• At European level, the following central systems include IWT elements: The European reference</w:t>
      </w:r>
      <w:r>
        <w:t xml:space="preserve"> </w:t>
      </w:r>
      <w:r>
        <w:t xml:space="preserve">data management system (ERDMS) is a publicly accessible database kept by the Commission,</w:t>
      </w:r>
      <w:r>
        <w:t xml:space="preserve"> </w:t>
      </w:r>
      <w:r>
        <w:t xml:space="preserve">containing regularly updated data provided by the Member States necessary for the provision of</w:t>
      </w:r>
      <w:r>
        <w:t xml:space="preserve"> </w:t>
      </w:r>
      <w:r>
        <w:t xml:space="preserve">RIS. It contains detailed information about the inland waterway infrastructure (e.g. bridges,</w:t>
      </w:r>
      <w:r>
        <w:t xml:space="preserve"> </w:t>
      </w:r>
      <w:r>
        <w:t xml:space="preserve">locks, terminals), including geolocation (RIS Index), formats of Notices to Skippers in all</w:t>
      </w:r>
      <w:r>
        <w:t xml:space="preserve"> </w:t>
      </w:r>
      <w:r>
        <w:t xml:space="preserve">languages, and unified UNECE coding for cargo and vessels necessary for reporting</w:t>
      </w:r>
      <w:r>
        <w:t xml:space="preserve"> </w:t>
      </w:r>
      <w:r>
        <w:t xml:space="preserve">requirements. In addition, it includes reference data for the European Crew Database (ECDB),</w:t>
      </w:r>
      <w:r>
        <w:t xml:space="preserve"> </w:t>
      </w:r>
      <w:r>
        <w:t xml:space="preserve">and information on the competent RIS authorities. This use of standardised lists and data makes</w:t>
      </w:r>
      <w:r>
        <w:t xml:space="preserve"> </w:t>
      </w:r>
      <w:r>
        <w:t xml:space="preserve">the ERDMS an enabler of interoperability.</w:t>
      </w:r>
      <w:r>
        <w:br/>
      </w:r>
      <w:r>
        <w:t xml:space="preserve">• The CEF-funded project RIS COMEX (2016-2022) is a partnership of 13 European countries36</w:t>
      </w:r>
      <w:r>
        <w:t xml:space="preserve"> </w:t>
      </w:r>
      <w:r>
        <w:t xml:space="preserve">to develop selected RIS Corridor Services along 7 European inland waterway corridors. This</w:t>
      </w:r>
      <w:r>
        <w:t xml:space="preserve"> </w:t>
      </w:r>
      <w:r>
        <w:t xml:space="preserve">project resulted in a common European RIS system called EuRIS providing reliable fairway,</w:t>
      </w:r>
      <w:r>
        <w:t xml:space="preserve"> </w:t>
      </w:r>
      <w:r>
        <w:t xml:space="preserve">infrastructure, traffic and transport information services, including route and transport planning,</w:t>
      </w:r>
      <w:r>
        <w:t xml:space="preserve"> </w:t>
      </w:r>
      <w:r>
        <w:t xml:space="preserve">for the waterways of the partner countries. In addition, within RIS COMEX another system was</w:t>
      </w:r>
      <w:r>
        <w:t xml:space="preserve"> </w:t>
      </w:r>
      <w:r>
        <w:t xml:space="preserve">developed to tackle administrative barriers and reporting burden for 8 IWT European countries37</w:t>
      </w:r>
      <w:r>
        <w:t xml:space="preserve"> </w:t>
      </w:r>
      <w:r>
        <w:t xml:space="preserve">through a common electronic reporting system called CEERIS. CEERIS enables vessel operators</w:t>
      </w:r>
      <w:r>
        <w:t xml:space="preserve"> </w:t>
      </w:r>
      <w:r>
        <w:t xml:space="preserve">to easily fulfil all their reporting duties to the different authorities along their route within the</w:t>
      </w:r>
      <w:r>
        <w:t xml:space="preserve"> </w:t>
      </w:r>
      <w:r>
        <w:t xml:space="preserve">participating countries by reporting-only-once with single-entering-of-data and digital-by-</w:t>
      </w:r>
      <w:r>
        <w:t xml:space="preserve"> </w:t>
      </w:r>
      <w:r>
        <w:t xml:space="preserve">default. The 13 participating Member States and their authorities continue with the use of this</w:t>
      </w:r>
    </w:p>
    <w:p>
      <w:pPr>
        <w:pStyle w:val="BodyText"/>
      </w:pPr>
      <w:r>
        <w:t xml:space="preserve">35 The GDPR replaces the Data Protection Directive (Directive 95/46/EC). Data Protection Directive is currently</w:t>
      </w:r>
      <w:r>
        <w:t xml:space="preserve"> </w:t>
      </w:r>
      <w:r>
        <w:t xml:space="preserve">referred to in the RIS Directive in relation to rules on privacy, security and the re-use of information.</w:t>
      </w:r>
      <w:r>
        <w:br/>
      </w:r>
      <w:r>
        <w:t xml:space="preserve">36 Austria, Belgium, Bulgaria, Croatia, Czech Republic, France, Germany, Hungary, Luxembourg, the</w:t>
      </w:r>
      <w:r>
        <w:t xml:space="preserve"> </w:t>
      </w:r>
      <w:r>
        <w:t xml:space="preserve">Netherlands, Romania, Serbia and Slovakia.</w:t>
      </w:r>
      <w:r>
        <w:t xml:space="preserve"> </w:t>
      </w:r>
      <w:r>
        <w:t xml:space="preserve">37 Austria, Bulgaria, Croatia, Czech Republic, Hungary, Romania, Serbia and Slovakia.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system under a separate European Corridor Management Agreement38. The project has recently</w:t>
      </w:r>
      <w:r>
        <w:t xml:space="preserve"> </w:t>
      </w:r>
      <w:r>
        <w:t xml:space="preserve">entered a second stage (RIS COMEX 2) with additional CEF funding39, with Poland joining the</w:t>
      </w:r>
      <w:r>
        <w:t xml:space="preserve"> </w:t>
      </w:r>
      <w:r>
        <w:t xml:space="preserve">partnership. It shall continue the work of the first stage by extending the quantity and quality of</w:t>
      </w:r>
      <w:r>
        <w:t xml:space="preserve"> </w:t>
      </w:r>
      <w:r>
        <w:t xml:space="preserve">the related services and provided data, by extending the geographical scope to additional</w:t>
      </w:r>
      <w:r>
        <w:t xml:space="preserve"> </w:t>
      </w:r>
      <w:r>
        <w:t xml:space="preserve">waterways and even to additional countries (Poland), as well as by focusing on interconnections</w:t>
      </w:r>
      <w:r>
        <w:t xml:space="preserve"> </w:t>
      </w:r>
      <w:r>
        <w:t xml:space="preserve">and integrations of existing systems and services40.</w:t>
      </w:r>
      <w:r>
        <w:br/>
      </w:r>
      <w:r>
        <w:t xml:space="preserve">1.4</w:t>
      </w:r>
      <w:r>
        <w:t xml:space="preserve"> </w:t>
      </w:r>
      <w:r>
        <w:t xml:space="preserve">Evaluation of the RIS Directive</w:t>
      </w:r>
      <w:r>
        <w:t xml:space="preserve"> </w:t>
      </w:r>
      <w:r>
        <w:t xml:space="preserve">An evaluation of the Directive was carried out in 202141. It found that overall, the Directive has</w:t>
      </w:r>
      <w:r>
        <w:t xml:space="preserve"> </w:t>
      </w:r>
      <w:r>
        <w:t xml:space="preserve">been one of the main drivers of digitalisation in IWT, facilitating the introduction of information and</w:t>
      </w:r>
      <w:r>
        <w:t xml:space="preserve"> </w:t>
      </w:r>
      <w:r>
        <w:t xml:space="preserve">communication technologies.</w:t>
      </w:r>
      <w:r>
        <w:br/>
      </w:r>
      <w:r>
        <w:t xml:space="preserve">In terms of effectiveness the evaluation found that standardisation of RIS has been the strongest</w:t>
      </w:r>
      <w:r>
        <w:t xml:space="preserve"> </w:t>
      </w:r>
      <w:r>
        <w:t xml:space="preserve">benefit brought about by the Directive. However, the degree of harmonisation differs across RIS</w:t>
      </w:r>
      <w:r>
        <w:t xml:space="preserve"> </w:t>
      </w:r>
      <w:r>
        <w:t xml:space="preserve">technologies and services (e.g. most harmonisation was achieved in type approval and the least in</w:t>
      </w:r>
      <w:r>
        <w:t xml:space="preserve"> </w:t>
      </w:r>
      <w:r>
        <w:t xml:space="preserve">electronic ship reporting). Moreover, RIS technologies are not utilised to the same extent in all</w:t>
      </w:r>
      <w:r>
        <w:t xml:space="preserve"> </w:t>
      </w:r>
      <w:r>
        <w:t xml:space="preserve">countries and river corridors, which has led to a fragmented development of RIS. Therefore, higher</w:t>
      </w:r>
      <w:r>
        <w:t xml:space="preserve"> </w:t>
      </w:r>
      <w:r>
        <w:t xml:space="preserve">benefits of digitalisation and data exchange are hindered by the lack of full harmonisation of data</w:t>
      </w:r>
      <w:r>
        <w:t xml:space="preserve"> </w:t>
      </w:r>
      <w:r>
        <w:t xml:space="preserve">provided across the Member States.</w:t>
      </w:r>
      <w:r>
        <w:br/>
      </w:r>
      <w:r>
        <w:t xml:space="preserve">The evaluation also pointed to a slow development of RIS. Public and private stakeholders reported</w:t>
      </w:r>
      <w:r>
        <w:t xml:space="preserve"> </w:t>
      </w:r>
      <w:r>
        <w:t xml:space="preserve">on major inefficiencies in the adoption speed of the RIS implementing acts, resulting in permanently</w:t>
      </w:r>
      <w:r>
        <w:t xml:space="preserve"> </w:t>
      </w:r>
      <w:r>
        <w:t xml:space="preserve">outdated technical specifications for the sector. In terms of efficiency, potential for simplification</w:t>
      </w:r>
      <w:r>
        <w:t xml:space="preserve"> </w:t>
      </w:r>
      <w:r>
        <w:t xml:space="preserve">was thus identified for the adoption process of technical specifications. Stakeholders also suggested</w:t>
      </w:r>
      <w:r>
        <w:t xml:space="preserve"> </w:t>
      </w:r>
      <w:r>
        <w:t xml:space="preserve">that an improved monitoring of the application of the Directive is required to speed up the</w:t>
      </w:r>
      <w:r>
        <w:t xml:space="preserve"> </w:t>
      </w:r>
      <w:r>
        <w:t xml:space="preserve">development of RIS.</w:t>
      </w:r>
      <w:r>
        <w:t xml:space="preserve"> </w:t>
      </w:r>
      <w:r>
        <w:t xml:space="preserve">As regards the general objectives of the RIS Directive, the available data did not indicate that RIS</w:t>
      </w:r>
      <w:r>
        <w:t xml:space="preserve"> </w:t>
      </w:r>
      <w:r>
        <w:t xml:space="preserve">had an impact on the growth of the inland navigation sector, on modal shift or on safety. There were</w:t>
      </w:r>
      <w:r>
        <w:t xml:space="preserve"> </w:t>
      </w:r>
      <w:r>
        <w:t xml:space="preserve">some indications that RIS has reduced fuel consumption by 1.9%. Lack of evidence did not</w:t>
      </w:r>
      <w:r>
        <w:t xml:space="preserve"> </w:t>
      </w:r>
      <w:r>
        <w:t xml:space="preserve">however allow to draw conclusions on the optimised use of existing infrastructure. Feedback from</w:t>
      </w:r>
      <w:r>
        <w:t xml:space="preserve"> </w:t>
      </w:r>
      <w:r>
        <w:t xml:space="preserve">stakeholders showed that RIS may have a limited or even indirect impact on competitiveness, a</w:t>
      </w:r>
      <w:r>
        <w:t xml:space="preserve"> </w:t>
      </w:r>
      <w:r>
        <w:t xml:space="preserve">potential for more efficient use of infrastructure (locks), and a positive impact on safety.</w:t>
      </w:r>
      <w:r>
        <w:br/>
      </w:r>
      <w:r>
        <w:t xml:space="preserve">Although the evaluation assessed that the Directive is still relevant, it pointed to the fact that its</w:t>
      </w:r>
      <w:r>
        <w:t xml:space="preserve"> </w:t>
      </w:r>
      <w:r>
        <w:t xml:space="preserve">primary focus on safety of navigation is no longer sufficiently aligned with sector’s needs. More</w:t>
      </w:r>
      <w:r>
        <w:t xml:space="preserve"> </w:t>
      </w:r>
      <w:r>
        <w:t xml:space="preserve">specifically, it does not support the need for improving the efficiency of inland waterway transport</w:t>
      </w:r>
      <w:r>
        <w:t xml:space="preserve"> </w:t>
      </w:r>
      <w:r>
        <w:t xml:space="preserve">and its integration into the multimodal supply chains. In addition, it does not sufficiently address</w:t>
      </w:r>
      <w:r>
        <w:t xml:space="preserve"> </w:t>
      </w:r>
      <w:r>
        <w:t xml:space="preserve">new technological challenges, such as automation of vessels, and the further digitalisation of the</w:t>
      </w:r>
      <w:r>
        <w:t xml:space="preserve"> </w:t>
      </w:r>
      <w:r>
        <w:t xml:space="preserve">sector.</w:t>
      </w:r>
    </w:p>
    <w:p>
      <w:pPr>
        <w:pStyle w:val="BodyText"/>
      </w:pPr>
      <w:r>
        <w:t xml:space="preserve">38 The agreement defines the governance structure, financing, sharing of costs, and other elements such as the</w:t>
      </w:r>
      <w:r>
        <w:t xml:space="preserve"> </w:t>
      </w:r>
      <w:r>
        <w:t xml:space="preserve">“Partnership Coordinator” who manages the platform.</w:t>
      </w:r>
      <w:r>
        <w:t xml:space="preserve"> </w:t>
      </w:r>
      <w:r>
        <w:t xml:space="preserve">39 https://cinea.ec.europa.eu/system/files/2023-06/Overview%20Selected%20Proposals_FINAL.pdf</w:t>
      </w:r>
      <w:r>
        <w:br/>
      </w:r>
      <w:r>
        <w:t xml:space="preserve">40 In this document, the term RIS COMEX is used to refer to the overall project (including RIS COMEX 2 and</w:t>
      </w:r>
      <w:r>
        <w:t xml:space="preserve"> </w:t>
      </w:r>
      <w:r>
        <w:t xml:space="preserve">all applications, as EuRIS, CEERIS) as developed by the EU Member States</w:t>
      </w:r>
      <w:r>
        <w:t xml:space="preserve"> </w:t>
      </w:r>
      <w:r>
        <w:t xml:space="preserve">41 SWD/2021/0050 final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The rationale for public intervention at EU level through the RIS Directive is rooted in the cross-</w:t>
      </w:r>
      <w:r>
        <w:t xml:space="preserve"> </w:t>
      </w:r>
      <w:r>
        <w:t xml:space="preserve">border character of the inland waterway transport sector and contributes to avoiding fragmentation</w:t>
      </w:r>
      <w:r>
        <w:t xml:space="preserve"> </w:t>
      </w:r>
      <w:r>
        <w:t xml:space="preserve">between different national or regional (e.g. between the River Commissions) RIS implementation</w:t>
      </w:r>
      <w:r>
        <w:t xml:space="preserve"> </w:t>
      </w:r>
      <w:r>
        <w:t xml:space="preserve">approaches. Stakeholders considered that the same benefits could not have been achieved by</w:t>
      </w:r>
      <w:r>
        <w:t xml:space="preserve"> </w:t>
      </w:r>
      <w:r>
        <w:t xml:space="preserve">comparable interventions at the international, regional or national level. However, higher benefits of</w:t>
      </w:r>
      <w:r>
        <w:t xml:space="preserve"> </w:t>
      </w:r>
      <w:r>
        <w:t xml:space="preserve">digitalisation and data exchange are hindered by the lack of full harmonisation of data provided</w:t>
      </w:r>
      <w:r>
        <w:t xml:space="preserve"> </w:t>
      </w:r>
      <w:r>
        <w:t xml:space="preserve">across the Member States.</w:t>
      </w:r>
      <w:r>
        <w:br/>
      </w:r>
      <w:r>
        <w:t xml:space="preserve">Last but not least, it should be noted that the evaluation identified a considerable lack of reliable,</w:t>
      </w:r>
      <w:r>
        <w:t xml:space="preserve"> </w:t>
      </w:r>
      <w:r>
        <w:t xml:space="preserve">sufficiently granular and comparable data (in particular for costs and benefits of implementation),</w:t>
      </w:r>
      <w:r>
        <w:t xml:space="preserve"> </w:t>
      </w:r>
      <w:r>
        <w:t xml:space="preserve">which in turn limited the quantitative evidence supporting the findings. Thus, the findings had to</w:t>
      </w:r>
      <w:r>
        <w:t xml:space="preserve"> </w:t>
      </w:r>
      <w:r>
        <w:t xml:space="preserve">rely primarily on qualitative analysis and input from stakeholders. The links between the</w:t>
      </w:r>
      <w:r>
        <w:t xml:space="preserve"> </w:t>
      </w:r>
      <w:r>
        <w:t xml:space="preserve">conclusions of the evaluation and the impact assessment are summarised in Annex 7.</w:t>
      </w:r>
      <w:r>
        <w:t xml:space="preserve"> </w:t>
      </w:r>
      <w:r>
        <w:t xml:space="preserve">1.5</w:t>
      </w:r>
      <w:r>
        <w:t xml:space="preserve"> </w:t>
      </w:r>
      <w:r>
        <w:t xml:space="preserve">Sustainable Development Goals</w:t>
      </w:r>
      <w:r>
        <w:t xml:space="preserve"> </w:t>
      </w:r>
      <w:r>
        <w:t xml:space="preserve">The initiative contributes towards the objectives of the European Green Deal (EGD)42 (in particular</w:t>
      </w:r>
      <w:r>
        <w:t xml:space="preserve"> </w:t>
      </w:r>
      <w:r>
        <w:t xml:space="preserve">by supporting the shift away from road transport). The revision of the RIS Directive contributes</w:t>
      </w:r>
      <w:r>
        <w:t xml:space="preserve"> </w:t>
      </w:r>
      <w:r>
        <w:t xml:space="preserve">towards Sustainable Development Goal (SDG) 9 (“Build resilient infrastructure, promote inclusive</w:t>
      </w:r>
      <w:r>
        <w:t xml:space="preserve"> </w:t>
      </w:r>
      <w:r>
        <w:t xml:space="preserve">and sustainable industrialisation and foster innovation”) and SDG 13 (“Take urgent action to</w:t>
      </w:r>
      <w:r>
        <w:t xml:space="preserve"> </w:t>
      </w:r>
      <w:r>
        <w:t xml:space="preserve">combat climate change and its impacts”).</w:t>
      </w:r>
      <w:r>
        <w:t xml:space="preserve"> </w:t>
      </w:r>
      <w:r>
        <w:t xml:space="preserve">2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The key problem, corresponding drivers and consequences that are relevant for the revision of the</w:t>
      </w:r>
      <w:r>
        <w:t xml:space="preserve"> </w:t>
      </w:r>
      <w:r>
        <w:t xml:space="preserve">Directive are presented in Figure 3 and further detailed below.</w:t>
      </w:r>
      <w:r>
        <w:t xml:space="preserve"> </w:t>
      </w:r>
      <w:r>
        <w:t xml:space="preserve">Figure 3: Problem tree</w:t>
      </w:r>
    </w:p>
    <w:p>
      <w:pPr>
        <w:pStyle w:val="BodyText"/>
      </w:pPr>
      <w:r>
        <w:t xml:space="preserve">Source: European Commission</w:t>
      </w:r>
    </w:p>
    <w:p>
      <w:pPr>
        <w:pStyle w:val="BodyText"/>
      </w:pPr>
      <w:r>
        <w:t xml:space="preserve">42 https://ec.europa.eu/info/strategy/priorities-2019-2024/european-green-deal_en#documents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2.1</w:t>
      </w:r>
      <w:r>
        <w:t xml:space="preserve"> </w:t>
      </w:r>
      <w:r>
        <w:t xml:space="preserve">What is the problem?</w:t>
      </w:r>
      <w:r>
        <w:t xml:space="preserve"> </w:t>
      </w:r>
      <w:r>
        <w:t xml:space="preserve">Problem: slow and fragmented deployment of River Information Services that hamper the</w:t>
      </w:r>
      <w:r>
        <w:t xml:space="preserve"> </w:t>
      </w:r>
      <w:r>
        <w:t xml:space="preserve">competitiveness and safety of the sector, and its contribution towards the European Green Deal</w:t>
      </w:r>
      <w:r>
        <w:t xml:space="preserve"> </w:t>
      </w:r>
      <w:r>
        <w:t xml:space="preserve">objectives</w:t>
      </w:r>
      <w:r>
        <w:br/>
      </w:r>
      <w:r>
        <w:t xml:space="preserve">Description of the problem</w:t>
      </w:r>
      <w:r>
        <w:t xml:space="preserve"> </w:t>
      </w:r>
      <w:r>
        <w:t xml:space="preserve">The main challenge that RIS faces today is the slow speed and the fragmentation in its deployment.</w:t>
      </w:r>
      <w:r>
        <w:t xml:space="preserve"> </w:t>
      </w:r>
      <w:r>
        <w:t xml:space="preserve">The TEN-T corridor studies43 report that the deployment of RIS infrastructure along the Core</w:t>
      </w:r>
      <w:r>
        <w:t xml:space="preserve"> </w:t>
      </w:r>
      <w:r>
        <w:t xml:space="preserve">Network Corridors cover: 100% of the North Sea, Mediterranean and Rhine-Danube Corridors,</w:t>
      </w:r>
      <w:r>
        <w:t xml:space="preserve"> </w:t>
      </w:r>
      <w:r>
        <w:t xml:space="preserve">95% of the Atlantic Corridor, 90% of the East Mediterranean Corridor and 75% of the</w:t>
      </w:r>
      <w:r>
        <w:t xml:space="preserve"> </w:t>
      </w:r>
      <w:r>
        <w:t xml:space="preserve">Mediterranean Corridor. Thus, despite 17 years since its introduction, it still has not reached 100%</w:t>
      </w:r>
      <w:r>
        <w:t xml:space="preserve"> </w:t>
      </w:r>
      <w:r>
        <w:t xml:space="preserve">level of implementation. The identified differences in implementation relate to prioritisation by</w:t>
      </w:r>
      <w:r>
        <w:t xml:space="preserve"> </w:t>
      </w:r>
      <w:r>
        <w:t xml:space="preserve">Member States of the most important waterways in their territories.</w:t>
      </w:r>
      <w:r>
        <w:br/>
      </w:r>
      <w:r>
        <w:t xml:space="preserve">While the RIS evaluation44 indicated a positive impact of the Directive in terms of harmonising RIS,</w:t>
      </w:r>
      <w:r>
        <w:t xml:space="preserve"> </w:t>
      </w:r>
      <w:r>
        <w:t xml:space="preserve">it found that there is still room for improvement. This is because, when considering the</w:t>
      </w:r>
      <w:r>
        <w:t xml:space="preserve"> </w:t>
      </w:r>
      <w:r>
        <w:t xml:space="preserve">implementation of the Directive, not all RIS technologies have reached the same level of</w:t>
      </w:r>
      <w:r>
        <w:t xml:space="preserve"> </w:t>
      </w:r>
      <w:r>
        <w:t xml:space="preserve">implementation and maturity and not all RIS technologies have been fully utilised to the same</w:t>
      </w:r>
      <w:r>
        <w:t xml:space="preserve"> </w:t>
      </w:r>
      <w:r>
        <w:t xml:space="preserve">extent in all countries and river corridors. For example, differences in deployment across Member</w:t>
      </w:r>
      <w:r>
        <w:t xml:space="preserve"> </w:t>
      </w:r>
      <w:r>
        <w:t xml:space="preserve">States have been identified for the four key RIS technologies (inland ECDIS, Electronic Ship</w:t>
      </w:r>
      <w:r>
        <w:t xml:space="preserve"> </w:t>
      </w:r>
      <w:r>
        <w:t xml:space="preserve">Reporting, Notices to Skippers, Vessel Tracking and Tracing). This is because Member States have</w:t>
      </w:r>
      <w:r>
        <w:t xml:space="preserve"> </w:t>
      </w:r>
      <w:r>
        <w:t xml:space="preserve">not always followed the same timeline for implementation and/or because technical specifications</w:t>
      </w:r>
      <w:r>
        <w:t xml:space="preserve"> </w:t>
      </w:r>
      <w:r>
        <w:t xml:space="preserve">have not always been applied or interpreted the same way. The evaluation identified that RIS</w:t>
      </w:r>
      <w:r>
        <w:t xml:space="preserve"> </w:t>
      </w:r>
      <w:r>
        <w:t xml:space="preserve">equipment has reached a high level of type approval, which ensures equipment compatibility.</w:t>
      </w:r>
      <w:r>
        <w:t xml:space="preserve"> </w:t>
      </w:r>
      <w:r>
        <w:t xml:space="preserve">Similarly, electronic charts are highly harmonised, which assists in navigation. On the other hand,</w:t>
      </w:r>
      <w:r>
        <w:t xml:space="preserve"> </w:t>
      </w:r>
      <w:r>
        <w:t xml:space="preserve">the low harmonisation in electronic ship reporting and different national reporting requirements45</w:t>
      </w:r>
      <w:r>
        <w:t xml:space="preserve"> </w:t>
      </w:r>
      <w:r>
        <w:t xml:space="preserve">result in resubmissions of electronic reports, with time and cost implications for operators. The</w:t>
      </w:r>
      <w:r>
        <w:t xml:space="preserve"> </w:t>
      </w:r>
      <w:r>
        <w:t xml:space="preserve">impact assessment support study estimates that a resubmission of information is required in one out</w:t>
      </w:r>
      <w:r>
        <w:t xml:space="preserve"> </w:t>
      </w:r>
      <w:r>
        <w:t xml:space="preserve">of three times that a vessel crossed a border during its voyage46. Therefore, the problem is not so</w:t>
      </w:r>
      <w:r>
        <w:t xml:space="preserve"> </w:t>
      </w:r>
      <w:r>
        <w:t xml:space="preserve">much in relation to the situation within a certain Member State, but in how their heterogeneity</w:t>
      </w:r>
      <w:r>
        <w:t xml:space="preserve"> </w:t>
      </w:r>
      <w:r>
        <w:t xml:space="preserve">affects the international nature of inland waterways.</w:t>
      </w:r>
      <w:r>
        <w:br/>
      </w:r>
      <w:r>
        <w:t xml:space="preserve">The slow update of technical specifications has played an important role in the slow development of</w:t>
      </w:r>
      <w:r>
        <w:t xml:space="preserve"> </w:t>
      </w:r>
      <w:r>
        <w:t xml:space="preserve">RIS. In the current setting of adopting implementing acts, it takes between 5 and 12 years until the</w:t>
      </w:r>
      <w:r>
        <w:t xml:space="preserve"> </w:t>
      </w:r>
      <w:r>
        <w:t xml:space="preserve">technical specifications are prepared and introduced in the sector. This in turn reduces the efficiency</w:t>
      </w:r>
      <w:r>
        <w:t xml:space="preserve"> </w:t>
      </w:r>
      <w:r>
        <w:t xml:space="preserve">of IWT operators due to the use of old technical specifications and technology (for example when</w:t>
      </w:r>
      <w:r>
        <w:t xml:space="preserve"> </w:t>
      </w:r>
      <w:r>
        <w:t xml:space="preserve">radio is still used instead of electronic communication for reports between the ship and the</w:t>
      </w:r>
    </w:p>
    <w:p>
      <w:pPr>
        <w:pStyle w:val="BodyText"/>
      </w:pPr>
      <w:r>
        <w:t xml:space="preserve">43 https://transport.ec.europa.eu/transport-themes/infrastructure-and-investment/trans-european-transport-</w:t>
      </w:r>
      <w:r>
        <w:t xml:space="preserve"> </w:t>
      </w:r>
      <w:r>
        <w:t xml:space="preserve">network-ten-t/ten-t-governance_en</w:t>
      </w:r>
      <w:r>
        <w:br/>
      </w:r>
      <w:r>
        <w:t xml:space="preserve">44 SWD(2021)0050 final</w:t>
      </w:r>
      <w:r>
        <w:br/>
      </w:r>
      <w:r>
        <w:t xml:space="preserve">45 For example, in the borders between Germany and Poland, between Germany and Czechia and on the Danube</w:t>
      </w:r>
      <w:r>
        <w:t xml:space="preserve"> </w:t>
      </w:r>
      <w:r>
        <w:t xml:space="preserve">Member States. https://www.masterplandiwa.eu/</w:t>
      </w:r>
      <w:r>
        <w:br/>
      </w:r>
      <w:r>
        <w:t xml:space="preserve">46 Ramboll et al. (2024), Impact assessment support study shows that some 106,622 border crossings required</w:t>
      </w:r>
      <w:r>
        <w:t xml:space="preserve"> </w:t>
      </w:r>
      <w:r>
        <w:t xml:space="preserve">repeated notifications in 2020 (around 30% of the total number of border crossings). It should be noted that due</w:t>
      </w:r>
      <w:r>
        <w:t xml:space="preserve"> </w:t>
      </w:r>
      <w:r>
        <w:t xml:space="preserve">to the COVID-19 pandemic the number of border crossings in 2020 was particularly low (i.e. 19% lower than in</w:t>
      </w:r>
      <w:r>
        <w:t xml:space="preserve"> </w:t>
      </w:r>
      <w:r>
        <w:t xml:space="preserve">2015).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authorities)47. This contrasts with the approach followed in Directive (EU) 2016/1629 providing for</w:t>
      </w:r>
      <w:r>
        <w:t xml:space="preserve"> </w:t>
      </w:r>
      <w:r>
        <w:t xml:space="preserve">technical requirements for inland vessels, which includes a direct reference to technical</w:t>
      </w:r>
      <w:r>
        <w:t xml:space="preserve"> </w:t>
      </w:r>
      <w:r>
        <w:t xml:space="preserve">specifications developed by CESNI, leading to a regular update of technical specifications every</w:t>
      </w:r>
      <w:r>
        <w:t xml:space="preserve"> </w:t>
      </w:r>
      <w:r>
        <w:t xml:space="preserve">two years. As technological development keeps accelerating, the slow update of technical</w:t>
      </w:r>
      <w:r>
        <w:t xml:space="preserve"> </w:t>
      </w:r>
      <w:r>
        <w:t xml:space="preserve">specifications in the RIS domain becomes a more acute hindrance.</w:t>
      </w:r>
      <w:r>
        <w:br/>
      </w:r>
      <w:r>
        <w:t xml:space="preserve">The DINA report (2017)48 examined factors relating to digitalisation and their impact on the</w:t>
      </w:r>
      <w:r>
        <w:t xml:space="preserve"> </w:t>
      </w:r>
      <w:r>
        <w:t xml:space="preserve">competitiveness of the sector compared to other transport modes. RIS was identified as playing an</w:t>
      </w:r>
      <w:r>
        <w:t xml:space="preserve"> </w:t>
      </w:r>
      <w:r>
        <w:t xml:space="preserve">important role in IWT. Thus, if not properly deployed, RIS can hinder the competitiveness potential</w:t>
      </w:r>
      <w:r>
        <w:t xml:space="preserve"> </w:t>
      </w:r>
      <w:r>
        <w:t xml:space="preserve">of the sector. The DINA report also found IWT to be falling behind other modes of transport in</w:t>
      </w:r>
      <w:r>
        <w:t xml:space="preserve"> </w:t>
      </w:r>
      <w:r>
        <w:t xml:space="preserve">terms of digitalisation and development of intelligent systems for reasons ranging from legal,</w:t>
      </w:r>
      <w:r>
        <w:t xml:space="preserve"> </w:t>
      </w:r>
      <w:r>
        <w:t xml:space="preserve">technical and commercial bottlenecks to sharing of data, the IT set-up of barge operators, and the</w:t>
      </w:r>
      <w:r>
        <w:t xml:space="preserve"> </w:t>
      </w:r>
      <w:r>
        <w:t xml:space="preserve">limited size of the sector (making it difficult to achieve economies of scale for new solutions). So</w:t>
      </w:r>
      <w:r>
        <w:t xml:space="preserve"> </w:t>
      </w:r>
      <w:r>
        <w:t xml:space="preserve">far, the modal split of IWT has remained fairly stable over the past 20 years and the evaluation was</w:t>
      </w:r>
      <w:r>
        <w:t xml:space="preserve"> </w:t>
      </w:r>
      <w:r>
        <w:t xml:space="preserve">not able to conclude if RIS had any impact in this development.</w:t>
      </w:r>
      <w:r>
        <w:t xml:space="preserve"> </w:t>
      </w:r>
      <w:r>
        <w:t xml:space="preserve">In terms of increased environmental protection, the evaluation pointed to a very modest reduction in</w:t>
      </w:r>
      <w:r>
        <w:t xml:space="preserve"> </w:t>
      </w:r>
      <w:r>
        <w:t xml:space="preserve">fuel consumption by vessels through the use of RIS. However, it can be argued that better planning</w:t>
      </w:r>
      <w:r>
        <w:t xml:space="preserve"> </w:t>
      </w:r>
      <w:r>
        <w:t xml:space="preserve">of trips and increased awareness of the traffic situation, could lead to more efficient navigation (e.g. </w:t>
      </w:r>
      <w:r>
        <w:t xml:space="preserve"> </w:t>
      </w:r>
      <w:r>
        <w:t xml:space="preserve">by slower steaming when anticipating a long wait at a lock, thus improving fuel consumption49).</w:t>
      </w:r>
      <w:r>
        <w:br/>
      </w:r>
      <w:r>
        <w:t xml:space="preserve">The lack of quantitative data, also identified by the evaluation, does not allow for a more detailed</w:t>
      </w:r>
      <w:r>
        <w:t xml:space="preserve"> </w:t>
      </w:r>
      <w:r>
        <w:t xml:space="preserve">and quantitative illustration of the evidence supporting the problem. As the evaluation noted, there is</w:t>
      </w:r>
      <w:r>
        <w:t xml:space="preserve"> </w:t>
      </w:r>
      <w:r>
        <w:t xml:space="preserve">considerable lack of reliable, sufficiently granular and comparable data, which does not allow</w:t>
      </w:r>
      <w:r>
        <w:t xml:space="preserve"> </w:t>
      </w:r>
      <w:r>
        <w:t xml:space="preserve">quantification of the magnitude of the problem. Due to the nature of inland waterway transport</w:t>
      </w:r>
      <w:r>
        <w:t xml:space="preserve"> </w:t>
      </w:r>
      <w:r>
        <w:t xml:space="preserve">being concentrated in navigable waterways, and the scope of application of RIS, the problem is</w:t>
      </w:r>
      <w:r>
        <w:t xml:space="preserve"> </w:t>
      </w:r>
      <w:r>
        <w:t xml:space="preserve">materialising only in those waterways where RIS is introduced and applied. It is thus highly</w:t>
      </w:r>
      <w:r>
        <w:t xml:space="preserve"> </w:t>
      </w:r>
      <w:r>
        <w:t xml:space="preserve">geographically focused and specialised. When considering the size of the sector, the magnitude of</w:t>
      </w:r>
      <w:r>
        <w:t xml:space="preserve"> </w:t>
      </w:r>
      <w:r>
        <w:t xml:space="preserve">the problem will be necessarily limited in any comparison with the rest of the transport sector.</w:t>
      </w:r>
      <w:r>
        <w:br/>
      </w:r>
      <w:r>
        <w:t xml:space="preserve">Still, the immediately affected stakeholders consider this to be an important problem. The Members</w:t>
      </w:r>
      <w:r>
        <w:t xml:space="preserve"> </w:t>
      </w:r>
      <w:r>
        <w:t xml:space="preserve">States that participated in the open public consultation (Austria, Belgium, Croatia, France, Germany,</w:t>
      </w:r>
      <w:r>
        <w:t xml:space="preserve"> </w:t>
      </w:r>
      <w:r>
        <w:t xml:space="preserve">the Netherlands, Portugal and Romania) supported the need for revising the Directive. This view</w:t>
      </w:r>
      <w:r>
        <w:t xml:space="preserve"> </w:t>
      </w:r>
      <w:r>
        <w:t xml:space="preserve">was also supported during the first stakeholder survey50, where 9 out of 13 administrations indicated</w:t>
      </w:r>
      <w:r>
        <w:t xml:space="preserve"> </w:t>
      </w:r>
      <w:r>
        <w:t xml:space="preserve">that no EU action would lead to negative developments in terms of RIS deployment. This position</w:t>
      </w:r>
    </w:p>
    <w:p>
      <w:pPr>
        <w:pStyle w:val="BodyText"/>
      </w:pPr>
      <w:r>
        <w:t xml:space="preserve">47 Reporting formalities such as provision of voyage and cargo information to the responsible authorities are</w:t>
      </w:r>
      <w:r>
        <w:t xml:space="preserve"> </w:t>
      </w:r>
      <w:r>
        <w:t xml:space="preserve">often done through VHF radio frequencies or, where there is no obligation, the reporting may even be submitted</w:t>
      </w:r>
      <w:r>
        <w:t xml:space="preserve"> </w:t>
      </w:r>
      <w:r>
        <w:t xml:space="preserve">on paper: https://platina3.eu/download/digital-and-automated-</w:t>
      </w:r>
      <w:r>
        <w:t xml:space="preserve"> </w:t>
      </w:r>
      <w:r>
        <w:t xml:space="preserve">infrastructure/?wpdmdl=975&amp;refresh=646f9a8f1ada91685035663</w:t>
      </w:r>
      <w:r>
        <w:t xml:space="preserve"> </w:t>
      </w:r>
      <w:r>
        <w:t xml:space="preserve">48 European Commission (2017): Digital inland waterway areas. Towards a digital inland waterway area and</w:t>
      </w:r>
      <w:r>
        <w:t xml:space="preserve"> </w:t>
      </w:r>
      <w:r>
        <w:t xml:space="preserve">digital multimodal nodes. Final report</w:t>
      </w:r>
      <w:r>
        <w:t xml:space="preserve"> </w:t>
      </w:r>
      <w:r>
        <w:t xml:space="preserve">49 The energy consumption of a barge depends, among other things, on the vessel’s cruising speed, the resistance</w:t>
      </w:r>
      <w:r>
        <w:t xml:space="preserve"> </w:t>
      </w:r>
      <w:r>
        <w:t xml:space="preserve">the vessel encounters from the water and the depth of the water. Several studies, including Hekkenberg (2017),</w:t>
      </w:r>
      <w:r>
        <w:t xml:space="preserve"> </w:t>
      </w:r>
      <w:r>
        <w:t xml:space="preserve">European Journal of Transport and Infrastructure Research, 17 (4), 508-529, show a third-power relationship</w:t>
      </w:r>
      <w:r>
        <w:t xml:space="preserve"> </w:t>
      </w:r>
      <w:r>
        <w:t xml:space="preserve">between the amount of propulsion energy required and speed.</w:t>
      </w:r>
      <w:r>
        <w:br/>
      </w:r>
      <w:r>
        <w:t xml:space="preserve">50 In the context of the impact assessment support study, two surveys were carried out. The first survey collected</w:t>
      </w:r>
      <w:r>
        <w:t xml:space="preserve"> </w:t>
      </w:r>
      <w:r>
        <w:t xml:space="preserve">information on the identified problems and policy measures from various stakeholders (public bodies at</w:t>
      </w:r>
      <w:r>
        <w:t xml:space="preserve"> </w:t>
      </w:r>
      <w:r>
        <w:t xml:space="preserve">international, European and national level, private sector companies/representative organizations, EU citizens).</w:t>
      </w:r>
      <w:r>
        <w:t xml:space="preserve"> </w:t>
      </w:r>
      <w:r>
        <w:t xml:space="preserve">This survey was carried out between 1 August 2022 and 26 August. A second survey collected views of the</w:t>
      </w:r>
      <w:r>
        <w:t xml:space="preserve"> </w:t>
      </w:r>
      <w:r>
        <w:t xml:space="preserve">stakeholders on the costs and benefits of each of the proposed policy measure. The second survey was carried</w:t>
      </w:r>
      <w:r>
        <w:t xml:space="preserve"> </w:t>
      </w:r>
      <w:r>
        <w:t xml:space="preserve">out in second half of 2022.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was reiterated at the first DINA/NAIADES expert groups meetings. It should also be noted, as</w:t>
      </w:r>
      <w:r>
        <w:t xml:space="preserve"> </w:t>
      </w:r>
      <w:r>
        <w:t xml:space="preserve">explained in section 1, that there has been a clear request from both the European Parliament and the</w:t>
      </w:r>
      <w:r>
        <w:t xml:space="preserve"> </w:t>
      </w:r>
      <w:r>
        <w:t xml:space="preserve">Council to revise the RIS Directive.</w:t>
      </w:r>
      <w:r>
        <w:t xml:space="preserve"> </w:t>
      </w:r>
      <w:r>
        <w:t xml:space="preserve">The respondents to the stakeholder consultation, as explained in Annex 2, acknowledged the</w:t>
      </w:r>
      <w:r>
        <w:t xml:space="preserve"> </w:t>
      </w:r>
      <w:r>
        <w:t xml:space="preserve">problem identified, mentioning clearly that full harmonisation and interoperability of RIS has not</w:t>
      </w:r>
      <w:r>
        <w:t xml:space="preserve"> </w:t>
      </w:r>
      <w:r>
        <w:t xml:space="preserve">yet been achieved due to fragmented implementation. According to the open public consultation,</w:t>
      </w:r>
      <w:r>
        <w:t xml:space="preserve"> </w:t>
      </w:r>
      <w:r>
        <w:t xml:space="preserve">stakeholders find that the identified problem (and the drivers) relate to actual challenges of the IWT,</w:t>
      </w:r>
      <w:r>
        <w:t xml:space="preserve"> </w:t>
      </w:r>
      <w:r>
        <w:t xml:space="preserve">as shown in Figure 4 below.</w:t>
      </w:r>
      <w:r>
        <w:t xml:space="preserve"> </w:t>
      </w:r>
      <w:r>
        <w:t xml:space="preserve">Figure 4: Importance of challenges in the implementation of River Information Services (RIS) in Europe</w:t>
      </w:r>
    </w:p>
    <w:p>
      <w:pPr>
        <w:pStyle w:val="BodyText"/>
      </w:pPr>
      <w:r>
        <w:t xml:space="preserve">Source: Open Public Consultation</w:t>
      </w:r>
      <w:r>
        <w:t xml:space="preserve"> </w:t>
      </w:r>
      <w:r>
        <w:t xml:space="preserve">Who is affected and how?</w:t>
      </w:r>
      <w:r>
        <w:t xml:space="preserve"> </w:t>
      </w:r>
      <w:r>
        <w:t xml:space="preserve">The problem identified affects different actors (vessel operators, navigation software service</w:t>
      </w:r>
      <w:r>
        <w:t xml:space="preserve"> </w:t>
      </w:r>
      <w:r>
        <w:t xml:space="preserve">providers, national public administrations and society at large) in different ways:</w:t>
      </w:r>
      <w:r>
        <w:br/>
      </w:r>
      <w:r>
        <w:t xml:space="preserve">•</w:t>
      </w:r>
      <w:r>
        <w:t xml:space="preserve"> </w:t>
      </w:r>
      <w:r>
        <w:t xml:space="preserve">Vessel operators are confronted with time consuming notification processes to authorities, as</w:t>
      </w:r>
      <w:r>
        <w:t xml:space="preserve"> </w:t>
      </w:r>
      <w:r>
        <w:t xml:space="preserve">e.g. repeated notifications are required when crossing borders. They are also faced with extra</w:t>
      </w:r>
      <w:r>
        <w:t xml:space="preserve"> </w:t>
      </w:r>
      <w:r>
        <w:t xml:space="preserve">efforts and time spent to obtain accurate information for planning their voyage. Non-accurate</w:t>
      </w:r>
      <w:r>
        <w:t xml:space="preserve"> </w:t>
      </w:r>
      <w:r>
        <w:t xml:space="preserve">information, in particular regarding the navigation conditions on the river, can have negative</w:t>
      </w:r>
      <w:r>
        <w:t xml:space="preserve"> </w:t>
      </w:r>
      <w:r>
        <w:t xml:space="preserve">impacts on the actual voyage of the vessel in terms of timing (e.g. due to congestion at locks) or</w:t>
      </w:r>
      <w:r>
        <w:t xml:space="preserve"> </w:t>
      </w:r>
      <w:r>
        <w:t xml:space="preserve">in rare situations contribute to accidents. Sub-optimal operation can translate into reliability</w:t>
      </w:r>
      <w:r>
        <w:t xml:space="preserve"> </w:t>
      </w:r>
      <w:r>
        <w:t xml:space="preserve">issues for the services (e.g. vessel arriving later than planned), which, in turn, reduce the</w:t>
      </w:r>
      <w:r>
        <w:t xml:space="preserve"> </w:t>
      </w:r>
      <w:r>
        <w:t xml:space="preserve">attractiveness of the sector for the freight shippers. Non-efficient navigation also translates into</w:t>
      </w:r>
      <w:r>
        <w:t xml:space="preserve"> </w:t>
      </w:r>
      <w:r>
        <w:t xml:space="preserve">higher cruising speeds than necessary, which lead to increased fuel consumption and thus</w:t>
      </w:r>
      <w:r>
        <w:t xml:space="preserve"> </w:t>
      </w:r>
      <w:r>
        <w:t xml:space="preserve">increased costs for the sector. Differences in standards between countries and the additional</w:t>
      </w:r>
      <w:r>
        <w:t xml:space="preserve"> </w:t>
      </w:r>
      <w:r>
        <w:t xml:space="preserve">complications in terms of operations that these may require are hindering the provision of</w:t>
      </w:r>
      <w:r>
        <w:t xml:space="preserve"> </w:t>
      </w:r>
      <w:r>
        <w:t xml:space="preserve">services and creating market distortions. An example is the closure of locks not linked to real-</w:t>
      </w:r>
      <w:r>
        <w:t xml:space="preserve"> </w:t>
      </w:r>
      <w:r>
        <w:t xml:space="preserve">time information or the predictions on water level in some countries. This in turn reduces the</w:t>
      </w:r>
      <w:r>
        <w:t xml:space="preserve"> </w:t>
      </w:r>
      <w:r>
        <w:t xml:space="preserve">reliability of IWT and its competitive position with respect to other modes, thus leading to</w:t>
      </w:r>
      <w:r>
        <w:t xml:space="preserve"> </w:t>
      </w:r>
      <w:r>
        <w:t xml:space="preserve">market distortion at multimodal level.</w:t>
      </w:r>
      <w:r>
        <w:br/>
      </w:r>
      <w:r>
        <w:t xml:space="preserve">•</w:t>
      </w:r>
      <w:r>
        <w:t xml:space="preserve"> </w:t>
      </w:r>
      <w:r>
        <w:t xml:space="preserve">Navigation software service providers are dependent for the development of their IT</w:t>
      </w:r>
      <w:r>
        <w:t xml:space="preserve"> </w:t>
      </w:r>
      <w:r>
        <w:t xml:space="preserve">solutions on access to accurate basic data. To ensure the accuracy of the data under the current</w:t>
      </w:r>
      <w:r>
        <w:t xml:space="preserve"> </w:t>
      </w:r>
      <w:r>
        <w:t xml:space="preserve">framework, they need to allocate extra efforts to collect the data due to wrong or outdated</w:t>
      </w:r>
      <w:r>
        <w:t xml:space="preserve"> </w:t>
      </w:r>
      <w:r>
        <w:t xml:space="preserve">information.</w:t>
      </w:r>
      <w:r>
        <w:br/>
      </w:r>
      <w:r>
        <w:t xml:space="preserve">•</w:t>
      </w:r>
      <w:r>
        <w:t xml:space="preserve"> </w:t>
      </w:r>
      <w:r>
        <w:t xml:space="preserve">National public administrations also face challenges, in particular when handling cargo</w:t>
      </w:r>
      <w:r>
        <w:t xml:space="preserve"> </w:t>
      </w:r>
      <w:r>
        <w:t xml:space="preserve">reports in paper format, which require efforts to process them. Efforts are also required to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process repeated reporting, including those required when a vessel is crossing the border. In</w:t>
      </w:r>
      <w:r>
        <w:t xml:space="preserve"> </w:t>
      </w:r>
      <w:r>
        <w:t xml:space="preserve">addition, incomplete information regarding the traffic in the waterways does not allow national</w:t>
      </w:r>
      <w:r>
        <w:t xml:space="preserve"> </w:t>
      </w:r>
      <w:r>
        <w:t xml:space="preserve">authorities to efficiently manage traffic and may hinder their ability to react to emergency</w:t>
      </w:r>
      <w:r>
        <w:t xml:space="preserve"> </w:t>
      </w:r>
      <w:r>
        <w:t xml:space="preserve">situations (e.g. in case of an accident if the dangerous cargo information has been submitted</w:t>
      </w:r>
      <w:r>
        <w:t xml:space="preserve"> </w:t>
      </w:r>
      <w:r>
        <w:t xml:space="preserve">with errors).</w:t>
      </w:r>
      <w:r>
        <w:br/>
      </w:r>
      <w:r>
        <w:t xml:space="preserve">•</w:t>
      </w:r>
      <w:r>
        <w:t xml:space="preserve"> </w:t>
      </w:r>
      <w:r>
        <w:t xml:space="preserve">For the society at large, the overall challenges translate into external costs stemming from</w:t>
      </w:r>
      <w:r>
        <w:t xml:space="preserve"> </w:t>
      </w:r>
      <w:r>
        <w:t xml:space="preserve">freight being transported on road.</w:t>
      </w:r>
      <w:r>
        <w:t xml:space="preserve"> </w:t>
      </w:r>
      <w:r>
        <w:t xml:space="preserve">A number of Member States, without navigable waterways or with waterways out of the scope of</w:t>
      </w:r>
      <w:r>
        <w:t xml:space="preserve"> </w:t>
      </w:r>
      <w:r>
        <w:t xml:space="preserve">the Directive, are not affected by the problem. The Member States withing the scope of the</w:t>
      </w:r>
      <w:r>
        <w:t xml:space="preserve"> </w:t>
      </w:r>
      <w:r>
        <w:t xml:space="preserve">Directive show significant differences driven by the size of their network, the number of ports and</w:t>
      </w:r>
      <w:r>
        <w:t xml:space="preserve"> </w:t>
      </w:r>
      <w:r>
        <w:t xml:space="preserve">the level of traffic. For example, as explained in section 1, Germany and the Netherlands accounted</w:t>
      </w:r>
      <w:r>
        <w:t xml:space="preserve"> </w:t>
      </w:r>
      <w:r>
        <w:t xml:space="preserve">for 69% of overall EU IWT transport in 202051. In terms of national modal split, IWT plays a</w:t>
      </w:r>
      <w:r>
        <w:t xml:space="preserve"> </w:t>
      </w:r>
      <w:r>
        <w:t xml:space="preserve">significant role in the land freight transport activity52 within the Netherlands (39.7%), Bulgaria and</w:t>
      </w:r>
      <w:r>
        <w:t xml:space="preserve"> </w:t>
      </w:r>
      <w:r>
        <w:t xml:space="preserve">Romania (28% each) and a lower role in Belgium (10.9%), Luxemburg (8.2%), Germany (7.3%),</w:t>
      </w:r>
      <w:r>
        <w:t xml:space="preserve"> </w:t>
      </w:r>
      <w:r>
        <w:t xml:space="preserve">Croatia (6.0%) and Hungary (4.7%).</w:t>
      </w:r>
      <w:r>
        <w:br/>
      </w:r>
      <w:r>
        <w:t xml:space="preserve">An important element of IWT is its cross-border dimension. Thus, the challenges are more</w:t>
      </w:r>
      <w:r>
        <w:t xml:space="preserve"> </w:t>
      </w:r>
      <w:r>
        <w:t xml:space="preserve">important when a difference in a technical specification appears between two Member States with</w:t>
      </w:r>
      <w:r>
        <w:t xml:space="preserve"> </w:t>
      </w:r>
      <w:r>
        <w:t xml:space="preserve">high volumes of traffic. Beyond this, there are no specific problems for regions, local authorities,</w:t>
      </w:r>
      <w:r>
        <w:t xml:space="preserve"> </w:t>
      </w:r>
      <w:r>
        <w:t xml:space="preserve">private entities or individual EU areas.</w:t>
      </w:r>
      <w:r>
        <w:t xml:space="preserve"> </w:t>
      </w:r>
      <w:r>
        <w:t xml:space="preserve">What are the consequences of the problem?</w:t>
      </w:r>
      <w:r>
        <w:t xml:space="preserve"> </w:t>
      </w:r>
      <w:r>
        <w:t xml:space="preserve">The slow and fragmented deployment of RIS technologies has a number of consequences. The first</w:t>
      </w:r>
      <w:r>
        <w:t xml:space="preserve"> </w:t>
      </w:r>
      <w:r>
        <w:t xml:space="preserve">one relates to the geographical dimension. For example, for the Notices to Skippers (NtS) the</w:t>
      </w:r>
      <w:r>
        <w:t xml:space="preserve"> </w:t>
      </w:r>
      <w:r>
        <w:t xml:space="preserve">coverage has not reached 100% in all countries. This means that there are areas with gaps, where</w:t>
      </w:r>
      <w:r>
        <w:t xml:space="preserve"> </w:t>
      </w:r>
      <w:r>
        <w:t xml:space="preserve">skippers do not receive the same level of information regarding the rivers and their condition. This,</w:t>
      </w:r>
      <w:r>
        <w:t xml:space="preserve"> </w:t>
      </w:r>
      <w:r>
        <w:t xml:space="preserve">in turn, impacts the navigation efficiency of the vessel and may lead to safety risks for those areas.</w:t>
      </w:r>
      <w:r>
        <w:t xml:space="preserve"> </w:t>
      </w:r>
      <w:r>
        <w:t xml:space="preserve">The second consequence has to do with missing technical specifications, where these have not</w:t>
      </w:r>
      <w:r>
        <w:t xml:space="preserve"> </w:t>
      </w:r>
      <w:r>
        <w:t xml:space="preserve">been developed for Vessel Traffic and Tracing (VTT). In the absence of these technical</w:t>
      </w:r>
      <w:r>
        <w:t xml:space="preserve"> </w:t>
      </w:r>
      <w:r>
        <w:t xml:space="preserve">specifications, Member States are making use of the Automatic Identification System (AIS) for</w:t>
      </w:r>
      <w:r>
        <w:t xml:space="preserve"> </w:t>
      </w:r>
      <w:r>
        <w:t xml:space="preserve">their needs, but there is not harmonised way on how, when and for which systems it should be used.</w:t>
      </w:r>
      <w:r>
        <w:t xml:space="preserve"> </w:t>
      </w:r>
      <w:r>
        <w:t xml:space="preserve">And while its use within a specific Member State may not be problematic, this can lead to</w:t>
      </w:r>
      <w:r>
        <w:t xml:space="preserve"> </w:t>
      </w:r>
      <w:r>
        <w:t xml:space="preserve">challenges when the vessel is crossing a border.</w:t>
      </w:r>
      <w:r>
        <w:br/>
      </w:r>
      <w:r>
        <w:t xml:space="preserve">Regarding the slow update of technical specifications and what does this mean in view of</w:t>
      </w:r>
      <w:r>
        <w:t xml:space="preserve"> </w:t>
      </w:r>
      <w:r>
        <w:t xml:space="preserve">technological developments, this can be illustrated by the reporting of cargo information. This is</w:t>
      </w:r>
      <w:r>
        <w:t xml:space="preserve"> </w:t>
      </w:r>
      <w:r>
        <w:t xml:space="preserve">often done through VHF, which can lead to mistakes in the information provided. More up to date</w:t>
      </w:r>
      <w:r>
        <w:t xml:space="preserve"> </w:t>
      </w:r>
      <w:r>
        <w:t xml:space="preserve">technical specifications could require the use of electronic exchange. Another illustrative example</w:t>
      </w:r>
      <w:r>
        <w:t xml:space="preserve"> </w:t>
      </w:r>
      <w:r>
        <w:t xml:space="preserve">can be when the technical specification refers to specific software characteristics. When a new and</w:t>
      </w:r>
      <w:r>
        <w:t xml:space="preserve"> </w:t>
      </w:r>
      <w:r>
        <w:t xml:space="preserve">improved version of the software is available, correcting possible challenges and introducing new</w:t>
      </w:r>
      <w:r>
        <w:t xml:space="preserve"> </w:t>
      </w:r>
      <w:r>
        <w:t xml:space="preserve">functionalities, vessel operators are not able to benefit from this new version until the technical</w:t>
      </w:r>
      <w:r>
        <w:t xml:space="preserve"> </w:t>
      </w:r>
      <w:r>
        <w:t xml:space="preserve">specifications have been updated.</w:t>
      </w:r>
    </w:p>
    <w:p>
      <w:pPr>
        <w:pStyle w:val="BodyText"/>
      </w:pPr>
      <w:r>
        <w:t xml:space="preserve">51 Source: EU transport in figures. Statistical pocketbook 2022 (europa.eu)</w:t>
      </w:r>
      <w:r>
        <w:t xml:space="preserve"> </w:t>
      </w:r>
      <w:r>
        <w:t xml:space="preserve">52 Including road, rail, IWT and pipeline transport.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IWT is considered generally a safe mode of transport, but accidents can range from minimal</w:t>
      </w:r>
      <w:r>
        <w:t xml:space="preserve"> </w:t>
      </w:r>
      <w:r>
        <w:t xml:space="preserve">incidents (e.g. a ship goes off course and collides with a bank or quay) to more serious collisions</w:t>
      </w:r>
      <w:r>
        <w:t xml:space="preserve"> </w:t>
      </w:r>
      <w:r>
        <w:t xml:space="preserve">with bridges (where ships might completely destroy their wheelhouses).</w:t>
      </w:r>
      <w:r>
        <w:br/>
      </w:r>
      <w:r>
        <w:t xml:space="preserve">Statistics on accidents in inland waterways transport are limited. Eurostat collects accident statistics</w:t>
      </w:r>
      <w:r>
        <w:t xml:space="preserve"> </w:t>
      </w:r>
      <w:r>
        <w:t xml:space="preserve">from national statistical offices on a voluntary basis. Not many countries in the EU provide data on</w:t>
      </w:r>
      <w:r>
        <w:t xml:space="preserve"> </w:t>
      </w:r>
      <w:r>
        <w:t xml:space="preserve">accidents and there is no clear evidence on a common methodology used among the countries (see</w:t>
      </w:r>
      <w:r>
        <w:t xml:space="preserve"> </w:t>
      </w:r>
      <w:r>
        <w:t xml:space="preserve">Figure 5). In addition, the current Eurostat data does not provide information about the type or the</w:t>
      </w:r>
      <w:r>
        <w:t xml:space="preserve"> </w:t>
      </w:r>
      <w:r>
        <w:t xml:space="preserve">causes of the accidents.</w:t>
      </w:r>
      <w:r>
        <w:t xml:space="preserve"> </w:t>
      </w:r>
      <w:r>
        <w:t xml:space="preserve">Figure 5: Accidents in IWT in selected Member States</w:t>
      </w:r>
    </w:p>
    <w:p>
      <w:pPr>
        <w:pStyle w:val="BodyText"/>
      </w:pPr>
      <w:r>
        <w:t xml:space="preserve">Source: Scheepsongevallenregistratie Rijkswaterstaat and Eurostat</w:t>
      </w:r>
      <w:r>
        <w:br/>
      </w:r>
      <w:r>
        <w:t xml:space="preserve">The German53 statistics for 1995-2017 provide an indication of the main causes for accidents:</w:t>
      </w:r>
      <w:r>
        <w:t xml:space="preserve"> </w:t>
      </w:r>
      <w:r>
        <w:t xml:space="preserve">grounding, ship gets stuck, collision between ships, collision with infrastructure and bridges,</w:t>
      </w:r>
      <w:r>
        <w:t xml:space="preserve"> </w:t>
      </w:r>
      <w:r>
        <w:t xml:space="preserve">pounding of waves and other accidents. The most frequent types of accidents were the collision with</w:t>
      </w:r>
      <w:r>
        <w:t xml:space="preserve"> </w:t>
      </w:r>
      <w:r>
        <w:t xml:space="preserve">infrastructure and bridges (38-40% of all accidents) and the collision between ships (18-19%). It</w:t>
      </w:r>
      <w:r>
        <w:t xml:space="preserve"> </w:t>
      </w:r>
      <w:r>
        <w:t xml:space="preserve">should also be mentioned that a significant share of total accidents (15-20%) involve small pleasure</w:t>
      </w:r>
      <w:r>
        <w:t xml:space="preserve"> </w:t>
      </w:r>
      <w:r>
        <w:t xml:space="preserve">boats. No information has been obtained from insurance companies.</w:t>
      </w:r>
      <w:r>
        <w:br/>
      </w:r>
      <w:r>
        <w:t xml:space="preserve">Due to unavailability and unreliability of data on accidents, the RIS Directive evaluation was not</w:t>
      </w:r>
      <w:r>
        <w:t xml:space="preserve"> </w:t>
      </w:r>
      <w:r>
        <w:t xml:space="preserve">able to identify a direct link between RIS and improved safety on waterways. However, the</w:t>
      </w:r>
      <w:r>
        <w:t xml:space="preserve"> </w:t>
      </w:r>
      <w:r>
        <w:t xml:space="preserve">stakeholders had a positive view on its impact in this regard54. An example is the fragmented</w:t>
      </w:r>
      <w:r>
        <w:t xml:space="preserve"> </w:t>
      </w:r>
      <w:r>
        <w:t xml:space="preserve">implementation (i.e. data is available in different national systems), which means that there is</w:t>
      </w:r>
      <w:r>
        <w:t xml:space="preserve"> </w:t>
      </w:r>
      <w:r>
        <w:t xml:space="preserve">currently no harmonised system providing information on dynamic parameters for waterways. If the</w:t>
      </w:r>
      <w:r>
        <w:t xml:space="preserve"> </w:t>
      </w:r>
      <w:r>
        <w:t xml:space="preserve">information is not up-to-date or the technical specifications applied between different Member</w:t>
      </w:r>
      <w:r>
        <w:t xml:space="preserve"> </w:t>
      </w:r>
      <w:r>
        <w:t xml:space="preserve">States are not compatible, this creates workload for skippers (who need to anticipate and account for</w:t>
      </w:r>
      <w:r>
        <w:t xml:space="preserve"> </w:t>
      </w:r>
      <w:r>
        <w:t xml:space="preserve">possible mistakes) and may lead to accidents (if for example skippers do not know exactly the</w:t>
      </w:r>
      <w:r>
        <w:t xml:space="preserve"> </w:t>
      </w:r>
      <w:r>
        <w:t xml:space="preserve">height between the river and the bridge).</w:t>
      </w:r>
      <w:r>
        <w:t xml:space="preserve"> </w:t>
      </w:r>
      <w:r>
        <w:t xml:space="preserve">One could think that slow speed would have an impact on safety. However, as explained above, the</w:t>
      </w:r>
      <w:r>
        <w:t xml:space="preserve"> </w:t>
      </w:r>
      <w:r>
        <w:t xml:space="preserve">risk to safety comes rather from the lack of accurate information and awareness of the situation on</w:t>
      </w:r>
      <w:r>
        <w:t xml:space="preserve"> </w:t>
      </w:r>
      <w:r>
        <w:t xml:space="preserve">the river. In terms of the causes of accidents, groundings are linked with inaccurate knowledge of</w:t>
      </w:r>
      <w:r>
        <w:t xml:space="preserve"> </w:t>
      </w:r>
      <w:r>
        <w:t xml:space="preserve">the depth of the river at a certain point and time. Likewise, collisions with bridges are caused when</w:t>
      </w:r>
      <w:r>
        <w:t xml:space="preserve"> </w:t>
      </w:r>
      <w:r>
        <w:t xml:space="preserve">the distance between the river and the bridge is not well estimated and the wheel of the barge</w:t>
      </w:r>
      <w:r>
        <w:t xml:space="preserve"> </w:t>
      </w:r>
      <w:r>
        <w:t xml:space="preserve">collides with the bottom of the bridge. Collisions between vessels can happen when vessels</w:t>
      </w:r>
      <w:r>
        <w:t xml:space="preserve"> </w:t>
      </w:r>
      <w:r>
        <w:t xml:space="preserve">operators are not aware of each other when rounding river bends.</w:t>
      </w:r>
    </w:p>
    <w:p>
      <w:pPr>
        <w:pStyle w:val="BodyText"/>
      </w:pPr>
      <w:r>
        <w:t xml:space="preserve">53 Source: German Waterway and Shipping Administration and the Ministry of Transport</w:t>
      </w:r>
      <w:r>
        <w:t xml:space="preserve"> </w:t>
      </w:r>
      <w:r>
        <w:t xml:space="preserve">54 4 out of 24 interviewees and 3 out of 9 survey respondents (mainly vessel owners), highlighted improved</w:t>
      </w:r>
      <w:r>
        <w:t xml:space="preserve"> </w:t>
      </w:r>
      <w:r>
        <w:t xml:space="preserve">safety as a benefit resulting from data on navigation and planning.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As regards environmental concerns, the EGD and the SSMS aim to reduce the environmental</w:t>
      </w:r>
      <w:r>
        <w:t xml:space="preserve"> </w:t>
      </w:r>
      <w:r>
        <w:t xml:space="preserve">impact of the transport sector. IWT is expected to play its role. To this aim, the SSMS set a</w:t>
      </w:r>
      <w:r>
        <w:t xml:space="preserve"> </w:t>
      </w:r>
      <w:r>
        <w:t xml:space="preserve">milestone for transport activity by inland waterways and short sea shipping to increase by 25% by</w:t>
      </w:r>
      <w:r>
        <w:t xml:space="preserve"> </w:t>
      </w:r>
      <w:r>
        <w:t xml:space="preserve">2030 and by 50% by 2050. Improving the environmental performance of the sector is also one of</w:t>
      </w:r>
      <w:r>
        <w:t xml:space="preserve"> </w:t>
      </w:r>
      <w:r>
        <w:t xml:space="preserve">the aims of the Directive. As this is primarily a digital initiative, its environmental contribution is not</w:t>
      </w:r>
      <w:r>
        <w:t xml:space="preserve"> </w:t>
      </w:r>
      <w:r>
        <w:t xml:space="preserve">expected to be high; however, it can still play a role. On the one hand, improved technology should</w:t>
      </w:r>
      <w:r>
        <w:t xml:space="preserve"> </w:t>
      </w:r>
      <w:r>
        <w:t xml:space="preserve">lead to more efficient navigation resulting in reduced energy use, with clear impacts on emissions.</w:t>
      </w:r>
      <w:r>
        <w:t xml:space="preserve"> </w:t>
      </w:r>
      <w:r>
        <w:t xml:space="preserve">On the other hand, improved reliability of the sector and better integration into the multimodal</w:t>
      </w:r>
      <w:r>
        <w:t xml:space="preserve"> </w:t>
      </w:r>
      <w:r>
        <w:t xml:space="preserve">logistic chains is expected to shift freight from road to inland waterways. The evaluation pointed to</w:t>
      </w:r>
      <w:r>
        <w:t xml:space="preserve"> </w:t>
      </w:r>
      <w:r>
        <w:t xml:space="preserve">a small reduction in fuel consumption (1.9%) through the use of RIS. There is nevertheless further</w:t>
      </w:r>
      <w:r>
        <w:t xml:space="preserve"> </w:t>
      </w:r>
      <w:r>
        <w:t xml:space="preserve">potential for improvement, so that IWT increases its contribution towards greening the transport</w:t>
      </w:r>
      <w:r>
        <w:t xml:space="preserve"> </w:t>
      </w:r>
      <w:r>
        <w:t xml:space="preserve">sector.</w:t>
      </w:r>
      <w:r>
        <w:t xml:space="preserve"> </w:t>
      </w:r>
      <w:r>
        <w:t xml:space="preserve">2.2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Problem driver 1 (PD1): Missing and non-harmonised RIS information hampers efficient and safe</w:t>
      </w:r>
      <w:r>
        <w:t xml:space="preserve"> </w:t>
      </w:r>
      <w:r>
        <w:t xml:space="preserve">navigation</w:t>
      </w:r>
      <w:r>
        <w:t xml:space="preserve"> </w:t>
      </w:r>
      <w:r>
        <w:t xml:space="preserve">Users continue to receive fragmented or low-quality information from Member States via RIS,</w:t>
      </w:r>
      <w:r>
        <w:t xml:space="preserve"> </w:t>
      </w:r>
      <w:r>
        <w:t xml:space="preserve">hampering efficient and safe navigation. This is manifested in terms of differences in the data</w:t>
      </w:r>
      <w:r>
        <w:t xml:space="preserve"> </w:t>
      </w:r>
      <w:r>
        <w:t xml:space="preserve">quality of the underlying RIS. According to a stocktaking exercise of the situation in the Member</w:t>
      </w:r>
      <w:r>
        <w:t xml:space="preserve"> </w:t>
      </w:r>
      <w:r>
        <w:t xml:space="preserve">States55, the basic requirements of the Directive were implemented (in terms of setting up of RIS</w:t>
      </w:r>
      <w:r>
        <w:t xml:space="preserve"> </w:t>
      </w:r>
      <w:r>
        <w:t xml:space="preserve">centres and introducing legislation regarding the four basic RIS key technologies). However, certain</w:t>
      </w:r>
      <w:r>
        <w:t xml:space="preserve"> </w:t>
      </w:r>
      <w:r>
        <w:t xml:space="preserve">elements (like the ERDMS data), despite their importance, are not mandatory, which introduces</w:t>
      </w:r>
      <w:r>
        <w:t xml:space="preserve"> </w:t>
      </w:r>
      <w:r>
        <w:t xml:space="preserve">gaps and reduces the quality of RIS. Furthermore, the Directive is not prescriptive in the technical</w:t>
      </w:r>
      <w:r>
        <w:t xml:space="preserve"> </w:t>
      </w:r>
      <w:r>
        <w:t xml:space="preserve">aspects but sets the higher-level principles and relies on the implementing acts to define the details.</w:t>
      </w:r>
      <w:r>
        <w:t xml:space="preserve"> </w:t>
      </w:r>
      <w:r>
        <w:t xml:space="preserve">The implementing acts, despite their level of detail, appear to leave a room for manoeuvre in their</w:t>
      </w:r>
      <w:r>
        <w:t xml:space="preserve"> </w:t>
      </w:r>
      <w:r>
        <w:t xml:space="preserve">implementation by the Member States in practice. For example, blockages of locks may be reported</w:t>
      </w:r>
      <w:r>
        <w:t xml:space="preserve"> </w:t>
      </w:r>
      <w:r>
        <w:t xml:space="preserve">in the Notices to Skippers (NtS) as a complete blockage in one country but only as partial in others.</w:t>
      </w:r>
      <w:r>
        <w:t xml:space="preserve"> </w:t>
      </w:r>
      <w:r>
        <w:t xml:space="preserve">This leads ships operators to spend time to properly interpret and confirm the data, in order to avoid</w:t>
      </w:r>
      <w:r>
        <w:t xml:space="preserve"> </w:t>
      </w:r>
      <w:r>
        <w:t xml:space="preserve">surprises when arriving at the lock. These discrepancies impact inland waterways in two ways. On</w:t>
      </w:r>
      <w:r>
        <w:t xml:space="preserve"> </w:t>
      </w:r>
      <w:r>
        <w:t xml:space="preserve">the one hand efficient navigation is hindered, if the skippers require more time to plan their</w:t>
      </w:r>
      <w:r>
        <w:t xml:space="preserve"> </w:t>
      </w:r>
      <w:r>
        <w:t xml:space="preserve">navigation or encounter unexpected delays due to the infrastructure not being available. It was</w:t>
      </w:r>
      <w:r>
        <w:t xml:space="preserve"> </w:t>
      </w:r>
      <w:r>
        <w:t xml:space="preserve">estimated that in 2020 14,800 hours were “wasted” due to these discrepancies56. On the other hand,</w:t>
      </w:r>
      <w:r>
        <w:t xml:space="preserve"> </w:t>
      </w:r>
      <w:r>
        <w:t xml:space="preserve">these differences can lead to accidents if they are not identified on time.</w:t>
      </w:r>
      <w:r>
        <w:br/>
      </w:r>
      <w:r>
        <w:t xml:space="preserve">Figure 6 illustrates the status of electronic reporting system implementation and related international</w:t>
      </w:r>
      <w:r>
        <w:t xml:space="preserve"> </w:t>
      </w:r>
      <w:r>
        <w:t xml:space="preserve">exchange of ERI messages among neighbouring countries. This is the area where the lowest</w:t>
      </w:r>
      <w:r>
        <w:t xml:space="preserve"> </w:t>
      </w:r>
      <w:r>
        <w:t xml:space="preserve">harmonisation was found, especially due to different reporting requirements in the Member States</w:t>
      </w:r>
      <w:r>
        <w:t xml:space="preserve"> </w:t>
      </w:r>
      <w:r>
        <w:t xml:space="preserve">resulting in resubmissions of electronic reports. It shows that in the Rhine catchment for example,</w:t>
      </w:r>
    </w:p>
    <w:p>
      <w:pPr>
        <w:pStyle w:val="BodyText"/>
      </w:pPr>
      <w:r>
        <w:t xml:space="preserve">55 European Commission (2014), RIS implementation survey and policy evaluation – Country Reports.</w:t>
      </w:r>
      <w:r>
        <w:t xml:space="preserve"> </w:t>
      </w:r>
      <w:r>
        <w:t xml:space="preserve">https://transport.ec.europa.eu/system/files/2016-09/2014-07-ris-implementation-survey-and-policy-evaluation-</w:t>
      </w:r>
      <w:r>
        <w:t xml:space="preserve"> </w:t>
      </w:r>
      <w:r>
        <w:t xml:space="preserve">country-reports.pdf</w:t>
      </w:r>
      <w:r>
        <w:br/>
      </w:r>
      <w:r>
        <w:t xml:space="preserve">56 Based on discussions with training institutes and validated by the sector (in the context of the stakeholders’</w:t>
      </w:r>
      <w:r>
        <w:t xml:space="preserve"> </w:t>
      </w:r>
      <w:r>
        <w:t xml:space="preserve">consultation for the impact assessment) who indicated that of an average 15 minutes spent to prepare a cross</w:t>
      </w:r>
      <w:r>
        <w:t xml:space="preserve"> </w:t>
      </w:r>
      <w:r>
        <w:t xml:space="preserve">border journey, 2.5 minutes are used for addressing such discrepancies. Considering the 355,406 border</w:t>
      </w:r>
      <w:r>
        <w:t xml:space="preserve"> </w:t>
      </w:r>
      <w:r>
        <w:t xml:space="preserve">crossings in 2020, around 14,800 hours were spent, or around EUR 395,000. The weighted average of the tariff</w:t>
      </w:r>
      <w:r>
        <w:t xml:space="preserve"> </w:t>
      </w:r>
      <w:r>
        <w:t xml:space="preserve">per hour for non-manual workers (ISCO 8 – Plant and machine operators and assemblers) in the 13 Member</w:t>
      </w:r>
      <w:r>
        <w:t xml:space="preserve"> </w:t>
      </w:r>
      <w:r>
        <w:t xml:space="preserve">State in the scope of RIS (EUR 26.7 per hour), based on Eurostat Structure of earnings survey (in 2022 prices),</w:t>
      </w:r>
      <w:r>
        <w:t xml:space="preserve"> </w:t>
      </w:r>
      <w:r>
        <w:t xml:space="preserve">has been used to estimate the costs.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the electronic transmission of reports is generally positive, while in Eastern Europe (i.e. borders</w:t>
      </w:r>
      <w:r>
        <w:t xml:space="preserve"> </w:t>
      </w:r>
      <w:r>
        <w:t xml:space="preserve">between Germany and Poland as well as Germany-Czech Republic) and on the Danube, it is</w:t>
      </w:r>
      <w:r>
        <w:t xml:space="preserve"> </w:t>
      </w:r>
      <w:r>
        <w:t xml:space="preserve">comparatively less harmonised. Thus, the problem is more concentrated in the geographical areas</w:t>
      </w:r>
      <w:r>
        <w:t xml:space="preserve"> </w:t>
      </w:r>
      <w:r>
        <w:t xml:space="preserve">where less IWT freight volumes are moved.</w:t>
      </w:r>
      <w:r>
        <w:t xml:space="preserve"> </w:t>
      </w:r>
      <w:r>
        <w:t xml:space="preserve">Figure 6: Landscape of electronic reporting systems and services in Europe in November 2020</w:t>
      </w:r>
    </w:p>
    <w:p>
      <w:pPr>
        <w:pStyle w:val="BodyText"/>
      </w:pPr>
      <w:r>
        <w:t xml:space="preserve">Source: DIWA Masterplan57</w:t>
      </w:r>
      <w:r>
        <w:t xml:space="preserve"> </w:t>
      </w:r>
      <w:r>
        <w:t xml:space="preserve">This problem driver was indicated as very important by 12 out of 13 respondents in the Open Public</w:t>
      </w:r>
      <w:r>
        <w:t xml:space="preserve"> </w:t>
      </w:r>
      <w:r>
        <w:t xml:space="preserve">Consultation (OPC). Furthermore, this was confirmed by the respondents to the first stakeholders’</w:t>
      </w:r>
      <w:r>
        <w:t xml:space="preserve"> </w:t>
      </w:r>
      <w:r>
        <w:t xml:space="preserve">survey58, who considered this driver as relevant to the problem (42 out of 65 respondents). The</w:t>
      </w:r>
      <w:r>
        <w:t xml:space="preserve"> </w:t>
      </w:r>
      <w:r>
        <w:t xml:space="preserve">difference in data formats across countries, together with the unreliability of the RIS Index, as</w:t>
      </w:r>
      <w:r>
        <w:t xml:space="preserve"> </w:t>
      </w:r>
      <w:r>
        <w:t xml:space="preserve">Member States update the information on a voluntary basis, were specifically mentioned as issues in</w:t>
      </w:r>
      <w:r>
        <w:t xml:space="preserve"> </w:t>
      </w:r>
      <w:r>
        <w:t xml:space="preserve">the first survey. For example, 3 stakeholders representing international public bodies indicated that</w:t>
      </w:r>
      <w:r>
        <w:t xml:space="preserve"> </w:t>
      </w:r>
      <w:r>
        <w:t xml:space="preserve">the RIS Index is not sufficiently reliable or clearly defined.</w:t>
      </w:r>
      <w:r>
        <w:br/>
      </w:r>
      <w:r>
        <w:t xml:space="preserve">During the second stakeholder workshop59 with skippers, it emerged that information on water</w:t>
      </w:r>
    </w:p>
    <w:p>
      <w:pPr>
        <w:pStyle w:val="BodyText"/>
      </w:pPr>
      <w:r>
        <w:t xml:space="preserve">57 Masterplan DIWA SuAc 2.4 Final Report RIS Enabled Corridor Management</w:t>
      </w:r>
      <w:r>
        <w:t xml:space="preserve"> </w:t>
      </w:r>
      <w:r>
        <w:t xml:space="preserve">58 In the context of the impact assessment support study, two surveys were carried out. The first survey collected</w:t>
      </w:r>
      <w:r>
        <w:t xml:space="preserve"> </w:t>
      </w:r>
      <w:r>
        <w:t xml:space="preserve">information on the identified problems and policy measures from various stakeholders (public bodies at</w:t>
      </w:r>
      <w:r>
        <w:t xml:space="preserve"> </w:t>
      </w:r>
      <w:r>
        <w:t xml:space="preserve">international, European and national level, private sector companies/representative organizations, EU citizens).</w:t>
      </w:r>
      <w:r>
        <w:t xml:space="preserve"> </w:t>
      </w:r>
      <w:r>
        <w:t xml:space="preserve">This survey was carried out between 1 August 2022 and 26 August. A second survey collected views of the</w:t>
      </w:r>
      <w:r>
        <w:t xml:space="preserve"> </w:t>
      </w:r>
      <w:r>
        <w:t xml:space="preserve">stakeholders on the costs and benefits of each of the proposed policy measure. The second survey was carried</w:t>
      </w:r>
      <w:r>
        <w:t xml:space="preserve"> </w:t>
      </w:r>
      <w:r>
        <w:t xml:space="preserve">out in second half of 2022.</w:t>
      </w:r>
      <w:r>
        <w:t xml:space="preserve"> </w:t>
      </w:r>
      <w:r>
        <w:t xml:space="preserve">59 Two stakeholder workshops were organised during the stakeholders’ consultation that focused specifically on</w:t>
      </w:r>
      <w:r>
        <w:t xml:space="preserve"> </w:t>
      </w:r>
      <w:r>
        <w:t xml:space="preserve">the vessel operators and in particular skippers. Their aim was to validate estimates on costs and benefits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levels is also crucial for skippers to plan a voyage. They also flagged that missing and non-</w:t>
      </w:r>
      <w:r>
        <w:t xml:space="preserve"> </w:t>
      </w:r>
      <w:r>
        <w:t xml:space="preserve">harmonised RIS information is one of the main drivers hampering efficient voyage planning.</w:t>
      </w:r>
      <w:r>
        <w:t xml:space="preserve"> </w:t>
      </w:r>
      <w:r>
        <w:t xml:space="preserve">Experts participating in the meetings of the DINA and NAIADES Expert Groups60 mentioned that</w:t>
      </w:r>
      <w:r>
        <w:t xml:space="preserve"> </w:t>
      </w:r>
      <w:r>
        <w:t xml:space="preserve">the RIS Directive is in principle helpful but it should have been implemented better. On the other</w:t>
      </w:r>
      <w:r>
        <w:t xml:space="preserve"> </w:t>
      </w:r>
      <w:r>
        <w:t xml:space="preserve">hand, the Commission did not receive formal complaints regarding its implementation that could</w:t>
      </w:r>
      <w:r>
        <w:t xml:space="preserve"> </w:t>
      </w:r>
      <w:r>
        <w:t xml:space="preserve">have led to infringements. Experts also mentioned that the newly developed EuRIS portal should</w:t>
      </w:r>
      <w:r>
        <w:t xml:space="preserve"> </w:t>
      </w:r>
      <w:r>
        <w:t xml:space="preserve">positively affect the missing and non-harmonised RIS information61.</w:t>
      </w:r>
      <w:r>
        <w:t xml:space="preserve"> </w:t>
      </w:r>
      <w:r>
        <w:t xml:space="preserve">Problem driver 2 (PD2): Inefficient processes for creation and implementation of technical</w:t>
      </w:r>
      <w:r>
        <w:t xml:space="preserve"> </w:t>
      </w:r>
      <w:r>
        <w:t xml:space="preserve">specifications for River Information Services</w:t>
      </w:r>
      <w:r>
        <w:t xml:space="preserve"> </w:t>
      </w:r>
      <w:r>
        <w:t xml:space="preserve">The current system of updating RIS technical specifications is based on implementing acts adopted</w:t>
      </w:r>
      <w:r>
        <w:t xml:space="preserve"> </w:t>
      </w:r>
      <w:r>
        <w:t xml:space="preserve">by the Commission. With the current setting of working with sectoral experts to support the</w:t>
      </w:r>
      <w:r>
        <w:t xml:space="preserve"> </w:t>
      </w:r>
      <w:r>
        <w:t xml:space="preserve">Commission, this process takes around 10 years, which is very lengthy, particularly in view of the</w:t>
      </w:r>
      <w:r>
        <w:t xml:space="preserve"> </w:t>
      </w:r>
      <w:r>
        <w:t xml:space="preserve">pace of technological developments. For instance, the technical specifications for Notices to</w:t>
      </w:r>
      <w:r>
        <w:t xml:space="preserve"> </w:t>
      </w:r>
      <w:r>
        <w:t xml:space="preserve">Skippers and for Vessel tracking and tracing systems, introduced in 2007, were updated in 2018 and</w:t>
      </w:r>
      <w:r>
        <w:t xml:space="preserve"> </w:t>
      </w:r>
      <w:r>
        <w:t xml:space="preserve">2019, respectively. The technical specifications for electronic reporting of 2010 were revised in</w:t>
      </w:r>
      <w:r>
        <w:t xml:space="preserve"> </w:t>
      </w:r>
      <w:r>
        <w:t xml:space="preserve">2019, while those on the electronic chart display and information system for inland navigation</w:t>
      </w:r>
      <w:r>
        <w:t xml:space="preserve"> </w:t>
      </w:r>
      <w:r>
        <w:t xml:space="preserve">(Inland ECDIS) adopted in 2013, were revised in 2018. Moreover, the RIS Guidelines have not</w:t>
      </w:r>
      <w:r>
        <w:t xml:space="preserve"> </w:t>
      </w:r>
      <w:r>
        <w:t xml:space="preserve">been revised since 2007.</w:t>
      </w:r>
      <w:r>
        <w:t xml:space="preserve"> </w:t>
      </w:r>
      <w:r>
        <w:t xml:space="preserve">Currently, the basic work on the preparation of technical specifications is undertaken by Member</w:t>
      </w:r>
      <w:r>
        <w:t xml:space="preserve"> </w:t>
      </w:r>
      <w:r>
        <w:t xml:space="preserve">State experts who meet and discuss under different groups. These are then used as a basis for the</w:t>
      </w:r>
      <w:r>
        <w:t xml:space="preserve"> </w:t>
      </w:r>
      <w:r>
        <w:t xml:space="preserve">Commission to prepare the relevant implementing acts. The self-organisation of the work by MS</w:t>
      </w:r>
      <w:r>
        <w:t xml:space="preserve"> </w:t>
      </w:r>
      <w:r>
        <w:t xml:space="preserve">experts (with contributions from CCNR) seems to constitute an important bottleneck leading to a</w:t>
      </w:r>
      <w:r>
        <w:t xml:space="preserve"> </w:t>
      </w:r>
      <w:r>
        <w:t xml:space="preserve">lengthy process (sometimes between 7-8 years) which has accordingly been criticised by</w:t>
      </w:r>
      <w:r>
        <w:t xml:space="preserve"> </w:t>
      </w:r>
      <w:r>
        <w:t xml:space="preserve">stakeholders. In the stakeholders’ consultation process accompanying the RIS evaluation,</w:t>
      </w:r>
      <w:r>
        <w:t xml:space="preserve"> </w:t>
      </w:r>
      <w:r>
        <w:t xml:space="preserve">stakeholders expressed the view that the time between updates is too long, which may cause</w:t>
      </w:r>
      <w:r>
        <w:t xml:space="preserve"> </w:t>
      </w:r>
      <w:r>
        <w:t xml:space="preserve">problems in terms of their relevance for the future. This is because outdated technical specifications</w:t>
      </w:r>
      <w:r>
        <w:t xml:space="preserve"> </w:t>
      </w:r>
      <w:r>
        <w:t xml:space="preserve">do not ensure maintaining the highest level of efficiency and do not follow the developments in</w:t>
      </w:r>
      <w:r>
        <w:t xml:space="preserve"> </w:t>
      </w:r>
      <w:r>
        <w:t xml:space="preserve">digital technology. An illustrative example relates to the technical specifications for Inland ECDIS</w:t>
      </w:r>
      <w:r>
        <w:t xml:space="preserve"> </w:t>
      </w:r>
      <w:r>
        <w:t xml:space="preserve">(on points such as the resolution of digital maps, elements to be presented on maps, the way how</w:t>
      </w:r>
      <w:r>
        <w:t xml:space="preserve"> </w:t>
      </w:r>
      <w:r>
        <w:t xml:space="preserve">they should be presented, etc.), where the efficiency of digital maps is linked directly with the</w:t>
      </w:r>
      <w:r>
        <w:t xml:space="preserve"> </w:t>
      </w:r>
      <w:r>
        <w:t xml:space="preserve">technology used (graphic programmes).</w:t>
      </w:r>
      <w:r>
        <w:br/>
      </w:r>
      <w:r>
        <w:t xml:space="preserve">In the OPC, 10 out of 13 respondents expressed the view that this a very important problem driver</w:t>
      </w:r>
      <w:r>
        <w:t xml:space="preserve"> </w:t>
      </w:r>
      <w:r>
        <w:t xml:space="preserve">and 3 out of 13 respondents see it as a somewhat important driver. The first stakeholders’ survey</w:t>
      </w:r>
      <w:r>
        <w:t xml:space="preserve"> </w:t>
      </w:r>
      <w:r>
        <w:t xml:space="preserve">showed a similar picture, where 40 out of 65 stakeholders perceived problem driver 2 as important.</w:t>
      </w:r>
      <w:r>
        <w:br/>
      </w:r>
      <w:r>
        <w:t xml:space="preserve">Besides the late introduction of technical specifications, the number of relevant implementing acts</w:t>
      </w:r>
      <w:r>
        <w:t xml:space="preserve"> </w:t>
      </w:r>
      <w:r>
        <w:t xml:space="preserve">creates a challenge for the sector. Technical specifications are spread across various legislative</w:t>
      </w:r>
      <w:r>
        <w:t xml:space="preserve"> </w:t>
      </w:r>
      <w:r>
        <w:t xml:space="preserve">measures, with negative consequences on their clarity and consequent uptake. This does not enable</w:t>
      </w:r>
    </w:p>
    <w:p>
      <w:pPr>
        <w:pStyle w:val="BodyText"/>
      </w:pPr>
      <w:r>
        <w:t xml:space="preserve">stemming from the proposed policy measures. The discussions revolved around subjects such as voyage</w:t>
      </w:r>
      <w:r>
        <w:t xml:space="preserve"> </w:t>
      </w:r>
      <w:r>
        <w:t xml:space="preserve">planning, the availability of infrastructure for the digital waterway network and the Smart Shipping concepts.</w:t>
      </w:r>
      <w:r>
        <w:t xml:space="preserve"> </w:t>
      </w:r>
      <w:r>
        <w:t xml:space="preserve">60 https://ec.europa.eu/transparency/expert-groups-register/screen/expert-</w:t>
      </w:r>
      <w:r>
        <w:t xml:space="preserve"> </w:t>
      </w:r>
      <w:r>
        <w:t xml:space="preserve">groups/consult?lang=en&amp;groupID=3505 and https://ec.europa.eu/transparency/expert-groups-</w:t>
      </w:r>
      <w:r>
        <w:t xml:space="preserve"> </w:t>
      </w:r>
      <w:r>
        <w:t xml:space="preserve">register/screen/expert-groups/consult?lang=en&amp;groupID=3497</w:t>
      </w:r>
      <w:r>
        <w:br/>
      </w:r>
      <w:r>
        <w:t xml:space="preserve">61 The aim of the expert group meetings was to gather views on the proposed policy measures, including their</w:t>
      </w:r>
      <w:r>
        <w:t xml:space="preserve"> </w:t>
      </w:r>
      <w:r>
        <w:t xml:space="preserve">costs and benefits. The discussions revolved around subjects such as the scope of eFTI and RIS, the complaint</w:t>
      </w:r>
      <w:r>
        <w:t xml:space="preserve"> </w:t>
      </w:r>
      <w:r>
        <w:t xml:space="preserve">handling mechanism, the involvement of CESNI in RIS and the use of personal data.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the timely uptake of RIS in line with evolving technical innovations for two reasons: a) even minor</w:t>
      </w:r>
      <w:r>
        <w:t xml:space="preserve"> </w:t>
      </w:r>
      <w:r>
        <w:t xml:space="preserve">updates need to “wait” for the appropriate technical specification’s turn and b) it multiplies the</w:t>
      </w:r>
      <w:r>
        <w:t xml:space="preserve"> </w:t>
      </w:r>
      <w:r>
        <w:t xml:space="preserve">efforts and time required to prepare and adopt the implementing acts. Participants in the two</w:t>
      </w:r>
      <w:r>
        <w:t xml:space="preserve"> </w:t>
      </w:r>
      <w:r>
        <w:t xml:space="preserve">stakeholder workshops organised during the stakeholders’ consultation flagged the existence of a</w:t>
      </w:r>
      <w:r>
        <w:t xml:space="preserve"> </w:t>
      </w:r>
      <w:r>
        <w:t xml:space="preserve">wide variety of technical specifications and technical specifications which need to be implemented</w:t>
      </w:r>
      <w:r>
        <w:t xml:space="preserve"> </w:t>
      </w:r>
      <w:r>
        <w:t xml:space="preserve">to allow RIS to remain up to date with current technical developments. New developments and</w:t>
      </w:r>
      <w:r>
        <w:t xml:space="preserve"> </w:t>
      </w:r>
      <w:r>
        <w:t xml:space="preserve">challenges (e.g. digital and green transitions, which were not in focus in 2005) may require</w:t>
      </w:r>
      <w:r>
        <w:t xml:space="preserve"> </w:t>
      </w:r>
      <w:r>
        <w:t xml:space="preserve">additional data to be reported through RIS. To deal with these developments, the sector needs to</w:t>
      </w:r>
      <w:r>
        <w:t xml:space="preserve"> </w:t>
      </w:r>
      <w:r>
        <w:t xml:space="preserve">adapt, for instance, through smart shipping approaches in the context of smart logistics framework.</w:t>
      </w:r>
      <w:r>
        <w:t xml:space="preserve"> </w:t>
      </w:r>
      <w:r>
        <w:t xml:space="preserve">In this context, accurate information on waterway profiles, water levels and dimensions of structures</w:t>
      </w:r>
      <w:r>
        <w:t xml:space="preserve"> </w:t>
      </w:r>
      <w:r>
        <w:t xml:space="preserve">form an absolute necessity. This could be provided through RIS services; however, the current</w:t>
      </w:r>
      <w:r>
        <w:t xml:space="preserve"> </w:t>
      </w:r>
      <w:r>
        <w:t xml:space="preserve">inefficient processes for RIS technical specifications and delayed uptake of evolving technical</w:t>
      </w:r>
      <w:r>
        <w:t xml:space="preserve"> </w:t>
      </w:r>
      <w:r>
        <w:t xml:space="preserve">innovation hinders the adoption of such technologies and makes IWT less competitive compared to</w:t>
      </w:r>
      <w:r>
        <w:t xml:space="preserve"> </w:t>
      </w:r>
      <w:r>
        <w:t xml:space="preserve">other transport modes.</w:t>
      </w:r>
      <w:r>
        <w:t xml:space="preserve"> </w:t>
      </w:r>
      <w:r>
        <w:t xml:space="preserve">This problem driver is also linked to problem driver 1. The lack of a frequent and regular update of</w:t>
      </w:r>
      <w:r>
        <w:t xml:space="preserve"> </w:t>
      </w:r>
      <w:r>
        <w:t xml:space="preserve">technical specifications does not allow for corrective action to be taken on time.</w:t>
      </w:r>
      <w:r>
        <w:t xml:space="preserve"> </w:t>
      </w:r>
      <w:r>
        <w:t xml:space="preserve">Problem driver 3 (PD3): River Information Services do not sufficiently support the integration of</w:t>
      </w:r>
      <w:r>
        <w:t xml:space="preserve"> </w:t>
      </w:r>
      <w:r>
        <w:t xml:space="preserve">inland waterways transport into multimodal supply chains (modal shift)</w:t>
      </w:r>
      <w:r>
        <w:t xml:space="preserve"> </w:t>
      </w:r>
      <w:r>
        <w:t xml:space="preserve">The European Green Deal requires all transport modes, including inland waterway transport, to</w:t>
      </w:r>
      <w:r>
        <w:t xml:space="preserve"> </w:t>
      </w:r>
      <w:r>
        <w:t xml:space="preserve">address the greening and digitalisation transition. This includes a better integration between different</w:t>
      </w:r>
      <w:r>
        <w:t xml:space="preserve"> </w:t>
      </w:r>
      <w:r>
        <w:t xml:space="preserve">modes of transport into a seamless intermodal logistic chain. The RIS Directive anticipates the</w:t>
      </w:r>
      <w:r>
        <w:t xml:space="preserve"> </w:t>
      </w:r>
      <w:r>
        <w:t xml:space="preserve">possibility or need for connecting RIS with systems of other modes, in particular with maritime</w:t>
      </w:r>
      <w:r>
        <w:t xml:space="preserve"> </w:t>
      </w:r>
      <w:r>
        <w:t xml:space="preserve">transport. These links, however, have not been specified by the Directive or the implementing acts</w:t>
      </w:r>
      <w:r>
        <w:t xml:space="preserve"> </w:t>
      </w:r>
      <w:r>
        <w:t xml:space="preserve">and no indication was identified that such connectivity exists at Member State level.</w:t>
      </w:r>
      <w:r>
        <w:t xml:space="preserve"> </w:t>
      </w:r>
      <w:r>
        <w:t xml:space="preserve">At the same time, the transport sector saw developments in other modes. For example, legal</w:t>
      </w:r>
      <w:r>
        <w:t xml:space="preserve"> </w:t>
      </w:r>
      <w:r>
        <w:t xml:space="preserve">provisions for other cargo tools were introduced (2019 for EMSWe and 2020 for eFTI). The</w:t>
      </w:r>
      <w:r>
        <w:t xml:space="preserve"> </w:t>
      </w:r>
      <w:r>
        <w:t xml:space="preserve">Directive lacks the framework to make the necessary links with these systems, and therefore cannot</w:t>
      </w:r>
      <w:r>
        <w:t xml:space="preserve"> </w:t>
      </w:r>
      <w:r>
        <w:t xml:space="preserve">support the integration of IWT in the logistic chain.</w:t>
      </w:r>
      <w:r>
        <w:br/>
      </w:r>
      <w:r>
        <w:t xml:space="preserve">The RIS evaluation concluded that the RIS Directive so far has focused on safety of navigation,</w:t>
      </w:r>
      <w:r>
        <w:t xml:space="preserve"> </w:t>
      </w:r>
      <w:r>
        <w:t xml:space="preserve">while not enabling the integration of inland waterway transport into multimodal supply chains. In</w:t>
      </w:r>
      <w:r>
        <w:t xml:space="preserve"> </w:t>
      </w:r>
      <w:r>
        <w:t xml:space="preserve">the OPC, 11 out of 13 respondents considered this as a very or somewhat important problem driver.</w:t>
      </w:r>
      <w:r>
        <w:t xml:space="preserve"> </w:t>
      </w:r>
      <w:r>
        <w:t xml:space="preserve">This view was further supported by the respondents to the first stakeholders’ survey, where 33 out</w:t>
      </w:r>
      <w:r>
        <w:t xml:space="preserve"> </w:t>
      </w:r>
      <w:r>
        <w:t xml:space="preserve">of 65 respondents found problem driver 3 to be relevant.</w:t>
      </w:r>
      <w:r>
        <w:t xml:space="preserve"> </w:t>
      </w:r>
      <w:r>
        <w:t xml:space="preserve">The EU transport policy aims to promote less polluting and more energy efficient modes of</w:t>
      </w:r>
      <w:r>
        <w:t xml:space="preserve"> </w:t>
      </w:r>
      <w:r>
        <w:t xml:space="preserve">transport, including for freight, and actions are taken to support intermodal transport. In addition,</w:t>
      </w:r>
      <w:r>
        <w:t xml:space="preserve"> </w:t>
      </w:r>
      <w:r>
        <w:t xml:space="preserve">since the adoption of the RIS Directive, further developments have taken place in relation to</w:t>
      </w:r>
      <w:r>
        <w:t xml:space="preserve"> </w:t>
      </w:r>
      <w:r>
        <w:t xml:space="preserve">synchro-modality, and tools have been developed to improve the efficiency of logistics supply</w:t>
      </w:r>
      <w:r>
        <w:t xml:space="preserve"> </w:t>
      </w:r>
      <w:r>
        <w:t xml:space="preserve">chains. Initiatives such as EMSWe and eFTI, that offer opportunities to integrate IWT in the</w:t>
      </w:r>
      <w:r>
        <w:t xml:space="preserve"> </w:t>
      </w:r>
      <w:r>
        <w:t xml:space="preserve">logistics chain, were developed after the adoption of the RIS Directive. Thus, the Directive does not</w:t>
      </w:r>
      <w:r>
        <w:t xml:space="preserve"> </w:t>
      </w:r>
      <w:r>
        <w:t xml:space="preserve">provide the proper framework to make the necessary links. On the other hand, experts (representing</w:t>
      </w:r>
      <w:r>
        <w:t xml:space="preserve"> </w:t>
      </w:r>
      <w:r>
        <w:t xml:space="preserve">Member State authorities and vessel operators) participating in the DINA and NAIADES expert</w:t>
      </w:r>
      <w:r>
        <w:t xml:space="preserve"> </w:t>
      </w:r>
      <w:r>
        <w:t xml:space="preserve">group meetings, pointed to the different aims and scopes of the initiatives (e.g. eFTI has a clear role</w:t>
      </w:r>
      <w:r>
        <w:t xml:space="preserve"> </w:t>
      </w:r>
      <w:r>
        <w:t xml:space="preserve">for logistic and cargo related information, while RIS is viewed more as a tool for safety and traffic</w:t>
      </w:r>
      <w:r>
        <w:t xml:space="preserve"> </w:t>
      </w:r>
      <w:r>
        <w:t xml:space="preserve">management related information), and cautioned against mixing their purposes. Stakeholders</w:t>
      </w:r>
      <w:r>
        <w:t xml:space="preserve"> </w:t>
      </w:r>
      <w:r>
        <w:t xml:space="preserve">participating at the dedicated workshops also expressed opposing views, with some seeing eFTI as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unrelated to RIS, while others considering that eFTI could be used by all modes (creating a one</w:t>
      </w:r>
      <w:r>
        <w:t xml:space="preserve"> </w:t>
      </w:r>
      <w:r>
        <w:t xml:space="preserve">stop-shop solution).</w:t>
      </w:r>
      <w:r>
        <w:br/>
      </w:r>
      <w:r>
        <w:t xml:space="preserve">The stakeholders participating in the first stakeholder workshop also shed some light on the need to</w:t>
      </w:r>
      <w:r>
        <w:t xml:space="preserve"> </w:t>
      </w:r>
      <w:r>
        <w:t xml:space="preserve">find a common denominator between different navigation transport modes. In this context, ports</w:t>
      </w:r>
      <w:r>
        <w:t xml:space="preserve"> </w:t>
      </w:r>
      <w:r>
        <w:t xml:space="preserve">play a crucial role as they provide the link between IWT and other modes such as road and rail.</w:t>
      </w:r>
      <w:r>
        <w:t xml:space="preserve"> </w:t>
      </w:r>
      <w:r>
        <w:t xml:space="preserve">However, participants pointed out that technology standards in delivering information are</w:t>
      </w:r>
      <w:r>
        <w:t xml:space="preserve"> </w:t>
      </w:r>
      <w:r>
        <w:t xml:space="preserve">heterogeneous across inland ports as they are developed individually. The smooth integration of</w:t>
      </w:r>
      <w:r>
        <w:t xml:space="preserve"> </w:t>
      </w:r>
      <w:r>
        <w:t xml:space="preserve">IWT in intermodal transport requires efficient and accurate information exchange with inland ports.</w:t>
      </w:r>
      <w:r>
        <w:t xml:space="preserve"> </w:t>
      </w:r>
      <w:r>
        <w:t xml:space="preserve">As an illustration, a vessel operators representative indicated during the workshop that skippers on</w:t>
      </w:r>
      <w:r>
        <w:t xml:space="preserve"> </w:t>
      </w:r>
      <w:r>
        <w:t xml:space="preserve">tanker vessels need to know that ports have available capacity, as they often transport dangerous</w:t>
      </w:r>
      <w:r>
        <w:t xml:space="preserve"> </w:t>
      </w:r>
      <w:r>
        <w:t xml:space="preserve">goods that can only be kept on board for a specific period of time. As this information is not</w:t>
      </w:r>
      <w:r>
        <w:t xml:space="preserve"> </w:t>
      </w:r>
      <w:r>
        <w:t xml:space="preserve">foreseen in RIS, it increases the burden on skippers to plan their voyages. This view is confirmed by</w:t>
      </w:r>
      <w:r>
        <w:t xml:space="preserve"> </w:t>
      </w:r>
      <w:r>
        <w:t xml:space="preserve">the network coverage of the EuRIS portal in Germany. For example, in ports such as Duisburg,</w:t>
      </w:r>
      <w:r>
        <w:t xml:space="preserve"> </w:t>
      </w:r>
      <w:r>
        <w:t xml:space="preserve">Dusseldorf, Neuss, Mannheim and Karlsruhe, information on the dimensions of bridges over port</w:t>
      </w:r>
      <w:r>
        <w:t xml:space="preserve"> </w:t>
      </w:r>
      <w:r>
        <w:t xml:space="preserve">basins and operating times is lacking. This causes the need for extra time when making voyage</w:t>
      </w:r>
      <w:r>
        <w:t xml:space="preserve"> </w:t>
      </w:r>
      <w:r>
        <w:t xml:space="preserve">preparations as skippers need to look up the required information on individual port websites.</w:t>
      </w:r>
      <w:r>
        <w:t xml:space="preserve"> </w:t>
      </w:r>
      <w:r>
        <w:t xml:space="preserve">This lack of exchange of information with other modes is thus hindering the potential of IWT to</w:t>
      </w:r>
      <w:r>
        <w:t xml:space="preserve"> </w:t>
      </w:r>
      <w:r>
        <w:t xml:space="preserve">perform in a multimodal chain and thus deliver on the objectives defined by the SSMS.</w:t>
      </w:r>
      <w:r>
        <w:br/>
      </w:r>
      <w:r>
        <w:t xml:space="preserve">Problem driver 4 (PD4): Inefficient exchange of information (including cross-border) and reporting</w:t>
      </w:r>
      <w:r>
        <w:t xml:space="preserve"> </w:t>
      </w:r>
      <w:r>
        <w:t xml:space="preserve">An efficient exchange of information across borders between authorities is important for an efficient</w:t>
      </w:r>
      <w:r>
        <w:t xml:space="preserve"> </w:t>
      </w:r>
      <w:r>
        <w:t xml:space="preserve">transport system. Despite improved Member State cooperation over time, not all reports are</w:t>
      </w:r>
      <w:r>
        <w:t xml:space="preserve"> </w:t>
      </w:r>
      <w:r>
        <w:t xml:space="preserve">digitalised and, even when they are, Member States use different reporting applications that are not</w:t>
      </w:r>
      <w:r>
        <w:t xml:space="preserve"> </w:t>
      </w:r>
      <w:r>
        <w:t xml:space="preserve">compatible with each other62. According to the evaluation, despite the adoption of the RIS</w:t>
      </w:r>
      <w:r>
        <w:t xml:space="preserve"> </w:t>
      </w:r>
      <w:r>
        <w:t xml:space="preserve">Directive, there has been no substantial reduction in the number of resubmissions of electronic ship</w:t>
      </w:r>
      <w:r>
        <w:t xml:space="preserve"> </w:t>
      </w:r>
      <w:r>
        <w:t xml:space="preserve">reports at borders due to differences in national reporting obligations. The number of resubmissions</w:t>
      </w:r>
      <w:r>
        <w:t xml:space="preserve"> </w:t>
      </w:r>
      <w:r>
        <w:t xml:space="preserve">of electronic reports was estimated at 30% of total number of border crossings (i.e. 106,622</w:t>
      </w:r>
      <w:r>
        <w:t xml:space="preserve"> </w:t>
      </w:r>
      <w:r>
        <w:t xml:space="preserve">resubmissions in 2020). Each resubmission is estimated to require 15 minutes for vessel operators.</w:t>
      </w:r>
      <w:r>
        <w:t xml:space="preserve"> </w:t>
      </w:r>
      <w:r>
        <w:t xml:space="preserve">Thus, vessel operators are estimated to have spent 25,841 hours for the resubmissions of electronic</w:t>
      </w:r>
      <w:r>
        <w:t xml:space="preserve"> </w:t>
      </w:r>
      <w:r>
        <w:t xml:space="preserve">reports in 2020, equivalent to EUR 689,75963.</w:t>
      </w:r>
      <w:r>
        <w:br/>
      </w:r>
      <w:r>
        <w:t xml:space="preserve">In addition, based on the survey and the interviews with inland skippers it is estimated that inland</w:t>
      </w:r>
      <w:r>
        <w:t xml:space="preserve"> </w:t>
      </w:r>
      <w:r>
        <w:t xml:space="preserve">skippers spend on average 10 minutes on reporting obligations in inland ports, with an estimated</w:t>
      </w:r>
      <w:r>
        <w:t xml:space="preserve"> </w:t>
      </w:r>
      <w:r>
        <w:t xml:space="preserve">annual total cost of EUR 1.3 million in 202064. A significant part of these costs stem from</w:t>
      </w:r>
      <w:r>
        <w:t xml:space="preserve"> </w:t>
      </w:r>
      <w:r>
        <w:t xml:space="preserve">duplications that could be reduced or eliminated if a proper exchange of information between RIS</w:t>
      </w:r>
      <w:r>
        <w:t xml:space="preserve"> </w:t>
      </w:r>
      <w:r>
        <w:t xml:space="preserve">and ports were in place.</w:t>
      </w:r>
      <w:r>
        <w:t xml:space="preserve"> </w:t>
      </w:r>
      <w:r>
        <w:t xml:space="preserve">All 13 respondents to the OPC found problem driver 4 to be very or somewhat important. In the</w:t>
      </w:r>
    </w:p>
    <w:p>
      <w:pPr>
        <w:pStyle w:val="BodyText"/>
      </w:pPr>
      <w:r>
        <w:t xml:space="preserve">62 Currently, five different platforms/systems are in operation: BIVS, NAMIB, SWING, GINA, VELI.</w:t>
      </w:r>
      <w:r>
        <w:t xml:space="preserve"> </w:t>
      </w:r>
      <w:r>
        <w:t xml:space="preserve">63 The weighted average of the tariff per hour for non-manual workers (ISCO 8 – Plant and machine operators</w:t>
      </w:r>
      <w:r>
        <w:t xml:space="preserve"> </w:t>
      </w:r>
      <w:r>
        <w:t xml:space="preserve">and assemblers) in the 13 Member State in the scope of RIS (EUR 26.7 per hour), based on Eurostat Structure of</w:t>
      </w:r>
      <w:r>
        <w:t xml:space="preserve"> </w:t>
      </w:r>
      <w:r>
        <w:t xml:space="preserve">earnings survey (in 2022 prices), has been used to estimate the costs.</w:t>
      </w:r>
      <w:r>
        <w:br/>
      </w:r>
      <w:r>
        <w:t xml:space="preserve">64 Considering the 294,774 port calls in 2020 and 10 minutes on average spent on reporting obligations per port</w:t>
      </w:r>
      <w:r>
        <w:t xml:space="preserve"> </w:t>
      </w:r>
      <w:r>
        <w:t xml:space="preserve">call, around 49,129 hours were estimated to be spent on reporting obligations in ports, or around EUR 1.3</w:t>
      </w:r>
      <w:r>
        <w:t xml:space="preserve"> </w:t>
      </w:r>
      <w:r>
        <w:t xml:space="preserve">million. The weighted average of the tariff per hour for non-manual workers (ISCO 8 – Plant and machine</w:t>
      </w:r>
      <w:r>
        <w:t xml:space="preserve"> </w:t>
      </w:r>
      <w:r>
        <w:t xml:space="preserve">operators and assemblers) in the 13 Member State in the scope of RIS (EUR 26.7 per hour), based on Eurostat</w:t>
      </w:r>
      <w:r>
        <w:t xml:space="preserve"> </w:t>
      </w:r>
      <w:r>
        <w:t xml:space="preserve">Structure of earnings survey (in 2022 prices), has been used to estimate the costs.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context of the first stakeholders’ survey, 43 out of 65 respondents considered problem driver 4 to be</w:t>
      </w:r>
      <w:r>
        <w:t xml:space="preserve"> </w:t>
      </w:r>
      <w:r>
        <w:t xml:space="preserve">relevant. In addition, 7 out of 25 respondents to a question on efforts spent on reporting (specifically</w:t>
      </w:r>
      <w:r>
        <w:t xml:space="preserve"> </w:t>
      </w:r>
      <w:r>
        <w:t xml:space="preserve">inland waterway operators) indicated resubmission as a high burden. On the other hand, only 3 out</w:t>
      </w:r>
      <w:r>
        <w:t xml:space="preserve"> </w:t>
      </w:r>
      <w:r>
        <w:t xml:space="preserve">of 13 national authorities that responded indicated high or medium costs for processing the</w:t>
      </w:r>
      <w:r>
        <w:t xml:space="preserve"> </w:t>
      </w:r>
      <w:r>
        <w:t xml:space="preserve">electronic reports, 2 out of 13 indicated low costs and 1 authority indicated no costs at all. 7 out of</w:t>
      </w:r>
      <w:r>
        <w:t xml:space="preserve"> </w:t>
      </w:r>
      <w:r>
        <w:t xml:space="preserve">13 national authorities were not able to answer or indicated that it was not applicable to them.</w:t>
      </w:r>
      <w:r>
        <w:br/>
      </w:r>
      <w:r>
        <w:t xml:space="preserve">The DINA (2017)65 report outlined that during a journey on the Danube, more than 20 different</w:t>
      </w:r>
      <w:r>
        <w:t xml:space="preserve"> </w:t>
      </w:r>
      <w:r>
        <w:t xml:space="preserve">forms have to be filled in different languages. The study estimated that filling in each form was</w:t>
      </w:r>
      <w:r>
        <w:t xml:space="preserve"> </w:t>
      </w:r>
      <w:r>
        <w:t xml:space="preserve">taking ten to twenty minutes per border-crossing, depending on the type of trip.</w:t>
      </w:r>
      <w:r>
        <w:br/>
      </w:r>
      <w:r>
        <w:t xml:space="preserve">There are some attempts to solve this problem on the ground through various reporting</w:t>
      </w:r>
      <w:r>
        <w:t xml:space="preserve"> </w:t>
      </w:r>
      <w:r>
        <w:t xml:space="preserve">applications66 or through elements of the RIS COMEX. However, their application is not</w:t>
      </w:r>
      <w:r>
        <w:t xml:space="preserve"> </w:t>
      </w:r>
      <w:r>
        <w:t xml:space="preserve">harmonised as indicated in the first DINA/NAIADES expert group meeting due to, for example,</w:t>
      </w:r>
      <w:r>
        <w:t xml:space="preserve"> </w:t>
      </w:r>
      <w:r>
        <w:t xml:space="preserve">challenges in having up-to-date information.</w:t>
      </w:r>
      <w:r>
        <w:br/>
      </w:r>
      <w:r>
        <w:t xml:space="preserve">Problem driver 5 (PD5): Lack of legal certainty about processing of personal data by the inland</w:t>
      </w:r>
      <w:r>
        <w:t xml:space="preserve"> </w:t>
      </w:r>
      <w:r>
        <w:t xml:space="preserve">waterway stakeholders</w:t>
      </w:r>
      <w:r>
        <w:t xml:space="preserve"> </w:t>
      </w:r>
      <w:r>
        <w:t xml:space="preserve">Several studies suggest that data protection concerns from the side of RIS stakeholders hinder the</w:t>
      </w:r>
      <w:r>
        <w:t xml:space="preserve"> </w:t>
      </w:r>
      <w:r>
        <w:t xml:space="preserve">degree to which data from electronic ship reporting is shared between competent authorities. In fact,</w:t>
      </w:r>
      <w:r>
        <w:t xml:space="preserve"> </w:t>
      </w:r>
      <w:r>
        <w:t xml:space="preserve">the RIS Directive currently only requires setting up national RIS that enables sharing of personal</w:t>
      </w:r>
      <w:r>
        <w:t xml:space="preserve"> </w:t>
      </w:r>
      <w:r>
        <w:t xml:space="preserve">data if national or international law requires it (Article 4(3)c). It further refers to the data protection</w:t>
      </w:r>
      <w:r>
        <w:t xml:space="preserve"> </w:t>
      </w:r>
      <w:r>
        <w:t xml:space="preserve">requirements of Data Protection Directive that is replaced by the General Data Protection</w:t>
      </w:r>
      <w:r>
        <w:t xml:space="preserve"> </w:t>
      </w:r>
      <w:r>
        <w:t xml:space="preserve">Regulation (GDPR). RIS is basically a platform for data exchange providing harmonised technical</w:t>
      </w:r>
      <w:r>
        <w:t xml:space="preserve"> </w:t>
      </w:r>
      <w:r>
        <w:t xml:space="preserve">specifications for data, but not the legal basis on which some personal data is actually collected and</w:t>
      </w:r>
      <w:r>
        <w:t xml:space="preserve"> </w:t>
      </w:r>
      <w:r>
        <w:t xml:space="preserve">has to be submitted (e.g. border regulations, police regulations, etc.).</w:t>
      </w:r>
      <w:r>
        <w:br/>
      </w:r>
      <w:r>
        <w:t xml:space="preserve">As it emerged during a targeted stakeholders’ workshop, barge owners often live inside their barge.</w:t>
      </w:r>
      <w:r>
        <w:t xml:space="preserve"> </w:t>
      </w:r>
      <w:r>
        <w:t xml:space="preserve">For family-owned companies, the vessel is the home of the skipper and the information about its</w:t>
      </w:r>
      <w:r>
        <w:t xml:space="preserve"> </w:t>
      </w:r>
      <w:r>
        <w:t xml:space="preserve">position is often considered by vessel operators as personal data. In these cases, as explained during</w:t>
      </w:r>
      <w:r>
        <w:t xml:space="preserve"> </w:t>
      </w:r>
      <w:r>
        <w:t xml:space="preserve">the specific workshop held for skippers, the exchange of information and identification of the</w:t>
      </w:r>
      <w:r>
        <w:t xml:space="preserve"> </w:t>
      </w:r>
      <w:r>
        <w:t xml:space="preserve">position of the vessel is often restricted for fear of privacy rule violations. On the other hand,</w:t>
      </w:r>
      <w:r>
        <w:t xml:space="preserve"> </w:t>
      </w:r>
      <w:r>
        <w:t xml:space="preserve">Member States or other authorities are reluctant to share RIS information to avoid potentially</w:t>
      </w:r>
      <w:r>
        <w:t xml:space="preserve"> </w:t>
      </w:r>
      <w:r>
        <w:t xml:space="preserve">breaching privacy rules. This example indicates that both Member States and stakeholders seem to</w:t>
      </w:r>
      <w:r>
        <w:t xml:space="preserve"> </w:t>
      </w:r>
      <w:r>
        <w:t xml:space="preserve">be unaware how far and for which purposes personal data is or could be lawfully exchanged via</w:t>
      </w:r>
      <w:r>
        <w:t xml:space="preserve"> </w:t>
      </w:r>
      <w:r>
        <w:t xml:space="preserve">RIS. Currently there is no personal information exchanged through RIS and there are no actual</w:t>
      </w:r>
      <w:r>
        <w:t xml:space="preserve"> </w:t>
      </w:r>
      <w:r>
        <w:t xml:space="preserve">concerns regarding Data Protection. The issue is therefore only the perceived risk, due to the lack of</w:t>
      </w:r>
      <w:r>
        <w:t xml:space="preserve"> </w:t>
      </w:r>
      <w:r>
        <w:t xml:space="preserve">clarity, which leads stakeholders and Member States to be reserved in the context of exchange of</w:t>
      </w:r>
      <w:r>
        <w:t xml:space="preserve"> </w:t>
      </w:r>
      <w:r>
        <w:t xml:space="preserve">information.</w:t>
      </w:r>
      <w:r>
        <w:br/>
      </w:r>
      <w:r>
        <w:t xml:space="preserve">According to the evaluation, to address this issue Member States may conclude additional data</w:t>
      </w:r>
      <w:r>
        <w:t xml:space="preserve"> </w:t>
      </w:r>
      <w:r>
        <w:t xml:space="preserve">exchange agreements for RIS purposes. In addition, to ensure legal certainty Member States should</w:t>
      </w:r>
      <w:r>
        <w:t xml:space="preserve"> </w:t>
      </w:r>
      <w:r>
        <w:t xml:space="preserve">review their national laws and international commitments and ensure that personal data requests are</w:t>
      </w:r>
      <w:r>
        <w:t xml:space="preserve"> </w:t>
      </w:r>
      <w:r>
        <w:t xml:space="preserve">always based on valid legal basis provided by law in line with the GDPR. The incomplete data on</w:t>
      </w:r>
      <w:r>
        <w:t xml:space="preserve"> </w:t>
      </w:r>
      <w:r>
        <w:t xml:space="preserve">the position of surrounding vessels impairs the efficient voyage planning for skippers and may limit</w:t>
      </w:r>
    </w:p>
    <w:p>
      <w:pPr>
        <w:pStyle w:val="BodyText"/>
      </w:pPr>
      <w:r>
        <w:t xml:space="preserve">65 European Commission (2017): Digital inland waterway areas. Towards a digital inland waterway area and</w:t>
      </w:r>
      <w:r>
        <w:t xml:space="preserve"> </w:t>
      </w:r>
      <w:r>
        <w:t xml:space="preserve">digital multimodal nodes. Final report.</w:t>
      </w:r>
      <w:r>
        <w:t xml:space="preserve"> </w:t>
      </w:r>
      <w:r>
        <w:t xml:space="preserve">66 Currently, five different platforms/systems are in operation: BIVS, NAMIB, SWING, GINA, VELI.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the situational awareness of national authorities who have a valid reason for having this information,</w:t>
      </w:r>
      <w:r>
        <w:t xml:space="preserve"> </w:t>
      </w:r>
      <w:r>
        <w:t xml:space="preserve">for reasons of safety. Therefore, an update of the RIS Directive is needed to clarify what are the</w:t>
      </w:r>
      <w:r>
        <w:t xml:space="preserve"> </w:t>
      </w:r>
      <w:r>
        <w:t xml:space="preserve">obligations under the RIS Directive and also clearly make transparent what is the legal basis for</w:t>
      </w:r>
      <w:r>
        <w:t xml:space="preserve"> </w:t>
      </w:r>
      <w:r>
        <w:t xml:space="preserve">personal data exchange in the context of operating RIS.</w:t>
      </w:r>
      <w:r>
        <w:t xml:space="preserve"> </w:t>
      </w:r>
      <w:r>
        <w:t xml:space="preserve">In the OPC, 11 out of 13 respondents indicated that this problem driver is very or somewhat</w:t>
      </w:r>
      <w:r>
        <w:t xml:space="preserve"> </w:t>
      </w:r>
      <w:r>
        <w:t xml:space="preserve">important. In the context of the first stakeholders’ survey 38 out of 65 respondents found this</w:t>
      </w:r>
      <w:r>
        <w:t xml:space="preserve"> </w:t>
      </w:r>
      <w:r>
        <w:t xml:space="preserve">problem driver to be definitely or somewhat relevant.</w:t>
      </w:r>
      <w:r>
        <w:t xml:space="preserve"> </w:t>
      </w:r>
      <w:r>
        <w:t xml:space="preserve">Views of stakeholders on the problem drivers</w:t>
      </w:r>
      <w:r>
        <w:t xml:space="preserve"> </w:t>
      </w:r>
      <w:r>
        <w:t xml:space="preserve">Stakeholders agree with the problem drivers as identified. As shown in Figure 7, the majority of</w:t>
      </w:r>
      <w:r>
        <w:t xml:space="preserve"> </w:t>
      </w:r>
      <w:r>
        <w:t xml:space="preserve">stakeholders responding to the first stakeholders’ survey considered all problem drivers to currently</w:t>
      </w:r>
      <w:r>
        <w:t xml:space="preserve"> </w:t>
      </w:r>
      <w:r>
        <w:t xml:space="preserve">be an issue for the sector.</w:t>
      </w:r>
      <w:r>
        <w:br/>
      </w:r>
      <w:r>
        <w:t xml:space="preserve">Figure 7: “In your view, are the problem drivers listed below problems which the IWT/ RIS sector</w:t>
      </w:r>
      <w:r>
        <w:t xml:space="preserve"> </w:t>
      </w:r>
      <w:r>
        <w:t xml:space="preserve">currently faces?” (n=65)</w:t>
      </w:r>
    </w:p>
    <w:p>
      <w:pPr>
        <w:pStyle w:val="BodyText"/>
      </w:pPr>
      <w:r>
        <w:t xml:space="preserve">Source: Ramboll et al. (2024) impact assessment support study, First survey to stakeholders</w:t>
      </w:r>
      <w:r>
        <w:t xml:space="preserve"> </w:t>
      </w:r>
      <w:r>
        <w:t xml:space="preserve">Regarding the importance of the problem drivers, the stakeholders clearly consider the efficient</w:t>
      </w:r>
      <w:r>
        <w:t xml:space="preserve"> </w:t>
      </w:r>
      <w:r>
        <w:t xml:space="preserve">exchange of information as the most important element to tackle (see Figure 7). This is followed by</w:t>
      </w:r>
      <w:r>
        <w:t xml:space="preserve"> </w:t>
      </w:r>
      <w:r>
        <w:t xml:space="preserve">the need to operate with more harmonised and updated standards. Data protection concerns were</w:t>
      </w:r>
      <w:r>
        <w:t xml:space="preserve"> </w:t>
      </w:r>
      <w:r>
        <w:t xml:space="preserve">raised in particular by vessel operators, while integration with other modes was given the least</w:t>
      </w:r>
      <w:r>
        <w:t xml:space="preserve"> </w:t>
      </w:r>
      <w:r>
        <w:t xml:space="preserve">importance among the problem drivers.</w:t>
      </w:r>
      <w:r>
        <w:br/>
      </w:r>
      <w:r>
        <w:t xml:space="preserve">2.3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Considering the influence of the megatrends identified in the 2021 Strategic Foresight Report67 and</w:t>
      </w:r>
      <w:r>
        <w:t xml:space="preserve"> </w:t>
      </w:r>
      <w:r>
        <w:t xml:space="preserve">especially the megatrend68 of “Accelerating technological change and hyperconnectivity”, the</w:t>
      </w:r>
      <w:r>
        <w:t xml:space="preserve"> </w:t>
      </w:r>
      <w:r>
        <w:t xml:space="preserve">evolution of the problem has to been seen from the perspective of an increasingly connected world,</w:t>
      </w:r>
      <w:r>
        <w:t xml:space="preserve"> </w:t>
      </w:r>
      <w:r>
        <w:t xml:space="preserve">with high levels of access to digital services. Without EU level intervention, the problem of slow</w:t>
      </w:r>
      <w:r>
        <w:t xml:space="preserve"> </w:t>
      </w:r>
      <w:r>
        <w:t xml:space="preserve">and fragmented deployment of River Information Services is likely to persist over time and</w:t>
      </w:r>
      <w:r>
        <w:t xml:space="preserve"> </w:t>
      </w:r>
      <w:r>
        <w:t xml:space="preserve">potentially to worsen. As technological development keeps accelerating, the fragmented deployment</w:t>
      </w:r>
    </w:p>
    <w:p>
      <w:pPr>
        <w:pStyle w:val="BodyText"/>
      </w:pPr>
      <w:r>
        <w:t xml:space="preserve">67 European Commission, 2021. 2021 Strategic Foresight Report, Brussels, Belgium: Secretariat General,</w:t>
      </w:r>
      <w:r>
        <w:t xml:space="preserve"> </w:t>
      </w:r>
      <w:r>
        <w:t xml:space="preserve">European Commission.</w:t>
      </w:r>
      <w:r>
        <w:t xml:space="preserve"> </w:t>
      </w:r>
      <w:r>
        <w:t xml:space="preserve">68 https://knowledge4policy.ec.europa.eu/foresight/tool/megatrends-hub_en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of RIS and the low and slow update of technical specifications can impact the competitiveness and</w:t>
      </w:r>
      <w:r>
        <w:t xml:space="preserve"> </w:t>
      </w:r>
      <w:r>
        <w:t xml:space="preserve">safety of the sector, and its contribution towards the EGD objectives.</w:t>
      </w:r>
      <w:r>
        <w:br/>
      </w:r>
      <w:r>
        <w:t xml:space="preserve">In the first stakeholders’ survey, 20 out of 59 respondents considered that the problem will get</w:t>
      </w:r>
      <w:r>
        <w:t xml:space="preserve"> </w:t>
      </w:r>
      <w:r>
        <w:t xml:space="preserve">considerably worse (15 of which were representatives of the IWT/RIS users or national public</w:t>
      </w:r>
      <w:r>
        <w:t xml:space="preserve"> </w:t>
      </w:r>
      <w:r>
        <w:t xml:space="preserve">bodies) and 20 out of 59 that it will get somewhat worsen. Only 4 respondents argued that the</w:t>
      </w:r>
      <w:r>
        <w:t xml:space="preserve"> </w:t>
      </w:r>
      <w:r>
        <w:t xml:space="preserve">problem will be partially or completely solved over time. The views are similar for each one of the</w:t>
      </w:r>
      <w:r>
        <w:t xml:space="preserve"> </w:t>
      </w:r>
      <w:r>
        <w:t xml:space="preserve">problem drivers as summarised in Figure 8.</w:t>
      </w:r>
      <w:r>
        <w:t xml:space="preserve"> </w:t>
      </w:r>
      <w:r>
        <w:t xml:space="preserve">Figure 8: If the current RIS Directive is not revised, how do you expect the following problem drivers to</w:t>
      </w:r>
      <w:r>
        <w:t xml:space="preserve"> </w:t>
      </w:r>
      <w:r>
        <w:t xml:space="preserve">develop in the future? (n=59)</w:t>
      </w:r>
    </w:p>
    <w:p>
      <w:pPr>
        <w:pStyle w:val="BodyText"/>
      </w:pPr>
      <w:r>
        <w:t xml:space="preserve">Source: First stakeholder survey</w:t>
      </w:r>
      <w:r>
        <w:t xml:space="preserve"> </w:t>
      </w:r>
      <w:r>
        <w:t xml:space="preserve">The views expressed during the DINA/NAIADES Expert Group meeting of July 2022 were slightly</w:t>
      </w:r>
      <w:r>
        <w:t xml:space="preserve"> </w:t>
      </w:r>
      <w:r>
        <w:t xml:space="preserve">more nuanced. Experts expected the problems and problem drivers to persist, or slightly worsen in</w:t>
      </w:r>
      <w:r>
        <w:t xml:space="preserve"> </w:t>
      </w:r>
      <w:r>
        <w:t xml:space="preserve">case of no changes to the RIS Directive69.</w:t>
      </w:r>
      <w:r>
        <w:br/>
      </w:r>
      <w:r>
        <w:t xml:space="preserve">In the OPC, stakeholders expressed the view that without EU level intervention there will be a</w:t>
      </w:r>
      <w:r>
        <w:t xml:space="preserve"> </w:t>
      </w:r>
      <w:r>
        <w:t xml:space="preserve">negative impact on the integration of IWT in the supply chain (11 out of 13 respondents indicated</w:t>
      </w:r>
      <w:r>
        <w:t xml:space="preserve"> </w:t>
      </w:r>
      <w:r>
        <w:t xml:space="preserve">that they expect somewhat or strong negative developments), on the efficient use of RIS (10 out of</w:t>
      </w:r>
      <w:r>
        <w:t xml:space="preserve"> </w:t>
      </w:r>
      <w:r>
        <w:t xml:space="preserve">13 respondents), and on the digital transformation (10 out of 13 stakeholders). The views related to</w:t>
      </w:r>
      <w:r>
        <w:t xml:space="preserve"> </w:t>
      </w:r>
      <w:r>
        <w:t xml:space="preserve">the impact on safety were roughly split as 7 out of 13 respondents considered this to lead to strong</w:t>
      </w:r>
      <w:r>
        <w:t xml:space="preserve"> </w:t>
      </w:r>
      <w:r>
        <w:t xml:space="preserve">or somewhat negative developments. In terms of the environment, 8 out of 13 respondents</w:t>
      </w:r>
      <w:r>
        <w:t xml:space="preserve"> </w:t>
      </w:r>
      <w:r>
        <w:t xml:space="preserve">considered that the impacts will either remain unchanged or somewhat improve, while internal</w:t>
      </w:r>
      <w:r>
        <w:t xml:space="preserve"> </w:t>
      </w:r>
      <w:r>
        <w:t xml:space="preserve">market issues appeared to have been of least concern (10 out of 13 respondents indicated no or</w:t>
      </w:r>
      <w:r>
        <w:t xml:space="preserve"> </w:t>
      </w:r>
      <w:r>
        <w:t xml:space="preserve">somewhat positive developments).</w:t>
      </w:r>
      <w:r>
        <w:t xml:space="preserve"> </w:t>
      </w:r>
      <w:r>
        <w:t xml:space="preserve">The issue of the better implementation of RIS, in particular for ensuring a better harmonisation of</w:t>
      </w:r>
      <w:r>
        <w:t xml:space="preserve"> </w:t>
      </w:r>
      <w:r>
        <w:t xml:space="preserve">the technical specifications, was brought up by stakeholders (particularly vessel operators) during</w:t>
      </w:r>
      <w:r>
        <w:t xml:space="preserve"> </w:t>
      </w:r>
      <w:r>
        <w:t xml:space="preserve">the consultation process. However, the practical tools for ensuring better implementation (i.e. a</w:t>
      </w:r>
      <w:r>
        <w:t xml:space="preserve"> </w:t>
      </w:r>
      <w:r>
        <w:t xml:space="preserve">monitoring and feedback mechanism given that during this period no formal complaints were</w:t>
      </w:r>
      <w:r>
        <w:t xml:space="preserve"> </w:t>
      </w:r>
      <w:r>
        <w:t xml:space="preserve">notified to the Commission) are missing from the current Directive.</w:t>
      </w:r>
    </w:p>
    <w:p>
      <w:pPr>
        <w:pStyle w:val="BodyText"/>
      </w:pPr>
      <w:r>
        <w:t xml:space="preserve">69 Experts were asked to rate their expectations on how the problem would develop in the absence of a revision</w:t>
      </w:r>
      <w:r>
        <w:t xml:space="preserve"> </w:t>
      </w:r>
      <w:r>
        <w:t xml:space="preserve">to the RIS Directive. Attributed scores were between 1 and 5, with 1 representing the view that the situation</w:t>
      </w:r>
      <w:r>
        <w:t xml:space="preserve"> </w:t>
      </w:r>
      <w:r>
        <w:t xml:space="preserve">would get much worse, and 5 representing the view that the situation would get much better. The average score</w:t>
      </w:r>
      <w:r>
        <w:t xml:space="preserve"> </w:t>
      </w:r>
      <w:r>
        <w:t xml:space="preserve">of 2.7, with an even distribution across the different experts who responded during the workshop, indicated that</w:t>
      </w:r>
      <w:r>
        <w:t xml:space="preserve"> </w:t>
      </w:r>
      <w:r>
        <w:t xml:space="preserve">expert group members expected the situation to either remain the same, or slightly worsen.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In addition, the issue related to implementation is only relevant for problem driver 1 and only as</w:t>
      </w:r>
      <w:r>
        <w:t xml:space="preserve"> </w:t>
      </w:r>
      <w:r>
        <w:t xml:space="preserve">regards the non-harmonised application of the standards by the Member States. The other four</w:t>
      </w:r>
      <w:r>
        <w:t xml:space="preserve"> </w:t>
      </w:r>
      <w:r>
        <w:t xml:space="preserve">problem drivers cannot be addressed through better implementation. The inefficient processes for</w:t>
      </w:r>
      <w:r>
        <w:t xml:space="preserve"> </w:t>
      </w:r>
      <w:r>
        <w:t xml:space="preserve">the creation and implementation of technical specifications for RIS (problem driver 2) increase the</w:t>
      </w:r>
      <w:r>
        <w:t xml:space="preserve"> </w:t>
      </w:r>
      <w:r>
        <w:t xml:space="preserve">risk related to the implementation and enforcement. It is worth noting that of 59 respondents to the</w:t>
      </w:r>
      <w:r>
        <w:t xml:space="preserve"> </w:t>
      </w:r>
      <w:r>
        <w:t xml:space="preserve">first stakeholder’s survey only 4 indicated that the problem would be resolved without a revision of</w:t>
      </w:r>
      <w:r>
        <w:t xml:space="preserve"> </w:t>
      </w:r>
      <w:r>
        <w:t xml:space="preserve">the Directive (i.e. through better implementation)70. Similarly, among the RIS experts consulted</w:t>
      </w:r>
      <w:r>
        <w:t xml:space="preserve"> </w:t>
      </w:r>
      <w:r>
        <w:t xml:space="preserve">during the DINA/NAIADES expert group meeting only 2 indicated the need for better</w:t>
      </w:r>
      <w:r>
        <w:t xml:space="preserve"> </w:t>
      </w:r>
      <w:r>
        <w:t xml:space="preserve">implementation.</w:t>
      </w:r>
      <w:r>
        <w:br/>
      </w:r>
      <w:r>
        <w:t xml:space="preserve">Furthermore, focusing solely on better implementation means that only the challenges and issues</w:t>
      </w:r>
      <w:r>
        <w:t xml:space="preserve"> </w:t>
      </w:r>
      <w:r>
        <w:t xml:space="preserve">identified almost 20 years ago are considered. The sector is now confronted with a number of new</w:t>
      </w:r>
      <w:r>
        <w:t xml:space="preserve"> </w:t>
      </w:r>
      <w:r>
        <w:t xml:space="preserve">issues that did not exist at the time of the adoption of the Directive and thus were not properly taken</w:t>
      </w:r>
      <w:r>
        <w:t xml:space="preserve"> </w:t>
      </w:r>
      <w:r>
        <w:t xml:space="preserve">into account. These include: developments in technology and digitalisation (e.g. the shift from radio</w:t>
      </w:r>
      <w:r>
        <w:t xml:space="preserve"> </w:t>
      </w:r>
      <w:r>
        <w:t xml:space="preserve">communication to an almost digital exchange of data), developments in other modes of transport</w:t>
      </w:r>
      <w:r>
        <w:t xml:space="preserve"> </w:t>
      </w:r>
      <w:r>
        <w:t xml:space="preserve">(e.g. including systems like eFTI and EMSWe, and the whole digital structure that is developed</w:t>
      </w:r>
      <w:r>
        <w:t xml:space="preserve"> </w:t>
      </w:r>
      <w:r>
        <w:t xml:space="preserve">under the SSMS), and overall developments in the policy framework (i.e. the European Green</w:t>
      </w:r>
      <w:r>
        <w:t xml:space="preserve"> </w:t>
      </w:r>
      <w:r>
        <w:t xml:space="preserve">Deal). The evaluation found that the Directive is not sufficiently aligned to the sector’s needs for</w:t>
      </w:r>
      <w:r>
        <w:t xml:space="preserve"> </w:t>
      </w:r>
      <w:r>
        <w:t xml:space="preserve">improving efficiency, integrating the sector into the logistics chains and addressing new</w:t>
      </w:r>
      <w:r>
        <w:t xml:space="preserve"> </w:t>
      </w:r>
      <w:r>
        <w:t xml:space="preserve">technological challenges.</w:t>
      </w:r>
      <w:r>
        <w:br/>
      </w:r>
      <w:r>
        <w:t xml:space="preserve">3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</w:t>
      </w:r>
      <w:r>
        <w:t xml:space="preserve"> </w:t>
      </w:r>
      <w:r>
        <w:t xml:space="preserve">Title VI (Articles 90-100) of the Treaty on the Functioning of the EU (TFEU) establishes the EU’s</w:t>
      </w:r>
      <w:r>
        <w:t xml:space="preserve"> </w:t>
      </w:r>
      <w:r>
        <w:t xml:space="preserve">prerogative to make provisions for the Common Transport Policy. Article 91(1) of the TFEU</w:t>
      </w:r>
      <w:r>
        <w:t xml:space="preserve"> </w:t>
      </w:r>
      <w:r>
        <w:t xml:space="preserve">provides that the Union has competence in the field of transport to common rules applicable to</w:t>
      </w:r>
      <w:r>
        <w:t xml:space="preserve"> </w:t>
      </w:r>
      <w:r>
        <w:t xml:space="preserve">international transport to or from the territory of a Member State or passing across the territory of</w:t>
      </w:r>
      <w:r>
        <w:t xml:space="preserve"> </w:t>
      </w:r>
      <w:r>
        <w:t xml:space="preserve">one or more Member States.</w:t>
      </w:r>
      <w:r>
        <w:br/>
      </w:r>
      <w:r>
        <w:t xml:space="preserve">Within this legal framework, the EU provides for a coordinated and harmonised deployment of</w:t>
      </w:r>
      <w:r>
        <w:t xml:space="preserve"> </w:t>
      </w:r>
      <w:r>
        <w:t xml:space="preserve">information and communication technologies on inland waterways that help to increase the safety</w:t>
      </w:r>
      <w:r>
        <w:t xml:space="preserve"> </w:t>
      </w:r>
      <w:r>
        <w:t xml:space="preserve">and efficiency of transport by inland waterway, instead of relying on the uncoordinated action of</w:t>
      </w:r>
      <w:r>
        <w:t xml:space="preserve"> </w:t>
      </w:r>
      <w:r>
        <w:t xml:space="preserve">individual Member States only.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Under the principle of subsidiarity, in areas which do not fall within its exclusive competence, the</w:t>
      </w:r>
      <w:r>
        <w:t xml:space="preserve"> </w:t>
      </w:r>
      <w:r>
        <w:t xml:space="preserve">Union shall act only if and in so far as the objectives of the proposed action cannot be sufficiently</w:t>
      </w:r>
      <w:r>
        <w:t xml:space="preserve"> </w:t>
      </w:r>
      <w:r>
        <w:t xml:space="preserve">achieved by the Member States. The necessity of EU action was recognised at the time of adoption</w:t>
      </w:r>
      <w:r>
        <w:t xml:space="preserve"> </w:t>
      </w:r>
      <w:r>
        <w:t xml:space="preserve">of the RIS Directive71, when RIS was being developed at different rates, with different technologies</w:t>
      </w:r>
      <w:r>
        <w:t xml:space="preserve"> </w:t>
      </w:r>
      <w:r>
        <w:t xml:space="preserve">and applications throughout Europe, creating barriers to cross-border voyages. The aim of the</w:t>
      </w:r>
      <w:r>
        <w:t xml:space="preserve"> </w:t>
      </w:r>
      <w:r>
        <w:t xml:space="preserve">Directive was to harmonise technologies across Europe to enhance cross-border transport, and to</w:t>
      </w:r>
      <w:r>
        <w:t xml:space="preserve"> </w:t>
      </w:r>
      <w:r>
        <w:t xml:space="preserve">minimise coordination costs.</w:t>
      </w:r>
    </w:p>
    <w:p>
      <w:pPr>
        <w:pStyle w:val="BodyText"/>
      </w:pPr>
      <w:r>
        <w:t xml:space="preserve">70 Two experts (one representing vessel operators and one representing a Member State) considered that further</w:t>
      </w:r>
      <w:r>
        <w:t xml:space="preserve"> </w:t>
      </w:r>
      <w:r>
        <w:t xml:space="preserve">efforts were needed in terms of better implementing current provisions in the Directive.</w:t>
      </w:r>
      <w:r>
        <w:t xml:space="preserve"> </w:t>
      </w:r>
      <w:r>
        <w:t xml:space="preserve">71 Recital 12 of the RIS Directive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The rationale for EU action, in terms of harmonisation of technologies across Europe to enhance</w:t>
      </w:r>
      <w:r>
        <w:t xml:space="preserve"> </w:t>
      </w:r>
      <w:r>
        <w:t xml:space="preserve">cross-border transport and to minimise coordination costs, has largely been unchanged since the</w:t>
      </w:r>
      <w:r>
        <w:t xml:space="preserve"> </w:t>
      </w:r>
      <w:r>
        <w:t xml:space="preserve">adoption of the RIS Directive, with inland waterway transport continuing to have a strong cross</w:t>
      </w:r>
      <w:r>
        <w:t xml:space="preserve"> </w:t>
      </w:r>
      <w:r>
        <w:t xml:space="preserve">border dimension. Thus, in the absence of EU action, differences in the level and nature of the</w:t>
      </w:r>
      <w:r>
        <w:t xml:space="preserve"> </w:t>
      </w:r>
      <w:r>
        <w:t xml:space="preserve">provision of RIS between Member States, or in the approaches of the different River Commissions,</w:t>
      </w:r>
      <w:r>
        <w:t xml:space="preserve"> </w:t>
      </w:r>
      <w:r>
        <w:t xml:space="preserve">can lead to barriers for the efficient and seamless operation of inland waterways and hinder their</w:t>
      </w:r>
      <w:r>
        <w:t xml:space="preserve"> </w:t>
      </w:r>
      <w:r>
        <w:t xml:space="preserve">development in comparison with other transport modes.</w:t>
      </w:r>
      <w:r>
        <w:br/>
      </w:r>
      <w:r>
        <w:t xml:space="preserve">Since the entry into force of Directive 2005/44/EC, the inland waterway sector has benefited from</w:t>
      </w:r>
      <w:r>
        <w:t xml:space="preserve"> </w:t>
      </w:r>
      <w:r>
        <w:t xml:space="preserve">the provision of harmonised RIS. However, the level of harmonisation between Member States</w:t>
      </w:r>
      <w:r>
        <w:t xml:space="preserve"> </w:t>
      </w:r>
      <w:r>
        <w:t xml:space="preserve">varies and the introduction of the necessary specifications has proved to be lengthy. In addition, the</w:t>
      </w:r>
      <w:r>
        <w:t xml:space="preserve"> </w:t>
      </w:r>
      <w:r>
        <w:t xml:space="preserve">EGD calls for a further development of an automated and connected multimodal mobility. RIS</w:t>
      </w:r>
      <w:r>
        <w:t xml:space="preserve"> </w:t>
      </w:r>
      <w:r>
        <w:t xml:space="preserve">should be more fit to address these new challenges, also in line with the Sustainable and Smart</w:t>
      </w:r>
      <w:r>
        <w:t xml:space="preserve"> </w:t>
      </w:r>
      <w:r>
        <w:t xml:space="preserve">Mobility Strategy, which promotes the creation of a truly smart transport system, efficient capacity</w:t>
      </w:r>
      <w:r>
        <w:t xml:space="preserve"> </w:t>
      </w:r>
      <w:r>
        <w:t xml:space="preserve">allocation and traffic management. The NAIADES III action plan indicated that, to support the</w:t>
      </w:r>
      <w:r>
        <w:t xml:space="preserve"> </w:t>
      </w:r>
      <w:r>
        <w:t xml:space="preserve">objective of inland waterways being part of a seamless system of harmonised RIS by 2030, a</w:t>
      </w:r>
      <w:r>
        <w:t xml:space="preserve"> </w:t>
      </w:r>
      <w:r>
        <w:t xml:space="preserve">revision of the legal framework on RIS would be necessary to close these harmonisation and</w:t>
      </w:r>
      <w:r>
        <w:t xml:space="preserve"> </w:t>
      </w:r>
      <w:r>
        <w:t xml:space="preserve">interoperability gaps, and to contribute to improved data availability, and the reuse and</w:t>
      </w:r>
      <w:r>
        <w:t xml:space="preserve"> </w:t>
      </w:r>
      <w:r>
        <w:t xml:space="preserve">interoperability of data, in line with the European Data Strategy.</w:t>
      </w:r>
      <w:r>
        <w:t xml:space="preserve"> </w:t>
      </w:r>
      <w:r>
        <w:t xml:space="preserve">The most affected Member States were the Rhine countries – the Netherlands, Belgium, Germany</w:t>
      </w:r>
      <w:r>
        <w:t xml:space="preserve"> </w:t>
      </w:r>
      <w:r>
        <w:t xml:space="preserve">and France. Their views, as expressed in their response to the consultation activities for this impact</w:t>
      </w:r>
      <w:r>
        <w:t xml:space="preserve"> </w:t>
      </w:r>
      <w:r>
        <w:t xml:space="preserve">assessment, showed that there is a need for EU legislative action and that there would be negative</w:t>
      </w:r>
      <w:r>
        <w:t xml:space="preserve"> </w:t>
      </w:r>
      <w:r>
        <w:t xml:space="preserve">consequences if the legal system would stay the same. Furthermore, as explained in section 1, both</w:t>
      </w:r>
      <w:r>
        <w:t xml:space="preserve"> </w:t>
      </w:r>
      <w:r>
        <w:t xml:space="preserve">the European Parliament and the Council, in their reaction to the NAIADES III Communication,</w:t>
      </w:r>
      <w:r>
        <w:t xml:space="preserve"> </w:t>
      </w:r>
      <w:r>
        <w:t xml:space="preserve">expressly stated their interest for a revised Directive.</w:t>
      </w:r>
      <w:r>
        <w:br/>
      </w:r>
      <w:r>
        <w:t xml:space="preserve">3.3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The 2021 evaluation concluded that the benefits of the Directive (in particular in terms of</w:t>
      </w:r>
      <w:r>
        <w:t xml:space="preserve"> </w:t>
      </w:r>
      <w:r>
        <w:t xml:space="preserve">harmonisation) could not have been achieved at the national level, primarily due to high</w:t>
      </w:r>
      <w:r>
        <w:t xml:space="preserve"> </w:t>
      </w:r>
      <w:r>
        <w:t xml:space="preserve">fragmentation of technical specifications and implementation practices. Stakeholders consulted</w:t>
      </w:r>
      <w:r>
        <w:t xml:space="preserve"> </w:t>
      </w:r>
      <w:r>
        <w:t xml:space="preserve">during the evaluation indicated as areas of EU added value: the improved harmonisation, the</w:t>
      </w:r>
      <w:r>
        <w:t xml:space="preserve"> </w:t>
      </w:r>
      <w:r>
        <w:t xml:space="preserve">standardisation through common technical specifications, the increased cross-border cooperation,</w:t>
      </w:r>
      <w:r>
        <w:t xml:space="preserve"> </w:t>
      </w:r>
      <w:r>
        <w:t xml:space="preserve">more funding for the sector and an increase in perceived safety.</w:t>
      </w:r>
      <w:r>
        <w:br/>
      </w:r>
      <w:r>
        <w:t xml:space="preserve">This initiative would provide additional EU added value by improving RIS efficiency (in terms of</w:t>
      </w:r>
      <w:r>
        <w:t xml:space="preserve"> </w:t>
      </w:r>
      <w:r>
        <w:t xml:space="preserve">technical specifications, process of adoption, and improved exchange of information), but also in</w:t>
      </w:r>
      <w:r>
        <w:t xml:space="preserve"> </w:t>
      </w:r>
      <w:r>
        <w:t xml:space="preserve">terms of integration of inland waterways in the multimodal supply chains. Furthermore, even though</w:t>
      </w:r>
      <w:r>
        <w:t xml:space="preserve"> </w:t>
      </w:r>
      <w:r>
        <w:t xml:space="preserve">the problem is geographically limited, impacting Member States with connected navigable</w:t>
      </w:r>
      <w:r>
        <w:t xml:space="preserve"> </w:t>
      </w:r>
      <w:r>
        <w:t xml:space="preserve">waterways, action at EU level is more likely to ensure that solutions are coherent and uniform for all</w:t>
      </w:r>
      <w:r>
        <w:t xml:space="preserve"> </w:t>
      </w:r>
      <w:r>
        <w:t xml:space="preserve">Member States concerned. At the same time, it is through EU action that connectivity with other</w:t>
      </w:r>
      <w:r>
        <w:t xml:space="preserve"> </w:t>
      </w:r>
      <w:r>
        <w:t xml:space="preserve">modes can be ensured. Furthermore, EU level action has an advantage over other international</w:t>
      </w:r>
      <w:r>
        <w:t xml:space="preserve"> </w:t>
      </w:r>
      <w:r>
        <w:t xml:space="preserve">interventions such as the UNECE guidelines, due to its mandatory nature. Action at regional (i.e. </w:t>
      </w:r>
      <w:r>
        <w:t xml:space="preserve"> </w:t>
      </w:r>
      <w:r>
        <w:t xml:space="preserve">River Commission level), in practice a form of enhanced cooperation, is also likely to lead to</w:t>
      </w:r>
      <w:r>
        <w:t xml:space="preserve"> </w:t>
      </w:r>
      <w:r>
        <w:t xml:space="preserve">regional fragmentation, as each River Commission would focus on applying its own solutions, thus</w:t>
      </w:r>
      <w:r>
        <w:t xml:space="preserve"> </w:t>
      </w:r>
      <w:r>
        <w:t xml:space="preserve">introducing barriers to the common market and be a step back in terms of harmonisation. The CEF</w:t>
      </w:r>
      <w:r>
        <w:t xml:space="preserve"> </w:t>
      </w:r>
      <w:r>
        <w:t xml:space="preserve">funded RIS COMEX, could be considered as another form of enhanced cooperation, where the</w:t>
      </w:r>
      <w:r>
        <w:t xml:space="preserve"> </w:t>
      </w:r>
      <w:r>
        <w:t xml:space="preserve">Member States on a voluntary basis decided to develop a platform for the exchange of RIS (as</w:t>
      </w:r>
      <w:r>
        <w:t xml:space="preserve"> </w:t>
      </w:r>
      <w:r>
        <w:t xml:space="preserve">described in section 1). However as this is a voluntary initiative, the continuation of its membership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cannot be guaranteed, which could potentially lead to differences in the level of service provided to</w:t>
      </w:r>
      <w:r>
        <w:t xml:space="preserve"> </w:t>
      </w:r>
      <w:r>
        <w:t xml:space="preserve">a vessel depending on whether the country it navigates through is part of RIS COMEX or not.</w:t>
      </w:r>
      <w:r>
        <w:br/>
      </w:r>
      <w:r>
        <w:t xml:space="preserve">Stakeholders who responded to the evaluation’s consultation activities noted that the same benefits</w:t>
      </w:r>
      <w:r>
        <w:t xml:space="preserve"> </w:t>
      </w:r>
      <w:r>
        <w:t xml:space="preserve">would not have been achieved by comparable interventions at the international, regional or national</w:t>
      </w:r>
      <w:r>
        <w:t xml:space="preserve"> </w:t>
      </w:r>
      <w:r>
        <w:t xml:space="preserve">level72. The stakeholders consulted in the context of this impact assessment expect the problem to</w:t>
      </w:r>
      <w:r>
        <w:t xml:space="preserve"> </w:t>
      </w:r>
      <w:r>
        <w:t xml:space="preserve">persist in absence of EU level action. Additionally, no sources indicated that the same benefits could</w:t>
      </w:r>
      <w:r>
        <w:t xml:space="preserve"> </w:t>
      </w:r>
      <w:r>
        <w:t xml:space="preserve">be achieved at the national level, as this would result in a high fragmentation of standards and</w:t>
      </w:r>
      <w:r>
        <w:t xml:space="preserve"> </w:t>
      </w:r>
      <w:r>
        <w:t xml:space="preserve">implementation practices73.</w:t>
      </w:r>
      <w:r>
        <w:t xml:space="preserve"> </w:t>
      </w:r>
      <w:r>
        <w:t xml:space="preserve">4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Based on the analysis of the problem as described in section 2, the revision of the RIS Directive is</w:t>
      </w:r>
      <w:r>
        <w:t xml:space="preserve"> </w:t>
      </w:r>
      <w:r>
        <w:t xml:space="preserve">guided by one general objective, that is: to provide an effective framework for the deployment and</w:t>
      </w:r>
      <w:r>
        <w:t xml:space="preserve"> </w:t>
      </w:r>
      <w:r>
        <w:t xml:space="preserve">use of RIS. With such a framework in place, IWT can operate in a safe manner, in a competitive</w:t>
      </w:r>
      <w:r>
        <w:t xml:space="preserve"> </w:t>
      </w:r>
      <w:r>
        <w:t xml:space="preserve">market environment, and contribute towards the EGD objectives.</w:t>
      </w:r>
      <w:r>
        <w:br/>
      </w:r>
      <w:r>
        <w:t xml:space="preserve">This objective is in line with the SSMS that aims to enable seamless transport and traffic</w:t>
      </w:r>
      <w:r>
        <w:t xml:space="preserve"> </w:t>
      </w:r>
      <w:r>
        <w:t xml:space="preserve">management on the European inland waterways, as well as to improving the sustainability of</w:t>
      </w:r>
      <w:r>
        <w:t xml:space="preserve"> </w:t>
      </w:r>
      <w:r>
        <w:t xml:space="preserve">transport. In addition, it is in line with the goals of NAIADES III Communication in terms of</w:t>
      </w:r>
      <w:r>
        <w:t xml:space="preserve"> </w:t>
      </w:r>
      <w:r>
        <w:t xml:space="preserve">improving the performance of RIS along with improving and re-using applications for links with</w:t>
      </w:r>
      <w:r>
        <w:t xml:space="preserve"> </w:t>
      </w:r>
      <w:r>
        <w:t xml:space="preserve">other modes, and eventually preserving the competitive position of IWT.</w:t>
      </w:r>
      <w:r>
        <w:br/>
      </w:r>
      <w:r>
        <w:t xml:space="preserve">RIS can contribute to connecting IWT to the logistics chain and to improving its competitiveness</w:t>
      </w:r>
      <w:r>
        <w:t xml:space="preserve"> </w:t>
      </w:r>
      <w:r>
        <w:t xml:space="preserve">and modal split. However, it cannot achieve this in isolation as the competitiveness of the sector is</w:t>
      </w:r>
      <w:r>
        <w:t xml:space="preserve"> </w:t>
      </w:r>
      <w:r>
        <w:t xml:space="preserve">also affected by factors such as lack of infrastructure developments and maintenance, lack of</w:t>
      </w:r>
      <w:r>
        <w:t xml:space="preserve"> </w:t>
      </w:r>
      <w:r>
        <w:t xml:space="preserve">qualified staff, geographic limitations of IWT network, lack of investments and innovation74. In</w:t>
      </w:r>
      <w:r>
        <w:t xml:space="preserve"> </w:t>
      </w:r>
      <w:r>
        <w:t xml:space="preserve">addition, it is not the objective of the revision to develop into a single digital tool for IWT, as RIS</w:t>
      </w:r>
      <w:r>
        <w:t xml:space="preserve"> </w:t>
      </w:r>
      <w:r>
        <w:t xml:space="preserve">form part of a family of applications like the databases for crews and vessel information. All these</w:t>
      </w:r>
      <w:r>
        <w:t xml:space="preserve"> </w:t>
      </w:r>
      <w:r>
        <w:t xml:space="preserve">cover separate needs and purposes. Furthermore, in terms of links with other modes, and to improve</w:t>
      </w:r>
      <w:r>
        <w:t xml:space="preserve"> </w:t>
      </w:r>
      <w:r>
        <w:t xml:space="preserve">syncro-modality, it should not duplicate or aim to replace other existing tools, like EMSWe, or</w:t>
      </w:r>
      <w:r>
        <w:t xml:space="preserve"> </w:t>
      </w:r>
      <w:r>
        <w:t xml:space="preserve">eFTI, but rather ensure that the necessary information flows seamlessly among these various</w:t>
      </w:r>
      <w:r>
        <w:t xml:space="preserve"> </w:t>
      </w:r>
      <w:r>
        <w:t xml:space="preserve">solutions, as needed. In this regard, RIS is just one of the many pieces of the puzzle of the</w:t>
      </w:r>
      <w:r>
        <w:t xml:space="preserve"> </w:t>
      </w:r>
      <w:r>
        <w:t xml:space="preserve">digitalisation of IWT.</w:t>
      </w:r>
      <w:r>
        <w:t xml:space="preserve"> </w:t>
      </w:r>
      <w:r>
        <w:t xml:space="preserve">The initiative contributes towards the objectives of the European Green Deal (EGD)75 (in particular</w:t>
      </w:r>
      <w:r>
        <w:t xml:space="preserve"> </w:t>
      </w:r>
      <w:r>
        <w:t xml:space="preserve">by supporting the shift away from road transport). The revision of the RIS Directive contributes</w:t>
      </w:r>
      <w:r>
        <w:t xml:space="preserve"> </w:t>
      </w:r>
      <w:r>
        <w:t xml:space="preserve">towards Sustainable Development Goal (SDG) 9 (“Build resilient infrastructure, promote inclusive</w:t>
      </w:r>
      <w:r>
        <w:t xml:space="preserve"> </w:t>
      </w:r>
      <w:r>
        <w:t xml:space="preserve">and sustainable industrialisation and foster innovation”) and SDG 13 (“Take urgent action to</w:t>
      </w:r>
      <w:r>
        <w:t xml:space="preserve"> </w:t>
      </w:r>
      <w:r>
        <w:t xml:space="preserve">combat climate change and its impacts”).</w:t>
      </w:r>
    </w:p>
    <w:p>
      <w:pPr>
        <w:pStyle w:val="BodyText"/>
      </w:pPr>
      <w:r>
        <w:t xml:space="preserve">72 https://eur-lex.europa.eu/legal-content/EN/TXT/?uri=SWD%3A2021%3A50%3AFIN</w:t>
      </w:r>
      <w:r>
        <w:br/>
      </w:r>
      <w:r>
        <w:t xml:space="preserve">73 Ludden, V. et al., 2020: Study supporting the evaluation of Directive 2005/44/EC on Harmonised River</w:t>
      </w:r>
      <w:r>
        <w:t xml:space="preserve"> </w:t>
      </w:r>
      <w:r>
        <w:t xml:space="preserve">Information Services (RIS). Ramboll, University of Antwerp and DLA Piper.</w:t>
      </w:r>
      <w:r>
        <w:t xml:space="preserve"> </w:t>
      </w:r>
      <w:r>
        <w:t xml:space="preserve">74 European Commission (2020), Assessment of the potential of maritime and inland ports and inland waterways</w:t>
      </w:r>
      <w:r>
        <w:t xml:space="preserve"> </w:t>
      </w:r>
      <w:r>
        <w:t xml:space="preserve">and of related policy measures, including industrial policy measures, https://op.europa.eu/o/opportal-</w:t>
      </w:r>
      <w:r>
        <w:t xml:space="preserve"> </w:t>
      </w:r>
      <w:r>
        <w:t xml:space="preserve">service/download-handler?identifier=4ec82fa8-0dc6-11eb-bc07-</w:t>
      </w:r>
      <w:r>
        <w:t xml:space="preserve"> </w:t>
      </w:r>
      <w:r>
        <w:t xml:space="preserve">01aa75ed71a1&amp;format=pdf&amp;language=en&amp;productionSystem=cellar&amp;part=</w:t>
      </w:r>
      <w:r>
        <w:br/>
      </w:r>
      <w:r>
        <w:t xml:space="preserve">75 https://ec.europa.eu/info/strategy/priorities-2019-2024/european-green-deal_en#documents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specific objectives (SOs) are discussed below. Their correspondence with the problem drivers</w:t>
      </w:r>
      <w:r>
        <w:t xml:space="preserve"> </w:t>
      </w:r>
      <w:r>
        <w:t xml:space="preserve">are presented Figure 9.</w:t>
      </w:r>
      <w:r>
        <w:t xml:space="preserve"> </w:t>
      </w:r>
      <w:r>
        <w:t xml:space="preserve">Figure 9: Correspondence between the specific objectives and the problem drivers</w:t>
      </w:r>
    </w:p>
    <w:p>
      <w:pPr>
        <w:pStyle w:val="BodyText"/>
      </w:pPr>
      <w:r>
        <w:t xml:space="preserve">Source: European Commission</w:t>
      </w:r>
      <w:r>
        <w:t xml:space="preserve"> </w:t>
      </w:r>
      <w:r>
        <w:t xml:space="preserve">SO1: Ensure improved RIS data availability, and harmonised standards</w:t>
      </w:r>
      <w:r>
        <w:br/>
      </w:r>
      <w:r>
        <w:t xml:space="preserve">For RIS to function properly, this must be based on an appropriate operating environment where the</w:t>
      </w:r>
      <w:r>
        <w:t xml:space="preserve"> </w:t>
      </w:r>
      <w:r>
        <w:t xml:space="preserve">required information is available to the users. The first objective therefore aims to address the areas</w:t>
      </w:r>
      <w:r>
        <w:t xml:space="preserve"> </w:t>
      </w:r>
      <w:r>
        <w:t xml:space="preserve">where the technical performance of RIS was found not to be optimal. Improving the quality,</w:t>
      </w:r>
      <w:r>
        <w:t xml:space="preserve"> </w:t>
      </w:r>
      <w:r>
        <w:t xml:space="preserve">efficiency and exchange of RIS data is an important element for addressing the current identified</w:t>
      </w:r>
      <w:r>
        <w:t xml:space="preserve"> </w:t>
      </w:r>
      <w:r>
        <w:t xml:space="preserve">challenges, in terms of non-harmonised technical specifications (‘standards’) and lack of basic</w:t>
      </w:r>
      <w:r>
        <w:t xml:space="preserve"> </w:t>
      </w:r>
      <w:r>
        <w:t xml:space="preserve">information and to improve the process for adoption of technical specifications. Improving the RIS</w:t>
      </w:r>
      <w:r>
        <w:t xml:space="preserve"> </w:t>
      </w:r>
      <w:r>
        <w:t xml:space="preserve">information available to both vessels operators and authorities can increase the efficiency of the</w:t>
      </w:r>
      <w:r>
        <w:t xml:space="preserve"> </w:t>
      </w:r>
      <w:r>
        <w:t xml:space="preserve">IWT and reduce the safety risks (PD1). In this context, the technical requirements and specifications</w:t>
      </w:r>
      <w:r>
        <w:t xml:space="preserve"> </w:t>
      </w:r>
      <w:r>
        <w:t xml:space="preserve">need to be updated regularly and their application across Member States needs to be fully</w:t>
      </w:r>
      <w:r>
        <w:t xml:space="preserve"> </w:t>
      </w:r>
      <w:r>
        <w:t xml:space="preserve">harmonised. Technological solutions develop fast and the RIS Directive needs to ensure that the</w:t>
      </w:r>
      <w:r>
        <w:t xml:space="preserve"> </w:t>
      </w:r>
      <w:r>
        <w:t xml:space="preserve">process to introduce the necessary changes to the technical specifications can follow a similar pace</w:t>
      </w:r>
      <w:r>
        <w:t xml:space="preserve"> </w:t>
      </w:r>
      <w:r>
        <w:t xml:space="preserve">(PD2).</w:t>
      </w:r>
      <w:r>
        <w:br/>
      </w:r>
      <w:r>
        <w:t xml:space="preserve">SO2: Facilitate the integration of IWT into the multimodal chain</w:t>
      </w:r>
      <w:r>
        <w:br/>
      </w:r>
      <w:r>
        <w:t xml:space="preserve">The second objective aims to prepare RIS to address the missing elements that hinder the sector</w:t>
      </w:r>
      <w:r>
        <w:t xml:space="preserve"> </w:t>
      </w:r>
      <w:r>
        <w:t xml:space="preserve">from reaching its potential, and in particular its integration into the multimodal chains. This can be</w:t>
      </w:r>
      <w:r>
        <w:t xml:space="preserve"> </w:t>
      </w:r>
      <w:r>
        <w:t xml:space="preserve">attained through improved quality and better shared information. In this regard RIS users need to</w:t>
      </w:r>
      <w:r>
        <w:t xml:space="preserve"> </w:t>
      </w:r>
      <w:r>
        <w:t xml:space="preserve">have access to the appropriate and up-to-date information for all necessary elements (PD1).</w:t>
      </w:r>
      <w:r>
        <w:t xml:space="preserve"> </w:t>
      </w:r>
      <w:r>
        <w:t xml:space="preserve">Furthermore, this information needs to be better exchanged within the sector itself, in particular</w:t>
      </w:r>
      <w:r>
        <w:t xml:space="preserve"> </w:t>
      </w:r>
      <w:r>
        <w:t xml:space="preserve">when crossing a border, or when approaching an inland port, a lock or a moving bridge and reduce</w:t>
      </w:r>
      <w:r>
        <w:t xml:space="preserve"> </w:t>
      </w:r>
      <w:r>
        <w:t xml:space="preserve">reporting requirements (PD4). Moreover, better exchange with the systems of other modes is</w:t>
      </w:r>
      <w:r>
        <w:t xml:space="preserve"> </w:t>
      </w:r>
      <w:r>
        <w:t xml:space="preserve">needed to avoid duplications of systems and data flows (PD3).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SO3: Ensure a higher uptake and interoperability of digital solutions, and address data protection</w:t>
      </w:r>
      <w:r>
        <w:t xml:space="preserve"> </w:t>
      </w:r>
      <w:r>
        <w:t xml:space="preserve">concerns</w:t>
      </w:r>
      <w:r>
        <w:br/>
      </w:r>
      <w:r>
        <w:t xml:space="preserve">The IWT sector is part of the international logistics chains and needs to keep up with developments</w:t>
      </w:r>
      <w:r>
        <w:t xml:space="preserve"> </w:t>
      </w:r>
      <w:r>
        <w:t xml:space="preserve">in other sectors to maintain its competitiveness. This objective will aim to increase the digitalisation</w:t>
      </w:r>
      <w:r>
        <w:t xml:space="preserve"> </w:t>
      </w:r>
      <w:r>
        <w:t xml:space="preserve">in the sector and ensure a smooth flow of information A digital framework is needed to enable the</w:t>
      </w:r>
      <w:r>
        <w:t xml:space="preserve"> </w:t>
      </w:r>
      <w:r>
        <w:t xml:space="preserve">seamless integration of IWT in multimodal supply chains and avoid reverse modal shift. This can</w:t>
      </w:r>
      <w:r>
        <w:t xml:space="preserve"> </w:t>
      </w:r>
      <w:r>
        <w:t xml:space="preserve">only be done through improved links with the digital systems developed for other modes, in order to</w:t>
      </w:r>
      <w:r>
        <w:t xml:space="preserve"> </w:t>
      </w:r>
      <w:r>
        <w:t xml:space="preserve">enable the exchange of information between them, while avoiding parallel or overlapping systems</w:t>
      </w:r>
      <w:r>
        <w:t xml:space="preserve"> </w:t>
      </w:r>
      <w:r>
        <w:t xml:space="preserve">(PD3). This initiative should also provide the necessary incentives and assurances to remove the</w:t>
      </w:r>
      <w:r>
        <w:t xml:space="preserve"> </w:t>
      </w:r>
      <w:r>
        <w:t xml:space="preserve">bottlenecks related to the inefficient exchange of information and reporting (PD4) and objections to</w:t>
      </w:r>
      <w:r>
        <w:t xml:space="preserve"> </w:t>
      </w:r>
      <w:r>
        <w:t xml:space="preserve">data exchange due to concerns on data protections (PD5). It should clarify the type of data a</w:t>
      </w:r>
      <w:r>
        <w:t xml:space="preserve"> </w:t>
      </w:r>
      <w:r>
        <w:t xml:space="preserve">Member State may collect and exchange via RIS and also clarify that RIS does not create an</w:t>
      </w:r>
      <w:r>
        <w:t xml:space="preserve"> </w:t>
      </w:r>
      <w:r>
        <w:t xml:space="preserve">obligation to share personal data but only facilitates the exchange if there is a legal basis for the</w:t>
      </w:r>
      <w:r>
        <w:t xml:space="preserve"> </w:t>
      </w:r>
      <w:r>
        <w:t xml:space="preserve">processing of personal data under relevant national, Union or international laws.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EU Reference scenario 2020 (REF2020) is the starting point for the impact assessment of this</w:t>
      </w:r>
      <w:r>
        <w:t xml:space="preserve"> </w:t>
      </w:r>
      <w:r>
        <w:t xml:space="preserve">initiative. The REF2020 takes into account the impacts of the COVID-19 pandemic that had a</w:t>
      </w:r>
      <w:r>
        <w:t xml:space="preserve"> </w:t>
      </w:r>
      <w:r>
        <w:t xml:space="preserve">significant impact on the transport sector. More detailed information about the preparation process,</w:t>
      </w:r>
      <w:r>
        <w:t xml:space="preserve"> </w:t>
      </w:r>
      <w:r>
        <w:t xml:space="preserve">assumptions and results are included in the Reference scenario publication76. Building on REF2020,</w:t>
      </w:r>
      <w:r>
        <w:t xml:space="preserve"> </w:t>
      </w:r>
      <w:r>
        <w:t xml:space="preserve">the baseline has been designed to include the initiatives of the ‘Fit for 55’ package proposed by the</w:t>
      </w:r>
      <w:r>
        <w:t xml:space="preserve"> </w:t>
      </w:r>
      <w:r>
        <w:t xml:space="preserve">Commission on 14 July 2021 and of the REPowerEU package proposed by the Commission on 18</w:t>
      </w:r>
      <w:r>
        <w:t xml:space="preserve"> </w:t>
      </w:r>
      <w:r>
        <w:t xml:space="preserve">May 2022. The baseline scenario assumes no further EU level intervention beyond the current RIS</w:t>
      </w:r>
      <w:r>
        <w:t xml:space="preserve"> </w:t>
      </w:r>
      <w:r>
        <w:t xml:space="preserve">Directive. The effects of projects such as RIS COMEX are however expected to continue over time</w:t>
      </w:r>
      <w:r>
        <w:t xml:space="preserve"> </w:t>
      </w:r>
      <w:r>
        <w:t xml:space="preserve">in the baseline scenario. In this context, the RIS COMEX 2 that recently obtained funding through</w:t>
      </w:r>
      <w:r>
        <w:t xml:space="preserve"> </w:t>
      </w:r>
      <w:r>
        <w:t xml:space="preserve">the Connecting Europe Facility, is reflected in the baseline. More details on the baseline scenario</w:t>
      </w:r>
      <w:r>
        <w:t xml:space="preserve"> </w:t>
      </w:r>
      <w:r>
        <w:t xml:space="preserve">assumptions and results are provided in Annex 4.</w:t>
      </w:r>
      <w:r>
        <w:t xml:space="preserve"> </w:t>
      </w:r>
      <w:r>
        <w:t xml:space="preserve">The baseline also incorporates foresight megatrends77 and developments captured in the 2022</w:t>
      </w:r>
      <w:r>
        <w:t xml:space="preserve"> </w:t>
      </w:r>
      <w:r>
        <w:t xml:space="preserve">Strategic Foresight Report78. It also considers the influence of the megatrends identified in the 2021</w:t>
      </w:r>
      <w:r>
        <w:t xml:space="preserve"> </w:t>
      </w:r>
      <w:r>
        <w:t xml:space="preserve">Strategic Foresight Report79 and especially the megatrend80 of “Accelerating technological change</w:t>
      </w:r>
      <w:r>
        <w:t xml:space="preserve"> </w:t>
      </w:r>
      <w:r>
        <w:t xml:space="preserve">and hyperconnectivity”. Among others, it captures the trend of increasing demand for transport as</w:t>
      </w:r>
      <w:r>
        <w:t xml:space="preserve"> </w:t>
      </w:r>
      <w:r>
        <w:t xml:space="preserve">population and living standards grow as well as the links between the digital and green transition. In</w:t>
      </w:r>
      <w:r>
        <w:t xml:space="preserve"> </w:t>
      </w:r>
      <w:r>
        <w:t xml:space="preserve">particular, the projected transport activity draws on the long-term population projections from</w:t>
      </w:r>
      <w:r>
        <w:t xml:space="preserve"> </w:t>
      </w:r>
      <w:r>
        <w:t xml:space="preserve">Eurostat and GDP growth from the Ageing Report 202181 by the Directorate General for Economic</w:t>
      </w:r>
      <w:r>
        <w:t xml:space="preserve"> </w:t>
      </w:r>
      <w:r>
        <w:t xml:space="preserve">and Financial Affairs.</w:t>
      </w:r>
      <w:r>
        <w:br/>
      </w:r>
      <w:r>
        <w:t xml:space="preserve">In the baseline scenario, EU transport activity is projected to grow post-2020, following the</w:t>
      </w:r>
      <w:r>
        <w:t xml:space="preserve"> </w:t>
      </w:r>
      <w:r>
        <w:t xml:space="preserve">recovery from the COVID pandemic. Road transport would maintain its dominant role within the</w:t>
      </w:r>
    </w:p>
    <w:p>
      <w:pPr>
        <w:pStyle w:val="BodyText"/>
      </w:pPr>
      <w:r>
        <w:t xml:space="preserve">76 EU Reference Scenario 2020 (europa.eu)</w:t>
      </w:r>
      <w:r>
        <w:br/>
      </w:r>
      <w:r>
        <w:t xml:space="preserve">77 https://knowledge4policy.ec.europa.eu/foresight/tool/megatrends-hub_en#explore</w:t>
      </w:r>
      <w:r>
        <w:br/>
      </w:r>
      <w:r>
        <w:t xml:space="preserve">78 COM(2022) 289 final of 29 June 2022.</w:t>
      </w:r>
      <w:r>
        <w:t xml:space="preserve"> </w:t>
      </w:r>
      <w:r>
        <w:t xml:space="preserve">79 European Commission, 2021. 2021 Strategic Foresight Report, Brussels, Belgium: Secretariat General,</w:t>
      </w:r>
      <w:r>
        <w:t xml:space="preserve"> </w:t>
      </w:r>
      <w:r>
        <w:t xml:space="preserve">European Commission.</w:t>
      </w:r>
      <w:r>
        <w:t xml:space="preserve"> </w:t>
      </w:r>
      <w:r>
        <w:t xml:space="preserve">80 https://knowledge4policy.ec.europa.eu/foresight/tool/megatrends-hub_en</w:t>
      </w:r>
      <w:r>
        <w:t xml:space="preserve"> </w:t>
      </w:r>
      <w:r>
        <w:t xml:space="preserve">81 The 2021 Ageing Report : Underlying assumptions and projection methodologies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EU by 2050. Rail transport activity is projected to grow faster than for road, driven in particular by</w:t>
      </w:r>
      <w:r>
        <w:t xml:space="preserve"> </w:t>
      </w:r>
      <w:r>
        <w:t xml:space="preserve">the completion of the TEN-T core network by 2030 and of the comprehensive network by 2050,</w:t>
      </w:r>
      <w:r>
        <w:t xml:space="preserve"> </w:t>
      </w:r>
      <w:r>
        <w:t xml:space="preserve">supported by the CEF, Cohesion Fund and ERDF funding, but also by measures of the ‘Fit for 55’</w:t>
      </w:r>
      <w:r>
        <w:t xml:space="preserve"> </w:t>
      </w:r>
      <w:r>
        <w:t xml:space="preserve">package that increase to some extent the competitiveness of rail relative to road and air transport.</w:t>
      </w:r>
      <w:r>
        <w:t xml:space="preserve"> </w:t>
      </w:r>
      <w:r>
        <w:t xml:space="preserve">Freight inland waterways activity represented 147 billion tonne-kilometres (tkm) in 2015, going</w:t>
      </w:r>
      <w:r>
        <w:t xml:space="preserve"> </w:t>
      </w:r>
      <w:r>
        <w:t xml:space="preserve">down to 132 billion tkm in 2020. Following the post-COVID recovery, the freight inland waterways</w:t>
      </w:r>
      <w:r>
        <w:t xml:space="preserve"> </w:t>
      </w:r>
      <w:r>
        <w:t xml:space="preserve">activity is projected to increase to 178 billion tkm in 2030 (21% increase relative to 2015) and 212</w:t>
      </w:r>
      <w:r>
        <w:t xml:space="preserve"> </w:t>
      </w:r>
      <w:r>
        <w:t xml:space="preserve">billion tkm in 2050 (44% increase for 2015-2050). The passenger segment of IWTs is expected to</w:t>
      </w:r>
      <w:r>
        <w:t xml:space="preserve"> </w:t>
      </w:r>
      <w:r>
        <w:t xml:space="preserve">increase as well, with the number of passenger-kilometres projected to increase by 36% by 2030</w:t>
      </w:r>
      <w:r>
        <w:t xml:space="preserve"> </w:t>
      </w:r>
      <w:r>
        <w:t xml:space="preserve">compared to 2015 (53% increase for 2015-2050).</w:t>
      </w:r>
      <w:r>
        <w:br/>
      </w:r>
      <w:r>
        <w:t xml:space="preserve">Despite the increase in terms of transport volumes, the modal share of freight IWT in land</w:t>
      </w:r>
      <w:r>
        <w:t xml:space="preserve"> </w:t>
      </w:r>
      <w:r>
        <w:t xml:space="preserve">transport82 is projected to decrease from 6.8% in 2015, to 6.3% in 2030 and to remain relatively</w:t>
      </w:r>
      <w:r>
        <w:t xml:space="preserve"> </w:t>
      </w:r>
      <w:r>
        <w:t xml:space="preserve">stable, at 6.2% after that. The decrease in the modal share of IWT relative to 2015 is due to the</w:t>
      </w:r>
      <w:r>
        <w:t xml:space="preserve"> </w:t>
      </w:r>
      <w:r>
        <w:t xml:space="preserve">reduction in the specific types of goods transported by inland navigation (petroleum products and</w:t>
      </w:r>
      <w:r>
        <w:t xml:space="preserve"> </w:t>
      </w:r>
      <w:r>
        <w:t xml:space="preserve">coal), linked to the energy transition towards greener fuel sources, and due to the higher growth in</w:t>
      </w:r>
      <w:r>
        <w:t xml:space="preserve"> </w:t>
      </w:r>
      <w:r>
        <w:t xml:space="preserve">the rail transport activity. The expected growth in the container segment, is not expected to reverse</w:t>
      </w:r>
      <w:r>
        <w:t xml:space="preserve"> </w:t>
      </w:r>
      <w:r>
        <w:t xml:space="preserve">the trend. As regards passenger transport, the modal share of IWT only represents around 0.01% of</w:t>
      </w:r>
      <w:r>
        <w:t xml:space="preserve"> </w:t>
      </w:r>
      <w:r>
        <w:t xml:space="preserve">land transport activity and is projected to remain relatively stable over time following the post-</w:t>
      </w:r>
      <w:r>
        <w:t xml:space="preserve"> </w:t>
      </w:r>
      <w:r>
        <w:t xml:space="preserve">COVID recovery.</w:t>
      </w:r>
      <w:r>
        <w:t xml:space="preserve"> </w:t>
      </w:r>
      <w:r>
        <w:t xml:space="preserve">The number of passenger vessel journeys is projected to increase from 8,867 in 2015 to 12,043 in</w:t>
      </w:r>
      <w:r>
        <w:t xml:space="preserve"> </w:t>
      </w:r>
      <w:r>
        <w:t xml:space="preserve">2030 and 13,572 in 2050. The total number of tonnes transport is projected to grow roughly in line</w:t>
      </w:r>
      <w:r>
        <w:t xml:space="preserve"> </w:t>
      </w:r>
      <w:r>
        <w:t xml:space="preserve">with the transport activity in tonne kilometres (from 545 million tonnes in 2015 to 690 million</w:t>
      </w:r>
      <w:r>
        <w:t xml:space="preserve"> </w:t>
      </w:r>
      <w:r>
        <w:t xml:space="preserve">tonnes in 2030 and 813 million tonnes in 2050), while the number of tonnes per journey would</w:t>
      </w:r>
      <w:r>
        <w:t xml:space="preserve"> </w:t>
      </w:r>
      <w:r>
        <w:t xml:space="preserve">continue to increase but at a slower pace than in the past83. The number of freight vessels journeys is</w:t>
      </w:r>
      <w:r>
        <w:t xml:space="preserve"> </w:t>
      </w:r>
      <w:r>
        <w:t xml:space="preserve">projected to go up from 682,120 in 2015 to 717,838 in 2030 (5% increase for 2015-2030) and</w:t>
      </w:r>
      <w:r>
        <w:t xml:space="preserve"> </w:t>
      </w:r>
      <w:r>
        <w:t xml:space="preserve">731,234 in 2050 (7% increase for 2015-2050), following the recover from the COVID-19</w:t>
      </w:r>
      <w:r>
        <w:t xml:space="preserve"> </w:t>
      </w:r>
      <w:r>
        <w:t xml:space="preserve">pandemic.</w:t>
      </w:r>
      <w:r>
        <w:br/>
      </w:r>
      <w:r>
        <w:t xml:space="preserve">Around 40% of the freight vessels journeys take place within one country, with the rest crossing on</w:t>
      </w:r>
      <w:r>
        <w:t xml:space="preserve"> </w:t>
      </w:r>
      <w:r>
        <w:t xml:space="preserve">average 1.3 borders per journey. The share of border crossings in the number of vessel journeys is</w:t>
      </w:r>
      <w:r>
        <w:t xml:space="preserve"> </w:t>
      </w:r>
      <w:r>
        <w:t xml:space="preserve">assumed to remain constant over time (at around 60%), in line with the historical developments.</w:t>
      </w:r>
      <w:r>
        <w:t xml:space="preserve"> </w:t>
      </w:r>
      <w:r>
        <w:t xml:space="preserve">Thus, the total number of freight border crossings is projected to go up from 427,947 in 2015 to</w:t>
      </w:r>
      <w:r>
        <w:t xml:space="preserve"> </w:t>
      </w:r>
      <w:r>
        <w:t xml:space="preserve">432,442 in 2030 and 440,512 in 2050. For passenger vessels journeys, the share of border crossings</w:t>
      </w:r>
      <w:r>
        <w:t xml:space="preserve"> </w:t>
      </w:r>
      <w:r>
        <w:t xml:space="preserve">is much higher (around 90%) and is assumed to remain constant over time. The total number of</w:t>
      </w:r>
      <w:r>
        <w:t xml:space="preserve"> </w:t>
      </w:r>
      <w:r>
        <w:t xml:space="preserve">border crossings for passenger IWT is projected to increase from 8,344 in 2015 to 10,882 in 2030</w:t>
      </w:r>
      <w:r>
        <w:t xml:space="preserve"> </w:t>
      </w:r>
      <w:r>
        <w:t xml:space="preserve">and 12,264 in 2050.</w:t>
      </w:r>
      <w:r>
        <w:t xml:space="preserve"> </w:t>
      </w:r>
      <w:r>
        <w:t xml:space="preserve">The number of cargo vessels has decreased by 23% between 2003 and 202084, from 13,385 ships to</w:t>
      </w:r>
      <w:r>
        <w:t xml:space="preserve"> </w:t>
      </w:r>
      <w:r>
        <w:t xml:space="preserve">10,332. The overall downward trend in the number of cargo vessels is expected to reverse by 2030</w:t>
      </w:r>
      <w:r>
        <w:t xml:space="preserve"> </w:t>
      </w:r>
      <w:r>
        <w:t xml:space="preserve">(12,371 cargo vessels), driven by the increase in activity and the slower increase in the capacity of</w:t>
      </w:r>
      <w:r>
        <w:t xml:space="preserve"> </w:t>
      </w:r>
      <w:r>
        <w:t xml:space="preserve">ships compared to the past, but then it is expected to stay relatively stable until 2050 (12,223 cargo</w:t>
      </w:r>
    </w:p>
    <w:p>
      <w:pPr>
        <w:pStyle w:val="BodyText"/>
      </w:pPr>
      <w:r>
        <w:t xml:space="preserve">82 Excluding pipeline transport.</w:t>
      </w:r>
      <w:r>
        <w:br/>
      </w:r>
      <w:r>
        <w:t xml:space="preserve">83 From 799 tonnes per journey in 2015 and 859 tonnes per journey in 2020 to 961 tonnes per journey in 2030</w:t>
      </w:r>
      <w:r>
        <w:t xml:space="preserve"> </w:t>
      </w:r>
      <w:r>
        <w:t xml:space="preserve">and 1,111 tonnes per journey in 2050.</w:t>
      </w:r>
      <w:r>
        <w:t xml:space="preserve"> </w:t>
      </w:r>
      <w:r>
        <w:t xml:space="preserve">84 The year 2003 was chosen for the comparison because of data availability on the number of ships in both the</w:t>
      </w:r>
      <w:r>
        <w:t xml:space="preserve"> </w:t>
      </w:r>
      <w:r>
        <w:t xml:space="preserve">Rhine, Danube and other river basins.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vessels) due to the increase in the productivity per vessel85. On the other hand, the number of</w:t>
      </w:r>
      <w:r>
        <w:t xml:space="preserve"> </w:t>
      </w:r>
      <w:r>
        <w:t xml:space="preserve">passenger vessels had increased from approximately 160 ships in 2004 to 405 ships in 2021. When</w:t>
      </w:r>
      <w:r>
        <w:t xml:space="preserve"> </w:t>
      </w:r>
      <w:r>
        <w:t xml:space="preserve">the day-tour ships and smaller cycle holiday ships are counted, around 2,553 passenger ships were</w:t>
      </w:r>
      <w:r>
        <w:t xml:space="preserve"> </w:t>
      </w:r>
      <w:r>
        <w:t xml:space="preserve">estimated to operate in the EU in 201586. The number of passenger vessels is projected to follow the</w:t>
      </w:r>
      <w:r>
        <w:t xml:space="preserve"> </w:t>
      </w:r>
      <w:r>
        <w:t xml:space="preserve">increase in the number of passengers (3,467 vessels projected in 2030 and 3,908 in 2050). It should</w:t>
      </w:r>
      <w:r>
        <w:t xml:space="preserve"> </w:t>
      </w:r>
      <w:r>
        <w:t xml:space="preserve">however be noted that the majority of these vessels are small or very small. In contrast to cargo</w:t>
      </w:r>
      <w:r>
        <w:t xml:space="preserve"> </w:t>
      </w:r>
      <w:r>
        <w:t xml:space="preserve">vessels, no further growth in scale or productivity is expected for passenger shipping.</w:t>
      </w:r>
      <w:r>
        <w:t xml:space="preserve"> </w:t>
      </w:r>
      <w:r>
        <w:t xml:space="preserve">Energy use in freight IWT is projected to remain relatively stable by 2030 to its 2015 levels, despite</w:t>
      </w:r>
      <w:r>
        <w:t xml:space="preserve"> </w:t>
      </w:r>
      <w:r>
        <w:t xml:space="preserve">the increase in activity, and to decrease to 895 ktoe87 by 2050 (11% decrease for 2015-2050), thanks</w:t>
      </w:r>
      <w:r>
        <w:t xml:space="preserve"> </w:t>
      </w:r>
      <w:r>
        <w:t xml:space="preserve">to the uptake of more fuel-efficient technologies including electrification. For passenger vessels,</w:t>
      </w:r>
      <w:r>
        <w:t xml:space="preserve"> </w:t>
      </w:r>
      <w:r>
        <w:t xml:space="preserve">energy consumption is projected to increase by 11% by 2030 (132 ktoe), driven by the strong</w:t>
      </w:r>
      <w:r>
        <w:t xml:space="preserve"> </w:t>
      </w:r>
      <w:r>
        <w:t xml:space="preserve">growth in activity, and only to slightly decrease by 2050 relative to its 2015 levels (112 ktoe).</w:t>
      </w:r>
      <w:r>
        <w:t xml:space="preserve"> </w:t>
      </w:r>
      <w:r>
        <w:t xml:space="preserve">Overall, considering both passenger and freight, energy use in inland waterways transport is</w:t>
      </w:r>
      <w:r>
        <w:t xml:space="preserve"> </w:t>
      </w:r>
      <w:r>
        <w:t xml:space="preserve">projected to remain relatively stable by 2030 to its 2015 levels and to go down by 10% by 2050,</w:t>
      </w:r>
      <w:r>
        <w:t xml:space="preserve"> </w:t>
      </w:r>
      <w:r>
        <w:t xml:space="preserve">relative to 2015.</w:t>
      </w:r>
      <w:r>
        <w:br/>
      </w:r>
      <w:r>
        <w:t xml:space="preserve">In the baseline scenario, CO2 emissions from inland waterways transport are projected to decrease</w:t>
      </w:r>
      <w:r>
        <w:t xml:space="preserve"> </w:t>
      </w:r>
      <w:r>
        <w:t xml:space="preserve">much faster than the energy use (21% decrease for 2015-2030 and 67% decrease for 2015-2050).</w:t>
      </w:r>
      <w:r>
        <w:t xml:space="preserve"> </w:t>
      </w:r>
      <w:r>
        <w:t xml:space="preserve">This is because of the large-scale uptake of renewable and low carbon fuels, namely e-fuels,</w:t>
      </w:r>
      <w:r>
        <w:t xml:space="preserve"> </w:t>
      </w:r>
      <w:r>
        <w:t xml:space="preserve">biofuels and electricity. In this context, it should be noted that the baseline scenario assumes the</w:t>
      </w:r>
      <w:r>
        <w:t xml:space="preserve"> </w:t>
      </w:r>
      <w:r>
        <w:t xml:space="preserve">implementation of the European Climate Law to which all sectors, including the inland waterways</w:t>
      </w:r>
      <w:r>
        <w:t xml:space="preserve"> </w:t>
      </w:r>
      <w:r>
        <w:t xml:space="preserve">sector, need to contribute. In terms of NOx emissions a similar trend is expected, reducing from 73</w:t>
      </w:r>
      <w:r>
        <w:t xml:space="preserve"> </w:t>
      </w:r>
      <w:r>
        <w:t xml:space="preserve">ktons in 2015 to just below 20 ktons in 2050. The amount of particulate matter emitted by inland</w:t>
      </w:r>
      <w:r>
        <w:t xml:space="preserve"> </w:t>
      </w:r>
      <w:r>
        <w:t xml:space="preserve">navigation is also expected to reduce, from 3.8 ktons in 2015 to 1 kton in 2050. This is due to both</w:t>
      </w:r>
      <w:r>
        <w:t xml:space="preserve"> </w:t>
      </w:r>
      <w:r>
        <w:t xml:space="preserve">electrification and the fact that the ships that continue to operate with internal combustion engines</w:t>
      </w:r>
      <w:r>
        <w:t xml:space="preserve"> </w:t>
      </w:r>
      <w:r>
        <w:t xml:space="preserve">are becoming cleaner. In this context, it should also be noted that since 2020 new combustion</w:t>
      </w:r>
      <w:r>
        <w:t xml:space="preserve"> </w:t>
      </w:r>
      <w:r>
        <w:t xml:space="preserve">engines are considerably cleaner, thanks to the implementation of non-road mobile machinery</w:t>
      </w:r>
      <w:r>
        <w:t xml:space="preserve"> </w:t>
      </w:r>
      <w:r>
        <w:t xml:space="preserve">(NRMM) Regulation (NRMM Stage V)88.</w:t>
      </w:r>
      <w:r>
        <w:t xml:space="preserve"> </w:t>
      </w:r>
      <w:r>
        <w:t xml:space="preserve">There is little consistent data on safety in the inland navigation sector, with available data coming</w:t>
      </w:r>
      <w:r>
        <w:t xml:space="preserve"> </w:t>
      </w:r>
      <w:r>
        <w:t xml:space="preserve">from Eurostat and national databases for Bulgaria, Czechia, Germany, Croatia, Hungary, the</w:t>
      </w:r>
      <w:r>
        <w:t xml:space="preserve"> </w:t>
      </w:r>
      <w:r>
        <w:t xml:space="preserve">Netherlands, Austria, Poland and Romania. In the baseline scenario, the projected evolution of the</w:t>
      </w:r>
      <w:r>
        <w:t xml:space="preserve"> </w:t>
      </w:r>
      <w:r>
        <w:t xml:space="preserve">number of accidents is linked to the evolution of activity expressed in terms of vessel-kilometres.</w:t>
      </w:r>
      <w:r>
        <w:t xml:space="preserve"> </w:t>
      </w:r>
      <w:r>
        <w:t xml:space="preserve">The number of accidents per vessel-kilometres is assumed to remain constant over time. Thus, the</w:t>
      </w:r>
      <w:r>
        <w:t xml:space="preserve"> </w:t>
      </w:r>
      <w:r>
        <w:t xml:space="preserve">number of accidents is projected to increase to 535 in 2030 and 551 in 2050 in the baseline scenario</w:t>
      </w:r>
      <w:r>
        <w:t xml:space="preserve"> </w:t>
      </w:r>
      <w:r>
        <w:t xml:space="preserve">(from 529 in 2015).</w:t>
      </w:r>
      <w:r>
        <w:br/>
      </w:r>
      <w:r>
        <w:t xml:space="preserve">The baseline scenario reflects the projected higher energy prices driven by the Russian invasion of</w:t>
      </w:r>
    </w:p>
    <w:p>
      <w:pPr>
        <w:pStyle w:val="BodyText"/>
      </w:pPr>
      <w:r>
        <w:t xml:space="preserve">85 This is assumed at 1.5% per year per ship/barge. This increase is justified by both technical and operational</w:t>
      </w:r>
      <w:r>
        <w:t xml:space="preserve"> </w:t>
      </w:r>
      <w:r>
        <w:t xml:space="preserve">developments: for instance Smart And Autonomous Shipping which may result into a larger share of the fleet</w:t>
      </w:r>
      <w:r>
        <w:t xml:space="preserve"> </w:t>
      </w:r>
      <w:r>
        <w:t xml:space="preserve">being able to sale 24/7 (in spite of labour shortages in the sector), increased attention to good navigational status</w:t>
      </w:r>
      <w:r>
        <w:t xml:space="preserve"> </w:t>
      </w:r>
      <w:r>
        <w:t xml:space="preserve">of waterways (including 24/7 operation of bridges and locks on the major waterways) and scale enlargement in</w:t>
      </w:r>
      <w:r>
        <w:t xml:space="preserve"> </w:t>
      </w:r>
      <w:r>
        <w:t xml:space="preserve">IWT of both companies (larger number of vessels per company) and vessels (larger load capacities for vessels),</w:t>
      </w:r>
      <w:r>
        <w:t xml:space="preserve"> </w:t>
      </w:r>
      <w:r>
        <w:t xml:space="preserve">although at slower pace than in the past.</w:t>
      </w:r>
      <w:r>
        <w:t xml:space="preserve"> </w:t>
      </w:r>
      <w:r>
        <w:t xml:space="preserve">86 Prominent (2017)</w:t>
      </w:r>
      <w:r>
        <w:t xml:space="preserve"> </w:t>
      </w:r>
      <w:r>
        <w:t xml:space="preserve">87 The tonne of oil equivalent (toe) is a unit of energy defined as the amount of energy released by burning one</w:t>
      </w:r>
      <w:r>
        <w:t xml:space="preserve"> </w:t>
      </w:r>
      <w:r>
        <w:t xml:space="preserve">tonne of crude oil.</w:t>
      </w:r>
      <w:r>
        <w:t xml:space="preserve"> </w:t>
      </w:r>
      <w:r>
        <w:t xml:space="preserve">88 Regulation (EU) 2016/1628.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Ukraine89. Beyond this aspect, it was however not possible to quantify the impact of the Russian</w:t>
      </w:r>
      <w:r>
        <w:t xml:space="preserve"> </w:t>
      </w:r>
      <w:r>
        <w:t xml:space="preserve">invasion of Ukraine, as there is large uncertainty with respect to its impacts, in particular for the</w:t>
      </w:r>
      <w:r>
        <w:t xml:space="preserve"> </w:t>
      </w:r>
      <w:r>
        <w:t xml:space="preserve">medium to long term. While its impact is felt in terms of trade (e.g., grain, bulk fertilizers and</w:t>
      </w:r>
      <w:r>
        <w:t xml:space="preserve"> </w:t>
      </w:r>
      <w:r>
        <w:t xml:space="preserve">hydrocarbons) and in certain geographical areas, the impact on the baseline of this initiative is</w:t>
      </w:r>
      <w:r>
        <w:t xml:space="preserve"> </w:t>
      </w:r>
      <w:r>
        <w:t xml:space="preserve">expected to be limited. The problem of slow and fragmented deployment of River Information</w:t>
      </w:r>
      <w:r>
        <w:t xml:space="preserve"> </w:t>
      </w:r>
      <w:r>
        <w:t xml:space="preserve">Services that hamper the competitiveness and safety of the sector, and its contribution towards the</w:t>
      </w:r>
      <w:r>
        <w:t xml:space="preserve"> </w:t>
      </w:r>
      <w:r>
        <w:t xml:space="preserve">EGD objectives, is likely to persist.</w:t>
      </w:r>
      <w:r>
        <w:br/>
      </w:r>
      <w:r>
        <w:t xml:space="preserve">5.2</w:t>
      </w:r>
      <w:r>
        <w:t xml:space="preserve"> </w:t>
      </w:r>
      <w:r>
        <w:t xml:space="preserve">Policy measures and policy options</w:t>
      </w:r>
      <w:r>
        <w:t xml:space="preserve"> </w:t>
      </w:r>
      <w:r>
        <w:t xml:space="preserve">As a first step, a comprehensive list of possible policy measures was established after extensive</w:t>
      </w:r>
      <w:r>
        <w:t xml:space="preserve"> </w:t>
      </w:r>
      <w:r>
        <w:t xml:space="preserve">consultations with stakeholders, expert meetings, independent research and the Commission’s own</w:t>
      </w:r>
      <w:r>
        <w:t xml:space="preserve"> </w:t>
      </w:r>
      <w:r>
        <w:t xml:space="preserve">analysis. This list was subsequently screened based on the effectiveness, efficiency and</w:t>
      </w:r>
      <w:r>
        <w:t xml:space="preserve"> </w:t>
      </w:r>
      <w:r>
        <w:t xml:space="preserve">proportionality of the proposed measures in relation to the given objectives, as well as their legal</w:t>
      </w:r>
      <w:r>
        <w:t xml:space="preserve"> </w:t>
      </w:r>
      <w:r>
        <w:t xml:space="preserve">and technical feasibility.</w:t>
      </w:r>
      <w:r>
        <w:t xml:space="preserve"> </w:t>
      </w:r>
      <w:r>
        <w:t xml:space="preserve">5.2.1 Discarded policy measures</w:t>
      </w:r>
      <w:r>
        <w:t xml:space="preserve"> </w:t>
      </w:r>
      <w:r>
        <w:t xml:space="preserve">A number of possible policy measures were considered during the impact assessment process but</w:t>
      </w:r>
      <w:r>
        <w:t xml:space="preserve"> </w:t>
      </w:r>
      <w:r>
        <w:t xml:space="preserve">were discarded either because the problem was not susceptible to a solution by means of EU</w:t>
      </w:r>
      <w:r>
        <w:t xml:space="preserve"> </w:t>
      </w:r>
      <w:r>
        <w:t xml:space="preserve">legislation or because proposing an action to address the issue at EU level will not yield additional</w:t>
      </w:r>
      <w:r>
        <w:t xml:space="preserve"> </w:t>
      </w:r>
      <w:r>
        <w:t xml:space="preserve">results. An overview of the measures and a justification for them not being followed is presented in</w:t>
      </w:r>
      <w:r>
        <w:t xml:space="preserve"> </w:t>
      </w:r>
      <w:r>
        <w:t xml:space="preserve">the Table 1.</w:t>
      </w:r>
      <w:r>
        <w:t xml:space="preserve"> </w:t>
      </w:r>
      <w:r>
        <w:t xml:space="preserve">Table 1: Overview of discarded measures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Reason for discarding</w:t>
      </w:r>
      <w:r>
        <w:t xml:space="preserve"> </w:t>
      </w:r>
      <w:r>
        <w:t xml:space="preserve">Expand scope to all waterways</w:t>
      </w:r>
      <w:r>
        <w:t xml:space="preserve"> </w:t>
      </w:r>
      <w:r>
        <w:t xml:space="preserve">CEMT-class III waterways and below exist in Czechia, Croatia, France,</w:t>
      </w:r>
      <w:r>
        <w:t xml:space="preserve"> </w:t>
      </w:r>
      <w:r>
        <w:t xml:space="preserve">the Netherlands, Poland, Belgium and Hungary. However, as there is</w:t>
      </w:r>
      <w:r>
        <w:t xml:space="preserve"> </w:t>
      </w:r>
      <w:r>
        <w:t xml:space="preserve">very limited commercial navigation taking place on these waterways,</w:t>
      </w:r>
      <w:r>
        <w:t xml:space="preserve"> </w:t>
      </w:r>
      <w:r>
        <w:t xml:space="preserve">bringing these waterways under the scope of the RIS Directive will result</w:t>
      </w:r>
      <w:r>
        <w:t xml:space="preserve"> </w:t>
      </w:r>
      <w:r>
        <w:t xml:space="preserve">in significant administrative burden for RIS authorities and hardly any</w:t>
      </w:r>
      <w:r>
        <w:t xml:space="preserve"> </w:t>
      </w:r>
      <w:r>
        <w:t xml:space="preserve">benefit for all stakeholders.</w:t>
      </w:r>
      <w:r>
        <w:t xml:space="preserve"> </w:t>
      </w:r>
      <w:r>
        <w:t xml:space="preserve">Create a role for the European</w:t>
      </w:r>
      <w:r>
        <w:t xml:space="preserve"> </w:t>
      </w:r>
      <w:r>
        <w:t xml:space="preserve">Maritime Safety Agency (EMSA)</w:t>
      </w:r>
      <w:r>
        <w:t xml:space="preserve"> </w:t>
      </w:r>
      <w:r>
        <w:t xml:space="preserve">EMSA has a clearly defined role related to the safety of the maritime</w:t>
      </w:r>
      <w:r>
        <w:t xml:space="preserve"> </w:t>
      </w:r>
      <w:r>
        <w:t xml:space="preserve">sector. RIS has a different scope which is not in line with the mandate of</w:t>
      </w:r>
      <w:r>
        <w:t xml:space="preserve"> </w:t>
      </w:r>
      <w:r>
        <w:t xml:space="preserve">EMSA.</w:t>
      </w:r>
      <w:r>
        <w:br/>
      </w:r>
      <w:r>
        <w:t xml:space="preserve">Provide incentives for IWT users to</w:t>
      </w:r>
      <w:r>
        <w:t xml:space="preserve"> </w:t>
      </w:r>
      <w:r>
        <w:t xml:space="preserve">make better use of RIS</w:t>
      </w:r>
      <w:r>
        <w:t xml:space="preserve"> </w:t>
      </w:r>
      <w:r>
        <w:t xml:space="preserve">The private sector already uses RIS to a large extent. Financial support</w:t>
      </w:r>
      <w:r>
        <w:t xml:space="preserve"> </w:t>
      </w:r>
      <w:r>
        <w:t xml:space="preserve">for RIS may be provided under the Connecting Europe Facility (CEF)</w:t>
      </w:r>
      <w:r>
        <w:t xml:space="preserve"> </w:t>
      </w:r>
      <w:r>
        <w:t xml:space="preserve">and is thus out of scope of this impact assessment.</w:t>
      </w:r>
      <w:r>
        <w:t xml:space="preserve"> </w:t>
      </w:r>
      <w:r>
        <w:t xml:space="preserve">Embed the operation of the existing</w:t>
      </w:r>
      <w:r>
        <w:t xml:space="preserve"> </w:t>
      </w:r>
      <w:r>
        <w:t xml:space="preserve">DINA expert group (E03505) into</w:t>
      </w:r>
      <w:r>
        <w:t xml:space="preserve"> </w:t>
      </w:r>
      <w:r>
        <w:t xml:space="preserve">the Directive</w:t>
      </w:r>
      <w:r>
        <w:t xml:space="preserve"> </w:t>
      </w:r>
      <w:r>
        <w:t xml:space="preserve">The involvement of Commission expert groups is well defined in the</w:t>
      </w:r>
      <w:r>
        <w:t xml:space="preserve"> </w:t>
      </w:r>
      <w:r>
        <w:t xml:space="preserve">decision-making process and no further requirements are necessary.</w:t>
      </w:r>
      <w:r>
        <w:t xml:space="preserve"> </w:t>
      </w:r>
      <w:r>
        <w:t xml:space="preserve">Integrate the Directives of River</w:t>
      </w:r>
      <w:r>
        <w:t xml:space="preserve"> </w:t>
      </w:r>
      <w:r>
        <w:t xml:space="preserve">Information</w:t>
      </w:r>
      <w:r>
        <w:t xml:space="preserve"> </w:t>
      </w:r>
      <w:r>
        <w:t xml:space="preserve">Services</w:t>
      </w:r>
      <w:r>
        <w:t xml:space="preserve"> </w:t>
      </w:r>
      <w:r>
        <w:t xml:space="preserve">(RIS),</w:t>
      </w:r>
      <w:r>
        <w:t xml:space="preserve"> </w:t>
      </w:r>
      <w:r>
        <w:t xml:space="preserve">Intelligent Transport Services (ITS)</w:t>
      </w:r>
      <w:r>
        <w:t xml:space="preserve"> </w:t>
      </w:r>
      <w:r>
        <w:t xml:space="preserve">and the Maritime Vessel Traffic</w:t>
      </w:r>
      <w:r>
        <w:t xml:space="preserve"> </w:t>
      </w:r>
      <w:r>
        <w:t xml:space="preserve">Monitoring</w:t>
      </w:r>
      <w:r>
        <w:t xml:space="preserve"> </w:t>
      </w:r>
      <w:r>
        <w:t xml:space="preserve">and</w:t>
      </w:r>
      <w:r>
        <w:t xml:space="preserve"> </w:t>
      </w:r>
      <w:r>
        <w:t xml:space="preserve">Information</w:t>
      </w:r>
      <w:r>
        <w:t xml:space="preserve"> </w:t>
      </w:r>
      <w:r>
        <w:t xml:space="preserve">System (VTMIS) Directive into</w:t>
      </w:r>
      <w:r>
        <w:t xml:space="preserve"> </w:t>
      </w:r>
      <w:r>
        <w:t xml:space="preserve">one integrated Directive.</w:t>
      </w:r>
      <w:r>
        <w:t xml:space="preserve"> </w:t>
      </w:r>
      <w:r>
        <w:t xml:space="preserve">While all of the mentioned Directives (RIS, ITS, VTMIS) handle digital</w:t>
      </w:r>
      <w:r>
        <w:t xml:space="preserve"> </w:t>
      </w:r>
      <w:r>
        <w:t xml:space="preserve">aspects, they each have different scope and area of application and aim</w:t>
      </w:r>
      <w:r>
        <w:t xml:space="preserve"> </w:t>
      </w:r>
      <w:r>
        <w:t xml:space="preserve">to cover different needs. The merging of separate legal obligations would</w:t>
      </w:r>
      <w:r>
        <w:t xml:space="preserve"> </w:t>
      </w:r>
      <w:r>
        <w:t xml:space="preserve">not necessarily create a simplified system, but could increase complexity</w:t>
      </w:r>
      <w:r>
        <w:t xml:space="preserve"> </w:t>
      </w:r>
      <w:r>
        <w:t xml:space="preserve">and legal challenges. Better interconnection between the digital systems</w:t>
      </w:r>
      <w:r>
        <w:t xml:space="preserve"> </w:t>
      </w:r>
      <w:r>
        <w:t xml:space="preserve">developed should be pursued instead.</w:t>
      </w:r>
    </w:p>
    <w:p>
      <w:pPr>
        <w:pStyle w:val="BodyText"/>
      </w:pPr>
      <w:r>
        <w:t xml:space="preserve">89 SWD(2022) 230 final.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Reason for discarding</w:t>
      </w:r>
      <w:r>
        <w:t xml:space="preserve"> </w:t>
      </w:r>
      <w:r>
        <w:t xml:space="preserve">Expand the set of shipborne</w:t>
      </w:r>
      <w:r>
        <w:t xml:space="preserve"> </w:t>
      </w:r>
      <w:r>
        <w:t xml:space="preserve">navigation systems</w:t>
      </w:r>
      <w:r>
        <w:t xml:space="preserve"> </w:t>
      </w:r>
      <w:r>
        <w:t xml:space="preserve">This measure is out of scope of RIS and would be more appropriately</w:t>
      </w:r>
      <w:r>
        <w:t xml:space="preserve"> </w:t>
      </w:r>
      <w:r>
        <w:t xml:space="preserve">covered under CEF.</w:t>
      </w:r>
      <w:r>
        <w:t xml:space="preserve"> </w:t>
      </w:r>
      <w:r>
        <w:t xml:space="preserve">Align investments in digital and</w:t>
      </w:r>
      <w:r>
        <w:t xml:space="preserve"> </w:t>
      </w:r>
      <w:r>
        <w:t xml:space="preserve">physical infrastructure</w:t>
      </w:r>
      <w:r>
        <w:t xml:space="preserve"> </w:t>
      </w:r>
      <w:r>
        <w:t xml:space="preserve">This measure is out of scope of RIS and would be more appropriately</w:t>
      </w:r>
      <w:r>
        <w:t xml:space="preserve"> </w:t>
      </w:r>
      <w:r>
        <w:t xml:space="preserve">covered under CEF.</w:t>
      </w:r>
      <w:r>
        <w:t xml:space="preserve"> </w:t>
      </w:r>
      <w:r>
        <w:t xml:space="preserve">Roll out of 5G in the framework of</w:t>
      </w:r>
      <w:r>
        <w:t xml:space="preserve"> </w:t>
      </w:r>
      <w:r>
        <w:t xml:space="preserve">CEF along waterways</w:t>
      </w:r>
      <w:r>
        <w:t xml:space="preserve"> </w:t>
      </w:r>
      <w:r>
        <w:t xml:space="preserve">This measure is out of scope of RIS and would be more appropriately</w:t>
      </w:r>
      <w:r>
        <w:t xml:space="preserve"> </w:t>
      </w:r>
      <w:r>
        <w:t xml:space="preserve">covered under CEF.</w:t>
      </w:r>
      <w:r>
        <w:t xml:space="preserve"> </w:t>
      </w:r>
      <w:r>
        <w:t xml:space="preserve">Link to cross-disciplinary digital</w:t>
      </w:r>
      <w:r>
        <w:t xml:space="preserve"> </w:t>
      </w:r>
      <w:r>
        <w:t xml:space="preserve">information and operation systems</w:t>
      </w:r>
      <w:r>
        <w:t xml:space="preserve"> </w:t>
      </w:r>
      <w:r>
        <w:t xml:space="preserve">for</w:t>
      </w:r>
      <w:r>
        <w:t xml:space="preserve"> </w:t>
      </w:r>
      <w:r>
        <w:t xml:space="preserve">water-</w:t>
      </w:r>
      <w:r>
        <w:t xml:space="preserve"> </w:t>
      </w:r>
      <w:r>
        <w:t xml:space="preserve">and</w:t>
      </w:r>
      <w:r>
        <w:t xml:space="preserve"> </w:t>
      </w:r>
      <w:r>
        <w:t xml:space="preserve">waterway</w:t>
      </w:r>
      <w:r>
        <w:t xml:space="preserve"> </w:t>
      </w:r>
      <w:r>
        <w:t xml:space="preserve">management</w:t>
      </w:r>
      <w:r>
        <w:t xml:space="preserve"> </w:t>
      </w:r>
      <w:r>
        <w:t xml:space="preserve">This is a technical element relating to the standards to be developed and</w:t>
      </w:r>
      <w:r>
        <w:t xml:space="preserve"> </w:t>
      </w:r>
      <w:r>
        <w:t xml:space="preserve">is thus relevant for the implementing acts and not the main Directive</w:t>
      </w:r>
      <w:r>
        <w:t xml:space="preserve"> </w:t>
      </w:r>
      <w:r>
        <w:t xml:space="preserve">itself.</w:t>
      </w:r>
      <w:r>
        <w:t xml:space="preserve"> </w:t>
      </w:r>
      <w:r>
        <w:t xml:space="preserve">Ensure</w:t>
      </w:r>
      <w:r>
        <w:t xml:space="preserve"> </w:t>
      </w:r>
      <w:r>
        <w:t xml:space="preserve">that</w:t>
      </w:r>
      <w:r>
        <w:t xml:space="preserve"> </w:t>
      </w:r>
      <w:r>
        <w:t xml:space="preserve">regulations</w:t>
      </w:r>
      <w:r>
        <w:t xml:space="preserve"> </w:t>
      </w:r>
      <w:r>
        <w:t xml:space="preserve">and</w:t>
      </w:r>
      <w:r>
        <w:t xml:space="preserve"> </w:t>
      </w:r>
      <w:r>
        <w:t xml:space="preserve">operational</w:t>
      </w:r>
      <w:r>
        <w:t xml:space="preserve"> </w:t>
      </w:r>
      <w:r>
        <w:t xml:space="preserve">practices</w:t>
      </w:r>
      <w:r>
        <w:t xml:space="preserve"> </w:t>
      </w:r>
      <w:r>
        <w:t xml:space="preserve">take</w:t>
      </w:r>
      <w:r>
        <w:t xml:space="preserve"> </w:t>
      </w:r>
      <w:r>
        <w:t xml:space="preserve">interoperability of both sea and</w:t>
      </w:r>
      <w:r>
        <w:t xml:space="preserve"> </w:t>
      </w:r>
      <w:r>
        <w:t xml:space="preserve">inland</w:t>
      </w:r>
      <w:r>
        <w:t xml:space="preserve"> </w:t>
      </w:r>
      <w:r>
        <w:t xml:space="preserve">waterway</w:t>
      </w:r>
      <w:r>
        <w:t xml:space="preserve"> </w:t>
      </w:r>
      <w:r>
        <w:t xml:space="preserve">systems</w:t>
      </w:r>
      <w:r>
        <w:t xml:space="preserve"> </w:t>
      </w:r>
      <w:r>
        <w:t xml:space="preserve">(RIS/VTS) into account</w:t>
      </w:r>
      <w:r>
        <w:t xml:space="preserve"> </w:t>
      </w:r>
      <w:r>
        <w:t xml:space="preserve">The development of a common VTS system between maritime and IWT</w:t>
      </w:r>
      <w:r>
        <w:t xml:space="preserve"> </w:t>
      </w:r>
      <w:r>
        <w:t xml:space="preserve">is beyond the scope of the RIS directive. Technical aspects for the</w:t>
      </w:r>
      <w:r>
        <w:t xml:space="preserve"> </w:t>
      </w:r>
      <w:r>
        <w:t xml:space="preserve">interoperability of such services relate to the standards to be developed</w:t>
      </w:r>
      <w:r>
        <w:t xml:space="preserve"> </w:t>
      </w:r>
      <w:r>
        <w:t xml:space="preserve">and are thus relevant for the implementing acts and not the main</w:t>
      </w:r>
      <w:r>
        <w:t xml:space="preserve"> </w:t>
      </w:r>
      <w:r>
        <w:t xml:space="preserve">Directive itself.</w:t>
      </w:r>
      <w:r>
        <w:t xml:space="preserve"> </w:t>
      </w:r>
      <w:r>
        <w:t xml:space="preserve">Align with DIWA Masterplan</w:t>
      </w:r>
      <w:r>
        <w:t xml:space="preserve"> </w:t>
      </w:r>
      <w:r>
        <w:t xml:space="preserve">The work of DIWA is not concluded at the time of preparation of this</w:t>
      </w:r>
      <w:r>
        <w:t xml:space="preserve"> </w:t>
      </w:r>
      <w:r>
        <w:t xml:space="preserve">report. However, several RIS related aspects discussed in the context of</w:t>
      </w:r>
      <w:r>
        <w:t xml:space="preserve"> </w:t>
      </w:r>
      <w:r>
        <w:t xml:space="preserve">DIWA (like the need for better quality data, the links with eFTI, and the</w:t>
      </w:r>
      <w:r>
        <w:t xml:space="preserve"> </w:t>
      </w:r>
      <w:r>
        <w:t xml:space="preserve">inland ports, aligning with the maritime and the central roles of CESNI</w:t>
      </w:r>
      <w:r>
        <w:t xml:space="preserve"> </w:t>
      </w:r>
      <w:r>
        <w:t xml:space="preserve">and COMEX) have been taken on board. Moreover, DIWA makes</w:t>
      </w:r>
      <w:r>
        <w:t xml:space="preserve"> </w:t>
      </w:r>
      <w:r>
        <w:t xml:space="preserve">numerous other recommendations that are of a technical nature and thus</w:t>
      </w:r>
      <w:r>
        <w:t xml:space="preserve"> </w:t>
      </w:r>
      <w:r>
        <w:t xml:space="preserve">relevant for secondary legislation and not the main Directive itself.</w:t>
      </w:r>
      <w:r>
        <w:t xml:space="preserve"> </w:t>
      </w:r>
      <w:r>
        <w:t xml:space="preserve">Source: European Commission</w:t>
      </w:r>
      <w:r>
        <w:t xml:space="preserve"> </w:t>
      </w:r>
      <w:r>
        <w:t xml:space="preserve">5.2.2 Retained policy measures and policy options overview</w:t>
      </w:r>
      <w:r>
        <w:t xml:space="preserve"> </w:t>
      </w:r>
      <w:r>
        <w:t xml:space="preserve">The retained policy measures to address the problem and problem drivers identified in section 2 are</w:t>
      </w:r>
      <w:r>
        <w:t xml:space="preserve"> </w:t>
      </w:r>
      <w:r>
        <w:t xml:space="preserve">provided in Table 2. A more detailed description of the policy measures is included in section 5.2.3.</w:t>
      </w:r>
      <w:r>
        <w:br/>
      </w:r>
      <w:r>
        <w:t xml:space="preserve">The retained policy measures have been grouped in 3 policy options: policy option A (PO-A),</w:t>
      </w:r>
      <w:r>
        <w:t xml:space="preserve"> </w:t>
      </w:r>
      <w:r>
        <w:t xml:space="preserve">policy option B (PO-B) and policy option C (PO-C). Table 2 presents the links of policy measures</w:t>
      </w:r>
      <w:r>
        <w:t xml:space="preserve"> </w:t>
      </w:r>
      <w:r>
        <w:t xml:space="preserve">included in the policy options with the problem drivers and specific objectives.</w:t>
      </w:r>
      <w:r>
        <w:t xml:space="preserve"> </w:t>
      </w:r>
      <w:r>
        <w:t xml:space="preserve">Table 2: Overview of policy measures and policy options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Problem</w:t>
      </w:r>
      <w:r>
        <w:t xml:space="preserve"> </w:t>
      </w:r>
      <w:r>
        <w:t xml:space="preserve">driver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PO-A PO-B PO-C</w:t>
      </w:r>
      <w:r>
        <w:t xml:space="preserve"> </w:t>
      </w:r>
      <w:r>
        <w:t xml:space="preserve">PM1 - Increase the harmonisation of RIS through guidelines</w:t>
      </w:r>
      <w:r>
        <w:br/>
      </w:r>
      <w:r>
        <w:t xml:space="preserve">PD1</w:t>
      </w:r>
      <w:r>
        <w:t xml:space="preserve"> </w:t>
      </w:r>
      <w:r>
        <w:t xml:space="preserve">SO1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PM2 - Introduce a harmonised complaint mechanism (in Member</w:t>
      </w:r>
      <w:r>
        <w:t xml:space="preserve"> </w:t>
      </w:r>
      <w:r>
        <w:t xml:space="preserve">States)</w:t>
      </w:r>
      <w:r>
        <w:t xml:space="preserve"> </w:t>
      </w:r>
      <w:r>
        <w:t xml:space="preserve">PD1</w:t>
      </w:r>
      <w:r>
        <w:t xml:space="preserve"> </w:t>
      </w:r>
      <w:r>
        <w:t xml:space="preserve">SO1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PM3 - Introduce a new Performance Measurement Framework</w:t>
      </w:r>
      <w:r>
        <w:t xml:space="preserve"> </w:t>
      </w:r>
      <w:r>
        <w:t xml:space="preserve">PD1</w:t>
      </w:r>
      <w:r>
        <w:t xml:space="preserve"> </w:t>
      </w:r>
      <w:r>
        <w:t xml:space="preserve">SO1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PM4 - Strengthen requirements for RIS technical specifications by</w:t>
      </w:r>
      <w:r>
        <w:t xml:space="preserve"> </w:t>
      </w:r>
      <w:r>
        <w:t xml:space="preserve">adding new specifications on data for navigation and voyage planning</w:t>
      </w:r>
      <w:r>
        <w:t xml:space="preserve"> </w:t>
      </w:r>
      <w:r>
        <w:t xml:space="preserve">(RIS Index)</w:t>
      </w:r>
      <w:r>
        <w:br/>
      </w:r>
      <w:r>
        <w:t xml:space="preserve">PD1, PD3</w:t>
      </w:r>
      <w:r>
        <w:t xml:space="preserve"> </w:t>
      </w:r>
      <w:r>
        <w:t xml:space="preserve">SO1, SO2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PM5 - Require electronic voyage plan reporting</w:t>
      </w:r>
      <w:r>
        <w:t xml:space="preserve"> </w:t>
      </w:r>
      <w:r>
        <w:t xml:space="preserve">PD1, PD3</w:t>
      </w:r>
      <w:r>
        <w:t xml:space="preserve"> </w:t>
      </w:r>
      <w:r>
        <w:t xml:space="preserve">SO1, SO2,</w:t>
      </w:r>
      <w:r>
        <w:t xml:space="preserve"> </w:t>
      </w:r>
      <w:r>
        <w:t xml:space="preserve">SO3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PM6 - Introduce provisions for supplying data to the ERDMS and its</w:t>
      </w:r>
      <w:r>
        <w:t xml:space="preserve"> </w:t>
      </w:r>
      <w:r>
        <w:t xml:space="preserve">operation</w:t>
      </w:r>
      <w:r>
        <w:t xml:space="preserve"> </w:t>
      </w:r>
      <w:r>
        <w:t xml:space="preserve">PD1, PD3</w:t>
      </w:r>
      <w:r>
        <w:t xml:space="preserve"> </w:t>
      </w:r>
      <w:r>
        <w:t xml:space="preserve">SO1, SO2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PM7 - Encourage cargo-related information exchange through the</w:t>
      </w:r>
      <w:r>
        <w:t xml:space="preserve"> </w:t>
      </w:r>
      <w:r>
        <w:t xml:space="preserve">eFTI mechanism</w:t>
      </w:r>
      <w:r>
        <w:br/>
      </w:r>
      <w:r>
        <w:t xml:space="preserve">PD1, PD3,</w:t>
      </w:r>
      <w:r>
        <w:t xml:space="preserve"> </w:t>
      </w:r>
      <w:r>
        <w:t xml:space="preserve">PD4</w:t>
      </w:r>
      <w:r>
        <w:t xml:space="preserve"> </w:t>
      </w:r>
      <w:r>
        <w:t xml:space="preserve">SO2, SO3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PM8 - Mandate cargo-related information to be exchanged through</w:t>
      </w:r>
      <w:r>
        <w:t xml:space="preserve"> </w:t>
      </w:r>
      <w:r>
        <w:t xml:space="preserve">the eFTI mechanism</w:t>
      </w:r>
      <w:r>
        <w:t xml:space="preserve"> </w:t>
      </w:r>
      <w:r>
        <w:t xml:space="preserve">PD1, PD3,</w:t>
      </w:r>
      <w:r>
        <w:t xml:space="preserve"> </w:t>
      </w:r>
      <w:r>
        <w:t xml:space="preserve">PD4</w:t>
      </w:r>
      <w:r>
        <w:t xml:space="preserve"> </w:t>
      </w:r>
      <w:r>
        <w:t xml:space="preserve">SO2, SO3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PM9 - Require information exchange through a RIS platform</w:t>
      </w:r>
      <w:r>
        <w:t xml:space="preserve"> </w:t>
      </w:r>
      <w:r>
        <w:t xml:space="preserve">PD1, PD3,</w:t>
      </w:r>
      <w:r>
        <w:t xml:space="preserve"> </w:t>
      </w:r>
      <w:r>
        <w:t xml:space="preserve">PD4</w:t>
      </w:r>
      <w:r>
        <w:t xml:space="preserve"> </w:t>
      </w:r>
      <w:r>
        <w:t xml:space="preserve">SO1, SO2,</w:t>
      </w:r>
      <w:r>
        <w:t xml:space="preserve"> </w:t>
      </w:r>
      <w:r>
        <w:t xml:space="preserve">SO3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PM10 - Involve CESNI in the development and adoption of technical</w:t>
      </w:r>
      <w:r>
        <w:t xml:space="preserve"> </w:t>
      </w:r>
      <w:r>
        <w:t xml:space="preserve">PD2</w:t>
      </w:r>
      <w:r>
        <w:br/>
      </w:r>
      <w:r>
        <w:t xml:space="preserve">SO1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Problem</w:t>
      </w:r>
      <w:r>
        <w:t xml:space="preserve"> </w:t>
      </w:r>
      <w:r>
        <w:t xml:space="preserve">driver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PO-A PO-B PO-C</w:t>
      </w:r>
      <w:r>
        <w:t xml:space="preserve"> </w:t>
      </w:r>
      <w:r>
        <w:t xml:space="preserve">specifications</w:t>
      </w:r>
      <w:r>
        <w:t xml:space="preserve"> </w:t>
      </w:r>
      <w:r>
        <w:t xml:space="preserve">PM11 - Link the RIS requirements with those of the TEN-T</w:t>
      </w:r>
      <w:r>
        <w:t xml:space="preserve"> </w:t>
      </w:r>
      <w:r>
        <w:t xml:space="preserve">Regulation</w:t>
      </w:r>
      <w:r>
        <w:br/>
      </w:r>
      <w:r>
        <w:t xml:space="preserve">PD3</w:t>
      </w:r>
      <w:r>
        <w:t xml:space="preserve"> </w:t>
      </w:r>
      <w:r>
        <w:t xml:space="preserve">SO2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PM12 - Develop new technical specifications for the exchange of</w:t>
      </w:r>
      <w:r>
        <w:t xml:space="preserve"> </w:t>
      </w:r>
      <w:r>
        <w:t xml:space="preserve">information relating to IWT ports</w:t>
      </w:r>
      <w:r>
        <w:t xml:space="preserve"> </w:t>
      </w:r>
      <w:r>
        <w:t xml:space="preserve">PD3</w:t>
      </w:r>
      <w:r>
        <w:t xml:space="preserve"> </w:t>
      </w:r>
      <w:r>
        <w:t xml:space="preserve">SO2, SO3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PM13 - Require the exchange of information with IWT ports</w:t>
      </w:r>
      <w:r>
        <w:t xml:space="preserve"> </w:t>
      </w:r>
      <w:r>
        <w:t xml:space="preserve">according to new technical specifications</w:t>
      </w:r>
      <w:r>
        <w:t xml:space="preserve"> </w:t>
      </w:r>
      <w:r>
        <w:t xml:space="preserve">PD3</w:t>
      </w:r>
      <w:r>
        <w:t xml:space="preserve"> </w:t>
      </w:r>
      <w:r>
        <w:t xml:space="preserve">SO2, SO3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PM14 - Improve the harmonisation between RIS and information</w:t>
      </w:r>
      <w:r>
        <w:t xml:space="preserve"> </w:t>
      </w:r>
      <w:r>
        <w:t xml:space="preserve">services for other modes of transport (e.g. maritime)</w:t>
      </w:r>
      <w:r>
        <w:t xml:space="preserve"> </w:t>
      </w:r>
      <w:r>
        <w:t xml:space="preserve">PD3</w:t>
      </w:r>
      <w:r>
        <w:t xml:space="preserve"> </w:t>
      </w:r>
      <w:r>
        <w:t xml:space="preserve">SO2, SO3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PM15 - Require sharing of all necessary cross-border data for traffic</w:t>
      </w:r>
      <w:r>
        <w:t xml:space="preserve"> </w:t>
      </w:r>
      <w:r>
        <w:t xml:space="preserve">and transport management by the Member States</w:t>
      </w:r>
      <w:r>
        <w:t xml:space="preserve"> </w:t>
      </w:r>
      <w:r>
        <w:t xml:space="preserve">PD4</w:t>
      </w:r>
      <w:r>
        <w:t xml:space="preserve"> </w:t>
      </w:r>
      <w:r>
        <w:t xml:space="preserve">SO2, SO3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PM16 - Specify more clearly the cases for exchange of personal data</w:t>
      </w:r>
      <w:r>
        <w:t xml:space="preserve"> </w:t>
      </w:r>
      <w:r>
        <w:t xml:space="preserve">PD5</w:t>
      </w:r>
      <w:r>
        <w:t xml:space="preserve"> </w:t>
      </w:r>
      <w:r>
        <w:t xml:space="preserve">SO3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PM17 - Develop templates and standards for the exchange of personal</w:t>
      </w:r>
      <w:r>
        <w:t xml:space="preserve"> </w:t>
      </w:r>
      <w:r>
        <w:t xml:space="preserve">data</w:t>
      </w:r>
      <w:r>
        <w:t xml:space="preserve"> </w:t>
      </w:r>
      <w:r>
        <w:t xml:space="preserve">PD5</w:t>
      </w:r>
      <w:r>
        <w:t xml:space="preserve"> </w:t>
      </w:r>
      <w:r>
        <w:t xml:space="preserve">SO3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Source: European Commission</w:t>
      </w:r>
      <w:r>
        <w:t xml:space="preserve"> </w:t>
      </w:r>
      <w:r>
        <w:t xml:space="preserve">5.2.3 Description of the policy measures</w:t>
      </w:r>
      <w:r>
        <w:t xml:space="preserve"> </w:t>
      </w:r>
      <w:r>
        <w:t xml:space="preserve">A description of the policy measure is provided below:</w:t>
      </w:r>
      <w:r>
        <w:t xml:space="preserve"> </w:t>
      </w:r>
      <w:r>
        <w:t xml:space="preserve">• Increase the harmonisation of RIS through guidelines (PM1). This is a non-legislative measure.</w:t>
      </w:r>
      <w:r>
        <w:t xml:space="preserve"> </w:t>
      </w:r>
      <w:r>
        <w:t xml:space="preserve">The Commission will develop interpretative guidelines for the application of the Directive and</w:t>
      </w:r>
      <w:r>
        <w:t xml:space="preserve"> </w:t>
      </w:r>
      <w:r>
        <w:t xml:space="preserve">the different technical specifications90. The assistance of CESNI will be requested (through a</w:t>
      </w:r>
      <w:r>
        <w:t xml:space="preserve"> </w:t>
      </w:r>
      <w:r>
        <w:t xml:space="preserve">study) to help identify the areas of most concerns or most frequent issues (e.g. the number of</w:t>
      </w:r>
      <w:r>
        <w:t xml:space="preserve"> </w:t>
      </w:r>
      <w:r>
        <w:t xml:space="preserve">masts/radars transferring data between the vessels and RIS centres, the way the infrastructure</w:t>
      </w:r>
      <w:r>
        <w:t xml:space="preserve"> </w:t>
      </w:r>
      <w:r>
        <w:t xml:space="preserve">should be placed and maintain (frequency of inspection). These guidelines will be made</w:t>
      </w:r>
      <w:r>
        <w:t xml:space="preserve"> </w:t>
      </w:r>
      <w:r>
        <w:t xml:space="preserve">available to Member States, vessel operators and software providers and should remove</w:t>
      </w:r>
      <w:r>
        <w:t xml:space="preserve"> </w:t>
      </w:r>
      <w:r>
        <w:t xml:space="preserve">ambiguities on technical specifications. Member States will then apply the technical</w:t>
      </w:r>
      <w:r>
        <w:t xml:space="preserve"> </w:t>
      </w:r>
      <w:r>
        <w:t xml:space="preserve">specifications in line with the guidelines. No action is anticipated by the other stakeholders.</w:t>
      </w:r>
      <w:r>
        <w:br/>
      </w:r>
      <w:r>
        <w:t xml:space="preserve">• PM2: Introduce a harmonised complaint mechanism (in Member States). Improved monitoring</w:t>
      </w:r>
      <w:r>
        <w:t xml:space="preserve"> </w:t>
      </w:r>
      <w:r>
        <w:t xml:space="preserve">of the implementation of the Directive will help ensure that RIS is provided in a coherent and</w:t>
      </w:r>
      <w:r>
        <w:t xml:space="preserve"> </w:t>
      </w:r>
      <w:r>
        <w:t xml:space="preserve">harmonised manner across the whole length of waterways concerned. As a way of addressing</w:t>
      </w:r>
      <w:r>
        <w:t xml:space="preserve"> </w:t>
      </w:r>
      <w:r>
        <w:t xml:space="preserve">this from the “bottom-up”, this measure relies on direct feedback from RIS users to indicate the</w:t>
      </w:r>
      <w:r>
        <w:t xml:space="preserve"> </w:t>
      </w:r>
      <w:r>
        <w:t xml:space="preserve">areas where problems appear. Member States will be required to designate a (existing or new)</w:t>
      </w:r>
      <w:r>
        <w:t xml:space="preserve"> </w:t>
      </w:r>
      <w:r>
        <w:t xml:space="preserve">competent governmental body to directly handle complaints filed by RIS users. To properly</w:t>
      </w:r>
      <w:r>
        <w:t xml:space="preserve"> </w:t>
      </w:r>
      <w:r>
        <w:t xml:space="preserve">function, this body should be independent from RIS related authorities and would have the task</w:t>
      </w:r>
      <w:r>
        <w:t xml:space="preserve"> </w:t>
      </w:r>
      <w:r>
        <w:t xml:space="preserve">to verify the complaints and request corrective action (e.g. correct wrong, outdated or non-</w:t>
      </w:r>
      <w:r>
        <w:t xml:space="preserve"> </w:t>
      </w:r>
      <w:r>
        <w:t xml:space="preserve">standardised data). Vessel operators and software providers will be aware of whom to refer to.</w:t>
      </w:r>
      <w:r>
        <w:t xml:space="preserve"> </w:t>
      </w:r>
      <w:r>
        <w:t xml:space="preserve">National authorities will have visibility of where they need to intervene.</w:t>
      </w:r>
      <w:r>
        <w:br/>
      </w:r>
      <w:r>
        <w:t xml:space="preserve">• PM3: Introduce a new Performance Measurement Framework. In contrast to PM2, this measure</w:t>
      </w:r>
      <w:r>
        <w:t xml:space="preserve"> </w:t>
      </w:r>
      <w:r>
        <w:t xml:space="preserve">aims to improve the monitoring (and thus the overall performance of the Directive), through a</w:t>
      </w:r>
      <w:r>
        <w:t xml:space="preserve"> </w:t>
      </w:r>
      <w:r>
        <w:t xml:space="preserve">“top-down” approach. The Commission with the assistance of CESNI will develop key</w:t>
      </w:r>
      <w:r>
        <w:t xml:space="preserve"> </w:t>
      </w:r>
      <w:r>
        <w:t xml:space="preserve">performance indicators such as the number of shipping messages issued in accordance with</w:t>
      </w:r>
      <w:r>
        <w:t xml:space="preserve"> </w:t>
      </w:r>
      <w:r>
        <w:t xml:space="preserve">standards and interpretations from the most recent RIS encoding guide, and the number of</w:t>
      </w:r>
      <w:r>
        <w:t xml:space="preserve"> </w:t>
      </w:r>
      <w:r>
        <w:t xml:space="preserve">electronic cargo reports received in relation to the number of voyages. Member States and other</w:t>
      </w:r>
    </w:p>
    <w:p>
      <w:pPr>
        <w:pStyle w:val="BodyText"/>
      </w:pPr>
      <w:r>
        <w:t xml:space="preserve">90 These guidelines are not the same as the “RIS Guidelines” as mentioned in Annex II of the Directive, and</w:t>
      </w:r>
      <w:r>
        <w:t xml:space="preserve"> </w:t>
      </w:r>
      <w:r>
        <w:t xml:space="preserve">which form an integral part of the standards, originating from the work of PIANC, and which are in force</w:t>
      </w:r>
      <w:r>
        <w:t xml:space="preserve"> </w:t>
      </w:r>
      <w:r>
        <w:t xml:space="preserve">through Commission Regulation (EC) No 414/2007.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relevant authorities will be required to report on these indicators on a regular basis (yearly).</w:t>
      </w:r>
      <w:r>
        <w:t xml:space="preserve"> </w:t>
      </w:r>
      <w:r>
        <w:t xml:space="preserve">Having better information, the European Commission will be able to follow more closely the</w:t>
      </w:r>
      <w:r>
        <w:t xml:space="preserve"> </w:t>
      </w:r>
      <w:r>
        <w:t xml:space="preserve">provision of RIS and identify cases where RIS implementation is fragmented. Based on this it</w:t>
      </w:r>
      <w:r>
        <w:t xml:space="preserve"> </w:t>
      </w:r>
      <w:r>
        <w:t xml:space="preserve">will be requesting the responsible Member State to undertake corrective action. It will not require</w:t>
      </w:r>
      <w:r>
        <w:t xml:space="preserve"> </w:t>
      </w:r>
      <w:r>
        <w:t xml:space="preserve">action from the side of vessel operators.</w:t>
      </w:r>
      <w:r>
        <w:t xml:space="preserve"> </w:t>
      </w:r>
      <w:r>
        <w:t xml:space="preserve">• PM4: Strengthen requirements for RIS technical specifications by adding new specifications on</w:t>
      </w:r>
      <w:r>
        <w:t xml:space="preserve"> </w:t>
      </w:r>
      <w:r>
        <w:t xml:space="preserve">data for navigation and voyage planning (RIS Index). This measure aims to strengthen the</w:t>
      </w:r>
      <w:r>
        <w:t xml:space="preserve"> </w:t>
      </w:r>
      <w:r>
        <w:t xml:space="preserve">requirements of the current RIS Directive by introducing new technical specifications</w:t>
      </w:r>
      <w:r>
        <w:t xml:space="preserve"> </w:t>
      </w:r>
      <w:r>
        <w:t xml:space="preserve">(‘standards’) on data for navigation and voyage planning (‘RIS Index’). It will improve traffic</w:t>
      </w:r>
      <w:r>
        <w:t xml:space="preserve"> </w:t>
      </w:r>
      <w:r>
        <w:t xml:space="preserve">management in the EU waterways. The new technical specifications will ensure that information</w:t>
      </w:r>
      <w:r>
        <w:t xml:space="preserve"> </w:t>
      </w:r>
      <w:r>
        <w:t xml:space="preserve">related to the efficiency of navigation is available and shared between the different actors.</w:t>
      </w:r>
      <w:r>
        <w:t xml:space="preserve"> </w:t>
      </w:r>
      <w:r>
        <w:t xml:space="preserve">Member States will be required to create systems providing adequate information for skippers - a</w:t>
      </w:r>
      <w:r>
        <w:t xml:space="preserve"> </w:t>
      </w:r>
      <w:r>
        <w:t xml:space="preserve">series of data including for instance clearance heights at bridges, fairway profiles and data on</w:t>
      </w:r>
      <w:r>
        <w:t xml:space="preserve"> </w:t>
      </w:r>
      <w:r>
        <w:t xml:space="preserve">vessel traffic signs will have to be collected. Moreover, the system should also include</w:t>
      </w:r>
      <w:r>
        <w:t xml:space="preserve"> </w:t>
      </w:r>
      <w:r>
        <w:t xml:space="preserve">information on the real-time traffic situation, such as current and expected waiting times at locks.</w:t>
      </w:r>
      <w:r>
        <w:t xml:space="preserve"> </w:t>
      </w:r>
      <w:r>
        <w:t xml:space="preserve">Obtaining and sharing these data requires investment in both digital hardware and software (to</w:t>
      </w:r>
      <w:r>
        <w:t xml:space="preserve"> </w:t>
      </w:r>
      <w:r>
        <w:t xml:space="preserve">monitor and report on the information mentioned above). Member States will also need to</w:t>
      </w:r>
      <w:r>
        <w:t xml:space="preserve"> </w:t>
      </w:r>
      <w:r>
        <w:t xml:space="preserve">undertake digital hardware and software updates in order to provide the required information.</w:t>
      </w:r>
      <w:r>
        <w:t xml:space="preserve"> </w:t>
      </w:r>
      <w:r>
        <w:t xml:space="preserve">Vessel operators and software providers will have access to the provided information for their</w:t>
      </w:r>
      <w:r>
        <w:t xml:space="preserve"> </w:t>
      </w:r>
      <w:r>
        <w:t xml:space="preserve">purposes.</w:t>
      </w:r>
      <w:r>
        <w:br/>
      </w:r>
      <w:r>
        <w:t xml:space="preserve">• PM5: Require electronic voyage plan reporting. This measure aims to improve traffic</w:t>
      </w:r>
      <w:r>
        <w:t xml:space="preserve"> </w:t>
      </w:r>
      <w:r>
        <w:t xml:space="preserve">management and navigation efficiency in the waterways. Vessel operators already prepare and</w:t>
      </w:r>
      <w:r>
        <w:t xml:space="preserve"> </w:t>
      </w:r>
      <w:r>
        <w:t xml:space="preserve">submit to the authorities their plan for the voyage at the start of the journey. However, with this</w:t>
      </w:r>
      <w:r>
        <w:t xml:space="preserve"> </w:t>
      </w:r>
      <w:r>
        <w:t xml:space="preserve">measure the reporting will need to be made through electronic means, and be adapted for any</w:t>
      </w:r>
      <w:r>
        <w:t xml:space="preserve"> </w:t>
      </w:r>
      <w:r>
        <w:t xml:space="preserve">changes, which will increase the reporting requirements. As a trade-off vessel operators will</w:t>
      </w:r>
      <w:r>
        <w:t xml:space="preserve"> </w:t>
      </w:r>
      <w:r>
        <w:t xml:space="preserve">receive directions from national authorities to adapt their navigation to take into account of the</w:t>
      </w:r>
      <w:r>
        <w:t xml:space="preserve"> </w:t>
      </w:r>
      <w:r>
        <w:t xml:space="preserve">situation in the waterways thus improving the voyage efficiency (e.g., through reduced speed of</w:t>
      </w:r>
      <w:r>
        <w:t xml:space="preserve"> </w:t>
      </w:r>
      <w:r>
        <w:t xml:space="preserve">ships and less manoeuvring movements like, mooring at waiting jetties, leaving and entering the</w:t>
      </w:r>
      <w:r>
        <w:t xml:space="preserve"> </w:t>
      </w:r>
      <w:r>
        <w:t xml:space="preserve">lock, etc.). National authorities will have to invest in software to receive, process and act upon</w:t>
      </w:r>
      <w:r>
        <w:t xml:space="preserve"> </w:t>
      </w:r>
      <w:r>
        <w:t xml:space="preserve">the information transmitted by the vessels, but this will allow them to have greater visibility on</w:t>
      </w:r>
      <w:r>
        <w:t xml:space="preserve"> </w:t>
      </w:r>
      <w:r>
        <w:t xml:space="preserve">the navigation situation, plan and manage traffic, and account for changes (e.g. instruct vessels</w:t>
      </w:r>
      <w:r>
        <w:t xml:space="preserve"> </w:t>
      </w:r>
      <w:r>
        <w:t xml:space="preserve">navigate slower in case of bottlenecks).</w:t>
      </w:r>
      <w:r>
        <w:br/>
      </w:r>
      <w:r>
        <w:t xml:space="preserve">• PM6: Introduce provisions for supplying data to the ERDMS and its operation. The ERDMS</w:t>
      </w:r>
      <w:r>
        <w:t xml:space="preserve"> </w:t>
      </w:r>
      <w:r>
        <w:t xml:space="preserve">contains basic information that is important for the provision of RIS. Currently though the level</w:t>
      </w:r>
      <w:r>
        <w:t xml:space="preserve"> </w:t>
      </w:r>
      <w:r>
        <w:t xml:space="preserve">of accuracy of the information provided by Member States varies. This measure will require</w:t>
      </w:r>
      <w:r>
        <w:t xml:space="preserve"> </w:t>
      </w:r>
      <w:r>
        <w:t xml:space="preserve">Member States to provide accurate and up-to-date data to the ERDMS so as to improve the</w:t>
      </w:r>
      <w:r>
        <w:t xml:space="preserve"> </w:t>
      </w:r>
      <w:r>
        <w:t xml:space="preserve">quality of the contained information. This will create costs for the Member States as the</w:t>
      </w:r>
      <w:r>
        <w:t xml:space="preserve"> </w:t>
      </w:r>
      <w:r>
        <w:t xml:space="preserve">frequency and/or content of their reporting will need to be increased. Vessel operators will make</w:t>
      </w:r>
      <w:r>
        <w:t xml:space="preserve"> </w:t>
      </w:r>
      <w:r>
        <w:t xml:space="preserve">use of the provided information for navigation planning purposes and software providers for the</w:t>
      </w:r>
      <w:r>
        <w:t xml:space="preserve"> </w:t>
      </w:r>
      <w:r>
        <w:t xml:space="preserve">development of their products. This information will also be made available to the RIS platform</w:t>
      </w:r>
      <w:r>
        <w:t xml:space="preserve"> </w:t>
      </w:r>
      <w:r>
        <w:t xml:space="preserve">(PM9).</w:t>
      </w:r>
    </w:p>
    <w:p>
      <w:pPr>
        <w:pStyle w:val="BodyText"/>
      </w:pPr>
      <w:r>
        <w:t xml:space="preserve">• PM7: Encourage cargo-related information exchange through the eFTI mechanism. This</w:t>
      </w:r>
      <w:r>
        <w:t xml:space="preserve"> </w:t>
      </w:r>
      <w:r>
        <w:t xml:space="preserve">measure will require that standards are developed so that RIS cargo related information (i.e. </w:t>
      </w:r>
      <w:r>
        <w:t xml:space="preserve"> </w:t>
      </w:r>
      <w:r>
        <w:t xml:space="preserve">electronic ship reports as specified in Commission Implementing Regulation 2019/1744) can be</w:t>
      </w:r>
      <w:r>
        <w:t xml:space="preserve"> </w:t>
      </w:r>
      <w:r>
        <w:t xml:space="preserve">shared on a voluntary basis through the electronic freight transport information (eFTI) platforms.</w:t>
      </w:r>
      <w:r>
        <w:t xml:space="preserve"> </w:t>
      </w:r>
      <w:r>
        <w:t xml:space="preserve">Before starting the voyage, vessel operators will upload the required information to eFTI, and</w:t>
      </w:r>
      <w:r>
        <w:t xml:space="preserve"> </w:t>
      </w:r>
      <w:r>
        <w:t xml:space="preserve">will transmit through ERI to the relevant authorities the link to the eFTI with their information.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Member State authorities will, as appropriate, use the link to access the cargo information for</w:t>
      </w:r>
      <w:r>
        <w:t xml:space="preserve"> </w:t>
      </w:r>
      <w:r>
        <w:t xml:space="preserve">their purposes. Member States will also have the option to transmit the eFTI links to their</w:t>
      </w:r>
      <w:r>
        <w:t xml:space="preserve"> </w:t>
      </w:r>
      <w:r>
        <w:t xml:space="preserve">counterparts in other Member States. In PM7, the digital applications will be developed but not</w:t>
      </w:r>
      <w:r>
        <w:t xml:space="preserve"> </w:t>
      </w:r>
      <w:r>
        <w:t xml:space="preserve">made obligatory for use. The Member States will need to develop the capacity to receive and</w:t>
      </w:r>
      <w:r>
        <w:t xml:space="preserve"> </w:t>
      </w:r>
      <w:r>
        <w:t xml:space="preserve">process information through eFTI, and replace the processing of paper cargo reports with the</w:t>
      </w:r>
      <w:r>
        <w:t xml:space="preserve"> </w:t>
      </w:r>
      <w:r>
        <w:t xml:space="preserve">electronic reports. Vessel operators will only need to upload the information once on eFTI, and</w:t>
      </w:r>
      <w:r>
        <w:t xml:space="preserve"> </w:t>
      </w:r>
      <w:r>
        <w:t xml:space="preserve">then report to the authorities through ERI only the relevant link.</w:t>
      </w:r>
      <w:r>
        <w:t xml:space="preserve"> </w:t>
      </w:r>
      <w:r>
        <w:t xml:space="preserve">• PM8: Mandate cargo-related information to be exchanged through the eFTI mechanism. The</w:t>
      </w:r>
      <w:r>
        <w:t xml:space="preserve"> </w:t>
      </w:r>
      <w:r>
        <w:t xml:space="preserve">difference of this measure with PM7 is that it will be now obligatory for vessel operators to use</w:t>
      </w:r>
      <w:r>
        <w:t xml:space="preserve"> </w:t>
      </w:r>
      <w:r>
        <w:t xml:space="preserve">an eFTI platform for the transmission of the cargo information.</w:t>
      </w:r>
      <w:r>
        <w:t xml:space="preserve"> </w:t>
      </w:r>
      <w:r>
        <w:t xml:space="preserve">• PM9: Require information exchange through a RIS platform. A single digital platform that</w:t>
      </w:r>
      <w:r>
        <w:t xml:space="preserve"> </w:t>
      </w:r>
      <w:r>
        <w:t xml:space="preserve">would act as the main exchange node for RIS information and basis for development of digital</w:t>
      </w:r>
      <w:r>
        <w:t xml:space="preserve"> </w:t>
      </w:r>
      <w:r>
        <w:t xml:space="preserve">applications would help to streamline and improve the provision of RIS in the EU. As explained</w:t>
      </w:r>
      <w:r>
        <w:t xml:space="preserve"> </w:t>
      </w:r>
      <w:r>
        <w:t xml:space="preserve">in section 1, 13 Member States91 through an agreement and CEF funding have already developed</w:t>
      </w:r>
      <w:r>
        <w:t xml:space="preserve"> </w:t>
      </w:r>
      <w:r>
        <w:t xml:space="preserve">the project RIS COMEX which in effect is a one stop shop platform for the exchange of RIS</w:t>
      </w:r>
      <w:r>
        <w:t xml:space="preserve"> </w:t>
      </w:r>
      <w:r>
        <w:t xml:space="preserve">information and can fulfil the role of a RIS platform. Building on the success of this project, and</w:t>
      </w:r>
      <w:r>
        <w:t xml:space="preserve"> </w:t>
      </w:r>
      <w:r>
        <w:t xml:space="preserve">in order to not duplicate efforts, this measure proposes to designate this platform as the main and</w:t>
      </w:r>
      <w:r>
        <w:t xml:space="preserve"> </w:t>
      </w:r>
      <w:r>
        <w:t xml:space="preserve">central platform for RIS, where all functionalities will be built upon, and work in combination</w:t>
      </w:r>
      <w:r>
        <w:t xml:space="preserve"> </w:t>
      </w:r>
      <w:r>
        <w:t xml:space="preserve">with other measures (e.g. PM4, PM6, PM8, PM12, PM14). Therefore, this impact assessment</w:t>
      </w:r>
      <w:r>
        <w:t xml:space="preserve"> </w:t>
      </w:r>
      <w:r>
        <w:t xml:space="preserve">will make reference to and be based on information of RIS COMEX. By mandating the use of</w:t>
      </w:r>
      <w:r>
        <w:t xml:space="preserve"> </w:t>
      </w:r>
      <w:r>
        <w:t xml:space="preserve">RIS COMEX, efficient use of EU funds is ensured, as the development was already supported</w:t>
      </w:r>
      <w:r>
        <w:t xml:space="preserve"> </w:t>
      </w:r>
      <w:r>
        <w:t xml:space="preserve">under CEF, and any costs for the Member States (including for those like Spain, Italy and</w:t>
      </w:r>
      <w:r>
        <w:t xml:space="preserve"> </w:t>
      </w:r>
      <w:r>
        <w:t xml:space="preserve">Portugal) will be limited to development and update of the necessary digital applications. It will</w:t>
      </w:r>
      <w:r>
        <w:t xml:space="preserve"> </w:t>
      </w:r>
      <w:r>
        <w:t xml:space="preserve">be an important change for vessel operators, who will use a single platform of interaction instead</w:t>
      </w:r>
      <w:r>
        <w:t xml:space="preserve"> </w:t>
      </w:r>
      <w:r>
        <w:t xml:space="preserve">of several portals and systems. Software providers will also have access to information from RIS</w:t>
      </w:r>
      <w:r>
        <w:t xml:space="preserve"> </w:t>
      </w:r>
      <w:r>
        <w:t xml:space="preserve">COMEX platform for their product development.</w:t>
      </w:r>
      <w:r>
        <w:t xml:space="preserve"> </w:t>
      </w:r>
      <w:r>
        <w:t xml:space="preserve">• PM10: Involve CESNI in the development and adoption of technical specifications. This measure</w:t>
      </w:r>
      <w:r>
        <w:t xml:space="preserve"> </w:t>
      </w:r>
      <w:r>
        <w:t xml:space="preserve">aims to tackle the long period that has so far been required to introduce new technical</w:t>
      </w:r>
      <w:r>
        <w:t xml:space="preserve"> </w:t>
      </w:r>
      <w:r>
        <w:t xml:space="preserve">specifications for the sector. In this case, CESNI will be involved in the preparation of the</w:t>
      </w:r>
      <w:r>
        <w:t xml:space="preserve"> </w:t>
      </w:r>
      <w:r>
        <w:t xml:space="preserve">technical specifications and provide regular updates as required. CESNI already has a working</w:t>
      </w:r>
      <w:r>
        <w:t xml:space="preserve"> </w:t>
      </w:r>
      <w:r>
        <w:t xml:space="preserve">group dealing with RIS (CESNI/TI).</w:t>
      </w:r>
      <w:r>
        <w:br/>
      </w:r>
      <w:r>
        <w:t xml:space="preserve">• PM11: Link the RIS requirements with those of the TEN-T Regulation. Currently, all</w:t>
      </w:r>
      <w:r>
        <w:t xml:space="preserve"> </w:t>
      </w:r>
      <w:r>
        <w:t xml:space="preserve">interconnected waterways of CEMT class IV and higher (which refers to the size of the vessel</w:t>
      </w:r>
      <w:r>
        <w:t xml:space="preserve"> </w:t>
      </w:r>
      <w:r>
        <w:t xml:space="preserve">they can accommodate) are within the scope of the RIS Directive. Member States may decide to</w:t>
      </w:r>
      <w:r>
        <w:t xml:space="preserve"> </w:t>
      </w:r>
      <w:r>
        <w:t xml:space="preserve">include further waterways in this scope (for example Italy, Spain and Portugal). This scope does</w:t>
      </w:r>
      <w:r>
        <w:t xml:space="preserve"> </w:t>
      </w:r>
      <w:r>
        <w:t xml:space="preserve">not match the TEN-T network, which with its current proposed revision will not refer any more</w:t>
      </w:r>
      <w:r>
        <w:t xml:space="preserve"> </w:t>
      </w:r>
      <w:r>
        <w:t xml:space="preserve">to CEMT classification but will be based on the characteristics of the waterways themselves. As</w:t>
      </w:r>
      <w:r>
        <w:t xml:space="preserve"> </w:t>
      </w:r>
      <w:r>
        <w:t xml:space="preserve">the TEN-T network covers the most important waterways it is therefore considered that an</w:t>
      </w:r>
      <w:r>
        <w:t xml:space="preserve"> </w:t>
      </w:r>
      <w:r>
        <w:t xml:space="preserve">alignment of scope between the two is required.</w:t>
      </w:r>
      <w:r>
        <w:br/>
      </w:r>
      <w:r>
        <w:t xml:space="preserve">• PM12: Develop new technical specifications for the exchange of information relating to IWT</w:t>
      </w:r>
      <w:r>
        <w:t xml:space="preserve"> </w:t>
      </w:r>
      <w:r>
        <w:t xml:space="preserve">ports. Data related to ports is not easily available to vessel operators (for example, the</w:t>
      </w:r>
    </w:p>
    <w:p>
      <w:pPr>
        <w:pStyle w:val="BodyText"/>
      </w:pPr>
      <w:r>
        <w:t xml:space="preserve">91 Austria, Belgium, Bulgaria, Croatia, Czechia France, Germany, Hungary, Luxembourg, the Netherlands,</w:t>
      </w:r>
      <w:r>
        <w:t xml:space="preserve"> </w:t>
      </w:r>
      <w:r>
        <w:t xml:space="preserve">Romania, Serbia and Slovakia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dimensions of bridges over port basins and operating times), or the ports do not always have the</w:t>
      </w:r>
      <w:r>
        <w:t xml:space="preserve"> </w:t>
      </w:r>
      <w:r>
        <w:t xml:space="preserve">vessels’ cargo and voyage information and this information has to be reported again at the ports.</w:t>
      </w:r>
      <w:r>
        <w:t xml:space="preserve"> </w:t>
      </w:r>
      <w:r>
        <w:t xml:space="preserve">The aim of this measure is to develop new technical specifications for the exchange of</w:t>
      </w:r>
      <w:r>
        <w:t xml:space="preserve"> </w:t>
      </w:r>
      <w:r>
        <w:t xml:space="preserve">information to and from IWT ports. Overall, PM12 would lead to better data quality for all,</w:t>
      </w:r>
      <w:r>
        <w:t xml:space="preserve"> </w:t>
      </w:r>
      <w:r>
        <w:t xml:space="preserve">leading to simpler travel planning. National authorities and the ports will need to develop and</w:t>
      </w:r>
      <w:r>
        <w:t xml:space="preserve"> </w:t>
      </w:r>
      <w:r>
        <w:t xml:space="preserve">maintain the necessary systems to share and process this information (exchange can be made</w:t>
      </w:r>
      <w:r>
        <w:t xml:space="preserve"> </w:t>
      </w:r>
      <w:r>
        <w:t xml:space="preserve">through PM9). Under this measure, while inland ports will need to have developed the necessary</w:t>
      </w:r>
      <w:r>
        <w:t xml:space="preserve"> </w:t>
      </w:r>
      <w:r>
        <w:t xml:space="preserve">digital infrastructure, vessel operators will only make use of it on a voluntary basis. Vessel</w:t>
      </w:r>
      <w:r>
        <w:t xml:space="preserve"> </w:t>
      </w:r>
      <w:r>
        <w:t xml:space="preserve">operators will have access to improved and updated information regarding the situation in their</w:t>
      </w:r>
      <w:r>
        <w:t xml:space="preserve"> </w:t>
      </w:r>
      <w:r>
        <w:t xml:space="preserve">inland port of destination (e.g. access constraints on opening of bridges, the availability of berths,</w:t>
      </w:r>
      <w:r>
        <w:t xml:space="preserve"> </w:t>
      </w:r>
      <w:r>
        <w:t xml:space="preserve">the availability of clean fuels at the time of arrival).</w:t>
      </w:r>
      <w:r>
        <w:br/>
      </w:r>
      <w:r>
        <w:t xml:space="preserve">• PM13: Require the exchange of information with IWT ports according to new technical</w:t>
      </w:r>
      <w:r>
        <w:t xml:space="preserve"> </w:t>
      </w:r>
      <w:r>
        <w:t xml:space="preserve">specifications. The difference of this measure with PM12 is that it will be now obligatory for</w:t>
      </w:r>
      <w:r>
        <w:t xml:space="preserve"> </w:t>
      </w:r>
      <w:r>
        <w:t xml:space="preserve">vessel operators to exchange information with inland ports through the provided systems.</w:t>
      </w:r>
      <w:r>
        <w:t xml:space="preserve"> </w:t>
      </w:r>
      <w:r>
        <w:t xml:space="preserve">• PM14: Improve the harmonisation between RIS and the information services for other modes of</w:t>
      </w:r>
      <w:r>
        <w:t xml:space="preserve"> </w:t>
      </w:r>
      <w:r>
        <w:t xml:space="preserve">transport (e.g. maritime). Currently the RIS Directive envisages continuity with other modal</w:t>
      </w:r>
      <w:r>
        <w:t xml:space="preserve"> </w:t>
      </w:r>
      <w:r>
        <w:t xml:space="preserve">traffic management services, in particular with maritime. However, no further details are</w:t>
      </w:r>
      <w:r>
        <w:t xml:space="preserve"> </w:t>
      </w:r>
      <w:r>
        <w:t xml:space="preserve">included, and no technical standard has been developed along these lines. Therefore, this</w:t>
      </w:r>
      <w:r>
        <w:t xml:space="preserve"> </w:t>
      </w:r>
      <w:r>
        <w:t xml:space="preserve">measure aims to strengthen the interoperability of RIS with other modes of transport, but not</w:t>
      </w:r>
      <w:r>
        <w:t xml:space="preserve"> </w:t>
      </w:r>
      <w:r>
        <w:t xml:space="preserve">create new or duplicate existing systems. The Directive will provide a clear reference to the</w:t>
      </w:r>
      <w:r>
        <w:t xml:space="preserve"> </w:t>
      </w:r>
      <w:r>
        <w:t xml:space="preserve">European Maritime Single Window environment (EMSWe) and introduce requirements for the</w:t>
      </w:r>
      <w:r>
        <w:t xml:space="preserve"> </w:t>
      </w:r>
      <w:r>
        <w:t xml:space="preserve">exchange of information with RIS (e.g. regarding the ETA of a vessel to the port), along with the</w:t>
      </w:r>
      <w:r>
        <w:t xml:space="preserve"> </w:t>
      </w:r>
      <w:r>
        <w:t xml:space="preserve">main principles and technical requirements for the links between the two systems. Similarly, a</w:t>
      </w:r>
      <w:r>
        <w:t xml:space="preserve"> </w:t>
      </w:r>
      <w:r>
        <w:t xml:space="preserve">provision will also be included for links of RIS with systems of other modes (to be indicated by</w:t>
      </w:r>
      <w:r>
        <w:t xml:space="preserve"> </w:t>
      </w:r>
      <w:r>
        <w:t xml:space="preserve">Member States). As identified in the PLATINA III project92 such connections are important for</w:t>
      </w:r>
      <w:r>
        <w:t xml:space="preserve"> </w:t>
      </w:r>
      <w:r>
        <w:t xml:space="preserve">the coordination of shipments and increasing the supply chain visibility for shippers and logistic</w:t>
      </w:r>
      <w:r>
        <w:t xml:space="preserve"> </w:t>
      </w:r>
      <w:r>
        <w:t xml:space="preserve">providers. The technical specifications will be developed by CESNI (in collaboration with the</w:t>
      </w:r>
      <w:r>
        <w:t xml:space="preserve"> </w:t>
      </w:r>
      <w:r>
        <w:t xml:space="preserve">standard setting entities for the other systems) and introduced through secondary legislation. A</w:t>
      </w:r>
      <w:r>
        <w:t xml:space="preserve"> </w:t>
      </w:r>
      <w:r>
        <w:t xml:space="preserve">common data exchange mechanism (such as application programming interfaces) will be</w:t>
      </w:r>
      <w:r>
        <w:t xml:space="preserve"> </w:t>
      </w:r>
      <w:r>
        <w:t xml:space="preserve">developed to enable both systems to access the data of one another. An important principle in</w:t>
      </w:r>
      <w:r>
        <w:t xml:space="preserve"> </w:t>
      </w:r>
      <w:r>
        <w:t xml:space="preserve">their development will be to anticipate the possibility for links with other systems in the future.</w:t>
      </w:r>
      <w:r>
        <w:br/>
      </w:r>
      <w:r>
        <w:t xml:space="preserve">• PM15: Require sharing of all necessary cross-border data for traffic and transport management</w:t>
      </w:r>
      <w:r>
        <w:t xml:space="preserve"> </w:t>
      </w:r>
      <w:r>
        <w:t xml:space="preserve">by the Member States. Currently not all information provided by vessel operators to authorities is</w:t>
      </w:r>
      <w:r>
        <w:t xml:space="preserve"> </w:t>
      </w:r>
      <w:r>
        <w:t xml:space="preserve">shared with the authorities of other Member States, which creates a challenge when crossing</w:t>
      </w:r>
      <w:r>
        <w:t xml:space="preserve"> </w:t>
      </w:r>
      <w:r>
        <w:t xml:space="preserve">borders as in many cases the information needs to be retransmitted. This measure would require</w:t>
      </w:r>
      <w:r>
        <w:t xml:space="preserve"> </w:t>
      </w:r>
      <w:r>
        <w:t xml:space="preserve">Member States to share cross-border all necessary data that is required for traffic and transport</w:t>
      </w:r>
      <w:r>
        <w:t xml:space="preserve"> </w:t>
      </w:r>
      <w:r>
        <w:t xml:space="preserve">management. This includes for example information provided by vessel operators regarding the</w:t>
      </w:r>
      <w:r>
        <w:t xml:space="preserve"> </w:t>
      </w:r>
      <w:r>
        <w:t xml:space="preserve">cargo, the position of the vessel, ERI information, but also the exchange of information between</w:t>
      </w:r>
      <w:r>
        <w:t xml:space="preserve"> </w:t>
      </w:r>
      <w:r>
        <w:t xml:space="preserve">authorities such as changes in the navigation parameters, limitations of traffic, speed, etc.</w:t>
      </w:r>
      <w:r>
        <w:t xml:space="preserve"> </w:t>
      </w:r>
      <w:r>
        <w:t xml:space="preserve">Member States will need to invest in digital tools, which will now be used to process reports.</w:t>
      </w:r>
      <w:r>
        <w:t xml:space="preserve"> </w:t>
      </w:r>
      <w:r>
        <w:t xml:space="preserve">Vessel operators will only be required to report once (e.g. for the cargo report), as when a border</w:t>
      </w:r>
      <w:r>
        <w:t xml:space="preserve"> </w:t>
      </w:r>
      <w:r>
        <w:t xml:space="preserve">is crossed the information will be exchanged between the authorities and not resubmitted by the</w:t>
      </w:r>
      <w:r>
        <w:t xml:space="preserve"> </w:t>
      </w:r>
      <w:r>
        <w:t xml:space="preserve">vessel operator.</w:t>
      </w:r>
    </w:p>
    <w:p>
      <w:pPr>
        <w:pStyle w:val="BodyText"/>
      </w:pPr>
      <w:r>
        <w:t xml:space="preserve">92 https://platina3.eu/download/economic-barriers-to-modal-</w:t>
      </w:r>
      <w:r>
        <w:t xml:space="preserve"> </w:t>
      </w:r>
      <w:r>
        <w:t xml:space="preserve">shift/?wpdmdl=1123&amp;refresh=65100c29521071695550505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• PM16: Specify more clearly the cases for exchange of personal data. Due to concerns express by</w:t>
      </w:r>
      <w:r>
        <w:t xml:space="preserve"> </w:t>
      </w:r>
      <w:r>
        <w:t xml:space="preserve">stakeholders on handling of personal data, and as it is not always clear on which basis the data is</w:t>
      </w:r>
      <w:r>
        <w:t xml:space="preserve"> </w:t>
      </w:r>
      <w:r>
        <w:t xml:space="preserve">being processed and whether this is allowed, authorities are reluctant to process and transmit</w:t>
      </w:r>
      <w:r>
        <w:t xml:space="preserve"> </w:t>
      </w:r>
      <w:r>
        <w:t xml:space="preserve">positioning information to other authorities. This in turn leads to resubmission of the information</w:t>
      </w:r>
      <w:r>
        <w:t xml:space="preserve"> </w:t>
      </w:r>
      <w:r>
        <w:t xml:space="preserve">by the vessel operators to different national authorities or refusal to share information. Under this</w:t>
      </w:r>
      <w:r>
        <w:t xml:space="preserve"> </w:t>
      </w:r>
      <w:r>
        <w:t xml:space="preserve">measure, the RIS Directive would provide more clarity on the specific cases and legal basis</w:t>
      </w:r>
      <w:r>
        <w:t xml:space="preserve"> </w:t>
      </w:r>
      <w:r>
        <w:t xml:space="preserve">where exchange of personal data would be justified (e.g. for reasons of safety, to streamline the</w:t>
      </w:r>
      <w:r>
        <w:t xml:space="preserve"> </w:t>
      </w:r>
      <w:r>
        <w:t xml:space="preserve">process, etc.). This measure is designed to work in complementarity with PM12, PM13 and</w:t>
      </w:r>
      <w:r>
        <w:t xml:space="preserve"> </w:t>
      </w:r>
      <w:r>
        <w:t xml:space="preserve">PM15 as it covers a specific case (personal data) that they do not. Member States would</w:t>
      </w:r>
      <w:r>
        <w:t xml:space="preserve"> </w:t>
      </w:r>
      <w:r>
        <w:t xml:space="preserve">therefore need to assess if personal data and accordingly consider how best to apply the</w:t>
      </w:r>
      <w:r>
        <w:t xml:space="preserve"> </w:t>
      </w:r>
      <w:r>
        <w:t xml:space="preserve">provisions of GDPR to ensure that RIS information is shared efficiently. They would have to</w:t>
      </w:r>
      <w:r>
        <w:t xml:space="preserve"> </w:t>
      </w:r>
      <w:r>
        <w:t xml:space="preserve">develop and maintain an application where the position of the vessel through AIS can be used for</w:t>
      </w:r>
      <w:r>
        <w:t xml:space="preserve"> </w:t>
      </w:r>
      <w:r>
        <w:t xml:space="preserve">port-related matters, such as berth management and collection of port fees, and benefit from a</w:t>
      </w:r>
      <w:r>
        <w:t xml:space="preserve"> </w:t>
      </w:r>
      <w:r>
        <w:t xml:space="preserve">simpler procedure of handing this information. Vessel operators will not be required to resubmit</w:t>
      </w:r>
      <w:r>
        <w:t xml:space="preserve"> </w:t>
      </w:r>
      <w:r>
        <w:t xml:space="preserve">information (unless there is a change).</w:t>
      </w:r>
      <w:r>
        <w:br/>
      </w:r>
      <w:r>
        <w:t xml:space="preserve">• PM17: Develop templates and standards for the exchange of personal data. The difference of</w:t>
      </w:r>
      <w:r>
        <w:t xml:space="preserve"> </w:t>
      </w:r>
      <w:r>
        <w:t xml:space="preserve">this measure with PM16 is that it goes beyond in that it will develop and mandate new standards</w:t>
      </w:r>
      <w:r>
        <w:t xml:space="preserve"> </w:t>
      </w:r>
      <w:r>
        <w:t xml:space="preserve">and technical specifications for the exchange of personal information when this is required by</w:t>
      </w:r>
      <w:r>
        <w:t xml:space="preserve"> </w:t>
      </w:r>
      <w:r>
        <w:t xml:space="preserve">national or international legislation. It will thus provide a further step of harmonisation. The roles</w:t>
      </w:r>
      <w:r>
        <w:t xml:space="preserve"> </w:t>
      </w:r>
      <w:r>
        <w:t xml:space="preserve">of all stakeholders is similar to that of PM16.</w:t>
      </w:r>
      <w:r>
        <w:br/>
      </w:r>
      <w:r>
        <w:t xml:space="preserve">Expected importance of measures</w:t>
      </w:r>
      <w:r>
        <w:t xml:space="preserve"> </w:t>
      </w:r>
      <w:r>
        <w:t xml:space="preserve">The importance of the measures is linked to the importance of the problem driver they address, as</w:t>
      </w:r>
      <w:r>
        <w:t xml:space="preserve"> </w:t>
      </w:r>
      <w:r>
        <w:t xml:space="preserve">well as their expected impact in addressing the driver. In this regard, ERDMS (PM6) and CESNI</w:t>
      </w:r>
      <w:r>
        <w:t xml:space="preserve"> </w:t>
      </w:r>
      <w:r>
        <w:t xml:space="preserve">(PM10) are the most important measures. As they are both supported by the stakeholders, they are</w:t>
      </w:r>
      <w:r>
        <w:t xml:space="preserve"> </w:t>
      </w:r>
      <w:r>
        <w:t xml:space="preserve">included in all policy options. The first is important as it will be the basis of accurate and up-to-date</w:t>
      </w:r>
      <w:r>
        <w:t xml:space="preserve"> </w:t>
      </w:r>
      <w:r>
        <w:t xml:space="preserve">basic information on the rivers and in a sense the “IT library” for the functioning of RIS. It will</w:t>
      </w:r>
      <w:r>
        <w:t xml:space="preserve"> </w:t>
      </w:r>
      <w:r>
        <w:t xml:space="preserve">contribute to addressing the lack of coherence of technical specifications and provide a basis for</w:t>
      </w:r>
      <w:r>
        <w:t xml:space="preserve"> </w:t>
      </w:r>
      <w:r>
        <w:t xml:space="preserve">links with the multimodal system. In addition, further developments in digitalisation and</w:t>
      </w:r>
      <w:r>
        <w:t xml:space="preserve"> </w:t>
      </w:r>
      <w:r>
        <w:t xml:space="preserve">information cannot take place unless this information is available (for example, an automated vessel</w:t>
      </w:r>
      <w:r>
        <w:t xml:space="preserve"> </w:t>
      </w:r>
      <w:r>
        <w:t xml:space="preserve">will require accurate information on the gap between river and a bridge in order to navigate safely).</w:t>
      </w:r>
      <w:r>
        <w:t xml:space="preserve"> </w:t>
      </w:r>
      <w:r>
        <w:t xml:space="preserve">PM10 is likewise of high importance as it will change the currently inefficient technical</w:t>
      </w:r>
      <w:r>
        <w:t xml:space="preserve"> </w:t>
      </w:r>
      <w:r>
        <w:t xml:space="preserve">specifications setting and adoption procedure and ensure that they updated more regularly. It is a</w:t>
      </w:r>
      <w:r>
        <w:t xml:space="preserve"> </w:t>
      </w:r>
      <w:r>
        <w:t xml:space="preserve">tried and tested measure as reference to CESNI technical specifications has already been</w:t>
      </w:r>
      <w:r>
        <w:t xml:space="preserve"> </w:t>
      </w:r>
      <w:r>
        <w:t xml:space="preserve">introduced by Directive (EU) 2016/1629 laying down technical requirements for inland waterway</w:t>
      </w:r>
      <w:r>
        <w:t xml:space="preserve"> </w:t>
      </w:r>
      <w:r>
        <w:t xml:space="preserve">vessels and by Directive (EU) 2017/2397 on the recognition of professional qualifications in inland</w:t>
      </w:r>
      <w:r>
        <w:t xml:space="preserve"> </w:t>
      </w:r>
      <w:r>
        <w:t xml:space="preserve">navigation. CESNI has been able to provide the necessary updates to these technical</w:t>
      </w:r>
      <w:r>
        <w:t xml:space="preserve"> </w:t>
      </w:r>
      <w:r>
        <w:t xml:space="preserve">specifications on average every two years, which is a significant improvement compared to the</w:t>
      </w:r>
      <w:r>
        <w:t xml:space="preserve"> </w:t>
      </w:r>
      <w:r>
        <w:t xml:space="preserve">current process for adoption of RIS technical specifications. Both these measures were considered</w:t>
      </w:r>
      <w:r>
        <w:t xml:space="preserve"> </w:t>
      </w:r>
      <w:r>
        <w:t xml:space="preserve">to have high potential to address the respective problem drivers by the sector experts in the</w:t>
      </w:r>
      <w:r>
        <w:t xml:space="preserve"> </w:t>
      </w:r>
      <w:r>
        <w:t xml:space="preserve">DINA/NAIADES expert group meeting.</w:t>
      </w:r>
      <w:r>
        <w:br/>
      </w:r>
      <w:r>
        <w:t xml:space="preserve">Among the other measures, the introduction of a RIS platform (PM9) is very important. It is an</w:t>
      </w:r>
      <w:r>
        <w:t xml:space="preserve"> </w:t>
      </w:r>
      <w:r>
        <w:t xml:space="preserve">existing EU funded project, providing reliable fairway, infrastructure, traffic and transport</w:t>
      </w:r>
      <w:r>
        <w:t xml:space="preserve"> </w:t>
      </w:r>
      <w:r>
        <w:t xml:space="preserve">information services, including route and transport planning, for the waterways of the partner</w:t>
      </w:r>
      <w:r>
        <w:t xml:space="preserve"> </w:t>
      </w:r>
      <w:r>
        <w:t xml:space="preserve">countries, as well as a common electronic reporting system. The system was developed voluntarily</w:t>
      </w:r>
      <w:r>
        <w:t xml:space="preserve"> </w:t>
      </w:r>
      <w:r>
        <w:t xml:space="preserve">by 13 Member States with inland waterways, with EU funding, and in 2023 it has entered its second</w:t>
      </w:r>
      <w:r>
        <w:t xml:space="preserve"> </w:t>
      </w:r>
      <w:r>
        <w:t xml:space="preserve">development stage. This measure will mandate the use application of RIS COMEX in all waterways</w:t>
      </w:r>
      <w:r>
        <w:t xml:space="preserve"> </w:t>
      </w:r>
      <w:r>
        <w:t xml:space="preserve">covered by the Directive. It will thus develop into the IT backbone for the provision of RIS and one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upon which the other measures introducing new requirements (e.g. the links with inland ports) will</w:t>
      </w:r>
      <w:r>
        <w:t xml:space="preserve"> </w:t>
      </w:r>
      <w:r>
        <w:t xml:space="preserve">be built. Vessel operators, national authorities and software providers will use this platform for all</w:t>
      </w:r>
      <w:r>
        <w:t xml:space="preserve"> </w:t>
      </w:r>
      <w:r>
        <w:t xml:space="preserve">RIS interactions in the daily operations. Vessel operators will have to interact with one single</w:t>
      </w:r>
      <w:r>
        <w:t xml:space="preserve"> </w:t>
      </w:r>
      <w:r>
        <w:t xml:space="preserve">system instead of each national one. By monitoring the flow and usage of RIS COMEX the</w:t>
      </w:r>
      <w:r>
        <w:t xml:space="preserve"> </w:t>
      </w:r>
      <w:r>
        <w:t xml:space="preserve">Commission will benefit of a set of indicators to monitor the performance of RIS (as explained also</w:t>
      </w:r>
      <w:r>
        <w:t xml:space="preserve"> </w:t>
      </w:r>
      <w:r>
        <w:t xml:space="preserve">in section 9). An important element is that by mandating the system, its operation and usage, a high</w:t>
      </w:r>
      <w:r>
        <w:t xml:space="preserve"> </w:t>
      </w:r>
      <w:r>
        <w:t xml:space="preserve">standard of harmonisation is ensured and coverage of the whole relevant network.</w:t>
      </w:r>
      <w:r>
        <w:t xml:space="preserve"> </w:t>
      </w:r>
      <w:r>
        <w:t xml:space="preserve">The complaint handling mechanism (PM2) is also an important measure in that it will provide a</w:t>
      </w:r>
      <w:r>
        <w:t xml:space="preserve"> </w:t>
      </w:r>
      <w:r>
        <w:t xml:space="preserve">path to identify and rectify problems in the implementation of the Directive and the secondary acts.</w:t>
      </w:r>
      <w:r>
        <w:t xml:space="preserve"> </w:t>
      </w:r>
      <w:r>
        <w:t xml:space="preserve">This will be done based on a bottom-up approach, at a Member State level, thus enhancing</w:t>
      </w:r>
      <w:r>
        <w:t xml:space="preserve"> </w:t>
      </w:r>
      <w:r>
        <w:t xml:space="preserve">subsidiarity. The Commission will benefit of an overview of the state of implementation.</w:t>
      </w:r>
      <w:r>
        <w:br/>
      </w:r>
      <w:r>
        <w:t xml:space="preserve">Finally, the need to support the integration of inland waterways into the multimodal supply chains</w:t>
      </w:r>
      <w:r>
        <w:t xml:space="preserve"> </w:t>
      </w:r>
      <w:r>
        <w:t xml:space="preserve">was identified as an important problem driver by the stakeholders. Two measures (i.e. adding new</w:t>
      </w:r>
      <w:r>
        <w:t xml:space="preserve"> </w:t>
      </w:r>
      <w:r>
        <w:t xml:space="preserve">technical specifications for navigation and voyage planning (PM4), as well as with the systems of</w:t>
      </w:r>
      <w:r>
        <w:t xml:space="preserve"> </w:t>
      </w:r>
      <w:r>
        <w:t xml:space="preserve">other modes (PM14)) address this problem driver. These measures aim to cover different aspects,</w:t>
      </w:r>
      <w:r>
        <w:t xml:space="preserve"> </w:t>
      </w:r>
      <w:r>
        <w:t xml:space="preserve">and in particular the exchange of cargo information, the smooth operation with the inland ports</w:t>
      </w:r>
      <w:r>
        <w:t xml:space="preserve"> </w:t>
      </w:r>
      <w:r>
        <w:t xml:space="preserve">(which are the transhipment centres for IWT cargo), and the direct links with other modes which</w:t>
      </w:r>
      <w:r>
        <w:t xml:space="preserve"> </w:t>
      </w:r>
      <w:r>
        <w:t xml:space="preserve">can help streamline operations in the supply chain as a whole.</w:t>
      </w:r>
      <w:r>
        <w:br/>
      </w:r>
      <w:r>
        <w:t xml:space="preserve">5.2.4 Description of the policy options</w:t>
      </w:r>
      <w:r>
        <w:t xml:space="preserve"> </w:t>
      </w:r>
      <w:r>
        <w:t xml:space="preserve">As explained in section 5.2.2, the measures were combined in three policy packages, which have</w:t>
      </w:r>
      <w:r>
        <w:t xml:space="preserve"> </w:t>
      </w:r>
      <w:r>
        <w:t xml:space="preserve">been designed to address all policy drivers and contribute to all policy objectives. They differ in the</w:t>
      </w:r>
      <w:r>
        <w:t xml:space="preserve"> </w:t>
      </w:r>
      <w:r>
        <w:t xml:space="preserve">level of ambition and obligations that they introduce. No alternative policy options or packages of</w:t>
      </w:r>
      <w:r>
        <w:t xml:space="preserve"> </w:t>
      </w:r>
      <w:r>
        <w:t xml:space="preserve">measures were suggested by stakeholders.</w:t>
      </w:r>
      <w:r>
        <w:br/>
      </w:r>
      <w:r>
        <w:t xml:space="preserve">Policy option A (PO-A)</w:t>
      </w:r>
      <w:r>
        <w:br/>
      </w:r>
      <w:r>
        <w:t xml:space="preserve">Policy option A proposes a basic update of the Directive addressing the basic identified</w:t>
      </w:r>
      <w:r>
        <w:t xml:space="preserve"> </w:t>
      </w:r>
      <w:r>
        <w:t xml:space="preserve">shortcomings but without changing the scope. The overall structure of RIS, as regards the</w:t>
      </w:r>
      <w:r>
        <w:t xml:space="preserve"> </w:t>
      </w:r>
      <w:r>
        <w:t xml:space="preserve">technology elements, and the way information is exchanged between stakeholders remains mainly</w:t>
      </w:r>
      <w:r>
        <w:t xml:space="preserve"> </w:t>
      </w:r>
      <w:r>
        <w:t xml:space="preserve">the same (such as described in section 1). Interpretative guidelines on the technical specifications</w:t>
      </w:r>
      <w:r>
        <w:t xml:space="preserve"> </w:t>
      </w:r>
      <w:r>
        <w:t xml:space="preserve">and their application by the Member States (PM1) play a central role, as a non-regulatory measure</w:t>
      </w:r>
      <w:r>
        <w:t xml:space="preserve"> </w:t>
      </w:r>
      <w:r>
        <w:t xml:space="preserve">in this policy option. An important new element is also the introduction of CESNI with a role in the</w:t>
      </w:r>
      <w:r>
        <w:t xml:space="preserve"> </w:t>
      </w:r>
      <w:r>
        <w:t xml:space="preserve">development of technical specifications (PM10). Member States will be required to increase the</w:t>
      </w:r>
      <w:r>
        <w:t xml:space="preserve"> </w:t>
      </w:r>
      <w:r>
        <w:t xml:space="preserve">frequency by which they provide updates to the ERDMS (PM6), as well as to set up a complaint</w:t>
      </w:r>
      <w:r>
        <w:t xml:space="preserve"> </w:t>
      </w:r>
      <w:r>
        <w:t xml:space="preserve">handling mechanism (PM2) for RIS users to report issues with the implementation to RIS (and will</w:t>
      </w:r>
      <w:r>
        <w:t xml:space="preserve"> </w:t>
      </w:r>
      <w:r>
        <w:t xml:space="preserve">need to report in turn to the European Commission on an annual basis). Cargo-related information</w:t>
      </w:r>
      <w:r>
        <w:t xml:space="preserve"> </w:t>
      </w:r>
      <w:r>
        <w:t xml:space="preserve">exchange will be encouraged through the eFTI mechanism (PM7). Finally, Member States will have</w:t>
      </w:r>
      <w:r>
        <w:t xml:space="preserve"> </w:t>
      </w:r>
      <w:r>
        <w:t xml:space="preserve">to assess (based on provided clarifications under PM16) the extent to which personal data are</w:t>
      </w:r>
      <w:r>
        <w:t xml:space="preserve"> </w:t>
      </w:r>
      <w:r>
        <w:t xml:space="preserve">concerned and ensure that they are processed in the appropriate way.</w:t>
      </w:r>
      <w:r>
        <w:br/>
      </w:r>
      <w:r>
        <w:t xml:space="preserve">In terms of addressing the different specific objectives, for SO1 (Ensure improved RIS data</w:t>
      </w:r>
      <w:r>
        <w:t xml:space="preserve"> </w:t>
      </w:r>
      <w:r>
        <w:t xml:space="preserve">availability, and harmonised standards), the harmonisation aspect will be tackled by the</w:t>
      </w:r>
      <w:r>
        <w:t xml:space="preserve"> </w:t>
      </w:r>
      <w:r>
        <w:t xml:space="preserve">interpretative guidelines (PM1), combined with the complaint handling mechanism (PM2) and the</w:t>
      </w:r>
      <w:r>
        <w:t xml:space="preserve"> </w:t>
      </w:r>
      <w:r>
        <w:t xml:space="preserve">development of technical specifications by CESNI (PM10), whose updates should also correct</w:t>
      </w:r>
      <w:r>
        <w:t xml:space="preserve"> </w:t>
      </w:r>
      <w:r>
        <w:t xml:space="preserve">possible issues (including unclarity) with existing technical specifications that affect harmonisation.</w:t>
      </w:r>
      <w:r>
        <w:t xml:space="preserve"> </w:t>
      </w:r>
      <w:r>
        <w:t xml:space="preserve">Data availability will be tackled by the requirement to Member States to provide frequent updates to</w:t>
      </w:r>
      <w:r>
        <w:t xml:space="preserve"> </w:t>
      </w:r>
      <w:r>
        <w:t xml:space="preserve">the ERDMS database (PM6). For SO2 (Facilitate the integration of IWT into the multimodal chain),</w:t>
      </w:r>
      <w:r>
        <w:t xml:space="preserve"> </w:t>
      </w:r>
      <w:r>
        <w:t xml:space="preserve">an up-to-date ERDMS database (PM6) is important to ensure that the latest information required for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the performance of IWT is available. Providing the cargo information through an eFTI platform,</w:t>
      </w:r>
      <w:r>
        <w:t xml:space="preserve"> </w:t>
      </w:r>
      <w:r>
        <w:t xml:space="preserve">even on voluntary basis by the vessel operators (PM7), sets the basis for this information to be re-</w:t>
      </w:r>
      <w:r>
        <w:t xml:space="preserve"> </w:t>
      </w:r>
      <w:r>
        <w:t xml:space="preserve">used by authorities and other RIS users, as appropriate, in planning and organising logistic</w:t>
      </w:r>
      <w:r>
        <w:t xml:space="preserve"> </w:t>
      </w:r>
      <w:r>
        <w:t xml:space="preserve">operations. As regards SO3 (Ensure a higher uptake and interoperability of digital solutions, and</w:t>
      </w:r>
      <w:r>
        <w:t xml:space="preserve"> </w:t>
      </w:r>
      <w:r>
        <w:t xml:space="preserve">address data protection concerns), the option to exchange the cargo-required data through eFTI</w:t>
      </w:r>
      <w:r>
        <w:t xml:space="preserve"> </w:t>
      </w:r>
      <w:r>
        <w:t xml:space="preserve">(PM7) would be an important step towards an interoperability of digital systems in a multimodal</w:t>
      </w:r>
      <w:r>
        <w:t xml:space="preserve"> </w:t>
      </w:r>
      <w:r>
        <w:t xml:space="preserve">environment. Finally, PM16, as explained in section 5.2.3, is specifically designed to address the</w:t>
      </w:r>
      <w:r>
        <w:t xml:space="preserve"> </w:t>
      </w:r>
      <w:r>
        <w:t xml:space="preserve">data protection concerns, by guiding Member States to take appropriate action.</w:t>
      </w:r>
      <w:r>
        <w:br/>
      </w:r>
      <w:r>
        <w:t xml:space="preserve">Figure 10: RIS structure under PO-A</w:t>
      </w:r>
    </w:p>
    <w:p>
      <w:pPr>
        <w:pStyle w:val="BodyText"/>
      </w:pPr>
      <w:r>
        <w:t xml:space="preserve">Source: European Commission</w:t>
      </w:r>
      <w:r>
        <w:t xml:space="preserve"> </w:t>
      </w:r>
      <w:r>
        <w:t xml:space="preserve">Policy option B (PO-B)</w:t>
      </w:r>
      <w:r>
        <w:br/>
      </w:r>
      <w:r>
        <w:t xml:space="preserve">Policy option B, retains several measures from PO-A like the complaint mechanism (PM2),</w:t>
      </w:r>
      <w:r>
        <w:t xml:space="preserve"> </w:t>
      </w:r>
      <w:r>
        <w:t xml:space="preserve">ERDMS requirement (PM6), CESNI (PM10) and the clarification regarding personal data (PM16).</w:t>
      </w:r>
      <w:r>
        <w:t xml:space="preserve"> </w:t>
      </w:r>
      <w:r>
        <w:t xml:space="preserve">However, it goes beyond PO-A by adding elements on key areas of the Directive. It introduces an</w:t>
      </w:r>
      <w:r>
        <w:t xml:space="preserve"> </w:t>
      </w:r>
      <w:r>
        <w:t xml:space="preserve">important change in the architecture of RIS, as it brings RIS COMEX (PM9) as the central node for</w:t>
      </w:r>
      <w:r>
        <w:t xml:space="preserve"> </w:t>
      </w:r>
      <w:r>
        <w:t xml:space="preserve">the exchange of information and the provision of services. Unlike the baseline and PO-A,</w:t>
      </w:r>
      <w:r>
        <w:t xml:space="preserve"> </w:t>
      </w:r>
      <w:r>
        <w:t xml:space="preserve">information now is not exchanged directly between the different users (like the vessel operator with</w:t>
      </w:r>
      <w:r>
        <w:t xml:space="preserve"> </w:t>
      </w:r>
      <w:r>
        <w:t xml:space="preserve">inland ports) but it is done through the platforms and functionalities of RIS COMEX. New technical</w:t>
      </w:r>
      <w:r>
        <w:t xml:space="preserve"> </w:t>
      </w:r>
      <w:r>
        <w:t xml:space="preserve">specifications on navigation and voyage planning (PM4), that are currently missing, are introduced</w:t>
      </w:r>
      <w:r>
        <w:t xml:space="preserve"> </w:t>
      </w:r>
      <w:r>
        <w:t xml:space="preserve">and will provide additional information to vessel operators. The exchange of information takes also</w:t>
      </w:r>
      <w:r>
        <w:t xml:space="preserve"> </w:t>
      </w:r>
      <w:r>
        <w:t xml:space="preserve">a more prominent role. The reporting of cargo information through eFTI becomes mandatory for</w:t>
      </w:r>
      <w:r>
        <w:t xml:space="preserve"> </w:t>
      </w:r>
      <w:r>
        <w:t xml:space="preserve">vessel operators (PM8), who will now also have the option to exchange operational information</w:t>
      </w:r>
      <w:r>
        <w:t xml:space="preserve"> </w:t>
      </w:r>
      <w:r>
        <w:t xml:space="preserve">electronically with inland ports (PM12). The exchange of operational information will also be</w:t>
      </w:r>
      <w:r>
        <w:t xml:space="preserve"> </w:t>
      </w:r>
      <w:r>
        <w:t xml:space="preserve">possible with other modes of transport (PM14). RIS will focus on the most important waterways as</w:t>
      </w:r>
      <w:r>
        <w:t xml:space="preserve"> </w:t>
      </w:r>
      <w:r>
        <w:t xml:space="preserve">its scope will match that of the TEN-T waterways (PM11).</w:t>
      </w:r>
      <w:r>
        <w:br/>
      </w:r>
      <w:r>
        <w:t xml:space="preserve">In terms of addressing the different specific objectives, for SO1 (Ensure improved RIS data</w:t>
      </w:r>
      <w:r>
        <w:t xml:space="preserve"> </w:t>
      </w:r>
      <w:r>
        <w:t xml:space="preserve">availability, and harmonised standards), on top of PM2, PM6 and PM10 (discussed under PO-A),</w:t>
      </w:r>
      <w:r>
        <w:t xml:space="preserve"> </w:t>
      </w:r>
      <w:r>
        <w:t xml:space="preserve">vessel operators will have access to more information regarding the situation in the waterways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(PM4), while RIS COMEX (PM9) will provide a single platform for information, replacing the</w:t>
      </w:r>
      <w:r>
        <w:t xml:space="preserve"> </w:t>
      </w:r>
      <w:r>
        <w:t xml:space="preserve">need to refer to several national ones. For SO2 (Facilitate the integration of IWT into the</w:t>
      </w:r>
      <w:r>
        <w:t xml:space="preserve"> </w:t>
      </w:r>
      <w:r>
        <w:t xml:space="preserve">multimodal chain), measures PM4, PM6 and PM9 also contribute (in addition to addressing SO1).</w:t>
      </w:r>
      <w:r>
        <w:t xml:space="preserve"> </w:t>
      </w:r>
      <w:r>
        <w:t xml:space="preserve">The voluntary exchange of information with inland ports (PM12) will allow those vessel operators</w:t>
      </w:r>
      <w:r>
        <w:t xml:space="preserve"> </w:t>
      </w:r>
      <w:r>
        <w:t xml:space="preserve">that chose this option to exchange information necessary for logistic operations. This is also the case</w:t>
      </w:r>
      <w:r>
        <w:t xml:space="preserve"> </w:t>
      </w:r>
      <w:r>
        <w:t xml:space="preserve">of standards and links with other modes in PM14. The mandatory reporting of cargo information</w:t>
      </w:r>
      <w:r>
        <w:t xml:space="preserve"> </w:t>
      </w:r>
      <w:r>
        <w:t xml:space="preserve">through eFTI for vessel operators (PM8) will also contribute towards ensuring improved RIS data</w:t>
      </w:r>
      <w:r>
        <w:t xml:space="preserve"> </w:t>
      </w:r>
      <w:r>
        <w:t xml:space="preserve">availability. Furthermore, by ensuring that the scope is the same as for the TEN-T, focus is put on</w:t>
      </w:r>
      <w:r>
        <w:t xml:space="preserve"> </w:t>
      </w:r>
      <w:r>
        <w:t xml:space="preserve">multimodal operations. Finally, for SO3 (Ensure a higher uptake and interoperability of digital</w:t>
      </w:r>
      <w:r>
        <w:t xml:space="preserve"> </w:t>
      </w:r>
      <w:r>
        <w:t xml:space="preserve">solutions, and address data protection concerns) in addition to PM8 (as the mandatory version of</w:t>
      </w:r>
      <w:r>
        <w:t xml:space="preserve"> </w:t>
      </w:r>
      <w:r>
        <w:t xml:space="preserve">PM7), and PM16 (already included in PO-A), the use of RIS COMEX (PM9) will create a single</w:t>
      </w:r>
      <w:r>
        <w:t xml:space="preserve"> </w:t>
      </w:r>
      <w:r>
        <w:t xml:space="preserve">platform simplifying the interaction with digital systems. The links with inland ports (PM12) and</w:t>
      </w:r>
      <w:r>
        <w:t xml:space="preserve"> </w:t>
      </w:r>
      <w:r>
        <w:t xml:space="preserve">other modes (PM14), as described in section 5.2.3, are specifically designed to increase</w:t>
      </w:r>
      <w:r>
        <w:t xml:space="preserve"> </w:t>
      </w:r>
      <w:r>
        <w:t xml:space="preserve">interoperability.</w:t>
      </w:r>
      <w:r>
        <w:br/>
      </w:r>
      <w:r>
        <w:t xml:space="preserve">Figure 11: RIS structure under PO-B</w:t>
      </w:r>
    </w:p>
    <w:p>
      <w:pPr>
        <w:pStyle w:val="BodyText"/>
      </w:pPr>
      <w:r>
        <w:t xml:space="preserve">Source: European Commission. Note: RIS COMEX includes also RIS COMEX 2 and all applications such as</w:t>
      </w:r>
      <w:r>
        <w:t xml:space="preserve"> </w:t>
      </w:r>
      <w:r>
        <w:t xml:space="preserve">EuRIS and CEERIS</w:t>
      </w:r>
      <w:r>
        <w:t xml:space="preserve"> </w:t>
      </w:r>
      <w:r>
        <w:t xml:space="preserve">Policy option C (PO-C)</w:t>
      </w:r>
      <w:r>
        <w:t xml:space="preserve"> </w:t>
      </w:r>
      <w:r>
        <w:t xml:space="preserve">Policy option C adds two mandatory measures to PO-B, namely the electronic voyage planning</w:t>
      </w:r>
      <w:r>
        <w:t xml:space="preserve"> </w:t>
      </w:r>
      <w:r>
        <w:t xml:space="preserve">(PM5) and the exchange of data with inland ports (PM13), which introduce a new framework for</w:t>
      </w:r>
      <w:r>
        <w:t xml:space="preserve"> </w:t>
      </w:r>
      <w:r>
        <w:t xml:space="preserve">traffic management and for technical developments such as digitalisation and automation. It also</w:t>
      </w:r>
      <w:r>
        <w:t xml:space="preserve"> </w:t>
      </w:r>
      <w:r>
        <w:t xml:space="preserve">introduces a new Performance Measurement Framework (PM13).</w:t>
      </w:r>
      <w:r>
        <w:t xml:space="preserve"> </w:t>
      </w:r>
      <w:r>
        <w:t xml:space="preserve">In terms of addressing the specific objectives, for SO1 (Ensure improved RIS data availability, and</w:t>
      </w:r>
      <w:r>
        <w:t xml:space="preserve"> </w:t>
      </w:r>
      <w:r>
        <w:t xml:space="preserve">harmonised standards), PO-C includes several policy measures as in PO-B (PM4, PM6, PM9 and</w:t>
      </w:r>
      <w:r>
        <w:t xml:space="preserve"> </w:t>
      </w:r>
      <w:r>
        <w:t xml:space="preserve">PM10). In addition, the introduction of a performance measurement framework (PM3), to control</w:t>
      </w:r>
      <w:r>
        <w:t xml:space="preserve"> </w:t>
      </w:r>
      <w:r>
        <w:t xml:space="preserve">the performance of RIS in a top-down approach, is proposed instead of the bottom-up approach</w:t>
      </w:r>
      <w:r>
        <w:t xml:space="preserve"> </w:t>
      </w:r>
      <w:r>
        <w:t xml:space="preserve">used in the complaint handling mechanism (PM2 under PO-A and PO-B). A new requirement on</w:t>
      </w:r>
      <w:r>
        <w:t xml:space="preserve"> </w:t>
      </w:r>
      <w:r>
        <w:t xml:space="preserve">electronic voyage plan reporting (PM5) will provide additional information on the current and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expected traffic in the waterways and allow national authorities to plan waterway traffic. For SO2</w:t>
      </w:r>
      <w:r>
        <w:t xml:space="preserve"> </w:t>
      </w:r>
      <w:r>
        <w:t xml:space="preserve">(Facilitate the integration of IWT into the multimodal chain), measures PM4, PM6, PM8, PM9,</w:t>
      </w:r>
      <w:r>
        <w:t xml:space="preserve"> </w:t>
      </w:r>
      <w:r>
        <w:t xml:space="preserve">PM11 and PM14 will perform the same way as for PO-B. A significant change is that now vessel</w:t>
      </w:r>
      <w:r>
        <w:t xml:space="preserve"> </w:t>
      </w:r>
      <w:r>
        <w:t xml:space="preserve">operators will be required to electronically exchange operational information with inland ports</w:t>
      </w:r>
      <w:r>
        <w:t xml:space="preserve"> </w:t>
      </w:r>
      <w:r>
        <w:t xml:space="preserve">(PM13); this was voluntary under PM12 in PO-B. Moreover, the requirement for Member States to</w:t>
      </w:r>
      <w:r>
        <w:t xml:space="preserve"> </w:t>
      </w:r>
      <w:r>
        <w:t xml:space="preserve">share cross border data for traffic and transport management purposes (PM15) would directly</w:t>
      </w:r>
      <w:r>
        <w:t xml:space="preserve"> </w:t>
      </w:r>
      <w:r>
        <w:t xml:space="preserve">facilitate the exchange of data not only within IWT, but also unlock potential for other modes. The</w:t>
      </w:r>
      <w:r>
        <w:t xml:space="preserve"> </w:t>
      </w:r>
      <w:r>
        <w:t xml:space="preserve">electronic voyage planning (PM5) will also contribute towards SO2. Finally, for SO3 (Ensure a</w:t>
      </w:r>
      <w:r>
        <w:t xml:space="preserve"> </w:t>
      </w:r>
      <w:r>
        <w:t xml:space="preserve">higher uptake and interoperability of digital solutions, and address data protection concerns), on</w:t>
      </w:r>
      <w:r>
        <w:t xml:space="preserve"> </w:t>
      </w:r>
      <w:r>
        <w:t xml:space="preserve">top of the measures discussed under PO-B (PM8, PM9 and PM14), by moving from a voluntary to</w:t>
      </w:r>
      <w:r>
        <w:t xml:space="preserve"> </w:t>
      </w:r>
      <w:r>
        <w:t xml:space="preserve">a mandatory exchange of information with inland ports (PM13) will force, by design, vessel</w:t>
      </w:r>
      <w:r>
        <w:t xml:space="preserve"> </w:t>
      </w:r>
      <w:r>
        <w:t xml:space="preserve">operators to take up this application. Mandating the cross-border sharing of data for traffic and</w:t>
      </w:r>
      <w:r>
        <w:t xml:space="preserve"> </w:t>
      </w:r>
      <w:r>
        <w:t xml:space="preserve">transport management purposes (PM15) will force Member States to use electronic applications for</w:t>
      </w:r>
      <w:r>
        <w:t xml:space="preserve"> </w:t>
      </w:r>
      <w:r>
        <w:t xml:space="preserve">this exchange. In addition, in relation to data protection PO-C would introduce specific templates</w:t>
      </w:r>
      <w:r>
        <w:t xml:space="preserve"> </w:t>
      </w:r>
      <w:r>
        <w:t xml:space="preserve">and standards for the exchange of personal information (PM17) within RIS (compared to simple</w:t>
      </w:r>
      <w:r>
        <w:t xml:space="preserve"> </w:t>
      </w:r>
      <w:r>
        <w:t xml:space="preserve">clarifications as in PM16 under PO-A and PO-B).</w:t>
      </w:r>
      <w:r>
        <w:t xml:space="preserve"> </w:t>
      </w:r>
      <w:r>
        <w:t xml:space="preserve">Figure 12: RIS structure under PO-C</w:t>
      </w:r>
    </w:p>
    <w:p>
      <w:pPr>
        <w:pStyle w:val="BodyText"/>
      </w:pPr>
      <w:r>
        <w:t xml:space="preserve">Source: European Commission. Note: RIS COMEX includes also RIS COMEX 2 and all applications such as</w:t>
      </w:r>
      <w:r>
        <w:t xml:space="preserve"> </w:t>
      </w:r>
      <w:r>
        <w:t xml:space="preserve">EuRIS and CEERIS.</w:t>
      </w:r>
      <w:r>
        <w:t xml:space="preserve"> </w:t>
      </w:r>
      <w:r>
        <w:t xml:space="preserve">6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This section summarizes the main expected economic, social and environmental impacts of each</w:t>
      </w:r>
      <w:r>
        <w:t xml:space="preserve"> </w:t>
      </w:r>
      <w:r>
        <w:t xml:space="preserve">policy option (PO)93. The proposed measures included in the policy options are assumed to be</w:t>
      </w:r>
      <w:r>
        <w:t xml:space="preserve"> </w:t>
      </w:r>
      <w:r>
        <w:t xml:space="preserve">implemented from 2025 onwards, so that the assessment has been undertaken for the 2025-2050</w:t>
      </w:r>
      <w:r>
        <w:t xml:space="preserve"> </w:t>
      </w:r>
      <w:r>
        <w:t xml:space="preserve">period, and it refers to EU27. Costs and benefits are expressed as present value over the 2025-2050</w:t>
      </w:r>
    </w:p>
    <w:p>
      <w:pPr>
        <w:pStyle w:val="BodyText"/>
      </w:pPr>
      <w:r>
        <w:t xml:space="preserve">93 The analysis in this section is based on Ramboll et al. (2024), Impact assessment support study.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period, using a 3% discount rate. All costs and benefits are expressed in 2022 prices. Further details</w:t>
      </w:r>
      <w:r>
        <w:t xml:space="preserve"> </w:t>
      </w:r>
      <w:r>
        <w:t xml:space="preserve">on the methodological approach are provided in Annex 4.</w:t>
      </w:r>
      <w:r>
        <w:t xml:space="preserve"> </w:t>
      </w:r>
      <w:r>
        <w:t xml:space="preserve">6.1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This section provides the economic impacts of the policy options on the national public authorities,</w:t>
      </w:r>
      <w:r>
        <w:t xml:space="preserve"> </w:t>
      </w:r>
      <w:r>
        <w:t xml:space="preserve">the European Commission and the private sector (vessel operators and RIS software services</w:t>
      </w:r>
      <w:r>
        <w:t xml:space="preserve"> </w:t>
      </w:r>
      <w:r>
        <w:t xml:space="preserve">providers). It also provides an assessment of impacts on small and medium enterprises (SMEs), the</w:t>
      </w:r>
      <w:r>
        <w:t xml:space="preserve"> </w:t>
      </w:r>
      <w:r>
        <w:t xml:space="preserve">functioning of the internal market and competition, competitiveness, digital by default, congestion</w:t>
      </w:r>
      <w:r>
        <w:t xml:space="preserve"> </w:t>
      </w:r>
      <w:r>
        <w:t xml:space="preserve">and territorial impacts. The assessment of economic impacts draws on multiple data sources,</w:t>
      </w:r>
      <w:r>
        <w:t xml:space="preserve"> </w:t>
      </w:r>
      <w:r>
        <w:t xml:space="preserve">including the targeted stakeholders’ consultation (interviews and survey) and public consultation,</w:t>
      </w:r>
      <w:r>
        <w:t xml:space="preserve"> </w:t>
      </w:r>
      <w:r>
        <w:t xml:space="preserve">and findings from desk research in the context of the impact assessment support study94.</w:t>
      </w:r>
      <w:r>
        <w:t xml:space="preserve"> </w:t>
      </w:r>
      <w:r>
        <w:t xml:space="preserve">6.1.1 Impact on national public authorities</w:t>
      </w:r>
      <w:r>
        <w:t xml:space="preserve"> </w:t>
      </w:r>
      <w:r>
        <w:t xml:space="preserve">National public authorities include all Member States’ bodies responsible for ensuring the</w:t>
      </w:r>
      <w:r>
        <w:t xml:space="preserve"> </w:t>
      </w:r>
      <w:r>
        <w:t xml:space="preserve">implementation of RIS. All policy options are expected to lead to adjustment costs, administrative</w:t>
      </w:r>
      <w:r>
        <w:t xml:space="preserve"> </w:t>
      </w:r>
      <w:r>
        <w:t xml:space="preserve">costs and administrative cost savings for national authorities (see Table 3 and Table 4). Each</w:t>
      </w:r>
      <w:r>
        <w:t xml:space="preserve"> </w:t>
      </w:r>
      <w:r>
        <w:t xml:space="preserve">category of costs/costs savings is discussed below, while a detailed analysis including the estimates</w:t>
      </w:r>
      <w:r>
        <w:t xml:space="preserve"> </w:t>
      </w:r>
      <w:r>
        <w:t xml:space="preserve">and the assumptions used for deriving the costs and costs savings for each policy measure included</w:t>
      </w:r>
      <w:r>
        <w:t xml:space="preserve"> </w:t>
      </w:r>
      <w:r>
        <w:t xml:space="preserve">in the policy options is provided in Annex 4. Summary tables by policy option and policy measure,</w:t>
      </w:r>
      <w:r>
        <w:t xml:space="preserve"> </w:t>
      </w:r>
      <w:r>
        <w:t xml:space="preserve">for 2030, 2040 and 2050 and expressed as present value over 2025-2050 relative to the baseline are</w:t>
      </w:r>
      <w:r>
        <w:t xml:space="preserve"> </w:t>
      </w:r>
      <w:r>
        <w:t xml:space="preserve">also provided in section 3 of Annex 4.</w:t>
      </w:r>
      <w:r>
        <w:t xml:space="preserve"> </w:t>
      </w:r>
      <w:r>
        <w:t xml:space="preserve">One-off adjustment costs for national public authorities. All policy options are expected to lead to</w:t>
      </w:r>
      <w:r>
        <w:t xml:space="preserve"> </w:t>
      </w:r>
      <w:r>
        <w:t xml:space="preserve">one-off adjustment costs for the national administrations (see Table 3). In PO-A these cover</w:t>
      </w:r>
      <w:r>
        <w:t xml:space="preserve"> </w:t>
      </w:r>
      <w:r>
        <w:t xml:space="preserve">investment costs for setting up the complaint mechanism (PM2), investment costs for adapting</w:t>
      </w:r>
      <w:r>
        <w:t xml:space="preserve"> </w:t>
      </w:r>
      <w:r>
        <w:t xml:space="preserve">existing data flows so that RIS cargo-related information is linked with eFTI (PM7) and costs for</w:t>
      </w:r>
      <w:r>
        <w:t xml:space="preserve"> </w:t>
      </w:r>
      <w:r>
        <w:t xml:space="preserve">developing applications that would handle personal data (PM16), with a total cost estimated at EUR</w:t>
      </w:r>
      <w:r>
        <w:t xml:space="preserve"> </w:t>
      </w:r>
      <w:r>
        <w:t xml:space="preserve">5.6 million in 2025 relative to the baseline. More specifically, the costs for setting up the complaint</w:t>
      </w:r>
      <w:r>
        <w:t xml:space="preserve"> </w:t>
      </w:r>
      <w:r>
        <w:t xml:space="preserve">mechanism (PM2) would amount to EUR 2.76 million in 2025, which is three times the recurrent</w:t>
      </w:r>
      <w:r>
        <w:t xml:space="preserve"> </w:t>
      </w:r>
      <w:r>
        <w:t xml:space="preserve">annual costs for running the mechanism, based on the experience of European Maritime Safety</w:t>
      </w:r>
      <w:r>
        <w:t xml:space="preserve"> </w:t>
      </w:r>
      <w:r>
        <w:t xml:space="preserve">Agency for setting up the e-certificate registry. Regarding investment costs for adapting existing</w:t>
      </w:r>
      <w:r>
        <w:t xml:space="preserve"> </w:t>
      </w:r>
      <w:r>
        <w:t xml:space="preserve">data flows so that RIS cargo-related information is linked with eFTI (PM7), there are currently five</w:t>
      </w:r>
      <w:r>
        <w:t xml:space="preserve"> </w:t>
      </w:r>
      <w:r>
        <w:t xml:space="preserve">systems in place: BICS (the Netherlands), eRIBa (Belgium), VELI (France), NAMIB (Germany),</w:t>
      </w:r>
      <w:r>
        <w:t xml:space="preserve"> </w:t>
      </w:r>
      <w:r>
        <w:t xml:space="preserve">and CEERIS (Rest of Europe). Based on feedback from RIS authorities during the stakeholders’</w:t>
      </w:r>
      <w:r>
        <w:t xml:space="preserve"> </w:t>
      </w:r>
      <w:r>
        <w:t xml:space="preserve">consultation process, the investment costs for adjusting each of these systems are estimated at</w:t>
      </w:r>
      <w:r>
        <w:t xml:space="preserve"> </w:t>
      </w:r>
      <w:r>
        <w:t xml:space="preserve">around EUR 250,000 per system. Thus, the total one-off adjustment costs for PM7 would amount to</w:t>
      </w:r>
      <w:r>
        <w:t xml:space="preserve"> </w:t>
      </w:r>
      <w:r>
        <w:t xml:space="preserve">EUR 1.25 million in 2025, relative to the baseline. The investment costs for developing applications</w:t>
      </w:r>
      <w:r>
        <w:t xml:space="preserve"> </w:t>
      </w:r>
      <w:r>
        <w:t xml:space="preserve">that would handle personal data (PM16) are estimated at EUR 5,839 per port (in 2022 prices)95. For</w:t>
      </w:r>
      <w:r>
        <w:t xml:space="preserve"> </w:t>
      </w:r>
      <w:r>
        <w:t xml:space="preserve">the 265 ports, the total one-off costs due to PM16 would amount to EUR 1.55 million in 2025</w:t>
      </w:r>
      <w:r>
        <w:t xml:space="preserve"> </w:t>
      </w:r>
      <w:r>
        <w:t xml:space="preserve">relative to the baseline.</w:t>
      </w:r>
      <w:r>
        <w:t xml:space="preserve"> </w:t>
      </w:r>
      <w:r>
        <w:t xml:space="preserve">In addition, PO-B would require investments in hardware and software to gather and share</w:t>
      </w:r>
      <w:r>
        <w:t xml:space="preserve"> </w:t>
      </w:r>
      <w:r>
        <w:t xml:space="preserve">information for navigation and voyage planning (PM4), to implement new technical specifications</w:t>
      </w:r>
      <w:r>
        <w:t xml:space="preserve"> </w:t>
      </w:r>
      <w:r>
        <w:t xml:space="preserve">for the exchange of information with ports (PM12), and to integrate RIS information systems with</w:t>
      </w:r>
    </w:p>
    <w:p>
      <w:pPr>
        <w:pStyle w:val="BodyText"/>
      </w:pPr>
      <w:r>
        <w:t xml:space="preserve">94 Ramboll et al. (2024), Impact assessment support study.</w:t>
      </w:r>
      <w:r>
        <w:t xml:space="preserve"> </w:t>
      </w:r>
      <w:r>
        <w:t xml:space="preserve">95 Based on the DINA study (Source: European Commission (2017), Digital inland waterway areas. Towards a</w:t>
      </w:r>
      <w:r>
        <w:t xml:space="preserve"> </w:t>
      </w:r>
      <w:r>
        <w:t xml:space="preserve">digital inland waterway area and digital multimodal nodes – Final report).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information systems of other modes (PM14). For PM4, based on interviews with the Dutch</w:t>
      </w:r>
      <w:r>
        <w:t xml:space="preserve"> </w:t>
      </w:r>
      <w:r>
        <w:t xml:space="preserve">Directorate General for Public Works and Water Management (Rijkswaterstaat), the costs for the</w:t>
      </w:r>
      <w:r>
        <w:t xml:space="preserve"> </w:t>
      </w:r>
      <w:r>
        <w:t xml:space="preserve">Netherlands are estimated at EUR 500,000. Extrapolating to the other twelve Member States, based</w:t>
      </w:r>
      <w:r>
        <w:t xml:space="preserve"> </w:t>
      </w:r>
      <w:r>
        <w:t xml:space="preserve">on each country’s share of the network in terms of length and infrastructure elements such as locks</w:t>
      </w:r>
      <w:r>
        <w:t xml:space="preserve"> </w:t>
      </w:r>
      <w:r>
        <w:t xml:space="preserve">and bridges, the total one-off costs for PM4 are estimated at EUR 4.55 million relative to the</w:t>
      </w:r>
      <w:r>
        <w:t xml:space="preserve"> </w:t>
      </w:r>
      <w:r>
        <w:t xml:space="preserve">baseline. To implement new technical specifications for the exchange of information with ports</w:t>
      </w:r>
      <w:r>
        <w:t xml:space="preserve"> </w:t>
      </w:r>
      <w:r>
        <w:t xml:space="preserve">(PM12), investment costs per port are estimated at EUR 29,197 in 2022 prices, based on the DINA</w:t>
      </w:r>
      <w:r>
        <w:t xml:space="preserve"> </w:t>
      </w:r>
      <w:r>
        <w:t xml:space="preserve">study96. Assuming that all 54 core ports of the European TEN-T network for which no RIS data is</w:t>
      </w:r>
      <w:r>
        <w:t xml:space="preserve"> </w:t>
      </w:r>
      <w:r>
        <w:t xml:space="preserve">available would implement the new technical specifications, the total one-off costs due to PM12</w:t>
      </w:r>
      <w:r>
        <w:t xml:space="preserve"> </w:t>
      </w:r>
      <w:r>
        <w:t xml:space="preserve">would amount to EUR 1.58 million in 2025. For PM14, the IT investment costs are based on the</w:t>
      </w:r>
      <w:r>
        <w:t xml:space="preserve"> </w:t>
      </w:r>
      <w:r>
        <w:t xml:space="preserve">CoRISma project and are estimated at EUR 3.14 million relative to the baseline97.</w:t>
      </w:r>
      <w:r>
        <w:br/>
      </w:r>
      <w:r>
        <w:t xml:space="preserve">The compulsory connection with eFTI (PM8) is assumed to have the same cost as the optional</w:t>
      </w:r>
      <w:r>
        <w:t xml:space="preserve"> </w:t>
      </w:r>
      <w:r>
        <w:t xml:space="preserve">connection in PO-A (EUR 1.25 million), as the same digital requirements will apply. The inclusion</w:t>
      </w:r>
      <w:r>
        <w:t xml:space="preserve"> </w:t>
      </w:r>
      <w:r>
        <w:t xml:space="preserve">of new Member States in RIS COMEX (PM9) will also require some investment costs, estimated at</w:t>
      </w:r>
      <w:r>
        <w:t xml:space="preserve"> </w:t>
      </w:r>
      <w:r>
        <w:t xml:space="preserve">EUR 3.5 million. As a result, in PO-B the total one-off adjustment costs for national authorities are</w:t>
      </w:r>
      <w:r>
        <w:t xml:space="preserve"> </w:t>
      </w:r>
      <w:r>
        <w:t xml:space="preserve">estimated at EUR 18.3 million in 2025 relative to the baseline.</w:t>
      </w:r>
      <w:r>
        <w:br/>
      </w:r>
      <w:r>
        <w:t xml:space="preserve">PO-C has few common measures with PO-B (PM4, PM8, PM9 and PM14) that lead to the same</w:t>
      </w:r>
      <w:r>
        <w:t xml:space="preserve"> </w:t>
      </w:r>
      <w:r>
        <w:t xml:space="preserve">adjustment costs. In addition, in PO-C investment costs are needed for developing the software that</w:t>
      </w:r>
      <w:r>
        <w:t xml:space="preserve"> </w:t>
      </w:r>
      <w:r>
        <w:t xml:space="preserve">can process and convert the voyage plan notification messages from inland waterway operators into</w:t>
      </w:r>
      <w:r>
        <w:t xml:space="preserve"> </w:t>
      </w:r>
      <w:r>
        <w:t xml:space="preserve">accurate lock predictions (PM5) and for software to exchange information with the authorities of</w:t>
      </w:r>
      <w:r>
        <w:t xml:space="preserve"> </w:t>
      </w:r>
      <w:r>
        <w:t xml:space="preserve">other Member States (PM15). For PM5, building on estimates for the Netherlands from the Dutch</w:t>
      </w:r>
      <w:r>
        <w:t xml:space="preserve"> </w:t>
      </w:r>
      <w:r>
        <w:t xml:space="preserve">Directorate General for Public Works and Water Management (Rijkswaterstaat), the costs for the</w:t>
      </w:r>
      <w:r>
        <w:t xml:space="preserve"> </w:t>
      </w:r>
      <w:r>
        <w:t xml:space="preserve">other Member States have been derived based on the network usage and the size of the network in</w:t>
      </w:r>
      <w:r>
        <w:t xml:space="preserve"> </w:t>
      </w:r>
      <w:r>
        <w:t xml:space="preserve">each Member State, relative to that of the Netherlands. The one-off costs due to PM5 are estimated</w:t>
      </w:r>
      <w:r>
        <w:t xml:space="preserve"> </w:t>
      </w:r>
      <w:r>
        <w:t xml:space="preserve">at EUR 3.07 million in 2025 relative to the baseline. For PM15, investment costs are estimated at</w:t>
      </w:r>
      <w:r>
        <w:t xml:space="preserve"> </w:t>
      </w:r>
      <w:r>
        <w:t xml:space="preserve">EUR 5 million, based on comparable projects in the rail freight sector (ELETA and EDICT).</w:t>
      </w:r>
      <w:r>
        <w:t xml:space="preserve"> </w:t>
      </w:r>
      <w:r>
        <w:t xml:space="preserve">Compared to PO-B, mandating the exchange of information with ports (PM13)98 increases the total</w:t>
      </w:r>
      <w:r>
        <w:t xml:space="preserve"> </w:t>
      </w:r>
      <w:r>
        <w:t xml:space="preserve">costs compared to PM12, and similarly for the costs of development of personal data exchange</w:t>
      </w:r>
      <w:r>
        <w:t xml:space="preserve"> </w:t>
      </w:r>
      <w:r>
        <w:t xml:space="preserve">templates (PM1799 in PO-C, compared to PM16 in PO-A and PO-B).</w:t>
      </w:r>
      <w:r>
        <w:br/>
      </w:r>
      <w:r>
        <w:t xml:space="preserve">Thus, the one-off adjustment costs in PO-C are estimated to be the highest, at EUR 28.2 million in</w:t>
      </w:r>
      <w:r>
        <w:t xml:space="preserve"> </w:t>
      </w:r>
      <w:r>
        <w:t xml:space="preserve">2025 compared to the baseline, followed by PO-B (EUR 18.3 million) and PO-A (EUR 5.6</w:t>
      </w:r>
      <w:r>
        <w:t xml:space="preserve"> </w:t>
      </w:r>
      <w:r>
        <w:t xml:space="preserve">million).</w:t>
      </w:r>
      <w:r>
        <w:br/>
      </w:r>
      <w:r>
        <w:t xml:space="preserve">Table 3: One-off adjustment costs for national public authorities by policy option and measure in 2025,</w:t>
      </w:r>
      <w:r>
        <w:t xml:space="preserve"> </w:t>
      </w:r>
      <w:r>
        <w:t xml:space="preserve">relative to the baseline (in million EUR, in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PM2</w:t>
      </w:r>
      <w:r>
        <w:t xml:space="preserve"> </w:t>
      </w:r>
      <w:r>
        <w:t xml:space="preserve">2.76</w:t>
      </w:r>
      <w:r>
        <w:t xml:space="preserve"> </w:t>
      </w:r>
      <w:r>
        <w:t xml:space="preserve">2.76</w:t>
      </w:r>
      <w:r>
        <w:br/>
      </w:r>
      <w:r>
        <w:t xml:space="preserve">PM4</w:t>
      </w:r>
    </w:p>
    <w:p>
      <w:pPr>
        <w:pStyle w:val="BodyText"/>
      </w:pPr>
      <w:r>
        <w:t xml:space="preserve">4.55</w:t>
      </w:r>
      <w:r>
        <w:t xml:space="preserve"> </w:t>
      </w:r>
      <w:r>
        <w:t xml:space="preserve">4.55</w:t>
      </w:r>
    </w:p>
    <w:p>
      <w:pPr>
        <w:pStyle w:val="BodyText"/>
      </w:pPr>
      <w:r>
        <w:t xml:space="preserve">96 Source: European Commission (2017), Digital inland waterway areas. Towards a digital inland waterway area</w:t>
      </w:r>
      <w:r>
        <w:t xml:space="preserve"> </w:t>
      </w:r>
      <w:r>
        <w:t xml:space="preserve">and digital multimodal nodes – Final report.</w:t>
      </w:r>
      <w:r>
        <w:br/>
      </w:r>
      <w:r>
        <w:t xml:space="preserve">97 CoRISMa was a TEN-T project running between January 2014 and December 2015 that studied and defined</w:t>
      </w:r>
      <w:r>
        <w:t xml:space="preserve"> </w:t>
      </w:r>
      <w:r>
        <w:t xml:space="preserve">the next steps in the development of RIS.</w:t>
      </w:r>
      <w:r>
        <w:t xml:space="preserve"> </w:t>
      </w:r>
      <w:r>
        <w:t xml:space="preserve">98 The investment costs per port are the same as in PM12, estimated at EUR 29,197 in 2022 prices. However, in</w:t>
      </w:r>
      <w:r>
        <w:t xml:space="preserve"> </w:t>
      </w:r>
      <w:r>
        <w:t xml:space="preserve">PM13 they apply to 169 ports.</w:t>
      </w:r>
      <w:r>
        <w:t xml:space="preserve"> </w:t>
      </w:r>
      <w:r>
        <w:t xml:space="preserve">99 The investment costs for such an application are estimated at EUR 10,219 per port (in 2022 prices) based on</w:t>
      </w:r>
      <w:r>
        <w:t xml:space="preserve"> </w:t>
      </w:r>
      <w:r>
        <w:t xml:space="preserve">the DINA study. The total one-off adjustments costs for all 265 ports are thus estimated at EUR 2.71 million.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3.07</w:t>
      </w:r>
      <w:r>
        <w:t xml:space="preserve"> </w:t>
      </w:r>
      <w:r>
        <w:t xml:space="preserve">PM7</w:t>
      </w:r>
      <w:r>
        <w:t xml:space="preserve"> </w:t>
      </w:r>
      <w:r>
        <w:t xml:space="preserve">1.25</w:t>
      </w:r>
    </w:p>
    <w:p>
      <w:pPr>
        <w:pStyle w:val="BodyText"/>
      </w:pPr>
      <w:r>
        <w:t xml:space="preserve">PM8</w:t>
      </w:r>
    </w:p>
    <w:p>
      <w:pPr>
        <w:pStyle w:val="BodyText"/>
      </w:pPr>
      <w:r>
        <w:t xml:space="preserve">1.25</w:t>
      </w:r>
      <w:r>
        <w:t xml:space="preserve"> </w:t>
      </w:r>
      <w:r>
        <w:t xml:space="preserve">1.25</w:t>
      </w:r>
      <w:r>
        <w:t xml:space="preserve"> </w:t>
      </w:r>
      <w:r>
        <w:t xml:space="preserve">PM9</w:t>
      </w:r>
    </w:p>
    <w:p>
      <w:pPr>
        <w:pStyle w:val="BodyText"/>
      </w:pPr>
      <w:r>
        <w:t xml:space="preserve">3.50</w:t>
      </w:r>
      <w:r>
        <w:t xml:space="preserve"> </w:t>
      </w:r>
      <w:r>
        <w:t xml:space="preserve">3.50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1.58</w:t>
      </w:r>
      <w:r>
        <w:br/>
      </w:r>
      <w:r>
        <w:t xml:space="preserve">PM13</w:t>
      </w:r>
    </w:p>
    <w:p>
      <w:pPr>
        <w:pStyle w:val="BodyText"/>
      </w:pPr>
      <w:r>
        <w:t xml:space="preserve">4.93</w:t>
      </w:r>
      <w:r>
        <w:t xml:space="preserve"> </w:t>
      </w:r>
      <w:r>
        <w:t xml:space="preserve">PM14</w:t>
      </w:r>
    </w:p>
    <w:p>
      <w:pPr>
        <w:pStyle w:val="BodyText"/>
      </w:pPr>
      <w:r>
        <w:t xml:space="preserve">3.14</w:t>
      </w:r>
      <w:r>
        <w:t xml:space="preserve"> </w:t>
      </w:r>
      <w:r>
        <w:t xml:space="preserve">3.14</w:t>
      </w:r>
      <w:r>
        <w:t xml:space="preserve"> </w:t>
      </w:r>
      <w:r>
        <w:t xml:space="preserve">PM15</w:t>
      </w:r>
    </w:p>
    <w:p>
      <w:pPr>
        <w:pStyle w:val="BodyText"/>
      </w:pPr>
      <w:r>
        <w:t xml:space="preserve">5.00</w:t>
      </w:r>
      <w:r>
        <w:t xml:space="preserve"> </w:t>
      </w:r>
      <w:r>
        <w:t xml:space="preserve">PM16</w:t>
      </w:r>
      <w:r>
        <w:t xml:space="preserve"> </w:t>
      </w:r>
      <w:r>
        <w:t xml:space="preserve">1.55</w:t>
      </w:r>
      <w:r>
        <w:t xml:space="preserve"> </w:t>
      </w:r>
      <w:r>
        <w:t xml:space="preserve">1.55</w:t>
      </w:r>
      <w:r>
        <w:br/>
      </w:r>
      <w:r>
        <w:t xml:space="preserve">PM17</w:t>
      </w:r>
    </w:p>
    <w:p>
      <w:pPr>
        <w:pStyle w:val="BodyText"/>
      </w:pPr>
      <w:r>
        <w:t xml:space="preserve">2.71</w:t>
      </w:r>
      <w:r>
        <w:t xml:space="preserve"> </w:t>
      </w:r>
      <w:r>
        <w:t xml:space="preserve">Total one-off adjustment costs</w:t>
      </w:r>
      <w:r>
        <w:t xml:space="preserve"> </w:t>
      </w:r>
      <w:r>
        <w:t xml:space="preserve">5.56</w:t>
      </w:r>
      <w:r>
        <w:t xml:space="preserve"> </w:t>
      </w:r>
      <w:r>
        <w:t xml:space="preserve">18.33</w:t>
      </w:r>
      <w:r>
        <w:t xml:space="preserve"> </w:t>
      </w:r>
      <w:r>
        <w:t xml:space="preserve">28.15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Recurrent administrative costs for national public authorities. Under all policy options (see Table</w:t>
      </w:r>
      <w:r>
        <w:t xml:space="preserve"> </w:t>
      </w:r>
      <w:r>
        <w:t xml:space="preserve">4), Member States will need to provide the information required by the RIS Directive to the</w:t>
      </w:r>
      <w:r>
        <w:t xml:space="preserve"> </w:t>
      </w:r>
      <w:r>
        <w:t xml:space="preserve">ERDMS (PM6). For the Netherlands, PM6 is estimated to require additional 1.5 full time</w:t>
      </w:r>
      <w:r>
        <w:t xml:space="preserve"> </w:t>
      </w:r>
      <w:r>
        <w:t xml:space="preserve">equivalents (FTE) relative to the baseline, based on the feedback received during the stakeholders’</w:t>
      </w:r>
      <w:r>
        <w:t xml:space="preserve"> </w:t>
      </w:r>
      <w:r>
        <w:t xml:space="preserve">consultation. This has been extrapolated to the other Member States based on the size of their</w:t>
      </w:r>
      <w:r>
        <w:t xml:space="preserve"> </w:t>
      </w:r>
      <w:r>
        <w:t xml:space="preserve">network in relation to that of the Netherlands. Assuming 240 working days per year and 7.3 hours of</w:t>
      </w:r>
      <w:r>
        <w:t xml:space="preserve"> </w:t>
      </w:r>
      <w:r>
        <w:t xml:space="preserve">work per day on average and using the tariff per hour for non-manual workers (ISCO 8 – Plant and</w:t>
      </w:r>
      <w:r>
        <w:t xml:space="preserve"> </w:t>
      </w:r>
      <w:r>
        <w:t xml:space="preserve">machine operators and assemblers) from Eurostat Structure of earnings survey, the recurrent</w:t>
      </w:r>
      <w:r>
        <w:t xml:space="preserve"> </w:t>
      </w:r>
      <w:r>
        <w:t xml:space="preserve">administrative costs for national public authorities due to PM6 are estimated at EUR 0.66 million</w:t>
      </w:r>
      <w:r>
        <w:t xml:space="preserve"> </w:t>
      </w:r>
      <w:r>
        <w:t xml:space="preserve">per year relative to the baseline from 2025 onwards.</w:t>
      </w:r>
      <w:r>
        <w:t xml:space="preserve"> </w:t>
      </w:r>
      <w:r>
        <w:t xml:space="preserve">Moreover, the complaint mechanism introduced by PO-A and PO-B is expected to generate</w:t>
      </w:r>
      <w:r>
        <w:t xml:space="preserve"> </w:t>
      </w:r>
      <w:r>
        <w:t xml:space="preserve">administrative costs for handling the RIS related complaints (PM2). The recurrent administrative</w:t>
      </w:r>
      <w:r>
        <w:t xml:space="preserve"> </w:t>
      </w:r>
      <w:r>
        <w:t xml:space="preserve">costs for PM2, totalling EUR 0.92 million per year from 2025 onwards, are estimated based on the</w:t>
      </w:r>
      <w:r>
        <w:t xml:space="preserve"> </w:t>
      </w:r>
      <w:r>
        <w:t xml:space="preserve">costs for the Netherlands (EUR 150,000) provided by Rijkswaterstaat, and the network usage and</w:t>
      </w:r>
      <w:r>
        <w:t xml:space="preserve"> </w:t>
      </w:r>
      <w:r>
        <w:t xml:space="preserve">the size of the network in each Member State relative to that of the Netherlands. Furthermore, PO-A</w:t>
      </w:r>
      <w:r>
        <w:t xml:space="preserve"> </w:t>
      </w:r>
      <w:r>
        <w:t xml:space="preserve">and PO-B entail administrative costs of EUR 0.39 million per year for managing and maintaining</w:t>
      </w:r>
      <w:r>
        <w:t xml:space="preserve"> </w:t>
      </w:r>
      <w:r>
        <w:t xml:space="preserve">the system of exchange of personal data (PM16)100. PO-B is additionally expected to result in</w:t>
      </w:r>
      <w:r>
        <w:t xml:space="preserve"> </w:t>
      </w:r>
      <w:r>
        <w:t xml:space="preserve">recurrent administrative costs for maintaining and updating the system for the collection and update</w:t>
      </w:r>
      <w:r>
        <w:t xml:space="preserve"> </w:t>
      </w:r>
      <w:r>
        <w:t xml:space="preserve">of data for voyage planning and navigation (RIS Index) on a regular basis (PM4), for managing the</w:t>
      </w:r>
      <w:r>
        <w:t xml:space="preserve"> </w:t>
      </w:r>
      <w:r>
        <w:t xml:space="preserve">exchange with the ports (PM12), as well as with the systems of other modes (PM14). The recurrent</w:t>
      </w:r>
      <w:r>
        <w:t xml:space="preserve"> </w:t>
      </w:r>
      <w:r>
        <w:t xml:space="preserve">administrative costs for PM4, PM12 and PM14 are assumed to be 25% of the investment costs in</w:t>
      </w:r>
      <w:r>
        <w:t xml:space="preserve"> </w:t>
      </w:r>
      <w:r>
        <w:t xml:space="preserve">PM4, PM12 and PM14, respectively, based on the DINA study.</w:t>
      </w:r>
      <w:r>
        <w:t xml:space="preserve"> </w:t>
      </w:r>
      <w:r>
        <w:t xml:space="preserve">In PO-C, the common measures with PO-B (PM4, PM6 and PM14) would result in the same costs.</w:t>
      </w:r>
      <w:r>
        <w:t xml:space="preserve"> </w:t>
      </w:r>
      <w:r>
        <w:t xml:space="preserve">In addition, PO-C would also lead to recurrent administrative costs for the collection and processing</w:t>
      </w:r>
      <w:r>
        <w:t xml:space="preserve"> </w:t>
      </w:r>
      <w:r>
        <w:t xml:space="preserve">of data for the new Performance Measurement Framework (PM3)101, higher costs for maintaining</w:t>
      </w:r>
    </w:p>
    <w:p>
      <w:pPr>
        <w:pStyle w:val="BodyText"/>
      </w:pPr>
      <w:r>
        <w:t xml:space="preserve">100 Recurrent administrative costs are assumed to be 25% of the investment costs in PM16 based on the DINA</w:t>
      </w:r>
      <w:r>
        <w:t xml:space="preserve"> </w:t>
      </w:r>
      <w:r>
        <w:t xml:space="preserve">study, or EUR 1,460 per port.</w:t>
      </w:r>
      <w:r>
        <w:t xml:space="preserve"> </w:t>
      </w:r>
      <w:r>
        <w:t xml:space="preserve">101 Based on two interviews with national authorities, it is estimated that each of the 13 Member States using</w:t>
      </w:r>
      <w:r>
        <w:t xml:space="preserve"> </w:t>
      </w:r>
      <w:r>
        <w:t xml:space="preserve">inland waterways for commercial purposes would spend EUR 50,000 per year.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the information exchange systems with ports (PM13) and the systems for exchange of personal data</w:t>
      </w:r>
      <w:r>
        <w:t xml:space="preserve"> </w:t>
      </w:r>
      <w:r>
        <w:t xml:space="preserve">(PM17), as well as the maintenance of the system for the electronic voyage plan reporting (PM5)102.</w:t>
      </w:r>
      <w:r>
        <w:t xml:space="preserve"> </w:t>
      </w:r>
      <w:r>
        <w:t xml:space="preserve">Overall, PO-C is estimated to lead to the highest recurrent administrative costs, estimated at EUR</w:t>
      </w:r>
      <w:r>
        <w:t xml:space="preserve"> </w:t>
      </w:r>
      <w:r>
        <w:t xml:space="preserve">5.9 million per year relative to the baseline (see Table 4), followed by PO-B (EUR 4.3 million per</w:t>
      </w:r>
      <w:r>
        <w:t xml:space="preserve"> </w:t>
      </w:r>
      <w:r>
        <w:t xml:space="preserve">year), and PO-A (EUR 2 million per year). Expressed as present value over 2025-2050, they are</w:t>
      </w:r>
      <w:r>
        <w:t xml:space="preserve"> </w:t>
      </w:r>
      <w:r>
        <w:t xml:space="preserve">estimated at EUR 104.3 million in PO-C, EUR 75.3 million in PO-B and EUR 34.9 million in PO-</w:t>
      </w:r>
      <w:r>
        <w:t xml:space="preserve"> </w:t>
      </w:r>
      <w:r>
        <w:t xml:space="preserve">A relative to the baseline (see Table 67 in section 3 of Annex 4).</w:t>
      </w:r>
      <w:r>
        <w:br/>
      </w:r>
      <w:r>
        <w:t xml:space="preserve">Recurrent administrative cost savings for national public authorities. In PO-A, by introducing the</w:t>
      </w:r>
      <w:r>
        <w:t xml:space="preserve"> </w:t>
      </w:r>
      <w:r>
        <w:t xml:space="preserve">information exchange of cargo data through eFTI (PM7), national public authorities are expected to</w:t>
      </w:r>
      <w:r>
        <w:t xml:space="preserve"> </w:t>
      </w:r>
      <w:r>
        <w:t xml:space="preserve">benefit of reduced efforts as all cargo reports would be reported in an electronic manner (see Table</w:t>
      </w:r>
      <w:r>
        <w:t xml:space="preserve"> </w:t>
      </w:r>
      <w:r>
        <w:t xml:space="preserve">4). According to the estimates provided by the Dutch authorities, a total elimination of the paper</w:t>
      </w:r>
      <w:r>
        <w:t xml:space="preserve"> </w:t>
      </w:r>
      <w:r>
        <w:t xml:space="preserve">reports would lead to a reduction in the effort required equivalent to 8 full time equivalents (FTE)</w:t>
      </w:r>
      <w:r>
        <w:t xml:space="preserve"> </w:t>
      </w:r>
      <w:r>
        <w:t xml:space="preserve">relative to the baseline. Considering the voluntary system in PM7, a 50% reduction in the paper</w:t>
      </w:r>
      <w:r>
        <w:t xml:space="preserve"> </w:t>
      </w:r>
      <w:r>
        <w:t xml:space="preserve">cargo reports is assumed, equivalent to 4 FTEs saved relative to the baseline in 2026. This is</w:t>
      </w:r>
      <w:r>
        <w:t xml:space="preserve"> </w:t>
      </w:r>
      <w:r>
        <w:t xml:space="preserve">extrapolated to the other Member States based on their respective transport activity relative to that of</w:t>
      </w:r>
      <w:r>
        <w:t xml:space="preserve"> </w:t>
      </w:r>
      <w:r>
        <w:t xml:space="preserve">the Netherlands. In addition, the growth in the number of paper cargo reports over time is also taken</w:t>
      </w:r>
      <w:r>
        <w:t xml:space="preserve"> </w:t>
      </w:r>
      <w:r>
        <w:t xml:space="preserve">into account. The costs savings have been estimated assuming 240 working days per year and 7.3</w:t>
      </w:r>
      <w:r>
        <w:t xml:space="preserve"> </w:t>
      </w:r>
      <w:r>
        <w:t xml:space="preserve">hours of work per day on average and using the tariff per hour for non-manual workers (ISCO 8 –</w:t>
      </w:r>
      <w:r>
        <w:t xml:space="preserve"> </w:t>
      </w:r>
      <w:r>
        <w:t xml:space="preserve">Plant and machine operators and assemblers) from Eurostat Structure of earnings survey. They are</w:t>
      </w:r>
      <w:r>
        <w:t xml:space="preserve"> </w:t>
      </w:r>
      <w:r>
        <w:t xml:space="preserve">projected at EUR 0.62 million in 2030 and EUR 0.74 million in 2050, relative to the baseline.</w:t>
      </w:r>
      <w:r>
        <w:br/>
      </w:r>
      <w:r>
        <w:t xml:space="preserve">In PO-B and PO-C, mandating cargo-related information to be exchanged through the eFTI</w:t>
      </w:r>
      <w:r>
        <w:t xml:space="preserve"> </w:t>
      </w:r>
      <w:r>
        <w:t xml:space="preserve">mechanism (PM8) is expected to lead to higher costs savings (EUR 1.25 million in 2030 and EUR</w:t>
      </w:r>
      <w:r>
        <w:t xml:space="preserve"> </w:t>
      </w:r>
      <w:r>
        <w:t xml:space="preserve">1.47 million in 2050, relative to the baseline) than for PM7, due to the full elimination of the paper</w:t>
      </w:r>
      <w:r>
        <w:t xml:space="preserve"> </w:t>
      </w:r>
      <w:r>
        <w:t xml:space="preserve">reports103. The use of RIS COMEX (PM9) in PO-B and PO-C will bring further costs savings of</w:t>
      </w:r>
      <w:r>
        <w:t xml:space="preserve"> </w:t>
      </w:r>
      <w:r>
        <w:t xml:space="preserve">EUR 0.5 million per year, relative to the baseline, by gradually replacing the national platforms.</w:t>
      </w:r>
      <w:r>
        <w:t xml:space="preserve"> </w:t>
      </w:r>
      <w:r>
        <w:t xml:space="preserve">PO-C will result in additional costs savings relative to PO-B through reduced efforts for controls at</w:t>
      </w:r>
      <w:r>
        <w:t xml:space="preserve"> </w:t>
      </w:r>
      <w:r>
        <w:t xml:space="preserve">borders (PM15). Based on interviews during the stakeholders’ consultation, border officers spend</w:t>
      </w:r>
      <w:r>
        <w:t xml:space="preserve"> </w:t>
      </w:r>
      <w:r>
        <w:t xml:space="preserve">on average 5 minutes for these controls on each side of the border. Considering the labour cost per</w:t>
      </w:r>
      <w:r>
        <w:t xml:space="preserve"> </w:t>
      </w:r>
      <w:r>
        <w:t xml:space="preserve">hour (EUR 26.7 per hour) and the number of vessels that cross borders where a control is</w:t>
      </w:r>
      <w:r>
        <w:t xml:space="preserve"> </w:t>
      </w:r>
      <w:r>
        <w:t xml:space="preserve">established (87,420 on average), the administrative costs savings for national public authorities due</w:t>
      </w:r>
      <w:r>
        <w:t xml:space="preserve"> </w:t>
      </w:r>
      <w:r>
        <w:t xml:space="preserve">to PM15 are estimated at EUR 0.39 million per year from 2026 onwards relative to the baseline.</w:t>
      </w:r>
      <w:r>
        <w:t xml:space="preserve"> </w:t>
      </w:r>
      <w:r>
        <w:t xml:space="preserve">Overall, PO-C is estimated to lead to the highest recurrent administrative costs savings, estimated at</w:t>
      </w:r>
      <w:r>
        <w:t xml:space="preserve"> </w:t>
      </w:r>
      <w:r>
        <w:t xml:space="preserve">EUR 2.1 million in 2030 and EUR 2.4 million in 2050 relative to the baseline (see Table 4),</w:t>
      </w:r>
      <w:r>
        <w:t xml:space="preserve"> </w:t>
      </w:r>
      <w:r>
        <w:t xml:space="preserve">followed by PO-B (EUR 1.8 million costs savings in 2030 and EUR 2 million in 2050), and PO-A</w:t>
      </w:r>
      <w:r>
        <w:t xml:space="preserve"> </w:t>
      </w:r>
      <w:r>
        <w:t xml:space="preserve">(EUR 0.6 million costs savings in 2030 and EUR 0.7 million in 2050). Expressed as present value</w:t>
      </w:r>
      <w:r>
        <w:t xml:space="preserve"> </w:t>
      </w:r>
      <w:r>
        <w:t xml:space="preserve">over 2025-2050, they are estimated at EUR 37.4 million in PO-C, EUR 30.6 million in PO-B and</w:t>
      </w:r>
      <w:r>
        <w:t xml:space="preserve"> </w:t>
      </w:r>
      <w:r>
        <w:t xml:space="preserve">EUR 11.4 million in PO-A relative to the baseline (see Table 67 in section 3 of Annex 4).</w:t>
      </w:r>
    </w:p>
    <w:p>
      <w:pPr>
        <w:pStyle w:val="BodyText"/>
      </w:pPr>
      <w:r>
        <w:t xml:space="preserve">102 Recurrent administrative costs for PM5, PM13 and PM17 are assumed to be 25% of the investment costs in</w:t>
      </w:r>
      <w:r>
        <w:t xml:space="preserve"> </w:t>
      </w:r>
      <w:r>
        <w:t xml:space="preserve">PM5, PM13 and PM17, respectively, based on the DINA study.</w:t>
      </w:r>
      <w:r>
        <w:t xml:space="preserve"> </w:t>
      </w:r>
      <w:r>
        <w:t xml:space="preserve">103 According to the estimates provided by the Dutch authorities, a total elimination of the paper reports would</w:t>
      </w:r>
      <w:r>
        <w:t xml:space="preserve"> </w:t>
      </w:r>
      <w:r>
        <w:t xml:space="preserve">lead to a reduction in the effort required equivalent to 8 full time equivalents (FTE) relative to the baseline.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Table 4: Recurrent costs and costs savings for national public authorities by policy option and measure in</w:t>
      </w:r>
      <w:r>
        <w:t xml:space="preserve"> </w:t>
      </w:r>
      <w:r>
        <w:t xml:space="preserve">2030, 2040 and 2050, relative to the baseline (in million EUR, in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1.97</w:t>
      </w:r>
      <w:r>
        <w:t xml:space="preserve"> </w:t>
      </w:r>
      <w:r>
        <w:t xml:space="preserve">1.97</w:t>
      </w:r>
      <w:r>
        <w:t xml:space="preserve"> </w:t>
      </w:r>
      <w:r>
        <w:t xml:space="preserve">1.97</w:t>
      </w:r>
      <w:r>
        <w:t xml:space="preserve"> </w:t>
      </w:r>
      <w:r>
        <w:t xml:space="preserve">4.29</w:t>
      </w:r>
      <w:r>
        <w:t xml:space="preserve"> </w:t>
      </w:r>
      <w:r>
        <w:t xml:space="preserve">4.29</w:t>
      </w:r>
      <w:r>
        <w:t xml:space="preserve"> </w:t>
      </w:r>
      <w:r>
        <w:t xml:space="preserve">4.29</w:t>
      </w:r>
      <w:r>
        <w:t xml:space="preserve"> </w:t>
      </w:r>
      <w:r>
        <w:t xml:space="preserve">5.91</w:t>
      </w:r>
      <w:r>
        <w:t xml:space="preserve"> </w:t>
      </w:r>
      <w:r>
        <w:t xml:space="preserve">5.91</w:t>
      </w:r>
      <w:r>
        <w:t xml:space="preserve"> </w:t>
      </w:r>
      <w:r>
        <w:t xml:space="preserve">5.91</w:t>
      </w:r>
      <w:r>
        <w:t xml:space="preserve"> </w:t>
      </w:r>
      <w:r>
        <w:t xml:space="preserve">PM2</w:t>
      </w:r>
      <w:r>
        <w:t xml:space="preserve"> </w:t>
      </w:r>
      <w:r>
        <w:t xml:space="preserve">0.92</w:t>
      </w:r>
      <w:r>
        <w:t xml:space="preserve"> </w:t>
      </w:r>
      <w:r>
        <w:t xml:space="preserve">0.92</w:t>
      </w:r>
      <w:r>
        <w:t xml:space="preserve"> </w:t>
      </w:r>
      <w:r>
        <w:t xml:space="preserve">0.92</w:t>
      </w:r>
      <w:r>
        <w:t xml:space="preserve"> </w:t>
      </w:r>
      <w:r>
        <w:t xml:space="preserve">0.92</w:t>
      </w:r>
      <w:r>
        <w:t xml:space="preserve"> </w:t>
      </w:r>
      <w:r>
        <w:t xml:space="preserve">0.92</w:t>
      </w:r>
      <w:r>
        <w:t xml:space="preserve"> </w:t>
      </w:r>
      <w:r>
        <w:t xml:space="preserve">0.92</w:t>
      </w:r>
    </w:p>
    <w:p>
      <w:pPr>
        <w:pStyle w:val="BodyText"/>
      </w:pPr>
      <w:r>
        <w:t xml:space="preserve">PM3</w:t>
      </w:r>
    </w:p>
    <w:p>
      <w:pPr>
        <w:pStyle w:val="BodyText"/>
      </w:pPr>
      <w:r>
        <w:t xml:space="preserve">0.65</w:t>
      </w:r>
      <w:r>
        <w:t xml:space="preserve"> </w:t>
      </w:r>
      <w:r>
        <w:t xml:space="preserve">0.65</w:t>
      </w:r>
      <w:r>
        <w:t xml:space="preserve"> </w:t>
      </w:r>
      <w:r>
        <w:t xml:space="preserve">0.65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1.14</w:t>
      </w:r>
      <w:r>
        <w:t xml:space="preserve"> </w:t>
      </w:r>
      <w:r>
        <w:t xml:space="preserve">1.14</w:t>
      </w:r>
      <w:r>
        <w:t xml:space="preserve"> </w:t>
      </w:r>
      <w:r>
        <w:t xml:space="preserve">1.14</w:t>
      </w:r>
      <w:r>
        <w:t xml:space="preserve"> </w:t>
      </w:r>
      <w:r>
        <w:t xml:space="preserve">1.14</w:t>
      </w:r>
      <w:r>
        <w:t xml:space="preserve"> </w:t>
      </w:r>
      <w:r>
        <w:t xml:space="preserve">1.14</w:t>
      </w:r>
      <w:r>
        <w:t xml:space="preserve"> </w:t>
      </w:r>
      <w:r>
        <w:t xml:space="preserve">1.14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0.77</w:t>
      </w:r>
      <w:r>
        <w:t xml:space="preserve"> </w:t>
      </w:r>
      <w:r>
        <w:t xml:space="preserve">0.77</w:t>
      </w:r>
      <w:r>
        <w:t xml:space="preserve"> </w:t>
      </w:r>
      <w:r>
        <w:t xml:space="preserve">0.77</w:t>
      </w:r>
      <w:r>
        <w:t xml:space="preserve"> </w:t>
      </w:r>
      <w:r>
        <w:t xml:space="preserve">PM6</w:t>
      </w:r>
      <w:r>
        <w:t xml:space="preserve"> </w:t>
      </w:r>
      <w:r>
        <w:t xml:space="preserve">0.66</w:t>
      </w:r>
      <w:r>
        <w:t xml:space="preserve"> </w:t>
      </w:r>
      <w:r>
        <w:t xml:space="preserve">0.66</w:t>
      </w:r>
      <w:r>
        <w:t xml:space="preserve"> </w:t>
      </w:r>
      <w:r>
        <w:t xml:space="preserve">0.66</w:t>
      </w:r>
      <w:r>
        <w:t xml:space="preserve"> </w:t>
      </w:r>
      <w:r>
        <w:t xml:space="preserve">0.66</w:t>
      </w:r>
      <w:r>
        <w:t xml:space="preserve"> </w:t>
      </w:r>
      <w:r>
        <w:t xml:space="preserve">0.66</w:t>
      </w:r>
      <w:r>
        <w:t xml:space="preserve"> </w:t>
      </w:r>
      <w:r>
        <w:t xml:space="preserve">0.66</w:t>
      </w:r>
      <w:r>
        <w:t xml:space="preserve"> </w:t>
      </w:r>
      <w:r>
        <w:t xml:space="preserve">0.66</w:t>
      </w:r>
      <w:r>
        <w:t xml:space="preserve"> </w:t>
      </w:r>
      <w:r>
        <w:t xml:space="preserve">0.66</w:t>
      </w:r>
      <w:r>
        <w:t xml:space="preserve"> </w:t>
      </w:r>
      <w:r>
        <w:t xml:space="preserve">0.66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0.39</w:t>
      </w:r>
      <w:r>
        <w:t xml:space="preserve"> </w:t>
      </w:r>
      <w:r>
        <w:t xml:space="preserve">0.39</w:t>
      </w:r>
      <w:r>
        <w:t xml:space="preserve"> </w:t>
      </w:r>
      <w:r>
        <w:t xml:space="preserve">0.39</w:t>
      </w:r>
    </w:p>
    <w:p>
      <w:pPr>
        <w:pStyle w:val="BodyText"/>
      </w:pPr>
      <w:r>
        <w:t xml:space="preserve">PM13</w:t>
      </w:r>
    </w:p>
    <w:p>
      <w:pPr>
        <w:pStyle w:val="BodyText"/>
      </w:pPr>
      <w:r>
        <w:t xml:space="preserve">1.23</w:t>
      </w:r>
      <w:r>
        <w:t xml:space="preserve"> </w:t>
      </w:r>
      <w:r>
        <w:t xml:space="preserve">1.23</w:t>
      </w:r>
      <w:r>
        <w:t xml:space="preserve"> </w:t>
      </w:r>
      <w:r>
        <w:t xml:space="preserve">1.23</w:t>
      </w:r>
      <w:r>
        <w:t xml:space="preserve"> </w:t>
      </w:r>
      <w:r>
        <w:t xml:space="preserve">PM14</w:t>
      </w:r>
    </w:p>
    <w:p>
      <w:pPr>
        <w:pStyle w:val="BodyText"/>
      </w:pPr>
      <w:r>
        <w:t xml:space="preserve">0.79</w:t>
      </w:r>
      <w:r>
        <w:t xml:space="preserve"> </w:t>
      </w:r>
      <w:r>
        <w:t xml:space="preserve">0.79</w:t>
      </w:r>
      <w:r>
        <w:t xml:space="preserve"> </w:t>
      </w:r>
      <w:r>
        <w:t xml:space="preserve">0.79</w:t>
      </w:r>
      <w:r>
        <w:t xml:space="preserve"> </w:t>
      </w:r>
      <w:r>
        <w:t xml:space="preserve">0.79</w:t>
      </w:r>
      <w:r>
        <w:t xml:space="preserve"> </w:t>
      </w:r>
      <w:r>
        <w:t xml:space="preserve">0.79</w:t>
      </w:r>
      <w:r>
        <w:t xml:space="preserve"> </w:t>
      </w:r>
      <w:r>
        <w:t xml:space="preserve">0.79</w:t>
      </w:r>
      <w:r>
        <w:t xml:space="preserve"> </w:t>
      </w:r>
      <w:r>
        <w:t xml:space="preserve">PM16</w:t>
      </w:r>
      <w:r>
        <w:t xml:space="preserve"> </w:t>
      </w:r>
      <w:r>
        <w:t xml:space="preserve">0.39</w:t>
      </w:r>
      <w:r>
        <w:t xml:space="preserve"> </w:t>
      </w:r>
      <w:r>
        <w:t xml:space="preserve">0.39</w:t>
      </w:r>
      <w:r>
        <w:t xml:space="preserve"> </w:t>
      </w:r>
      <w:r>
        <w:t xml:space="preserve">0.39</w:t>
      </w:r>
      <w:r>
        <w:t xml:space="preserve"> </w:t>
      </w:r>
      <w:r>
        <w:t xml:space="preserve">0.39</w:t>
      </w:r>
      <w:r>
        <w:t xml:space="preserve"> </w:t>
      </w:r>
      <w:r>
        <w:t xml:space="preserve">0.39</w:t>
      </w:r>
      <w:r>
        <w:t xml:space="preserve"> </w:t>
      </w:r>
      <w:r>
        <w:t xml:space="preserve">0.39</w:t>
      </w:r>
    </w:p>
    <w:p>
      <w:pPr>
        <w:pStyle w:val="BodyText"/>
      </w:pPr>
      <w:r>
        <w:t xml:space="preserve">PM17</w:t>
      </w:r>
    </w:p>
    <w:p>
      <w:pPr>
        <w:pStyle w:val="BodyText"/>
      </w:pPr>
      <w:r>
        <w:t xml:space="preserve">0.68</w:t>
      </w:r>
      <w:r>
        <w:t xml:space="preserve"> </w:t>
      </w:r>
      <w:r>
        <w:t xml:space="preserve">0.68</w:t>
      </w:r>
      <w:r>
        <w:t xml:space="preserve"> </w:t>
      </w:r>
      <w:r>
        <w:t xml:space="preserve">0.68</w:t>
      </w:r>
      <w:r>
        <w:t xml:space="preserve"> </w:t>
      </w:r>
      <w:r>
        <w:t xml:space="preserve">Administrative cost</w:t>
      </w:r>
      <w:r>
        <w:t xml:space="preserve"> </w:t>
      </w:r>
      <w:r>
        <w:t xml:space="preserve">savings</w:t>
      </w:r>
      <w:r>
        <w:t xml:space="preserve"> </w:t>
      </w:r>
      <w:r>
        <w:t xml:space="preserve">0.62</w:t>
      </w:r>
      <w:r>
        <w:t xml:space="preserve"> </w:t>
      </w:r>
      <w:r>
        <w:t xml:space="preserve">0.68</w:t>
      </w:r>
      <w:r>
        <w:t xml:space="preserve"> </w:t>
      </w:r>
      <w:r>
        <w:t xml:space="preserve">0.74</w:t>
      </w:r>
      <w:r>
        <w:t xml:space="preserve"> </w:t>
      </w:r>
      <w:r>
        <w:t xml:space="preserve">1.75</w:t>
      </w:r>
      <w:r>
        <w:t xml:space="preserve"> </w:t>
      </w:r>
      <w:r>
        <w:t xml:space="preserve">1.86</w:t>
      </w:r>
      <w:r>
        <w:t xml:space="preserve"> </w:t>
      </w:r>
      <w:r>
        <w:t xml:space="preserve">1.97</w:t>
      </w:r>
      <w:r>
        <w:t xml:space="preserve"> </w:t>
      </w:r>
      <w:r>
        <w:t xml:space="preserve">2.14</w:t>
      </w:r>
      <w:r>
        <w:t xml:space="preserve"> </w:t>
      </w:r>
      <w:r>
        <w:t xml:space="preserve">2.24</w:t>
      </w:r>
      <w:r>
        <w:t xml:space="preserve"> </w:t>
      </w:r>
      <w:r>
        <w:t xml:space="preserve">2.36</w:t>
      </w:r>
      <w:r>
        <w:t xml:space="preserve"> </w:t>
      </w:r>
      <w:r>
        <w:t xml:space="preserve">PM7</w:t>
      </w:r>
      <w:r>
        <w:t xml:space="preserve"> </w:t>
      </w:r>
      <w:r>
        <w:t xml:space="preserve">0.62</w:t>
      </w:r>
      <w:r>
        <w:t xml:space="preserve"> </w:t>
      </w:r>
      <w:r>
        <w:t xml:space="preserve">0.68</w:t>
      </w:r>
      <w:r>
        <w:t xml:space="preserve"> </w:t>
      </w:r>
      <w:r>
        <w:t xml:space="preserve">0.74</w:t>
      </w:r>
    </w:p>
    <w:p>
      <w:pPr>
        <w:pStyle w:val="BodyText"/>
      </w:pPr>
      <w:r>
        <w:t xml:space="preserve">PM8</w:t>
      </w:r>
    </w:p>
    <w:p>
      <w:pPr>
        <w:pStyle w:val="BodyText"/>
      </w:pPr>
      <w:r>
        <w:t xml:space="preserve">1.25</w:t>
      </w:r>
      <w:r>
        <w:t xml:space="preserve"> </w:t>
      </w:r>
      <w:r>
        <w:t xml:space="preserve">1.36</w:t>
      </w:r>
      <w:r>
        <w:t xml:space="preserve"> </w:t>
      </w:r>
      <w:r>
        <w:t xml:space="preserve">1.47</w:t>
      </w:r>
      <w:r>
        <w:t xml:space="preserve"> </w:t>
      </w:r>
      <w:r>
        <w:t xml:space="preserve">1.25</w:t>
      </w:r>
      <w:r>
        <w:t xml:space="preserve"> </w:t>
      </w:r>
      <w:r>
        <w:t xml:space="preserve">1.36</w:t>
      </w:r>
      <w:r>
        <w:t xml:space="preserve"> </w:t>
      </w:r>
      <w:r>
        <w:t xml:space="preserve">1.47</w:t>
      </w:r>
      <w:r>
        <w:t xml:space="preserve"> </w:t>
      </w:r>
      <w:r>
        <w:t xml:space="preserve">PM9</w:t>
      </w:r>
    </w:p>
    <w:p>
      <w:pPr>
        <w:pStyle w:val="BodyText"/>
      </w:pP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PM15</w:t>
      </w:r>
    </w:p>
    <w:p>
      <w:pPr>
        <w:pStyle w:val="BodyText"/>
      </w:pPr>
      <w:r>
        <w:t xml:space="preserve">0.39</w:t>
      </w:r>
      <w:r>
        <w:t xml:space="preserve"> </w:t>
      </w:r>
      <w:r>
        <w:t xml:space="preserve">0.39</w:t>
      </w:r>
      <w:r>
        <w:t xml:space="preserve"> </w:t>
      </w:r>
      <w:r>
        <w:t xml:space="preserve">0.39</w:t>
      </w:r>
      <w:r>
        <w:t xml:space="preserve"> </w:t>
      </w:r>
      <w:r>
        <w:t xml:space="preserve">Net costs</w:t>
      </w:r>
      <w:r>
        <w:br/>
      </w:r>
      <w:r>
        <w:t xml:space="preserve">1.34</w:t>
      </w:r>
      <w:r>
        <w:t xml:space="preserve"> </w:t>
      </w:r>
      <w:r>
        <w:t xml:space="preserve">1.29</w:t>
      </w:r>
      <w:r>
        <w:t xml:space="preserve"> </w:t>
      </w:r>
      <w:r>
        <w:t xml:space="preserve">1.23</w:t>
      </w:r>
      <w:r>
        <w:t xml:space="preserve"> </w:t>
      </w:r>
      <w:r>
        <w:t xml:space="preserve">2.54</w:t>
      </w:r>
      <w:r>
        <w:t xml:space="preserve"> </w:t>
      </w:r>
      <w:r>
        <w:t xml:space="preserve">2.43</w:t>
      </w:r>
      <w:r>
        <w:t xml:space="preserve"> </w:t>
      </w:r>
      <w:r>
        <w:t xml:space="preserve">2.31</w:t>
      </w:r>
      <w:r>
        <w:t xml:space="preserve"> </w:t>
      </w:r>
      <w:r>
        <w:t xml:space="preserve">3.78</w:t>
      </w:r>
      <w:r>
        <w:t xml:space="preserve"> </w:t>
      </w:r>
      <w:r>
        <w:t xml:space="preserve">3.67</w:t>
      </w:r>
      <w:r>
        <w:t xml:space="preserve"> </w:t>
      </w:r>
      <w:r>
        <w:t xml:space="preserve">3.55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Net costs for national public authorities. All policy options result in net costs for national public</w:t>
      </w:r>
      <w:r>
        <w:t xml:space="preserve"> </w:t>
      </w:r>
      <w:r>
        <w:t xml:space="preserve">authorities. Net recurrent costs are estimated to be the highest in PO-C (EUR 3.8 million in 2030</w:t>
      </w:r>
      <w:r>
        <w:t xml:space="preserve"> </w:t>
      </w:r>
      <w:r>
        <w:t xml:space="preserve">and EUR 3.6 million in 2050 relative to the baseline), followed by PO-B (EUR 2.5 million in 2030</w:t>
      </w:r>
      <w:r>
        <w:t xml:space="preserve"> </w:t>
      </w:r>
      <w:r>
        <w:t xml:space="preserve">and EUR 2.3 million in 2050) and PO-A (EUR 1.3 million in 2030 and EUR 1.2 million in 2050).</w:t>
      </w:r>
      <w:r>
        <w:t xml:space="preserve"> </w:t>
      </w:r>
      <w:r>
        <w:t xml:space="preserve">These come in addition to the one-off costs of EUR 28.2 million in PO-C, EUR 18.3 million in PO-</w:t>
      </w:r>
      <w:r>
        <w:t xml:space="preserve"> </w:t>
      </w:r>
      <w:r>
        <w:t xml:space="preserve">B and EUR 5.6 million in PO-A. Expressed as present value over 2025-2050 relative to the baseline</w:t>
      </w:r>
      <w:r>
        <w:t xml:space="preserve"> </w:t>
      </w:r>
      <w:r>
        <w:t xml:space="preserve">(see Table 67 in section 3 of Annex 4), PO-C results in the highest net one-off and recurrent costs</w:t>
      </w:r>
      <w:r>
        <w:t xml:space="preserve"> </w:t>
      </w:r>
      <w:r>
        <w:t xml:space="preserve">for national public authorities of EUR 95 million, followed by PO-B (EUR 63 million) and PO-A</w:t>
      </w:r>
      <w:r>
        <w:t xml:space="preserve"> </w:t>
      </w:r>
      <w:r>
        <w:t xml:space="preserve">(EUR 29.1 million).</w:t>
      </w:r>
      <w:r>
        <w:t xml:space="preserve"> </w:t>
      </w:r>
      <w:r>
        <w:t xml:space="preserve">6.1.2 Impact on the European Commission</w:t>
      </w:r>
      <w:r>
        <w:t xml:space="preserve"> </w:t>
      </w:r>
      <w:r>
        <w:t xml:space="preserve">Adjustment costs for the European Commission. PO-A is expected to lead to one-off adjustment</w:t>
      </w:r>
      <w:r>
        <w:t xml:space="preserve"> </w:t>
      </w:r>
      <w:r>
        <w:t xml:space="preserve">costs for the Commission, for the development of guidelines (PM1). The development of the</w:t>
      </w:r>
      <w:r>
        <w:t xml:space="preserve"> </w:t>
      </w:r>
      <w:r>
        <w:t xml:space="preserve">guidelines is assumed to proceed in two steps. A study will be carried out to compile the required</w:t>
      </w:r>
      <w:r>
        <w:t xml:space="preserve"> </w:t>
      </w:r>
      <w:r>
        <w:t xml:space="preserve">elements and propose several options for the establishment of the technical specifications. In a</w:t>
      </w:r>
      <w:r>
        <w:t xml:space="preserve"> </w:t>
      </w:r>
      <w:r>
        <w:t xml:space="preserve">second stage, an expert group will use the findings of the study to draft the guidelines. The one-off</w:t>
      </w:r>
      <w:r>
        <w:t xml:space="preserve"> </w:t>
      </w:r>
      <w:r>
        <w:t xml:space="preserve">costs of the study are estimated at EUR 400,000. The average cost for a two-day workshop hosted</w:t>
      </w:r>
      <w:r>
        <w:t xml:space="preserve"> </w:t>
      </w:r>
      <w:r>
        <w:t xml:space="preserve">by European Commission (EC), where participants are reimbursed by the EC, is around EUR</w:t>
      </w:r>
      <w:r>
        <w:t xml:space="preserve"> </w:t>
      </w:r>
      <w:r>
        <w:t xml:space="preserve">30,000. Two of such in-person workshops may be required as well as two online meetings.</w:t>
      </w:r>
      <w:r>
        <w:t xml:space="preserve"> </w:t>
      </w:r>
      <w:r>
        <w:t xml:space="preserve">Compensation for the experts contributing to the online meetings is estimated at EUR 5,000 for</w:t>
      </w:r>
      <w:r>
        <w:t xml:space="preserve"> </w:t>
      </w:r>
      <w:r>
        <w:t xml:space="preserve">each meeting. Therefore, the one-off adjustment costs for the European Commission are estimated</w:t>
      </w:r>
      <w:r>
        <w:t xml:space="preserve"> </w:t>
      </w:r>
      <w:r>
        <w:t xml:space="preserve">at EUR 0.47 million in 2025. No additional costs for the Commission are foreseen in PO-B and PO-</w:t>
      </w:r>
      <w:r>
        <w:t xml:space="preserve"> </w:t>
      </w:r>
      <w:r>
        <w:t xml:space="preserve">C relative to the baseline.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6.1.3 Impact on businesses</w:t>
      </w:r>
      <w:r>
        <w:br/>
      </w:r>
      <w:r>
        <w:t xml:space="preserve">The two categories of businesses expected to be affected by this initiative are the vessel operators</w:t>
      </w:r>
      <w:r>
        <w:t xml:space="preserve"> </w:t>
      </w:r>
      <w:r>
        <w:t xml:space="preserve">and the RIS software service providers104 (see Table 5 and Table 6). Detailed explanations on the</w:t>
      </w:r>
      <w:r>
        <w:t xml:space="preserve"> </w:t>
      </w:r>
      <w:r>
        <w:t xml:space="preserve">estimates and assumptions used for deriving the costs and costs savings for each policy measure</w:t>
      </w:r>
      <w:r>
        <w:t xml:space="preserve"> </w:t>
      </w:r>
      <w:r>
        <w:t xml:space="preserve">included in the options and each stakeholder group are provided in Annex 4. Summary tables by</w:t>
      </w:r>
      <w:r>
        <w:t xml:space="preserve"> </w:t>
      </w:r>
      <w:r>
        <w:t xml:space="preserve">policy option, policy measure, and stakeholder group for 2030, 2040 and 2050 and expressed as</w:t>
      </w:r>
      <w:r>
        <w:t xml:space="preserve"> </w:t>
      </w:r>
      <w:r>
        <w:t xml:space="preserve">present value over 2025-2050 relative to the baseline are also provided in section 3 of Annex 4.</w:t>
      </w:r>
      <w:r>
        <w:t xml:space="preserve"> </w:t>
      </w:r>
      <w:r>
        <w:t xml:space="preserve">Vessel operators</w:t>
      </w:r>
      <w:r>
        <w:t xml:space="preserve"> </w:t>
      </w:r>
      <w:r>
        <w:t xml:space="preserve">Administrative costs for vessel operators. Only PO-C is expected to lead to administrative costs for</w:t>
      </w:r>
      <w:r>
        <w:t xml:space="preserve"> </w:t>
      </w:r>
      <w:r>
        <w:t xml:space="preserve">vessel operators (see Table 5). In PO-C, the recurrent administrative costs for vessel operators are</w:t>
      </w:r>
      <w:r>
        <w:t xml:space="preserve"> </w:t>
      </w:r>
      <w:r>
        <w:t xml:space="preserve">due to the mandatory electronic voyage plan reporting (PM5), as vessel operators will need to spend</w:t>
      </w:r>
      <w:r>
        <w:t xml:space="preserve"> </w:t>
      </w:r>
      <w:r>
        <w:t xml:space="preserve">more time in preparing these reports (estimated at around 1 hour per voyage). Based on replies by</w:t>
      </w:r>
      <w:r>
        <w:t xml:space="preserve"> </w:t>
      </w:r>
      <w:r>
        <w:t xml:space="preserve">inland skippers in the context of stakeholders’ consultation, preparing and communicating a voyage</w:t>
      </w:r>
      <w:r>
        <w:t xml:space="preserve"> </w:t>
      </w:r>
      <w:r>
        <w:t xml:space="preserve">plan will take 34 minutes for the first notification and 14 minutes for follow-up notifications. The</w:t>
      </w:r>
      <w:r>
        <w:t xml:space="preserve"> </w:t>
      </w:r>
      <w:r>
        <w:t xml:space="preserve">total number of vessel voyages (passenger and freight) is projected at 729,880 in 2030 and 744,806</w:t>
      </w:r>
      <w:r>
        <w:t xml:space="preserve"> </w:t>
      </w:r>
      <w:r>
        <w:t xml:space="preserve">in 2050 in the baseline. It is estimated that for these voyages 729,880 first notifications would be</w:t>
      </w:r>
      <w:r>
        <w:t xml:space="preserve"> </w:t>
      </w:r>
      <w:r>
        <w:t xml:space="preserve">required in 2030 and 744,806 in 2050, as well as 1,416,312 follow-up notifications in 2030 and</w:t>
      </w:r>
      <w:r>
        <w:t xml:space="preserve"> </w:t>
      </w:r>
      <w:r>
        <w:t xml:space="preserve">1,518,409 in 2050105. Thus, the additional administrative costs due to PM5 are estimated at EUR</w:t>
      </w:r>
      <w:r>
        <w:t xml:space="preserve"> </w:t>
      </w:r>
      <w:r>
        <w:t xml:space="preserve">19.7 million in 2030 and EUR 20.6 million in 2050 relative to the baseline. Expressed as present</w:t>
      </w:r>
      <w:r>
        <w:t xml:space="preserve"> </w:t>
      </w:r>
      <w:r>
        <w:t xml:space="preserve">value over 2025-2050 they are estimated at EUR 367.5 million relative to the baseline. For the</w:t>
      </w:r>
      <w:r>
        <w:t xml:space="preserve"> </w:t>
      </w:r>
      <w:r>
        <w:t xml:space="preserve">purpose of the ‘one in, one out’ approach, the average annual administrative costs per vessel voyage</w:t>
      </w:r>
      <w:r>
        <w:t xml:space="preserve"> </w:t>
      </w:r>
      <w:r>
        <w:t xml:space="preserve">are estimated at EUR 27.1, while the average number of vessel voyages during 2025-2035 at EUR</w:t>
      </w:r>
      <w:r>
        <w:t xml:space="preserve"> </w:t>
      </w:r>
      <w:r>
        <w:t xml:space="preserve">727,100. The annual average administrative costs for 2025-2035 due to PM5 are thus estimated at</w:t>
      </w:r>
      <w:r>
        <w:t xml:space="preserve"> </w:t>
      </w:r>
      <w:r>
        <w:t xml:space="preserve">EUR 19.7 million in PO-C.</w:t>
      </w:r>
      <w:r>
        <w:t xml:space="preserve"> </w:t>
      </w:r>
      <w:r>
        <w:t xml:space="preserve">As explained in section 1, the turnover of the sector was EUR 7 billion in 2020106, and this is</w:t>
      </w:r>
      <w:r>
        <w:t xml:space="preserve"> </w:t>
      </w:r>
      <w:r>
        <w:t xml:space="preserve">expected to grow over time in line with the projected transport activity. Therefore, the costs of PO-C</w:t>
      </w:r>
      <w:r>
        <w:t xml:space="preserve"> </w:t>
      </w:r>
      <w:r>
        <w:t xml:space="preserve">are estimated to represent a very small share of the turnover, while PO-A and PO-B result in no</w:t>
      </w:r>
      <w:r>
        <w:t xml:space="preserve"> </w:t>
      </w:r>
      <w:r>
        <w:t xml:space="preserve">additional costs for vessel operators.</w:t>
      </w:r>
      <w:r>
        <w:br/>
      </w:r>
      <w:r>
        <w:t xml:space="preserve">Adjustment costs savings for vessel operators. PO-A is expected to bring adjustment cost savings</w:t>
      </w:r>
      <w:r>
        <w:t xml:space="preserve"> </w:t>
      </w:r>
      <w:r>
        <w:t xml:space="preserve">to vessel operators in the form of reduced effort to plan their journey due to the guidelines (PM1)</w:t>
      </w:r>
      <w:r>
        <w:t xml:space="preserve"> </w:t>
      </w:r>
      <w:r>
        <w:t xml:space="preserve">and due to the better RIS data as problems get resolved through the complaint mechanism (PM2). In</w:t>
      </w:r>
      <w:r>
        <w:t xml:space="preserve"> </w:t>
      </w:r>
      <w:r>
        <w:t xml:space="preserve">the baseline scenario, the time required for preparing an international trip is estimated at 15 minutes</w:t>
      </w:r>
      <w:r>
        <w:t xml:space="preserve"> </w:t>
      </w:r>
      <w:r>
        <w:t xml:space="preserve">and that for a domestic trip at 10 minutes. Based on discussions with training institutes in inland</w:t>
      </w:r>
      <w:r>
        <w:t xml:space="preserve"> </w:t>
      </w:r>
      <w:r>
        <w:t xml:space="preserve">navigation (and validated by the sector in the targeted workshop), trip preparation time for</w:t>
      </w:r>
      <w:r>
        <w:t xml:space="preserve"> </w:t>
      </w:r>
      <w:r>
        <w:t xml:space="preserve">international trips is expected to decrease by 2.5 minutes relative to the baseline from 2026 onwards</w:t>
      </w:r>
      <w:r>
        <w:t xml:space="preserve"> </w:t>
      </w:r>
      <w:r>
        <w:t xml:space="preserve">due to PM1 and by 8% for international and domestic trips due to PM2 (1.2 minutes for</w:t>
      </w:r>
      <w:r>
        <w:t xml:space="preserve"> </w:t>
      </w:r>
      <w:r>
        <w:t xml:space="preserve">international trips and 0.8 minutes for domestic trips). PM1 is expected to lead to adjustment costs</w:t>
      </w:r>
      <w:r>
        <w:t xml:space="preserve"> </w:t>
      </w:r>
      <w:r>
        <w:t xml:space="preserve">savings of EUR 0.49 million in 2030 and EUR 0.5 million in 2050 relative to the baseline, while</w:t>
      </w:r>
    </w:p>
    <w:p>
      <w:pPr>
        <w:pStyle w:val="BodyText"/>
      </w:pPr>
      <w:r>
        <w:t xml:space="preserve">104 It should be noted that all the costs savings related to software have been assigned to the providers. However,</w:t>
      </w:r>
      <w:r>
        <w:t xml:space="preserve"> </w:t>
      </w:r>
      <w:r>
        <w:t xml:space="preserve">depending on the relative negotiation power of vessel operators and software service providers, a part of these</w:t>
      </w:r>
      <w:r>
        <w:t xml:space="preserve"> </w:t>
      </w:r>
      <w:r>
        <w:t xml:space="preserve">savings could potentially be passed on to vessel operators.</w:t>
      </w:r>
      <w:r>
        <w:t xml:space="preserve"> </w:t>
      </w:r>
      <w:r>
        <w:t xml:space="preserve">105 For further details see Annex 4.</w:t>
      </w:r>
      <w:r>
        <w:t xml:space="preserve"> </w:t>
      </w:r>
      <w:r>
        <w:t xml:space="preserve">106 https://transport.ec.europa.eu/facts-funding/studies-data/eu-transport-figures-statistical-pocketbook/statistical-</w:t>
      </w:r>
      <w:r>
        <w:t xml:space="preserve"> </w:t>
      </w:r>
      <w:r>
        <w:t xml:space="preserve">pocketbook-2023_en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PM2 at costs savings of EUR 0.35 million in 2030 and EUR 0.36 million in 2050. Furthermore,</w:t>
      </w:r>
      <w:r>
        <w:t xml:space="preserve"> </w:t>
      </w:r>
      <w:r>
        <w:t xml:space="preserve">improved quality of RIS data in the ERDMS (PM6) will reduce the time needed for voyage</w:t>
      </w:r>
      <w:r>
        <w:t xml:space="preserve"> </w:t>
      </w:r>
      <w:r>
        <w:t xml:space="preserve">planning. Based on feedback from vessel operators, the time needed for voyage planning can be</w:t>
      </w:r>
      <w:r>
        <w:t xml:space="preserve"> </w:t>
      </w:r>
      <w:r>
        <w:t xml:space="preserve">reduced by 20% due to PM6 (2 minutes saved for each domestic voyage and 3 minutes saved for</w:t>
      </w:r>
      <w:r>
        <w:t xml:space="preserve"> </w:t>
      </w:r>
      <w:r>
        <w:t xml:space="preserve">each international trip) relative to the baseline, equivalent to costs savings of EUR 0.85 million in</w:t>
      </w:r>
      <w:r>
        <w:t xml:space="preserve"> </w:t>
      </w:r>
      <w:r>
        <w:t xml:space="preserve">2030 and EUR 0.86 million in 2050. Thus, total adjustment cost savings in PO-A are estimated at</w:t>
      </w:r>
      <w:r>
        <w:t xml:space="preserve"> </w:t>
      </w:r>
      <w:r>
        <w:t xml:space="preserve">around EUR 1.7 million in 2030 and 2050 relative to the baseline (see Table 5), equivalent to EUR</w:t>
      </w:r>
      <w:r>
        <w:t xml:space="preserve"> </w:t>
      </w:r>
      <w:r>
        <w:t xml:space="preserve">29.6 million expressed as present value over 2025-2050.</w:t>
      </w:r>
      <w:r>
        <w:t xml:space="preserve"> </w:t>
      </w:r>
      <w:r>
        <w:t xml:space="preserve">PO-B includes the same benefits as PO-A for PM2 and PM6, with additional adjustment costs</w:t>
      </w:r>
      <w:r>
        <w:t xml:space="preserve"> </w:t>
      </w:r>
      <w:r>
        <w:t xml:space="preserve">savings coming from reduced efforts for voyage planning due to better navigation information</w:t>
      </w:r>
      <w:r>
        <w:t xml:space="preserve"> </w:t>
      </w:r>
      <w:r>
        <w:t xml:space="preserve">(PM4). The time needed for voyage planning can be reduced by 15% due to PM4 (1.5 minutes</w:t>
      </w:r>
      <w:r>
        <w:t xml:space="preserve"> </w:t>
      </w:r>
      <w:r>
        <w:t xml:space="preserve">saved for each domestic voyage and 2.25 minutes saved for each international trip), based on</w:t>
      </w:r>
      <w:r>
        <w:t xml:space="preserve"> </w:t>
      </w:r>
      <w:r>
        <w:t xml:space="preserve">feedback from vessel operators, equivalent to costs savings of EUR 0.63 million in 2030 and EUR</w:t>
      </w:r>
      <w:r>
        <w:t xml:space="preserve"> </w:t>
      </w:r>
      <w:r>
        <w:t xml:space="preserve">0.65 million in 2050. Savings for voyage planning will also materialise for skippers thanks to the</w:t>
      </w:r>
      <w:r>
        <w:t xml:space="preserve"> </w:t>
      </w:r>
      <w:r>
        <w:t xml:space="preserve">centralisation of information in the RIS platform (PM9) and the better exchange with ports for</w:t>
      </w:r>
      <w:r>
        <w:t xml:space="preserve"> </w:t>
      </w:r>
      <w:r>
        <w:t xml:space="preserve">planning their voyage (PM12). In PM9, a 50% reduction in the time required for preparing an</w:t>
      </w:r>
      <w:r>
        <w:t xml:space="preserve"> </w:t>
      </w:r>
      <w:r>
        <w:t xml:space="preserve">international voyage is assumed (7.5 minutes) from 2026 onwards relative to the baseline, based on</w:t>
      </w:r>
      <w:r>
        <w:t xml:space="preserve"> </w:t>
      </w:r>
      <w:r>
        <w:t xml:space="preserve">stakeholders’ feedback, equivalent to costs savings of EUR 1.48 million in 2030 and EUR 1.51</w:t>
      </w:r>
      <w:r>
        <w:t xml:space="preserve"> </w:t>
      </w:r>
      <w:r>
        <w:t xml:space="preserve">million in 2050. With regard to PM12, an average of 5 minutes per port call is assumed for trip</w:t>
      </w:r>
      <w:r>
        <w:t xml:space="preserve"> </w:t>
      </w:r>
      <w:r>
        <w:t xml:space="preserve">preparation for the ports’ section in the baseline. In the process, important information should be</w:t>
      </w:r>
      <w:r>
        <w:t xml:space="preserve"> </w:t>
      </w:r>
      <w:r>
        <w:t xml:space="preserve">retrieved, such as how deep the port is in relation to the depth of the channel, as well as where berths</w:t>
      </w:r>
      <w:r>
        <w:t xml:space="preserve"> </w:t>
      </w:r>
      <w:r>
        <w:t xml:space="preserve">are and where loading/unloading can take place, etc. This information is difficult to obtain now. The</w:t>
      </w:r>
      <w:r>
        <w:t xml:space="preserve"> </w:t>
      </w:r>
      <w:r>
        <w:t xml:space="preserve">new technical specification for ports will facilitate the voyage preparation for the ports’ section.</w:t>
      </w:r>
      <w:r>
        <w:t xml:space="preserve"> </w:t>
      </w:r>
      <w:r>
        <w:t xml:space="preserve">Based on stakeholders’ input, PM12 could reduce the time for voyage planning by 21% per port call</w:t>
      </w:r>
      <w:r>
        <w:t xml:space="preserve"> </w:t>
      </w:r>
      <w:r>
        <w:t xml:space="preserve">(1 minute saved), equivalent to costs savings of around EUR 0.17 million in 2030 and in 2050</w:t>
      </w:r>
      <w:r>
        <w:t xml:space="preserve"> </w:t>
      </w:r>
      <w:r>
        <w:t xml:space="preserve">relative to the baseline. Total adjustment costs savings in PO-B are estimated at EUR 3.5 million in</w:t>
      </w:r>
      <w:r>
        <w:t xml:space="preserve"> </w:t>
      </w:r>
      <w:r>
        <w:t xml:space="preserve">2030 and EUR 3.6 million in 2050 relative to the baseline (see Table 5), equivalent to EUR 72.1</w:t>
      </w:r>
      <w:r>
        <w:t xml:space="preserve"> </w:t>
      </w:r>
      <w:r>
        <w:t xml:space="preserve">million expressed as present value over 2025-2050.</w:t>
      </w:r>
      <w:r>
        <w:t xml:space="preserve"> </w:t>
      </w:r>
      <w:r>
        <w:t xml:space="preserve">In PO-C, savings for vessel operators for PM4, PM6 and PM9 are the same as in PO-B. In addition,</w:t>
      </w:r>
      <w:r>
        <w:t xml:space="preserve"> </w:t>
      </w:r>
      <w:r>
        <w:t xml:space="preserve">the new performance measurement framework (PM3) is expected to bring savings in the time</w:t>
      </w:r>
      <w:r>
        <w:t xml:space="preserve"> </w:t>
      </w:r>
      <w:r>
        <w:t xml:space="preserve">needed to plan the voyage due to more accurate information, while the electronic voyage plan</w:t>
      </w:r>
      <w:r>
        <w:t xml:space="preserve"> </w:t>
      </w:r>
      <w:r>
        <w:t xml:space="preserve">reporting (PM5) will lead to operation costs savings (i.e. fuel costs savings) due to more efficient</w:t>
      </w:r>
      <w:r>
        <w:t xml:space="preserve"> </w:t>
      </w:r>
      <w:r>
        <w:t xml:space="preserve">voyages. For PM3, the vessel operators that responded to the survey estimated that the time spent on</w:t>
      </w:r>
      <w:r>
        <w:t xml:space="preserve"> </w:t>
      </w:r>
      <w:r>
        <w:t xml:space="preserve">planning trips will decrease by 4% on average relative to the baseline (0.6 minutes for each</w:t>
      </w:r>
      <w:r>
        <w:t xml:space="preserve"> </w:t>
      </w:r>
      <w:r>
        <w:t xml:space="preserve">international trip and 0.4 minutes for each domestic trip) from 2026 onwards, equivalent to costs</w:t>
      </w:r>
      <w:r>
        <w:t xml:space="preserve"> </w:t>
      </w:r>
      <w:r>
        <w:t xml:space="preserve">savings of around EUR 0.18 million in 2030 and in 2050. For PM5, operation costs savings for</w:t>
      </w:r>
      <w:r>
        <w:t xml:space="preserve"> </w:t>
      </w:r>
      <w:r>
        <w:t xml:space="preserve">vessel operators are expected through reduced speed of ships and less manoeuvring movements</w:t>
      </w:r>
      <w:r>
        <w:t xml:space="preserve"> </w:t>
      </w:r>
      <w:r>
        <w:t xml:space="preserve">(e.g. braking the ship, mooring at waiting jetties, leaving and entering the lock). These savings are</w:t>
      </w:r>
      <w:r>
        <w:t xml:space="preserve"> </w:t>
      </w:r>
      <w:r>
        <w:t xml:space="preserve">mainly related to the crossing of locks and adaptation of the speed in the proximity of a lock (i.e. the</w:t>
      </w:r>
      <w:r>
        <w:t xml:space="preserve"> </w:t>
      </w:r>
      <w:r>
        <w:t xml:space="preserve">last hour). The adjustment of speed in the proximity of a lock (i.e. during the last hour) is estimated</w:t>
      </w:r>
      <w:r>
        <w:t xml:space="preserve"> </w:t>
      </w:r>
      <w:r>
        <w:t xml:space="preserve">to lead to 5% savings in fuel consumption. Based on statistics for the Netherlands, vessels cross on</w:t>
      </w:r>
      <w:r>
        <w:t xml:space="preserve"> </w:t>
      </w:r>
      <w:r>
        <w:t xml:space="preserve">average 4 locks per trip. Also considering the total number of voyages and a consumption of 60</w:t>
      </w:r>
      <w:r>
        <w:t xml:space="preserve"> </w:t>
      </w:r>
      <w:r>
        <w:t xml:space="preserve">litres per hour of sailing, savings are estimated at around 0.9% of the energy consumption (9.3 kilo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tonnes of oil equivalent in 2030 and 8.3 kilo tonnes of oil equivalent in 2050), equivalent to costs</w:t>
      </w:r>
      <w:r>
        <w:t xml:space="preserve"> </w:t>
      </w:r>
      <w:r>
        <w:t xml:space="preserve">savings of EUR 15.04 million in 2030 and EUR 15.24 million in 2050 relative to the baseline107.</w:t>
      </w:r>
      <w:r>
        <w:br/>
      </w:r>
      <w:r>
        <w:t xml:space="preserve">Better managing of cargo information and exchanges with ports for planning the voyage (PM13) is</w:t>
      </w:r>
      <w:r>
        <w:t xml:space="preserve"> </w:t>
      </w:r>
      <w:r>
        <w:t xml:space="preserve">also expected to lead to adjustment costs savings. Based on stakeholders’ input, PM13 could reduce</w:t>
      </w:r>
      <w:r>
        <w:t xml:space="preserve"> </w:t>
      </w:r>
      <w:r>
        <w:t xml:space="preserve">the time for voyage planning per port call by 65% (3.2 minutes saved) relative to the baseline from</w:t>
      </w:r>
      <w:r>
        <w:t xml:space="preserve"> </w:t>
      </w:r>
      <w:r>
        <w:t xml:space="preserve">2026 onwards, equivalent to costs savings of EUR 0.52 million in 2030 and EUR 0.53 million in</w:t>
      </w:r>
      <w:r>
        <w:t xml:space="preserve"> </w:t>
      </w:r>
      <w:r>
        <w:t xml:space="preserve">2050. Thus, the total adjustment cost savings for vessel operators in PO-C are estimated at EUR</w:t>
      </w:r>
      <w:r>
        <w:t xml:space="preserve"> </w:t>
      </w:r>
      <w:r>
        <w:t xml:space="preserve">18.7 million in 2030 and EUR 19 million in 2050 relative to the baseline (see Table 5), equivalent to</w:t>
      </w:r>
      <w:r>
        <w:t xml:space="preserve"> </w:t>
      </w:r>
      <w:r>
        <w:t xml:space="preserve">EUR 324 million expressed as present value over 2025-2050.</w:t>
      </w:r>
      <w:r>
        <w:t xml:space="preserve"> </w:t>
      </w:r>
      <w:r>
        <w:t xml:space="preserve">Administrative cost savings for vessel operators. All policy options result in administrative costs</w:t>
      </w:r>
      <w:r>
        <w:t xml:space="preserve"> </w:t>
      </w:r>
      <w:r>
        <w:t xml:space="preserve">savings for vessel operators (see Table 5). In PO-A, skippers will spend less time in re-registering</w:t>
      </w:r>
      <w:r>
        <w:t xml:space="preserve"> </w:t>
      </w:r>
      <w:r>
        <w:t xml:space="preserve">cargo information as reporting will be possible through eFTI (PM7). Around 30% of all cross-</w:t>
      </w:r>
      <w:r>
        <w:t xml:space="preserve"> </w:t>
      </w:r>
      <w:r>
        <w:t xml:space="preserve">border trips are estimated to require repeated notifications. Based on the interviews and</w:t>
      </w:r>
      <w:r>
        <w:t xml:space="preserve"> </w:t>
      </w:r>
      <w:r>
        <w:t xml:space="preserve">stakeholders’ survey, repeated notifications take around 15 minutes per vessel operator. PM7 is</w:t>
      </w:r>
      <w:r>
        <w:t xml:space="preserve"> </w:t>
      </w:r>
      <w:r>
        <w:t xml:space="preserve">expected to reduce the share of repeated notifications by 10 percentage points relative to the baseline</w:t>
      </w:r>
      <w:r>
        <w:t xml:space="preserve"> </w:t>
      </w:r>
      <w:r>
        <w:t xml:space="preserve">from 2026 onwards, equivalent to administrative costs savings of around EUR 0.29 million in 2030</w:t>
      </w:r>
      <w:r>
        <w:t xml:space="preserve"> </w:t>
      </w:r>
      <w:r>
        <w:t xml:space="preserve">and in 2050.</w:t>
      </w:r>
      <w:r>
        <w:t xml:space="preserve"> </w:t>
      </w:r>
      <w:r>
        <w:t xml:space="preserve">Legal clarity for private data exchanges (PM16) will reduce re-reporting efforts in PO-A and PO-B.</w:t>
      </w:r>
      <w:r>
        <w:t xml:space="preserve"> </w:t>
      </w:r>
      <w:r>
        <w:t xml:space="preserve">It is estimated that PM16 would lead to a decrease by 20% in the number of resubmitted reports to</w:t>
      </w:r>
      <w:r>
        <w:t xml:space="preserve"> </w:t>
      </w:r>
      <w:r>
        <w:t xml:space="preserve">ports relative to the baseline (72,988 reduction in 2030 and 74,481 in 2050). The resubmission of</w:t>
      </w:r>
      <w:r>
        <w:t xml:space="preserve"> </w:t>
      </w:r>
      <w:r>
        <w:t xml:space="preserve">electronic cargo reports to ports takes around 10 minutes per port call. Thus, the costs savings due to</w:t>
      </w:r>
      <w:r>
        <w:t xml:space="preserve"> </w:t>
      </w:r>
      <w:r>
        <w:t xml:space="preserve">PM16 are estimated at EUR 0.32 million in 2030 and EUR 0.33 million in 2050 relative to the</w:t>
      </w:r>
      <w:r>
        <w:t xml:space="preserve"> </w:t>
      </w:r>
      <w:r>
        <w:t xml:space="preserve">baseline108. For the purpose of the ‘one in, one out’ approach, the average reduction in the number</w:t>
      </w:r>
      <w:r>
        <w:t xml:space="preserve"> </w:t>
      </w:r>
      <w:r>
        <w:t xml:space="preserve">of resubmitted cargo reports over 2026-2035 due to PM16 has been estimated at 72,799 per year</w:t>
      </w:r>
      <w:r>
        <w:t xml:space="preserve"> </w:t>
      </w:r>
      <w:r>
        <w:t xml:space="preserve">relative to the baseline and the average costs saved per resubmission at EUR 4.4. Thus, the average</w:t>
      </w:r>
      <w:r>
        <w:t xml:space="preserve"> </w:t>
      </w:r>
      <w:r>
        <w:t xml:space="preserve">annual administrative costs savings for vessel operators due to PM16 are estimated at EUR 0.32</w:t>
      </w:r>
      <w:r>
        <w:t xml:space="preserve"> </w:t>
      </w:r>
      <w:r>
        <w:t xml:space="preserve">million relative to the baseline.</w:t>
      </w:r>
      <w:r>
        <w:t xml:space="preserve"> </w:t>
      </w:r>
      <w:r>
        <w:t xml:space="preserve">Both PO-B and PO-C will bring administrative cost savings to vessel operators (savings in PO-C</w:t>
      </w:r>
      <w:r>
        <w:t xml:space="preserve"> </w:t>
      </w:r>
      <w:r>
        <w:t xml:space="preserve">being higher) due to the reduction in the number of cargo reports resubmitted to inland ports (PM12</w:t>
      </w:r>
      <w:r>
        <w:t xml:space="preserve"> </w:t>
      </w:r>
      <w:r>
        <w:t xml:space="preserve">in PO-B and PM13 in PO-C, see Table 5). The time for preparing and re-submitting the reports is</w:t>
      </w:r>
      <w:r>
        <w:t xml:space="preserve"> </w:t>
      </w:r>
      <w:r>
        <w:t xml:space="preserve">estimated at 10 minutes in the baseline. For PM12, administrative costs savings are expected for all</w:t>
      </w:r>
      <w:r>
        <w:t xml:space="preserve"> </w:t>
      </w:r>
      <w:r>
        <w:t xml:space="preserve">83 core TEN-T network ports. PM12 could reduce the number of resubmitted cargo reports by 31%</w:t>
      </w:r>
      <w:r>
        <w:t xml:space="preserve"> </w:t>
      </w:r>
      <w:r>
        <w:t xml:space="preserve">relative to the baseline, equivalent to costs savings of EUR 0.51 million in 2030 and EUR 0.52</w:t>
      </w:r>
      <w:r>
        <w:t xml:space="preserve"> </w:t>
      </w:r>
      <w:r>
        <w:t xml:space="preserve">million in 2050. In PM13, all 262 inland ports of the core and comprehensive TEN-T network will</w:t>
      </w:r>
      <w:r>
        <w:t xml:space="preserve"> </w:t>
      </w:r>
      <w:r>
        <w:t xml:space="preserve">be automatically receiving the (electronic) cargo reports and therefore, vessel operators will not</w:t>
      </w:r>
      <w:r>
        <w:t xml:space="preserve"> </w:t>
      </w:r>
      <w:r>
        <w:t xml:space="preserve">have to resubmit them. Thus, the costs savings for PM13 are estimated at EUR 1.62 million in 2030</w:t>
      </w:r>
      <w:r>
        <w:t xml:space="preserve"> </w:t>
      </w:r>
      <w:r>
        <w:t xml:space="preserve">and EUR 1.66 million in 2050 relative to the baseline. For the purpose of the ‘one in, one out’</w:t>
      </w:r>
      <w:r>
        <w:t xml:space="preserve"> </w:t>
      </w:r>
      <w:r>
        <w:t xml:space="preserve">approach, the average reduction in the number of resubmitted cargo reports due to PM12 over</w:t>
      </w:r>
    </w:p>
    <w:p>
      <w:pPr>
        <w:pStyle w:val="BodyText"/>
      </w:pPr>
      <w:r>
        <w:t xml:space="preserve">107 The projected average energy prices per tonne of oil equivalent (toe), from the baseline scenario developed</w:t>
      </w:r>
      <w:r>
        <w:t xml:space="preserve"> </w:t>
      </w:r>
      <w:r>
        <w:t xml:space="preserve">with the PRIMES-TREMOVE model, have been used to estimate the adjustment costs savings. These average</w:t>
      </w:r>
      <w:r>
        <w:t xml:space="preserve"> </w:t>
      </w:r>
      <w:r>
        <w:t xml:space="preserve">prices per toe take into account the projected development of the fuel mix, including biofuels, electricity and e-</w:t>
      </w:r>
      <w:r>
        <w:t xml:space="preserve"> </w:t>
      </w:r>
      <w:r>
        <w:t xml:space="preserve">fuels.</w:t>
      </w:r>
      <w:r>
        <w:t xml:space="preserve"> </w:t>
      </w:r>
      <w:r>
        <w:t xml:space="preserve">108 The weighted average of the tariff per hour for non-manual workers (ISCO 8 – Plant and machine operators</w:t>
      </w:r>
      <w:r>
        <w:t xml:space="preserve"> </w:t>
      </w:r>
      <w:r>
        <w:t xml:space="preserve">and assemblers) in the 13 Member State in the scope of RIS (EUR 26.7 per hour), based on Eurostat Structure of</w:t>
      </w:r>
      <w:r>
        <w:t xml:space="preserve"> </w:t>
      </w:r>
      <w:r>
        <w:t xml:space="preserve">earnings survey, is used to estimate the costs.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2026-2035 is estimated at 114,006 per year relative to the baseline and the average costs saved per</w:t>
      </w:r>
      <w:r>
        <w:t xml:space="preserve"> </w:t>
      </w:r>
      <w:r>
        <w:t xml:space="preserve">resubmission at EUR 4.4. Thus, the average annual administrative costs savings for vessel operators</w:t>
      </w:r>
      <w:r>
        <w:t xml:space="preserve"> </w:t>
      </w:r>
      <w:r>
        <w:t xml:space="preserve">due to PM12 during 2026-2035 are estimated at EUR 0.5 million relative to the baseline. For PM13,</w:t>
      </w:r>
      <w:r>
        <w:t xml:space="preserve"> </w:t>
      </w:r>
      <w:r>
        <w:t xml:space="preserve">the average reduction in the number of resubmitted cargo reports over 2026-2035 is estimated at</w:t>
      </w:r>
      <w:r>
        <w:t xml:space="preserve"> </w:t>
      </w:r>
      <w:r>
        <w:t xml:space="preserve">363,996 per year relative to the baseline and the average annual administrative costs savings at EUR</w:t>
      </w:r>
      <w:r>
        <w:t xml:space="preserve"> </w:t>
      </w:r>
      <w:r>
        <w:t xml:space="preserve">1.6 million.</w:t>
      </w:r>
      <w:r>
        <w:t xml:space="preserve"> </w:t>
      </w:r>
      <w:r>
        <w:t xml:space="preserve">In PO-B and PO-C, administrative costs savings for vessel operators are also expected due to the</w:t>
      </w:r>
      <w:r>
        <w:t xml:space="preserve"> </w:t>
      </w:r>
      <w:r>
        <w:t xml:space="preserve">use of eFTI for the cargo reporting that reduces resubmissions (PM8), as well as through the use of</w:t>
      </w:r>
      <w:r>
        <w:t xml:space="preserve"> </w:t>
      </w:r>
      <w:r>
        <w:t xml:space="preserve">RIS COMEX as the single platform (PM9) (see Table 5). Around 30% of all cross-border trips are</w:t>
      </w:r>
      <w:r>
        <w:t xml:space="preserve"> </w:t>
      </w:r>
      <w:r>
        <w:t xml:space="preserve">estimated to require repeated notifications. Based on the interviews and stakeholders’ survey,</w:t>
      </w:r>
      <w:r>
        <w:t xml:space="preserve"> </w:t>
      </w:r>
      <w:r>
        <w:t xml:space="preserve">repeated notifications take around 15 minutes per vessel operator. PM8 is expected to reduce the</w:t>
      </w:r>
      <w:r>
        <w:t xml:space="preserve"> </w:t>
      </w:r>
      <w:r>
        <w:t xml:space="preserve">share of repeated notifications by 20 percentage points relative to the baseline from 2026 onwards,</w:t>
      </w:r>
      <w:r>
        <w:t xml:space="preserve"> </w:t>
      </w:r>
      <w:r>
        <w:t xml:space="preserve">equivalent to costs savings of EUR 0.57 million in 2030 and EUR 0.59 million in 2050. In addition,</w:t>
      </w:r>
      <w:r>
        <w:t xml:space="preserve"> </w:t>
      </w:r>
      <w:r>
        <w:t xml:space="preserve">when the use of RIS COMEX, including the CEERIS tool, becomes mandatory, vessel operators on</w:t>
      </w:r>
      <w:r>
        <w:t xml:space="preserve"> </w:t>
      </w:r>
      <w:r>
        <w:t xml:space="preserve">the Danube will benefit from a single electronic notification of cargo data. Thus, PM9 is expected to</w:t>
      </w:r>
      <w:r>
        <w:t xml:space="preserve"> </w:t>
      </w:r>
      <w:r>
        <w:t xml:space="preserve">reduce the share of repeated notifications by 8 percentage points relative to the baseline from 2026</w:t>
      </w:r>
      <w:r>
        <w:t xml:space="preserve"> </w:t>
      </w:r>
      <w:r>
        <w:t xml:space="preserve">onwards, equivalent to costs savings of EUR 0.22 million in 2030 and EUR 0.23 million in 2050.</w:t>
      </w:r>
      <w:r>
        <w:t xml:space="preserve"> </w:t>
      </w:r>
      <w:r>
        <w:t xml:space="preserve">For the purpose of the ‘one in, one out’ approach, in PM8 the average reduction in the number of</w:t>
      </w:r>
      <w:r>
        <w:t xml:space="preserve"> </w:t>
      </w:r>
      <w:r>
        <w:t xml:space="preserve">repeated notifications over 2026-2035 is estimated at 88,397 per year relative to the baseline and the</w:t>
      </w:r>
      <w:r>
        <w:t xml:space="preserve"> </w:t>
      </w:r>
      <w:r>
        <w:t xml:space="preserve">average costs saved per repeated notification at EUR 6.5. Thus, the average annual administrative</w:t>
      </w:r>
      <w:r>
        <w:t xml:space="preserve"> </w:t>
      </w:r>
      <w:r>
        <w:t xml:space="preserve">costs savings for vessel operators due to PM8 during 2026-2035 are estimated at EUR 0.6 million</w:t>
      </w:r>
      <w:r>
        <w:t xml:space="preserve"> </w:t>
      </w:r>
      <w:r>
        <w:t xml:space="preserve">relative to the baseline. For PM9, the average reduction in the number of repeated notifications over</w:t>
      </w:r>
      <w:r>
        <w:t xml:space="preserve"> </w:t>
      </w:r>
      <w:r>
        <w:t xml:space="preserve">2026-2035 is estimated at 34,448 per year relative to the baseline and the average annual</w:t>
      </w:r>
      <w:r>
        <w:t xml:space="preserve"> </w:t>
      </w:r>
      <w:r>
        <w:t xml:space="preserve">administrative costs savings at EUR 0.2 million.</w:t>
      </w:r>
      <w:r>
        <w:br/>
      </w:r>
      <w:r>
        <w:t xml:space="preserve">In addition, in PO-C vessel operators will also benefit from costs savings due to the reduction in the</w:t>
      </w:r>
      <w:r>
        <w:t xml:space="preserve"> </w:t>
      </w:r>
      <w:r>
        <w:t xml:space="preserve">number of resubmissions of cargo reports when crossing borders (PM15) and to ports, driven by the</w:t>
      </w:r>
      <w:r>
        <w:t xml:space="preserve"> </w:t>
      </w:r>
      <w:r>
        <w:t xml:space="preserve">improved clarity on the exchanges of information which may contain personal data (PM17).</w:t>
      </w:r>
      <w:r>
        <w:t xml:space="preserve"> </w:t>
      </w:r>
      <w:r>
        <w:t xml:space="preserve">Considering the synergies with PM8 and PM9 (both included in PO-C), PM15 is expected to reduce</w:t>
      </w:r>
      <w:r>
        <w:t xml:space="preserve"> </w:t>
      </w:r>
      <w:r>
        <w:t xml:space="preserve">the share of repeated notifications by 2 percentage points relative to the baseline from 2026</w:t>
      </w:r>
      <w:r>
        <w:t xml:space="preserve"> </w:t>
      </w:r>
      <w:r>
        <w:t xml:space="preserve">onwards, equivalent to costs savings of EUR 0.06 million in 2030 and EUR 0.07 million in 2050. In</w:t>
      </w:r>
      <w:r>
        <w:t xml:space="preserve"> </w:t>
      </w:r>
      <w:r>
        <w:t xml:space="preserve">PM17, by clarifying instances when Automatic Identification System (AIS) data can and cannot be</w:t>
      </w:r>
      <w:r>
        <w:t xml:space="preserve"> </w:t>
      </w:r>
      <w:r>
        <w:t xml:space="preserve">shared, it is estimated that the number of resubmitted reports to ports would decrease by 30%</w:t>
      </w:r>
      <w:r>
        <w:t xml:space="preserve"> </w:t>
      </w:r>
      <w:r>
        <w:t xml:space="preserve">relative to the baseline from 2026 onwards, equivalent to costs savings of EUR 0.49 million in 2030</w:t>
      </w:r>
      <w:r>
        <w:t xml:space="preserve"> </w:t>
      </w:r>
      <w:r>
        <w:t xml:space="preserve">and EUR 0.50 million in 2050.</w:t>
      </w:r>
      <w:r>
        <w:t xml:space="preserve"> </w:t>
      </w:r>
      <w:r>
        <w:t xml:space="preserve">Total administrative costs savings for vessel operators (see Table 5) are estimated to be the highest</w:t>
      </w:r>
      <w:r>
        <w:t xml:space="preserve"> </w:t>
      </w:r>
      <w:r>
        <w:t xml:space="preserve">in PO-C (around EUR 3 million in 2030 and in 2050) relative to the baseline, followed by PO-B</w:t>
      </w:r>
      <w:r>
        <w:t xml:space="preserve"> </w:t>
      </w:r>
      <w:r>
        <w:t xml:space="preserve">(EUR 1.6 million in 2030 and EUR 1.7 million in 2050) and PO-A (around EUR 0.6 million in</w:t>
      </w:r>
      <w:r>
        <w:t xml:space="preserve"> </w:t>
      </w:r>
      <w:r>
        <w:t xml:space="preserve">2030 and in 2050). Expressed as present value over 2025-2050 they are estimated at EUR 51.9 in</w:t>
      </w:r>
      <w:r>
        <w:t xml:space="preserve"> </w:t>
      </w:r>
      <w:r>
        <w:t xml:space="preserve">PO-C, EUR 28.5 million in PO-B and EUR 10.7 million in PO-A relative to the baseline scenario.</w:t>
      </w:r>
      <w:r>
        <w:br/>
      </w:r>
      <w:r>
        <w:t xml:space="preserve">Table 5: Recurrent costs and costs savings for vessels operators by policy option and measure in 2030,</w:t>
      </w:r>
      <w:r>
        <w:t xml:space="preserve"> </w:t>
      </w:r>
      <w:r>
        <w:t xml:space="preserve">2040 and 2050, relative to the baseline (in million EUR, in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19.74</w:t>
      </w:r>
      <w:r>
        <w:t xml:space="preserve"> </w:t>
      </w:r>
      <w:r>
        <w:t xml:space="preserve">20.16</w:t>
      </w:r>
      <w:r>
        <w:t xml:space="preserve"> </w:t>
      </w:r>
      <w:r>
        <w:t xml:space="preserve">20.60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19.74</w:t>
      </w:r>
      <w:r>
        <w:t xml:space="preserve"> </w:t>
      </w:r>
      <w:r>
        <w:t xml:space="preserve">20.16</w:t>
      </w:r>
      <w:r>
        <w:t xml:space="preserve"> </w:t>
      </w:r>
      <w:r>
        <w:t xml:space="preserve">20.60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1.69</w:t>
      </w:r>
      <w:r>
        <w:t xml:space="preserve"> </w:t>
      </w:r>
      <w:r>
        <w:t xml:space="preserve">1.70</w:t>
      </w:r>
      <w:r>
        <w:t xml:space="preserve"> </w:t>
      </w:r>
      <w:r>
        <w:t xml:space="preserve">1.73</w:t>
      </w:r>
      <w:r>
        <w:t xml:space="preserve"> </w:t>
      </w:r>
      <w:r>
        <w:t xml:space="preserve">3.48</w:t>
      </w:r>
      <w:r>
        <w:t xml:space="preserve"> </w:t>
      </w:r>
      <w:r>
        <w:t xml:space="preserve">3.50</w:t>
      </w:r>
      <w:r>
        <w:t xml:space="preserve"> </w:t>
      </w:r>
      <w:r>
        <w:t xml:space="preserve">3.55</w:t>
      </w:r>
      <w:r>
        <w:t xml:space="preserve"> </w:t>
      </w:r>
      <w:r>
        <w:t xml:space="preserve">18.70</w:t>
      </w:r>
      <w:r>
        <w:t xml:space="preserve"> </w:t>
      </w:r>
      <w:r>
        <w:t xml:space="preserve">18.04</w:t>
      </w:r>
      <w:r>
        <w:t xml:space="preserve"> </w:t>
      </w:r>
      <w:r>
        <w:t xml:space="preserve">18.98</w:t>
      </w:r>
      <w:r>
        <w:t xml:space="preserve"> </w:t>
      </w:r>
      <w:r>
        <w:t xml:space="preserve">PM1</w:t>
      </w:r>
      <w:r>
        <w:t xml:space="preserve"> </w:t>
      </w:r>
      <w:r>
        <w:t xml:space="preserve">0.49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PM2</w:t>
      </w:r>
      <w:r>
        <w:t xml:space="preserve"> </w:t>
      </w:r>
      <w:r>
        <w:t xml:space="preserve">0.35</w:t>
      </w:r>
      <w:r>
        <w:t xml:space="preserve"> </w:t>
      </w:r>
      <w:r>
        <w:t xml:space="preserve">0.36</w:t>
      </w:r>
      <w:r>
        <w:t xml:space="preserve"> </w:t>
      </w:r>
      <w:r>
        <w:t xml:space="preserve">0.36</w:t>
      </w:r>
      <w:r>
        <w:t xml:space="preserve"> </w:t>
      </w:r>
      <w:r>
        <w:t xml:space="preserve">0.35</w:t>
      </w:r>
      <w:r>
        <w:t xml:space="preserve"> </w:t>
      </w:r>
      <w:r>
        <w:t xml:space="preserve">0.36</w:t>
      </w:r>
      <w:r>
        <w:t xml:space="preserve"> </w:t>
      </w:r>
      <w:r>
        <w:t xml:space="preserve">0.36</w:t>
      </w:r>
    </w:p>
    <w:p>
      <w:pPr>
        <w:pStyle w:val="BodyText"/>
      </w:pPr>
      <w:r>
        <w:t xml:space="preserve">PM3</w:t>
      </w:r>
    </w:p>
    <w:p>
      <w:pPr>
        <w:pStyle w:val="BodyText"/>
      </w:pPr>
      <w:r>
        <w:t xml:space="preserve">0.18</w:t>
      </w:r>
      <w:r>
        <w:t xml:space="preserve"> </w:t>
      </w:r>
      <w:r>
        <w:t xml:space="preserve">0.18</w:t>
      </w:r>
      <w:r>
        <w:t xml:space="preserve"> </w:t>
      </w:r>
      <w:r>
        <w:t xml:space="preserve">0.18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0.63</w:t>
      </w:r>
      <w:r>
        <w:t xml:space="preserve"> </w:t>
      </w:r>
      <w:r>
        <w:t xml:space="preserve">0.64</w:t>
      </w:r>
      <w:r>
        <w:t xml:space="preserve"> </w:t>
      </w:r>
      <w:r>
        <w:t xml:space="preserve">0.65</w:t>
      </w:r>
      <w:r>
        <w:t xml:space="preserve"> </w:t>
      </w:r>
      <w:r>
        <w:t xml:space="preserve">0.63</w:t>
      </w:r>
      <w:r>
        <w:t xml:space="preserve"> </w:t>
      </w:r>
      <w:r>
        <w:t xml:space="preserve">0.64</w:t>
      </w:r>
      <w:r>
        <w:t xml:space="preserve"> </w:t>
      </w:r>
      <w:r>
        <w:t xml:space="preserve">0.65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15.04</w:t>
      </w:r>
      <w:r>
        <w:t xml:space="preserve"> </w:t>
      </w:r>
      <w:r>
        <w:t xml:space="preserve">14.36</w:t>
      </w:r>
      <w:r>
        <w:t xml:space="preserve"> </w:t>
      </w:r>
      <w:r>
        <w:t xml:space="preserve">15.24</w:t>
      </w:r>
      <w:r>
        <w:t xml:space="preserve"> </w:t>
      </w:r>
      <w:r>
        <w:t xml:space="preserve">PM6</w:t>
      </w:r>
      <w:r>
        <w:t xml:space="preserve"> </w:t>
      </w:r>
      <w:r>
        <w:t xml:space="preserve">0.85</w:t>
      </w:r>
      <w:r>
        <w:t xml:space="preserve"> </w:t>
      </w:r>
      <w:r>
        <w:t xml:space="preserve">0.85</w:t>
      </w:r>
      <w:r>
        <w:t xml:space="preserve"> </w:t>
      </w:r>
      <w:r>
        <w:t xml:space="preserve">0.86</w:t>
      </w:r>
      <w:r>
        <w:t xml:space="preserve"> </w:t>
      </w:r>
      <w:r>
        <w:t xml:space="preserve">0.85</w:t>
      </w:r>
      <w:r>
        <w:t xml:space="preserve"> </w:t>
      </w:r>
      <w:r>
        <w:t xml:space="preserve">0.85</w:t>
      </w:r>
      <w:r>
        <w:t xml:space="preserve"> </w:t>
      </w:r>
      <w:r>
        <w:t xml:space="preserve">0.86</w:t>
      </w:r>
      <w:r>
        <w:t xml:space="preserve"> </w:t>
      </w:r>
      <w:r>
        <w:t xml:space="preserve">0.85</w:t>
      </w:r>
      <w:r>
        <w:t xml:space="preserve"> </w:t>
      </w:r>
      <w:r>
        <w:t xml:space="preserve">0.85</w:t>
      </w:r>
      <w:r>
        <w:t xml:space="preserve"> </w:t>
      </w:r>
      <w:r>
        <w:t xml:space="preserve">0.86</w:t>
      </w:r>
      <w:r>
        <w:t xml:space="preserve"> </w:t>
      </w:r>
      <w:r>
        <w:t xml:space="preserve">PM9</w:t>
      </w:r>
    </w:p>
    <w:p>
      <w:pPr>
        <w:pStyle w:val="BodyText"/>
      </w:pPr>
      <w:r>
        <w:t xml:space="preserve">1.48</w:t>
      </w:r>
      <w:r>
        <w:t xml:space="preserve"> </w:t>
      </w:r>
      <w:r>
        <w:t xml:space="preserve">1.49</w:t>
      </w:r>
      <w:r>
        <w:t xml:space="preserve"> </w:t>
      </w:r>
      <w:r>
        <w:t xml:space="preserve">1.51</w:t>
      </w:r>
      <w:r>
        <w:t xml:space="preserve"> </w:t>
      </w:r>
      <w:r>
        <w:t xml:space="preserve">1.48</w:t>
      </w:r>
      <w:r>
        <w:t xml:space="preserve"> </w:t>
      </w:r>
      <w:r>
        <w:t xml:space="preserve">1.49</w:t>
      </w:r>
      <w:r>
        <w:t xml:space="preserve"> </w:t>
      </w:r>
      <w:r>
        <w:t xml:space="preserve">1.51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0.17</w:t>
      </w:r>
      <w:r>
        <w:t xml:space="preserve"> </w:t>
      </w:r>
      <w:r>
        <w:t xml:space="preserve">0.17</w:t>
      </w:r>
      <w:r>
        <w:t xml:space="preserve"> </w:t>
      </w:r>
      <w:r>
        <w:t xml:space="preserve">0.17</w:t>
      </w:r>
    </w:p>
    <w:p>
      <w:pPr>
        <w:pStyle w:val="BodyText"/>
      </w:pPr>
      <w:r>
        <w:t xml:space="preserve">PM13</w:t>
      </w:r>
    </w:p>
    <w:p>
      <w:pPr>
        <w:pStyle w:val="BodyText"/>
      </w:pPr>
      <w:r>
        <w:t xml:space="preserve">0.52</w:t>
      </w:r>
      <w:r>
        <w:t xml:space="preserve"> </w:t>
      </w:r>
      <w:r>
        <w:t xml:space="preserve">0.53</w:t>
      </w:r>
      <w:r>
        <w:t xml:space="preserve"> </w:t>
      </w:r>
      <w:r>
        <w:t xml:space="preserve">0.53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savings</w:t>
      </w:r>
      <w:r>
        <w:t xml:space="preserve"> </w:t>
      </w:r>
      <w:r>
        <w:t xml:space="preserve">0.61</w:t>
      </w:r>
      <w:r>
        <w:t xml:space="preserve"> </w:t>
      </w:r>
      <w:r>
        <w:t xml:space="preserve">0.62</w:t>
      </w:r>
      <w:r>
        <w:t xml:space="preserve"> </w:t>
      </w:r>
      <w:r>
        <w:t xml:space="preserve">0.62</w:t>
      </w:r>
      <w:r>
        <w:t xml:space="preserve"> </w:t>
      </w:r>
      <w:r>
        <w:t xml:space="preserve">1.63</w:t>
      </w:r>
      <w:r>
        <w:t xml:space="preserve"> </w:t>
      </w:r>
      <w:r>
        <w:t xml:space="preserve">1.64</w:t>
      </w:r>
      <w:r>
        <w:t xml:space="preserve"> </w:t>
      </w:r>
      <w:r>
        <w:t xml:space="preserve">1.66</w:t>
      </w:r>
      <w:r>
        <w:t xml:space="preserve"> </w:t>
      </w:r>
      <w:r>
        <w:t xml:space="preserve">2.97</w:t>
      </w:r>
      <w:r>
        <w:t xml:space="preserve"> </w:t>
      </w:r>
      <w:r>
        <w:t xml:space="preserve">2.99</w:t>
      </w:r>
      <w:r>
        <w:t xml:space="preserve"> </w:t>
      </w:r>
      <w:r>
        <w:t xml:space="preserve">3.03</w:t>
      </w:r>
      <w:r>
        <w:t xml:space="preserve"> </w:t>
      </w:r>
      <w:r>
        <w:t xml:space="preserve">PM7</w:t>
      </w:r>
      <w:r>
        <w:t xml:space="preserve"> </w:t>
      </w:r>
      <w:r>
        <w:t xml:space="preserve">0.29</w:t>
      </w:r>
      <w:r>
        <w:t xml:space="preserve"> </w:t>
      </w:r>
      <w:r>
        <w:t xml:space="preserve">0.29</w:t>
      </w:r>
      <w:r>
        <w:t xml:space="preserve"> </w:t>
      </w:r>
      <w:r>
        <w:t xml:space="preserve">0.29</w:t>
      </w:r>
    </w:p>
    <w:p>
      <w:pPr>
        <w:pStyle w:val="BodyText"/>
      </w:pPr>
      <w:r>
        <w:t xml:space="preserve">PM8</w:t>
      </w:r>
    </w:p>
    <w:p>
      <w:pPr>
        <w:pStyle w:val="BodyText"/>
      </w:pPr>
      <w:r>
        <w:t xml:space="preserve">0.57</w:t>
      </w:r>
      <w:r>
        <w:t xml:space="preserve"> </w:t>
      </w:r>
      <w:r>
        <w:t xml:space="preserve">0.58</w:t>
      </w:r>
      <w:r>
        <w:t xml:space="preserve"> </w:t>
      </w:r>
      <w:r>
        <w:t xml:space="preserve">0.59</w:t>
      </w:r>
      <w:r>
        <w:t xml:space="preserve"> </w:t>
      </w:r>
      <w:r>
        <w:t xml:space="preserve">0.57</w:t>
      </w:r>
      <w:r>
        <w:t xml:space="preserve"> </w:t>
      </w:r>
      <w:r>
        <w:t xml:space="preserve">0.58</w:t>
      </w:r>
      <w:r>
        <w:t xml:space="preserve"> </w:t>
      </w:r>
      <w:r>
        <w:t xml:space="preserve">0.59</w:t>
      </w:r>
      <w:r>
        <w:t xml:space="preserve"> </w:t>
      </w:r>
      <w:r>
        <w:t xml:space="preserve">PM9</w:t>
      </w:r>
    </w:p>
    <w:p>
      <w:pPr>
        <w:pStyle w:val="BodyText"/>
      </w:pPr>
      <w:r>
        <w:t xml:space="preserve">0.22</w:t>
      </w:r>
      <w:r>
        <w:t xml:space="preserve"> </w:t>
      </w:r>
      <w:r>
        <w:t xml:space="preserve">0.22</w:t>
      </w:r>
      <w:r>
        <w:t xml:space="preserve"> </w:t>
      </w:r>
      <w:r>
        <w:t xml:space="preserve">0.23</w:t>
      </w:r>
      <w:r>
        <w:t xml:space="preserve"> </w:t>
      </w:r>
      <w:r>
        <w:t xml:space="preserve">0.22</w:t>
      </w:r>
      <w:r>
        <w:t xml:space="preserve"> </w:t>
      </w:r>
      <w:r>
        <w:t xml:space="preserve">0.22</w:t>
      </w:r>
      <w:r>
        <w:t xml:space="preserve"> </w:t>
      </w:r>
      <w:r>
        <w:t xml:space="preserve">0.23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0.51</w:t>
      </w:r>
      <w:r>
        <w:t xml:space="preserve"> </w:t>
      </w:r>
      <w:r>
        <w:t xml:space="preserve">0.51</w:t>
      </w:r>
      <w:r>
        <w:t xml:space="preserve"> </w:t>
      </w:r>
      <w:r>
        <w:t xml:space="preserve">0.52</w:t>
      </w:r>
    </w:p>
    <w:p>
      <w:pPr>
        <w:pStyle w:val="BodyText"/>
      </w:pPr>
      <w:r>
        <w:t xml:space="preserve">PM13</w:t>
      </w:r>
    </w:p>
    <w:p>
      <w:pPr>
        <w:pStyle w:val="BodyText"/>
      </w:pPr>
      <w:r>
        <w:t xml:space="preserve">1.62</w:t>
      </w:r>
      <w:r>
        <w:t xml:space="preserve"> </w:t>
      </w:r>
      <w:r>
        <w:t xml:space="preserve">1.63</w:t>
      </w:r>
      <w:r>
        <w:t xml:space="preserve"> </w:t>
      </w:r>
      <w:r>
        <w:t xml:space="preserve">1.66</w:t>
      </w:r>
      <w:r>
        <w:t xml:space="preserve"> </w:t>
      </w:r>
      <w:r>
        <w:t xml:space="preserve">PM15</w:t>
      </w:r>
    </w:p>
    <w:p>
      <w:pPr>
        <w:pStyle w:val="BodyText"/>
      </w:pP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0.07</w:t>
      </w:r>
      <w:r>
        <w:t xml:space="preserve"> </w:t>
      </w:r>
      <w:r>
        <w:t xml:space="preserve">PM16</w:t>
      </w:r>
      <w:r>
        <w:t xml:space="preserve"> </w:t>
      </w:r>
      <w:r>
        <w:t xml:space="preserve">0.32</w:t>
      </w:r>
      <w:r>
        <w:t xml:space="preserve"> </w:t>
      </w:r>
      <w:r>
        <w:t xml:space="preserve">0.33</w:t>
      </w:r>
      <w:r>
        <w:t xml:space="preserve"> </w:t>
      </w:r>
      <w:r>
        <w:t xml:space="preserve">0.33</w:t>
      </w:r>
      <w:r>
        <w:t xml:space="preserve"> </w:t>
      </w:r>
      <w:r>
        <w:t xml:space="preserve">0.32</w:t>
      </w:r>
      <w:r>
        <w:t xml:space="preserve"> </w:t>
      </w:r>
      <w:r>
        <w:t xml:space="preserve">0.33</w:t>
      </w:r>
      <w:r>
        <w:t xml:space="preserve"> </w:t>
      </w:r>
      <w:r>
        <w:t xml:space="preserve">0.33</w:t>
      </w:r>
    </w:p>
    <w:p>
      <w:pPr>
        <w:pStyle w:val="BodyText"/>
      </w:pPr>
      <w:r>
        <w:t xml:space="preserve">PM17</w:t>
      </w:r>
    </w:p>
    <w:p>
      <w:pPr>
        <w:pStyle w:val="BodyText"/>
      </w:pPr>
      <w:r>
        <w:t xml:space="preserve">0.49</w:t>
      </w:r>
      <w:r>
        <w:t xml:space="preserve"> </w:t>
      </w:r>
      <w:r>
        <w:t xml:space="preserve">0.49</w:t>
      </w:r>
      <w:r>
        <w:t xml:space="preserve"> </w:t>
      </w:r>
      <w:r>
        <w:t xml:space="preserve">0.50</w:t>
      </w:r>
      <w:r>
        <w:t xml:space="preserve"> </w:t>
      </w:r>
      <w:r>
        <w:t xml:space="preserve">Net costs savings</w:t>
      </w:r>
      <w:r>
        <w:br/>
      </w:r>
      <w:r>
        <w:t xml:space="preserve">2.30</w:t>
      </w:r>
      <w:r>
        <w:t xml:space="preserve"> </w:t>
      </w:r>
      <w:r>
        <w:t xml:space="preserve">2.32</w:t>
      </w:r>
      <w:r>
        <w:t xml:space="preserve"> </w:t>
      </w:r>
      <w:r>
        <w:t xml:space="preserve">2.35</w:t>
      </w:r>
      <w:r>
        <w:t xml:space="preserve"> </w:t>
      </w:r>
      <w:r>
        <w:t xml:space="preserve">5.11</w:t>
      </w:r>
      <w:r>
        <w:t xml:space="preserve"> </w:t>
      </w:r>
      <w:r>
        <w:t xml:space="preserve">5.14</w:t>
      </w:r>
      <w:r>
        <w:t xml:space="preserve"> </w:t>
      </w:r>
      <w:r>
        <w:t xml:space="preserve">5.22</w:t>
      </w:r>
      <w:r>
        <w:t xml:space="preserve"> </w:t>
      </w:r>
      <w:r>
        <w:t xml:space="preserve">1.93</w:t>
      </w:r>
      <w:r>
        <w:t xml:space="preserve"> </w:t>
      </w:r>
      <w:r>
        <w:t xml:space="preserve">0.88</w:t>
      </w:r>
      <w:r>
        <w:t xml:space="preserve"> </w:t>
      </w:r>
      <w:r>
        <w:t xml:space="preserve">1.42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Net costs savings for vessel operators. Overall, all policy options are estimated to result in net costs</w:t>
      </w:r>
      <w:r>
        <w:t xml:space="preserve"> </w:t>
      </w:r>
      <w:r>
        <w:t xml:space="preserve">savings for vessel operators. The costs savings are expected to be the highest in PO-B (EUR 5.1</w:t>
      </w:r>
      <w:r>
        <w:t xml:space="preserve"> </w:t>
      </w:r>
      <w:r>
        <w:t xml:space="preserve">million in 2030 and EUR 5.2 million in 2050) relative to the baseline, followed by PO-A (EUR 2.3</w:t>
      </w:r>
      <w:r>
        <w:t xml:space="preserve"> </w:t>
      </w:r>
      <w:r>
        <w:t xml:space="preserve">million in 2030 and EUR 2.4 million in 2050) and PO-C (EUR 1.9 million in 2030 and EUR 1.4</w:t>
      </w:r>
      <w:r>
        <w:t xml:space="preserve"> </w:t>
      </w:r>
      <w:r>
        <w:t xml:space="preserve">million in 2050). Expressed as present value over 2025-2050, they are estimated at EUR 100.6</w:t>
      </w:r>
      <w:r>
        <w:t xml:space="preserve"> </w:t>
      </w:r>
      <w:r>
        <w:t xml:space="preserve">million in PO-B, EUR 40.2 million in PO-A and EUR 8.4 million in PO-C relative to the baseline</w:t>
      </w:r>
      <w:r>
        <w:t xml:space="preserve"> </w:t>
      </w:r>
      <w:r>
        <w:t xml:space="preserve">(see Table 62 in section 3 of Annex 4).</w:t>
      </w:r>
      <w:r>
        <w:br/>
      </w:r>
      <w:r>
        <w:t xml:space="preserve">RIS software services providers</w:t>
      </w:r>
      <w:r>
        <w:t xml:space="preserve"> </w:t>
      </w:r>
      <w:r>
        <w:t xml:space="preserve">Adjustment costs savings for software services providers. Providers of RIS software services are</w:t>
      </w:r>
      <w:r>
        <w:t xml:space="preserve"> </w:t>
      </w:r>
      <w:r>
        <w:t xml:space="preserve">expected to benefit of costs savings thanks to access to more and better quality data. More</w:t>
      </w:r>
      <w:r>
        <w:t xml:space="preserve"> </w:t>
      </w:r>
      <w:r>
        <w:t xml:space="preserve">specifically, PO-A will lead to adjustment costs savings as the guidelines (PM1) and the provision</w:t>
      </w:r>
      <w:r>
        <w:t xml:space="preserve"> </w:t>
      </w:r>
      <w:r>
        <w:t xml:space="preserve">of data to the ERDMS by the Member States (PM6) will reduce the efforts of introducing data in</w:t>
      </w:r>
      <w:r>
        <w:t xml:space="preserve"> </w:t>
      </w:r>
      <w:r>
        <w:t xml:space="preserve">their systems and correcting mistakes. The complaint mechanism will also streamline the procedure</w:t>
      </w:r>
      <w:r>
        <w:t xml:space="preserve"> </w:t>
      </w:r>
      <w:r>
        <w:t xml:space="preserve">of contacting authorities to report incorrect data (PM2). The average cost for software service</w:t>
      </w:r>
      <w:r>
        <w:t xml:space="preserve"> </w:t>
      </w:r>
      <w:r>
        <w:t xml:space="preserve">providers for introducing the data into their systems is estimated at EUR 452 per year, per vessel (in</w:t>
      </w:r>
      <w:r>
        <w:t xml:space="preserve"> </w:t>
      </w:r>
      <w:r>
        <w:t xml:space="preserve">2022 prices) in the baseline. Considering the evolution of the fleet in the baseline scenario the total</w:t>
      </w:r>
      <w:r>
        <w:t xml:space="preserve"> </w:t>
      </w:r>
      <w:r>
        <w:t xml:space="preserve">costs for navigation software service providers for introducing the data into their systems are</w:t>
      </w:r>
      <w:r>
        <w:t xml:space="preserve"> </w:t>
      </w:r>
      <w:r>
        <w:t xml:space="preserve">estimated at EUR 7.2 million in 2030 and EUR 7.3 million in 2050. According to feedback</w:t>
      </w:r>
      <w:r>
        <w:t xml:space="preserve"> </w:t>
      </w:r>
      <w:r>
        <w:t xml:space="preserve">provided by the RIS software service providers (i.e. by the two navigation software service</w:t>
      </w:r>
      <w:r>
        <w:t xml:space="preserve"> </w:t>
      </w:r>
      <w:r>
        <w:t xml:space="preserve">providers that serve around 90% of the market) during the second stakeholder survey, PM1 would</w:t>
      </w:r>
      <w:r>
        <w:t xml:space="preserve"> </w:t>
      </w:r>
      <w:r>
        <w:t xml:space="preserve">allow to reduce the average cost per vessel by 1% relative to the baseline (i.e. EUR 4.52 saved per</w:t>
      </w:r>
      <w:r>
        <w:t xml:space="preserve"> </w:t>
      </w:r>
      <w:r>
        <w:t xml:space="preserve">vessel) from 2026 onwards. PM6 is estimated to reduce the average cost per vessel by 2% relative to</w:t>
      </w:r>
      <w:r>
        <w:t xml:space="preserve"> </w:t>
      </w:r>
      <w:r>
        <w:t xml:space="preserve">the baseline (i.e. EUR 9.04 saved per vessel), while PM2 by 0.5% (i.e. EUR 2.26 saved per vessel).</w:t>
      </w:r>
      <w:r>
        <w:t xml:space="preserve"> </w:t>
      </w:r>
      <w:r>
        <w:t xml:space="preserve">The total adjustment costs savings for software services providers in PO-A are thus estimated at</w:t>
      </w:r>
      <w:r>
        <w:t xml:space="preserve"> </w:t>
      </w:r>
      <w:r>
        <w:t xml:space="preserve">around EUR 0.3 million in 2030 and in 2050 relative to the baseline (see Table 6).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In PO-B, the costs savings due to PM2 and PM6 are the same as in PO-A. In addition, adjustment</w:t>
      </w:r>
      <w:r>
        <w:t xml:space="preserve"> </w:t>
      </w:r>
      <w:r>
        <w:t xml:space="preserve">costs savings for software services providers are expected because of obtaining easier and better-</w:t>
      </w:r>
      <w:r>
        <w:t xml:space="preserve"> </w:t>
      </w:r>
      <w:r>
        <w:t xml:space="preserve">quality data through the RIS Index (PM4), from RIS COMEX (PM9), from ports (PM12) and from</w:t>
      </w:r>
      <w:r>
        <w:t xml:space="preserve"> </w:t>
      </w:r>
      <w:r>
        <w:t xml:space="preserve">better links with the systems of other modes (PM14). For PM4, based on stakeholders’ feedback,</w:t>
      </w:r>
      <w:r>
        <w:t xml:space="preserve"> </w:t>
      </w:r>
      <w:r>
        <w:t xml:space="preserve">the average cost reduction per vessel is estimated at 2% relative to the baseline (i.e. EUR 9.04 saved</w:t>
      </w:r>
      <w:r>
        <w:t xml:space="preserve"> </w:t>
      </w:r>
      <w:r>
        <w:t xml:space="preserve">per vessel), equivalent to total costs savings of EUR 0.14 million in 2030 and EUR 0.15 million in</w:t>
      </w:r>
      <w:r>
        <w:t xml:space="preserve"> </w:t>
      </w:r>
      <w:r>
        <w:t xml:space="preserve">2050 (see Table 6). For PM9, the average cost reduction per vessel is estimated at 1% relative to the</w:t>
      </w:r>
      <w:r>
        <w:t xml:space="preserve"> </w:t>
      </w:r>
      <w:r>
        <w:t xml:space="preserve">baseline (i.e. EUR 4.52 saved per vessel), while for PM12 at 0.75% (i.e. EUR 3.39 saved per vessel)</w:t>
      </w:r>
      <w:r>
        <w:t xml:space="preserve"> </w:t>
      </w:r>
      <w:r>
        <w:t xml:space="preserve">and for PM14 at 0.25% (i.e. EUR 1.13 saved per vessel). Thus, total costs savings due to PO-B are</w:t>
      </w:r>
      <w:r>
        <w:t xml:space="preserve"> </w:t>
      </w:r>
      <w:r>
        <w:t xml:space="preserve">estimated at around EUR 0.5 million in 2030 and in 2050 relative to the baseline (see Table 6).</w:t>
      </w:r>
      <w:r>
        <w:t xml:space="preserve"> </w:t>
      </w:r>
      <w:r>
        <w:t xml:space="preserve">In PO-C, besides the costs savings due to PM4, PM6, PM9 and PM14 that are the same as in PO-B,</w:t>
      </w:r>
      <w:r>
        <w:t xml:space="preserve"> </w:t>
      </w:r>
      <w:r>
        <w:t xml:space="preserve">software services providers will benefit from access to more and better-quality data thanks to the</w:t>
      </w:r>
      <w:r>
        <w:t xml:space="preserve"> </w:t>
      </w:r>
      <w:r>
        <w:t xml:space="preserve">new performance measurement framework (PM3) and the link with the inland ports (PM13). For</w:t>
      </w:r>
      <w:r>
        <w:t xml:space="preserve"> </w:t>
      </w:r>
      <w:r>
        <w:t xml:space="preserve">PM3, the reduction in the average cost per vessel is estimated at 0.25% (i.e. EUR 1.13 saved per</w:t>
      </w:r>
      <w:r>
        <w:t xml:space="preserve"> </w:t>
      </w:r>
      <w:r>
        <w:t xml:space="preserve">vessel), based on stakeholders’ feedback, equivalent to total costs savings of EUR 0.02 million in</w:t>
      </w:r>
      <w:r>
        <w:t xml:space="preserve"> </w:t>
      </w:r>
      <w:r>
        <w:t xml:space="preserve">2030 and in 2050 relative to the baseline. For PM13, the reduction in the average cost per vessel is</w:t>
      </w:r>
      <w:r>
        <w:t xml:space="preserve"> </w:t>
      </w:r>
      <w:r>
        <w:t xml:space="preserve">estimated at 1.25% (i.e. EUR 5.65 saved per vessel), equivalent to total costs savings of EUR 0.09</w:t>
      </w:r>
      <w:r>
        <w:t xml:space="preserve"> </w:t>
      </w:r>
      <w:r>
        <w:t xml:space="preserve">million in 2030 and in 2050 relative to the baseline. Thus, total adjustment costs savings for</w:t>
      </w:r>
      <w:r>
        <w:t xml:space="preserve"> </w:t>
      </w:r>
      <w:r>
        <w:t xml:space="preserve">software services providers in PO-C are estimated at around EUR 0.5 million in 2030 and in 2050</w:t>
      </w:r>
      <w:r>
        <w:t xml:space="preserve"> </w:t>
      </w:r>
      <w:r>
        <w:t xml:space="preserve">relative to the baseline.</w:t>
      </w:r>
      <w:r>
        <w:t xml:space="preserve"> </w:t>
      </w:r>
      <w:r>
        <w:t xml:space="preserve">Expressed as present value over 2025-2050 relative to the baseline (see Table 64 in section 3 of</w:t>
      </w:r>
      <w:r>
        <w:t xml:space="preserve"> </w:t>
      </w:r>
      <w:r>
        <w:t xml:space="preserve">Annex 4), the highest costs savings for RIS software services providers are estimated for PO-C</w:t>
      </w:r>
      <w:r>
        <w:t xml:space="preserve"> </w:t>
      </w:r>
      <w:r>
        <w:t xml:space="preserve">(EUR 8.4 million), followed by PO-B (EUR 8.1 million) and PO-A (EUR 4.4 million).</w:t>
      </w:r>
      <w:r>
        <w:t xml:space="preserve"> </w:t>
      </w:r>
      <w:r>
        <w:t xml:space="preserve">Table 6: Adjustment costs savings for navigation software services providers by policy option and</w:t>
      </w:r>
      <w:r>
        <w:t xml:space="preserve"> </w:t>
      </w:r>
      <w:r>
        <w:t xml:space="preserve">measure in 2030, 2040 and 2050, relative to the baseline (in million EUR, in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PM1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</w:p>
    <w:p>
      <w:pPr>
        <w:pStyle w:val="BodyText"/>
      </w:pPr>
      <w:r>
        <w:t xml:space="preserve">PM2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</w:p>
    <w:p>
      <w:pPr>
        <w:pStyle w:val="BodyText"/>
      </w:pPr>
      <w:r>
        <w:t xml:space="preserve">PM3</w:t>
      </w:r>
    </w:p>
    <w:p>
      <w:pPr>
        <w:pStyle w:val="BodyText"/>
      </w:pP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0.14</w:t>
      </w:r>
      <w:r>
        <w:t xml:space="preserve"> </w:t>
      </w:r>
      <w:r>
        <w:t xml:space="preserve">0.14</w:t>
      </w:r>
      <w:r>
        <w:t xml:space="preserve"> </w:t>
      </w:r>
      <w:r>
        <w:t xml:space="preserve">0.15</w:t>
      </w:r>
      <w:r>
        <w:t xml:space="preserve"> </w:t>
      </w:r>
      <w:r>
        <w:t xml:space="preserve">0.14</w:t>
      </w:r>
      <w:r>
        <w:t xml:space="preserve"> </w:t>
      </w:r>
      <w:r>
        <w:t xml:space="preserve">0.14</w:t>
      </w:r>
      <w:r>
        <w:t xml:space="preserve"> </w:t>
      </w:r>
      <w:r>
        <w:t xml:space="preserve">0.15</w:t>
      </w:r>
      <w:r>
        <w:t xml:space="preserve"> </w:t>
      </w:r>
      <w:r>
        <w:t xml:space="preserve">PM6</w:t>
      </w:r>
      <w:r>
        <w:t xml:space="preserve"> </w:t>
      </w:r>
      <w:r>
        <w:t xml:space="preserve">0.14</w:t>
      </w:r>
      <w:r>
        <w:t xml:space="preserve"> </w:t>
      </w:r>
      <w:r>
        <w:t xml:space="preserve">0.14</w:t>
      </w:r>
      <w:r>
        <w:t xml:space="preserve"> </w:t>
      </w:r>
      <w:r>
        <w:t xml:space="preserve">0.15</w:t>
      </w:r>
      <w:r>
        <w:t xml:space="preserve"> </w:t>
      </w:r>
      <w:r>
        <w:t xml:space="preserve">0.14</w:t>
      </w:r>
      <w:r>
        <w:t xml:space="preserve"> </w:t>
      </w:r>
      <w:r>
        <w:t xml:space="preserve">0.14</w:t>
      </w:r>
      <w:r>
        <w:t xml:space="preserve"> </w:t>
      </w:r>
      <w:r>
        <w:t xml:space="preserve">0.15</w:t>
      </w:r>
      <w:r>
        <w:t xml:space="preserve"> </w:t>
      </w:r>
      <w:r>
        <w:t xml:space="preserve">0.14</w:t>
      </w:r>
      <w:r>
        <w:t xml:space="preserve"> </w:t>
      </w:r>
      <w:r>
        <w:t xml:space="preserve">0.14</w:t>
      </w:r>
      <w:r>
        <w:t xml:space="preserve"> </w:t>
      </w:r>
      <w:r>
        <w:t xml:space="preserve">0.15</w:t>
      </w:r>
      <w:r>
        <w:t xml:space="preserve"> </w:t>
      </w:r>
      <w:r>
        <w:t xml:space="preserve">PM9</w:t>
      </w:r>
    </w:p>
    <w:p>
      <w:pPr>
        <w:pStyle w:val="BodyText"/>
      </w:pP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</w:p>
    <w:p>
      <w:pPr>
        <w:pStyle w:val="BodyText"/>
      </w:pPr>
      <w:r>
        <w:t xml:space="preserve">PM13</w:t>
      </w:r>
    </w:p>
    <w:p>
      <w:pPr>
        <w:pStyle w:val="BodyText"/>
      </w:pP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PM14</w:t>
      </w:r>
    </w:p>
    <w:p>
      <w:pPr>
        <w:pStyle w:val="BodyText"/>
      </w:pP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savings</w:t>
      </w:r>
      <w:r>
        <w:br/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0.26</w:t>
      </w:r>
      <w:r>
        <w:t xml:space="preserve"> </w:t>
      </w:r>
      <w:r>
        <w:t xml:space="preserve">0.47</w:t>
      </w:r>
      <w:r>
        <w:t xml:space="preserve"> </w:t>
      </w:r>
      <w:r>
        <w:t xml:space="preserve">0.47</w:t>
      </w:r>
      <w:r>
        <w:t xml:space="preserve"> </w:t>
      </w:r>
      <w:r>
        <w:t xml:space="preserve">0.47</w:t>
      </w:r>
      <w:r>
        <w:t xml:space="preserve"> </w:t>
      </w:r>
      <w:r>
        <w:t xml:space="preserve">0.48</w:t>
      </w:r>
      <w:r>
        <w:t xml:space="preserve"> </w:t>
      </w:r>
      <w:r>
        <w:t xml:space="preserve">0.49</w:t>
      </w:r>
      <w:r>
        <w:t xml:space="preserve"> </w:t>
      </w:r>
      <w:r>
        <w:t xml:space="preserve">0.49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6.1.4 Impact on new reporting obligations</w:t>
      </w:r>
      <w:r>
        <w:t xml:space="preserve"> </w:t>
      </w:r>
      <w:r>
        <w:t xml:space="preserve">For national public administrations, in all policy options Member States would need to provide all</w:t>
      </w:r>
      <w:r>
        <w:t xml:space="preserve"> </w:t>
      </w:r>
      <w:r>
        <w:t xml:space="preserve">information required by the RIS Directive to the European Reference Data Management System</w:t>
      </w:r>
      <w:r>
        <w:t xml:space="preserve"> </w:t>
      </w:r>
      <w:r>
        <w:t xml:space="preserve">(due to PM6), which contains regularly updated data necessary for the provision of RIS and is</w:t>
      </w:r>
      <w:r>
        <w:t xml:space="preserve"> </w:t>
      </w:r>
      <w:r>
        <w:t xml:space="preserve">owned and operated by the European Commission. As explained in section 6.1.1, PM6 would lead</w:t>
      </w:r>
      <w:r>
        <w:t xml:space="preserve"> </w:t>
      </w:r>
      <w:r>
        <w:t xml:space="preserve">to recurrent administrative costs for national public administrations estimated at EUR 0.66 million</w:t>
      </w:r>
      <w:r>
        <w:t xml:space="preserve"> </w:t>
      </w:r>
      <w:r>
        <w:t xml:space="preserve">per year from 2025 onwards, equivalent to EUR 12.2 million expressed as present value over 2025-</w:t>
      </w:r>
      <w:r>
        <w:t xml:space="preserve"> </w:t>
      </w:r>
      <w:r>
        <w:t xml:space="preserve">2050 relative to the baseline. It should however be noted that thanks to PM6 the time needed for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voyage planning can be reduced by 20%, leading to adjustment costs savings for vessel operators of</w:t>
      </w:r>
      <w:r>
        <w:t xml:space="preserve"> </w:t>
      </w:r>
      <w:r>
        <w:t xml:space="preserve">EUR 0.85 million in 2030 and EUR 0.86 million in 2050, or EUR 14.8 million expressed as present</w:t>
      </w:r>
      <w:r>
        <w:t xml:space="preserve"> </w:t>
      </w:r>
      <w:r>
        <w:t xml:space="preserve">value over 2025-2050 relative to the baseline. In addition, for software services providers the</w:t>
      </w:r>
      <w:r>
        <w:t xml:space="preserve"> </w:t>
      </w:r>
      <w:r>
        <w:t xml:space="preserve">adjustment costs savings due to PM6 are estimated at EUR 0.14 million in 2030 and EUR 0.15</w:t>
      </w:r>
      <w:r>
        <w:t xml:space="preserve"> </w:t>
      </w:r>
      <w:r>
        <w:t xml:space="preserve">million in 2050, equivalent to EUR 2.5 million expressed as present value over 2025-2050 relative</w:t>
      </w:r>
      <w:r>
        <w:t xml:space="preserve"> </w:t>
      </w:r>
      <w:r>
        <w:t xml:space="preserve">to the baseline109. Thus, the costs related to reporting obligations for national public authorities due</w:t>
      </w:r>
      <w:r>
        <w:t xml:space="preserve"> </w:t>
      </w:r>
      <w:r>
        <w:t xml:space="preserve">to PM6 are outweighed by the costs savings for businesses (vessel operators and software services</w:t>
      </w:r>
      <w:r>
        <w:t xml:space="preserve"> </w:t>
      </w:r>
      <w:r>
        <w:t xml:space="preserve">providers). In addition, PO-C requires Member States (measure PM3) to report to the Commission,</w:t>
      </w:r>
      <w:r>
        <w:t xml:space="preserve"> </w:t>
      </w:r>
      <w:r>
        <w:t xml:space="preserve">on a regular basis, on key performance indicators (e.g. the number of shipping messages issued in</w:t>
      </w:r>
      <w:r>
        <w:t xml:space="preserve"> </w:t>
      </w:r>
      <w:r>
        <w:t xml:space="preserve">accordance with standards and interpretations from the most recent RIS encoding guide, and the</w:t>
      </w:r>
      <w:r>
        <w:t xml:space="preserve"> </w:t>
      </w:r>
      <w:r>
        <w:t xml:space="preserve">number of electronic cargo reports received in relation to the number of voyages). The recurrent</w:t>
      </w:r>
      <w:r>
        <w:t xml:space="preserve"> </w:t>
      </w:r>
      <w:r>
        <w:t xml:space="preserve">administrative costs for national public administrations due to PM3 are estimated at EUR 0.65</w:t>
      </w:r>
      <w:r>
        <w:t xml:space="preserve"> </w:t>
      </w:r>
      <w:r>
        <w:t xml:space="preserve">million per year from 2025 onwards, or EUR 12 million expressed as present value over 2025-2050</w:t>
      </w:r>
      <w:r>
        <w:t xml:space="preserve"> </w:t>
      </w:r>
      <w:r>
        <w:t xml:space="preserve">relative to the baseline. At the same time, PM3 is estimated to lead to adjustment costs savings for</w:t>
      </w:r>
      <w:r>
        <w:t xml:space="preserve"> </w:t>
      </w:r>
      <w:r>
        <w:t xml:space="preserve">vessel operators (around EUR 0.18 million in 2030 and in 2050, equivalent to EUR 3.1 million</w:t>
      </w:r>
      <w:r>
        <w:t xml:space="preserve"> </w:t>
      </w:r>
      <w:r>
        <w:t xml:space="preserve">expressed as present value over 2025-2050 relative to the baseline) and software providers (around</w:t>
      </w:r>
      <w:r>
        <w:t xml:space="preserve"> </w:t>
      </w:r>
      <w:r>
        <w:t xml:space="preserve">EUR 0.02 million in 2030 and in 2050, equivalent to EUR 0.3 million expressed as present value</w:t>
      </w:r>
      <w:r>
        <w:t xml:space="preserve"> </w:t>
      </w:r>
      <w:r>
        <w:t xml:space="preserve">over 2025-2050 relative to the baseline).</w:t>
      </w:r>
      <w:r>
        <w:t xml:space="preserve"> </w:t>
      </w:r>
      <w:r>
        <w:t xml:space="preserve">For businesses, no reporting obligations arise in PO-A and PO-B. PO-C includes a requirement on</w:t>
      </w:r>
      <w:r>
        <w:t xml:space="preserve"> </w:t>
      </w:r>
      <w:r>
        <w:t xml:space="preserve">electronic voyage plan reporting (PM5) for vessel operators. As explained in section 6.1.3, this</w:t>
      </w:r>
      <w:r>
        <w:t xml:space="preserve"> </w:t>
      </w:r>
      <w:r>
        <w:t xml:space="preserve">requirement would lead to recurrent administrative costs for vessel operators estimated at EUR 19.7</w:t>
      </w:r>
      <w:r>
        <w:t xml:space="preserve"> </w:t>
      </w:r>
      <w:r>
        <w:t xml:space="preserve">million in 2030 and EUR 20.6 million in 2050, equivalent to EUR 367.5 million expressed as</w:t>
      </w:r>
      <w:r>
        <w:t xml:space="preserve"> </w:t>
      </w:r>
      <w:r>
        <w:t xml:space="preserve">present value over 2025-2050 relative to the baseline. At the same time, PM5 is expected to result in</w:t>
      </w:r>
      <w:r>
        <w:t xml:space="preserve"> </w:t>
      </w:r>
      <w:r>
        <w:t xml:space="preserve">energy savings for vessel operators estimated at EUR 15 million in 2030 and EUR 15.2 million in</w:t>
      </w:r>
      <w:r>
        <w:t xml:space="preserve"> </w:t>
      </w:r>
      <w:r>
        <w:t xml:space="preserve">2050, or EUR 248.7 million expressed as present value over 2025-2050 relative to the baseline.</w:t>
      </w:r>
      <w:r>
        <w:br/>
      </w:r>
      <w:r>
        <w:t xml:space="preserve">6.1.5 Impacts on SMEs</w:t>
      </w:r>
      <w:r>
        <w:t xml:space="preserve"> </w:t>
      </w:r>
      <w:r>
        <w:t xml:space="preserve">According to Eurostat, around 5,500 IWT freight transport companies are active in Europe (EU plus</w:t>
      </w:r>
      <w:r>
        <w:t xml:space="preserve"> </w:t>
      </w:r>
      <w:r>
        <w:t xml:space="preserve">Bosnia-Herzegovina, Serbia and Switzerland), employing more than 23,000 persons. In addition,</w:t>
      </w:r>
      <w:r>
        <w:t xml:space="preserve"> </w:t>
      </w:r>
      <w:r>
        <w:t xml:space="preserve">there are around 4,000 passenger companies which employ around 14,000 persons. While no data is</w:t>
      </w:r>
      <w:r>
        <w:t xml:space="preserve"> </w:t>
      </w:r>
      <w:r>
        <w:t xml:space="preserve">available at EU level for the number of Small and Medium Enterprises (SMEs) within the IWT</w:t>
      </w:r>
      <w:r>
        <w:t xml:space="preserve"> </w:t>
      </w:r>
      <w:r>
        <w:t xml:space="preserve">sector, one characteristic of the IWT sector is the high number of SMEs. According to the CCNR,</w:t>
      </w:r>
      <w:r>
        <w:t xml:space="preserve"> </w:t>
      </w:r>
      <w:r>
        <w:t xml:space="preserve">the majority of companies in Western Europe are small family owned operating one or two vessels,</w:t>
      </w:r>
      <w:r>
        <w:t xml:space="preserve"> </w:t>
      </w:r>
      <w:r>
        <w:t xml:space="preserve">while companies in the Danube region are bigger as they derive from previously state-owned</w:t>
      </w:r>
      <w:r>
        <w:t xml:space="preserve"> </w:t>
      </w:r>
      <w:r>
        <w:t xml:space="preserve">enterprises. For the software providers CESNI provides a list of around 20 companies as providers</w:t>
      </w:r>
      <w:r>
        <w:t xml:space="preserve"> </w:t>
      </w:r>
      <w:r>
        <w:t xml:space="preserve">for ECDIS and inland AIS110, while a Member State expert estimated the potential number to be up</w:t>
      </w:r>
      <w:r>
        <w:t xml:space="preserve"> </w:t>
      </w:r>
      <w:r>
        <w:t xml:space="preserve">to 50 companies. A review of the information related to these companies, based on their public</w:t>
      </w:r>
      <w:r>
        <w:t xml:space="preserve"> </w:t>
      </w:r>
      <w:r>
        <w:t xml:space="preserve">websites, indicates that the majority of them are SMEs, employing less than 250 employees. At the</w:t>
      </w:r>
      <w:r>
        <w:t xml:space="preserve"> </w:t>
      </w:r>
      <w:r>
        <w:t xml:space="preserve">same time, it should be noted that two navigation software service providers serve around 90% of</w:t>
      </w:r>
      <w:r>
        <w:t xml:space="preserve"> </w:t>
      </w:r>
      <w:r>
        <w:t xml:space="preserve">the market. Therefore, the initiative is considered “relevant” for the SMEs due to the high share of</w:t>
      </w:r>
      <w:r>
        <w:t xml:space="preserve"> </w:t>
      </w:r>
      <w:r>
        <w:t xml:space="preserve">SME vessel operators and software companies within the IWT sector. It is not however considered</w:t>
      </w:r>
    </w:p>
    <w:p>
      <w:pPr>
        <w:pStyle w:val="BodyText"/>
      </w:pPr>
      <w:r>
        <w:t xml:space="preserve">109 Software service providers carry out quality checks on the data and correct erroneous data if necessary, when</w:t>
      </w:r>
      <w:r>
        <w:t xml:space="preserve"> </w:t>
      </w:r>
      <w:r>
        <w:t xml:space="preserve">receiving complaints. Obliging RIS authorities to periodically update the data, the number of errors is expected</w:t>
      </w:r>
      <w:r>
        <w:t xml:space="preserve"> </w:t>
      </w:r>
      <w:r>
        <w:t xml:space="preserve">to decrease. This would also reduce the efforts required for navigation software service providers to obtain</w:t>
      </w:r>
      <w:r>
        <w:t xml:space="preserve"> </w:t>
      </w:r>
      <w:r>
        <w:t xml:space="preserve">correct data.</w:t>
      </w:r>
      <w:r>
        <w:t xml:space="preserve"> </w:t>
      </w:r>
      <w:r>
        <w:t xml:space="preserve">110 Lists of approved authorities, firms, installations and equipment in the field of technical requirements for</w:t>
      </w:r>
      <w:r>
        <w:t xml:space="preserve"> </w:t>
      </w:r>
      <w:r>
        <w:t xml:space="preserve">inland navigation vessels. (cesni.eu)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as “highly relevant” due to the small size of the IWT sector. The SME test has been therefore</w:t>
      </w:r>
      <w:r>
        <w:t xml:space="preserve"> </w:t>
      </w:r>
      <w:r>
        <w:t xml:space="preserve">performed (see Annex 6).</w:t>
      </w:r>
      <w:r>
        <w:br/>
      </w:r>
      <w:r>
        <w:t xml:space="preserve">As explained in section 6.1.3, all policy options are expected to result in net costs savings for vessel</w:t>
      </w:r>
      <w:r>
        <w:t xml:space="preserve"> </w:t>
      </w:r>
      <w:r>
        <w:t xml:space="preserve">operators and navigation software services providers. More specifically, for vessel operators PO-B</w:t>
      </w:r>
      <w:r>
        <w:t xml:space="preserve"> </w:t>
      </w:r>
      <w:r>
        <w:t xml:space="preserve">would result in net costs savings estimated at EUR 100.6 million, expressed as present value over</w:t>
      </w:r>
      <w:r>
        <w:t xml:space="preserve"> </w:t>
      </w:r>
      <w:r>
        <w:t xml:space="preserve">2025-2050 relative to the baseline, followed by PO-A (EUR 40.2 million) and PO-C (EUR 8.4</w:t>
      </w:r>
      <w:r>
        <w:t xml:space="preserve"> </w:t>
      </w:r>
      <w:r>
        <w:t xml:space="preserve">million). It should however be noted that PO-C would also result in additional administrative costs,</w:t>
      </w:r>
      <w:r>
        <w:t xml:space="preserve"> </w:t>
      </w:r>
      <w:r>
        <w:t xml:space="preserve">relate to the obligation of reporting the electronic voyage plan (PM5), estimated at EUR 27.1 per</w:t>
      </w:r>
      <w:r>
        <w:t xml:space="preserve"> </w:t>
      </w:r>
      <w:r>
        <w:t xml:space="preserve">vessel journey. However, even PO-C results in overall net costs savings for vessel operators due to</w:t>
      </w:r>
      <w:r>
        <w:t xml:space="preserve"> </w:t>
      </w:r>
      <w:r>
        <w:t xml:space="preserve">the significant energy savings entailed by PM5 and costs savings entailed by other measures</w:t>
      </w:r>
      <w:r>
        <w:t xml:space="preserve"> </w:t>
      </w:r>
      <w:r>
        <w:t xml:space="preserve">included in this option. When considering the impact of each measure, as explained in section 3 of</w:t>
      </w:r>
      <w:r>
        <w:t xml:space="preserve"> </w:t>
      </w:r>
      <w:r>
        <w:t xml:space="preserve">Annex 4, for vessel operators this will primarily materialise in time saved for planning voyages and</w:t>
      </w:r>
      <w:r>
        <w:t xml:space="preserve"> </w:t>
      </w:r>
      <w:r>
        <w:t xml:space="preserve">improvements in navigation efficiency (as they will be warned of bottlenecks and thus adapt their</w:t>
      </w:r>
      <w:r>
        <w:t xml:space="preserve"> </w:t>
      </w:r>
      <w:r>
        <w:t xml:space="preserve">speed), and administrative costs in case of PM5 (included in PO-C) as their reporting obligations</w:t>
      </w:r>
      <w:r>
        <w:t xml:space="preserve"> </w:t>
      </w:r>
      <w:r>
        <w:t xml:space="preserve">will increase. Software services providers would benefit of costs savings, as a result of higher</w:t>
      </w:r>
      <w:r>
        <w:t xml:space="preserve"> </w:t>
      </w:r>
      <w:r>
        <w:t xml:space="preserve">quality data to be used in their software which will reduce their efforts to collect this information, of</w:t>
      </w:r>
      <w:r>
        <w:t xml:space="preserve"> </w:t>
      </w:r>
      <w:r>
        <w:t xml:space="preserve">EUR 8.4 million in PO-C, EUR 8.1 million in PO-B and EUR 4.4 million in PO-A, expressed as</w:t>
      </w:r>
      <w:r>
        <w:t xml:space="preserve"> </w:t>
      </w:r>
      <w:r>
        <w:t xml:space="preserve">present value over 2025-2050 relative to the baseline. Considering the very large share of SMEs</w:t>
      </w:r>
      <w:r>
        <w:t xml:space="preserve"> </w:t>
      </w:r>
      <w:r>
        <w:t xml:space="preserve">among vessel operators and software services providers, most of these net costs savings are</w:t>
      </w:r>
      <w:r>
        <w:t xml:space="preserve"> </w:t>
      </w:r>
      <w:r>
        <w:t xml:space="preserve">expected to be attributed to them although the available data did not allow a split of these costs</w:t>
      </w:r>
      <w:r>
        <w:t xml:space="preserve"> </w:t>
      </w:r>
      <w:r>
        <w:t xml:space="preserve">savings between the two groups of operators (i.e. SME and others).</w:t>
      </w:r>
      <w:r>
        <w:br/>
      </w:r>
      <w:r>
        <w:t xml:space="preserve">6.1.6 Impact on the functioning of the internal market and competition</w:t>
      </w:r>
      <w:r>
        <w:t xml:space="preserve"> </w:t>
      </w:r>
      <w:r>
        <w:t xml:space="preserve">All policy options are expected to have a positive impact on the functioning of the internal market.</w:t>
      </w:r>
      <w:r>
        <w:t xml:space="preserve"> </w:t>
      </w:r>
      <w:r>
        <w:t xml:space="preserve">Improving the information exchange between the different actors in the IWT sector allows to deliver</w:t>
      </w:r>
      <w:r>
        <w:t xml:space="preserve"> </w:t>
      </w:r>
      <w:r>
        <w:t xml:space="preserve">better inland transport services. By harmonising the provision of RIS between Member States, an</w:t>
      </w:r>
      <w:r>
        <w:t xml:space="preserve"> </w:t>
      </w:r>
      <w:r>
        <w:t xml:space="preserve">important step is taken towards the completion of the single market as vessel operating in different</w:t>
      </w:r>
      <w:r>
        <w:t xml:space="preserve"> </w:t>
      </w:r>
      <w:r>
        <w:t xml:space="preserve">parts of the EU will not be confronted with different operational requirements. Vessel operators that</w:t>
      </w:r>
      <w:r>
        <w:t xml:space="preserve"> </w:t>
      </w:r>
      <w:r>
        <w:t xml:space="preserve">cross borders will also benefit from more standardised reporting requirements and high-quality of</w:t>
      </w:r>
      <w:r>
        <w:t xml:space="preserve"> </w:t>
      </w:r>
      <w:r>
        <w:t xml:space="preserve">information. Thus, an important barrier is removed. PO-A would lead to limited impacts on</w:t>
      </w:r>
      <w:r>
        <w:t xml:space="preserve"> </w:t>
      </w:r>
      <w:r>
        <w:t xml:space="preserve">harmonisation, and thus on internal market, while PO-B and PO-C will benefit vessel operators to a</w:t>
      </w:r>
      <w:r>
        <w:t xml:space="preserve"> </w:t>
      </w:r>
      <w:r>
        <w:t xml:space="preserve">larger extent as they contain more detailed harmonisation provisions. Software services providers</w:t>
      </w:r>
      <w:r>
        <w:t xml:space="preserve"> </w:t>
      </w:r>
      <w:r>
        <w:t xml:space="preserve">will also benefit from higher quality of underlying data which will help them in developing and</w:t>
      </w:r>
      <w:r>
        <w:t xml:space="preserve"> </w:t>
      </w:r>
      <w:r>
        <w:t xml:space="preserve">offering competitive products. The better integration of IWT sector in the internal market will in</w:t>
      </w:r>
      <w:r>
        <w:t xml:space="preserve"> </w:t>
      </w:r>
      <w:r>
        <w:t xml:space="preserve">turn increase its ability to compete for cross border carriage of goods.</w:t>
      </w:r>
      <w:r>
        <w:br/>
      </w:r>
      <w:r>
        <w:t xml:space="preserve">6.1.7 Impact on competitiveness</w:t>
      </w:r>
      <w:r>
        <w:t xml:space="preserve"> </w:t>
      </w:r>
      <w:r>
        <w:t xml:space="preserve">As explained in section 1, IWT is quite active in the transport of non-time sensitive goods (e.g. bulk</w:t>
      </w:r>
      <w:r>
        <w:t xml:space="preserve"> </w:t>
      </w:r>
      <w:r>
        <w:t xml:space="preserve">or liquid cargo). To increase the competitiveness of intermodal inland waterways transport, focus is</w:t>
      </w:r>
      <w:r>
        <w:t xml:space="preserve"> </w:t>
      </w:r>
      <w:r>
        <w:t xml:space="preserve">needed on incentivising the transport of goods that are more time sensitive (i.e. typically the</w:t>
      </w:r>
      <w:r>
        <w:t xml:space="preserve"> </w:t>
      </w:r>
      <w:r>
        <w:t xml:space="preserve">container market). For this market segment, reliability is important and IWT would need to match</w:t>
      </w:r>
      <w:r>
        <w:t xml:space="preserve"> </w:t>
      </w:r>
      <w:r>
        <w:t xml:space="preserve">the higher reliability standards of road transport, which benefits from a reduced number of actors</w:t>
      </w:r>
      <w:r>
        <w:t xml:space="preserve"> </w:t>
      </w:r>
      <w:r>
        <w:t xml:space="preserve">(door-to-door services, less handling) and higher flexibility (in particular compared to “network”</w:t>
      </w:r>
      <w:r>
        <w:t xml:space="preserve"> </w:t>
      </w:r>
      <w:r>
        <w:t xml:space="preserve">modes, like IWT and rail).</w:t>
      </w:r>
      <w:r>
        <w:t xml:space="preserve"> </w:t>
      </w:r>
      <w:r>
        <w:t xml:space="preserve">Several policy measures are expected to have an impact on modal shift, away from road transport to</w:t>
      </w:r>
      <w:r>
        <w:t xml:space="preserve"> </w:t>
      </w:r>
      <w:r>
        <w:t xml:space="preserve">intermodal inland waterway transport. In particular PM4 is expected to increase the efficiency in</w:t>
      </w:r>
      <w:r>
        <w:t xml:space="preserve"> </w:t>
      </w:r>
      <w:r>
        <w:t xml:space="preserve">navigation, as improved data (e.g. on waiting times or obstacles) will improve navigation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performance. PM14 will have a similar effect through improved links with the systems of other</w:t>
      </w:r>
      <w:r>
        <w:t xml:space="preserve"> </w:t>
      </w:r>
      <w:r>
        <w:t xml:space="preserve">modes (e.g. the estimated time of arrival will be available, which in turn will contribute to the</w:t>
      </w:r>
      <w:r>
        <w:t xml:space="preserve"> </w:t>
      </w:r>
      <w:r>
        <w:t xml:space="preserve">optimisation of the logistics chain). This will lead to increased performance, predictability and</w:t>
      </w:r>
      <w:r>
        <w:t xml:space="preserve"> </w:t>
      </w:r>
      <w:r>
        <w:t xml:space="preserve">reliability of the intermodal IWT sector, increasing the potential to attract freight from other modes.</w:t>
      </w:r>
      <w:r>
        <w:t xml:space="preserve"> </w:t>
      </w:r>
      <w:r>
        <w:t xml:space="preserve">The impact of PM4 and PM14 (both included in PO-B and PO-C) on modal shift has been assessed</w:t>
      </w:r>
      <w:r>
        <w:t xml:space="preserve"> </w:t>
      </w:r>
      <w:r>
        <w:t xml:space="preserve">together, due to the synergies between the measures.</w:t>
      </w:r>
      <w:r>
        <w:br/>
      </w:r>
      <w:r>
        <w:t xml:space="preserve">No study has been identified that examines the issue of reliability in the IWT sector. However, a</w:t>
      </w:r>
      <w:r>
        <w:t xml:space="preserve"> </w:t>
      </w:r>
      <w:r>
        <w:t xml:space="preserve">2019 TRT study111, examining the modal shift potential for rail, provides a good approximation for</w:t>
      </w:r>
      <w:r>
        <w:t xml:space="preserve"> </w:t>
      </w:r>
      <w:r>
        <w:t xml:space="preserve">identifying the impact of improved reliability for intermodal IWT. Like IWT, rail is also a</w:t>
      </w:r>
      <w:r>
        <w:t xml:space="preserve"> </w:t>
      </w:r>
      <w:r>
        <w:t xml:space="preserve">“network” mode (though with a wider network) and it also carries both time-sensitive and cost-</w:t>
      </w:r>
      <w:r>
        <w:t xml:space="preserve"> </w:t>
      </w:r>
      <w:r>
        <w:t xml:space="preserve">sensitive goods. The study found that the lack of punctuality was the most important reason</w:t>
      </w:r>
      <w:r>
        <w:t xml:space="preserve"> </w:t>
      </w:r>
      <w:r>
        <w:t xml:space="preserve">provided by the surveyed logistics operators and freight forwarders for not choosing rail instead of</w:t>
      </w:r>
      <w:r>
        <w:t xml:space="preserve"> </w:t>
      </w:r>
      <w:r>
        <w:t xml:space="preserve">road. It further estimated (through a stated preference survey) the impact of an increase in reliability</w:t>
      </w:r>
      <w:r>
        <w:t xml:space="preserve"> </w:t>
      </w:r>
      <w:r>
        <w:t xml:space="preserve">in shifting freight away from road (i.e. the cross elasticity). Given the similarities between rail and</w:t>
      </w:r>
      <w:r>
        <w:t xml:space="preserve"> </w:t>
      </w:r>
      <w:r>
        <w:t xml:space="preserve">IWT, the fact that both compete against road, and in the absence of further specific research, the</w:t>
      </w:r>
      <w:r>
        <w:t xml:space="preserve"> </w:t>
      </w:r>
      <w:r>
        <w:t xml:space="preserve">results of the rail study are used as a proxy for estimating the potential modal shift from road to</w:t>
      </w:r>
      <w:r>
        <w:t xml:space="preserve"> </w:t>
      </w:r>
      <w:r>
        <w:t xml:space="preserve">IWT. In addition, sensitivity analysis has been performed and is presented in section 7.6.</w:t>
      </w:r>
      <w:r>
        <w:br/>
      </w:r>
      <w:r>
        <w:t xml:space="preserve">As explained above, based on the results of a stated preference survey run as part of the 2019 TRT</w:t>
      </w:r>
      <w:r>
        <w:t xml:space="preserve"> </w:t>
      </w:r>
      <w:r>
        <w:t xml:space="preserve">study, a linear correlation between punctuality and modal shift potential has been identified. More</w:t>
      </w:r>
      <w:r>
        <w:t xml:space="preserve"> </w:t>
      </w:r>
      <w:r>
        <w:t xml:space="preserve">specifically, the study indicates that for each 10% increase in punctuality a 6.1% increase in</w:t>
      </w:r>
      <w:r>
        <w:t xml:space="preserve"> </w:t>
      </w:r>
      <w:r>
        <w:t xml:space="preserve">transport demand could be expected. To determine the impact on reliability for the inland waterway</w:t>
      </w:r>
      <w:r>
        <w:t xml:space="preserve"> </w:t>
      </w:r>
      <w:r>
        <w:t xml:space="preserve">sector, information on average waiting times at locks has been collected in the context of the impact</w:t>
      </w:r>
      <w:r>
        <w:t xml:space="preserve"> </w:t>
      </w:r>
      <w:r>
        <w:t xml:space="preserve">assessment support study112 and the impact on reliability has been derived based on desk-</w:t>
      </w:r>
      <w:r>
        <w:t xml:space="preserve"> </w:t>
      </w:r>
      <w:r>
        <w:t xml:space="preserve">research113. In the baseline scenario, the total travel time for freight inland waterways transport is</w:t>
      </w:r>
      <w:r>
        <w:t xml:space="preserve"> </w:t>
      </w:r>
      <w:r>
        <w:t xml:space="preserve">estimated at 12 million hours in 2025, 12.19 million hours in 2030 and 12.42 million hours in 2050,</w:t>
      </w:r>
      <w:r>
        <w:t xml:space="preserve"> </w:t>
      </w:r>
      <w:r>
        <w:t xml:space="preserve">while the waiting time at 0.54 million hours in 2025, 0.55 million hours in 2030 and 0.56 million</w:t>
      </w:r>
      <w:r>
        <w:t xml:space="preserve"> </w:t>
      </w:r>
      <w:r>
        <w:t xml:space="preserve">hours in 2050. The reliability of travel time in inland shipping is thus estimated at 95.5% in the</w:t>
      </w:r>
      <w:r>
        <w:t xml:space="preserve"> </w:t>
      </w:r>
      <w:r>
        <w:t xml:space="preserve">baseline scenario. Information on the position of the ship and the expected arrival time of ships can</w:t>
      </w:r>
      <w:r>
        <w:t xml:space="preserve"> </w:t>
      </w:r>
      <w:r>
        <w:t xml:space="preserve">increase the reliability by a maximum of 4.5%. Drawing on the correlation between the increase in</w:t>
      </w:r>
      <w:r>
        <w:t xml:space="preserve"> </w:t>
      </w:r>
      <w:r>
        <w:t xml:space="preserve">punctuality and transport demand from the TRT study, the model shift potential is estimated at 2.7%</w:t>
      </w:r>
      <w:r>
        <w:t xml:space="preserve"> </w:t>
      </w:r>
      <w:r>
        <w:t xml:space="preserve">relative to the baseline. This modal shift potential is only applied to intermodal transport114, as not</w:t>
      </w:r>
      <w:r>
        <w:t xml:space="preserve"> </w:t>
      </w:r>
      <w:r>
        <w:t xml:space="preserve">all goods transported by road may be suitable for transport by IWT, while the IWT network is much</w:t>
      </w:r>
      <w:r>
        <w:t xml:space="preserve"> </w:t>
      </w:r>
      <w:r>
        <w:t xml:space="preserve">more limited compared to that of road. Drawing on the evolution of freight IWT activity in the</w:t>
      </w:r>
      <w:r>
        <w:t xml:space="preserve"> </w:t>
      </w:r>
      <w:r>
        <w:t xml:space="preserve">baseline scenario, the model shift potential and the share of intermodal transport in IWT, the</w:t>
      </w:r>
      <w:r>
        <w:t xml:space="preserve"> </w:t>
      </w:r>
      <w:r>
        <w:t xml:space="preserve">transport activity shifted from road to freight IWT in PO-B and PO-C is estimated at 0.35 billion</w:t>
      </w:r>
      <w:r>
        <w:t xml:space="preserve"> </w:t>
      </w:r>
      <w:r>
        <w:t xml:space="preserve">tonne-kilometres (tkm) in 2026, 0.38 billion tkm in 2030 and 0.45 billion tkm in 2050. More details</w:t>
      </w:r>
      <w:r>
        <w:t xml:space="preserve"> </w:t>
      </w:r>
      <w:r>
        <w:t xml:space="preserve">are provided in Annex 4 (section 4).</w:t>
      </w:r>
      <w:r>
        <w:br/>
      </w:r>
      <w:r>
        <w:t xml:space="preserve">Vessel operators suggested that measures such as exchange of information through the eFTI</w:t>
      </w:r>
      <w:r>
        <w:t xml:space="preserve"> </w:t>
      </w:r>
      <w:r>
        <w:t xml:space="preserve">mechanism (PM7 in PO-A and PM8 in PO-B and PO-C) as well as links with ports (PM12 in PO-B</w:t>
      </w:r>
      <w:r>
        <w:t xml:space="preserve"> </w:t>
      </w:r>
      <w:r>
        <w:t xml:space="preserve">and PM13 in PO-C) may also have a positive impact on increasing the competitiveness of the IWT</w:t>
      </w:r>
      <w:r>
        <w:t xml:space="preserve"> </w:t>
      </w:r>
      <w:r>
        <w:t xml:space="preserve">sector. However, they impacts are expected to be more limited than those of PM4 and PM14. As no</w:t>
      </w:r>
    </w:p>
    <w:p>
      <w:pPr>
        <w:pStyle w:val="BodyText"/>
      </w:pPr>
      <w:r>
        <w:t xml:space="preserve">111 https://www.corridor-rhine-alpine.eu/files/downloads/others/Transport%20Market%20Study%202018.pdf</w:t>
      </w:r>
      <w:r>
        <w:br/>
      </w:r>
      <w:r>
        <w:t xml:space="preserve">112 An average waiting time per lock of 20 minutes and a reliability value of 43 minutes (i.e. variance of 23</w:t>
      </w:r>
      <w:r>
        <w:t xml:space="preserve"> </w:t>
      </w:r>
      <w:r>
        <w:t xml:space="preserve">minutes) have been estimated. A barge passes an average number of 4 locks per voyage.</w:t>
      </w:r>
      <w:r>
        <w:t xml:space="preserve"> </w:t>
      </w:r>
      <w:r>
        <w:t xml:space="preserve">113 IMA (2021) of the Department of Public Works.</w:t>
      </w:r>
      <w:r>
        <w:br/>
      </w:r>
      <w:r>
        <w:t xml:space="preserve">114 Based on Eurostat data, around 7.7% of inland waterway transport is intermodal container transport.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quantitative input was provided by stakeholders and considering their limited expected impact, no</w:t>
      </w:r>
      <w:r>
        <w:t xml:space="preserve"> </w:t>
      </w:r>
      <w:r>
        <w:t xml:space="preserve">further analysis was undertaken.</w:t>
      </w:r>
      <w:r>
        <w:t xml:space="preserve"> </w:t>
      </w:r>
      <w:r>
        <w:t xml:space="preserve">While the revision of the RIS Directive will make the EU inland waterway transport more efficient</w:t>
      </w:r>
      <w:r>
        <w:t xml:space="preserve"> </w:t>
      </w:r>
      <w:r>
        <w:t xml:space="preserve">and reliable, including positive impacts on neighbouring countries such as Serbia and Ukraine</w:t>
      </w:r>
      <w:r>
        <w:t xml:space="preserve"> </w:t>
      </w:r>
      <w:r>
        <w:t xml:space="preserve">which are already voluntarily applying RIS Directive, the initiative has no impact on the</w:t>
      </w:r>
      <w:r>
        <w:t xml:space="preserve"> </w:t>
      </w:r>
      <w:r>
        <w:t xml:space="preserve">international competitiveness of the sector.</w:t>
      </w:r>
      <w:r>
        <w:br/>
      </w:r>
      <w:r>
        <w:t xml:space="preserve">6.1.8 Impacts on innovation</w:t>
      </w:r>
      <w:r>
        <w:t xml:space="preserve"> </w:t>
      </w:r>
      <w:r>
        <w:t xml:space="preserve">The NAIADES III Action Plan indicates the need for the inland waterway transport sector to keep</w:t>
      </w:r>
      <w:r>
        <w:t xml:space="preserve"> </w:t>
      </w:r>
      <w:r>
        <w:t xml:space="preserve">up with digital developments to improve the sector’s competitiveness and ensure that it becomes an</w:t>
      </w:r>
      <w:r>
        <w:t xml:space="preserve"> </w:t>
      </w:r>
      <w:r>
        <w:t xml:space="preserve">active part of a broader multimodal chain115. Innovation in inland navigation is both necessary to</w:t>
      </w:r>
      <w:r>
        <w:t xml:space="preserve"> </w:t>
      </w:r>
      <w:r>
        <w:t xml:space="preserve">maintain its modal share and to improve its performance.</w:t>
      </w:r>
      <w:r>
        <w:br/>
      </w:r>
      <w:r>
        <w:t xml:space="preserve">All policy options are expected to positively affect the IWT sector’s capacity to innovate. By</w:t>
      </w:r>
      <w:r>
        <w:t xml:space="preserve"> </w:t>
      </w:r>
      <w:r>
        <w:t xml:space="preserve">providing better quality RIS data they will lead to the provision of more accurate services and</w:t>
      </w:r>
      <w:r>
        <w:t xml:space="preserve"> </w:t>
      </w:r>
      <w:r>
        <w:t xml:space="preserve">eventually set the basis upon which further digital applications can be developed (for example for</w:t>
      </w:r>
      <w:r>
        <w:t xml:space="preserve"> </w:t>
      </w:r>
      <w:r>
        <w:t xml:space="preserve">planning and optimisation of navigation, avoidance of obstacles and warning of navigation hazards,</w:t>
      </w:r>
      <w:r>
        <w:t xml:space="preserve"> </w:t>
      </w:r>
      <w:r>
        <w:t xml:space="preserve">etc.). In all policy options the introduction of cargo information through eFTI will increase the</w:t>
      </w:r>
      <w:r>
        <w:t xml:space="preserve"> </w:t>
      </w:r>
      <w:r>
        <w:t xml:space="preserve">quantity and quality of information available in the eFTI platforms, which then could feed the</w:t>
      </w:r>
      <w:r>
        <w:t xml:space="preserve"> </w:t>
      </w:r>
      <w:r>
        <w:t xml:space="preserve">development of business-to-business applications. In addition, in PO-B and PO-C the increased</w:t>
      </w:r>
      <w:r>
        <w:t xml:space="preserve"> </w:t>
      </w:r>
      <w:r>
        <w:t xml:space="preserve">links and exchange of information with other modes has the potential to improve multimodality and</w:t>
      </w:r>
      <w:r>
        <w:t xml:space="preserve"> </w:t>
      </w:r>
      <w:r>
        <w:t xml:space="preserve">will allow developers of logistics and travel planning and cargo management applications to include</w:t>
      </w:r>
      <w:r>
        <w:t xml:space="preserve"> </w:t>
      </w:r>
      <w:r>
        <w:t xml:space="preserve">IWT in their solutions.</w:t>
      </w:r>
      <w:r>
        <w:br/>
      </w:r>
      <w:r>
        <w:t xml:space="preserve">In the medium to long term, the information provided by RIS regarding navigation and the digital</w:t>
      </w:r>
      <w:r>
        <w:t xml:space="preserve"> </w:t>
      </w:r>
      <w:r>
        <w:t xml:space="preserve">exchange of information will become an important basis for the development and operation of</w:t>
      </w:r>
      <w:r>
        <w:t xml:space="preserve"> </w:t>
      </w:r>
      <w:r>
        <w:t xml:space="preserve">automated vessels and smart shipping116. As the availability of high-quality data is an essential</w:t>
      </w:r>
      <w:r>
        <w:t xml:space="preserve"> </w:t>
      </w:r>
      <w:r>
        <w:t xml:space="preserve">prerequisite for the use automated inland vessels, the uptake of smart shipping is related to the</w:t>
      </w:r>
      <w:r>
        <w:t xml:space="preserve"> </w:t>
      </w:r>
      <w:r>
        <w:t xml:space="preserve">policy measures aiming to create high-level quality data (PM6 and PM10 in all policy options, and</w:t>
      </w:r>
      <w:r>
        <w:t xml:space="preserve"> </w:t>
      </w:r>
      <w:r>
        <w:t xml:space="preserve">PM4 and PM9 in PO-B and PO-C). PO-A is expected to have a limited impact on enabling the</w:t>
      </w:r>
      <w:r>
        <w:t xml:space="preserve"> </w:t>
      </w:r>
      <w:r>
        <w:t xml:space="preserve">uptake of smart shipping as it will only promote better quality RIS data through provisions for</w:t>
      </w:r>
      <w:r>
        <w:t xml:space="preserve"> </w:t>
      </w:r>
      <w:r>
        <w:t xml:space="preserve">supplying data to the ERDMS (PM6) and faster development of technical specifications by CESNI</w:t>
      </w:r>
      <w:r>
        <w:t xml:space="preserve"> </w:t>
      </w:r>
      <w:r>
        <w:t xml:space="preserve">(PM10). In PO-B and PO-C, the new technical specifications on data for navigation and voyage</w:t>
      </w:r>
      <w:r>
        <w:t xml:space="preserve"> </w:t>
      </w:r>
      <w:r>
        <w:t xml:space="preserve">planning (PM4) and the information exchange through the RIS COMEX platform (PM9) will</w:t>
      </w:r>
    </w:p>
    <w:p>
      <w:pPr>
        <w:pStyle w:val="BodyText"/>
      </w:pPr>
      <w:r>
        <w:t xml:space="preserve">115 COM/2021/324 final</w:t>
      </w:r>
      <w:r>
        <w:br/>
      </w:r>
      <w:r>
        <w:t xml:space="preserve">116 Smart shipping is based on the concepts of automation and digitalisation (see Platina 3 Report on</w:t>
      </w:r>
      <w:r>
        <w:t xml:space="preserve"> </w:t>
      </w:r>
      <w:r>
        <w:t xml:space="preserve">requirements towards digital and automated inland navigation tools from the infrastructure operator and user</w:t>
      </w:r>
      <w:r>
        <w:t xml:space="preserve"> </w:t>
      </w:r>
      <w:r>
        <w:t xml:space="preserve">perspective D4.3). Smart shipping refers to the largely autonomous operation of inland vessels. It covers not</w:t>
      </w:r>
      <w:r>
        <w:t xml:space="preserve"> </w:t>
      </w:r>
      <w:r>
        <w:t xml:space="preserve">only on-board technologies, but also the design of ports and waterways so that, using data collected by sensors, a</w:t>
      </w:r>
      <w:r>
        <w:t xml:space="preserve"> </w:t>
      </w:r>
      <w:r>
        <w:t xml:space="preserve">ship can manoeuvre autonomously or prompt the crew to take action (see Smart Shipping: comprehensive</w:t>
      </w:r>
      <w:r>
        <w:t xml:space="preserve"> </w:t>
      </w:r>
      <w:r>
        <w:t xml:space="preserve">automation in the maritime sector | Maritime transport and seaports | Government.nl)116. Smart shipping is still in</w:t>
      </w:r>
      <w:r>
        <w:t xml:space="preserve"> </w:t>
      </w:r>
      <w:r>
        <w:t xml:space="preserve">the initiation phase (pilot projects and research). The main barrier to the uptake of smart shipping is IWT</w:t>
      </w:r>
      <w:r>
        <w:t xml:space="preserve"> </w:t>
      </w:r>
      <w:r>
        <w:t xml:space="preserve">regulation (including crewing) which does not currently allow the commercial use of automated inland vessels.</w:t>
      </w:r>
      <w:r>
        <w:t xml:space="preserve"> </w:t>
      </w:r>
      <w:r>
        <w:t xml:space="preserve">There are also no dedicated automation standards available (see Innovative Inland Navigation,</w:t>
      </w:r>
      <w:r>
        <w:t xml:space="preserve"> </w:t>
      </w:r>
      <w:r>
        <w:t xml:space="preserve">https://repository.uantwerpen.be/docman/irua/d3e895/157179.pdf). The fact that smart shipping is still in its</w:t>
      </w:r>
      <w:r>
        <w:t xml:space="preserve"> </w:t>
      </w:r>
      <w:r>
        <w:t xml:space="preserve">initiation phase means that at this stage only very limited data is available for the quantification of the innovation</w:t>
      </w:r>
      <w:r>
        <w:t xml:space="preserve"> </w:t>
      </w:r>
      <w:r>
        <w:t xml:space="preserve">impact of the proposed measures on smart shipping. Therefore, the assessment of the innovation impact of the</w:t>
      </w:r>
      <w:r>
        <w:t xml:space="preserve"> </w:t>
      </w:r>
      <w:r>
        <w:t xml:space="preserve">relevant proposed measures is conducted on a qualitative basis.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further enable the uptake of smart shipping. Overall, based on the analysis above PO-B and PO-C</w:t>
      </w:r>
      <w:r>
        <w:t xml:space="preserve"> </w:t>
      </w:r>
      <w:r>
        <w:t xml:space="preserve">are expected to have higher positive impacts on innovation in the IWT sector than PO-A.</w:t>
      </w:r>
      <w:r>
        <w:br/>
      </w:r>
      <w:r>
        <w:t xml:space="preserve">6.1.9 Digital by default</w:t>
      </w:r>
      <w:r>
        <w:br/>
      </w:r>
      <w:r>
        <w:t xml:space="preserve">All policy options will have a positive impact on the application of the ‘digital by default’ principle.</w:t>
      </w:r>
      <w:r>
        <w:t xml:space="preserve"> </w:t>
      </w:r>
      <w:r>
        <w:t xml:space="preserve">PO-A is expected to have a more limited positive impact relative to the baseline, driven by the</w:t>
      </w:r>
      <w:r>
        <w:t xml:space="preserve"> </w:t>
      </w:r>
      <w:r>
        <w:t xml:space="preserve">improved quality of the underlying data for RIS (PM6), faster development of technical</w:t>
      </w:r>
      <w:r>
        <w:t xml:space="preserve"> </w:t>
      </w:r>
      <w:r>
        <w:t xml:space="preserve">specifications by CESNI (PM10) and by encouraging the use of eFTI for data exchange (PM7). The</w:t>
      </w:r>
      <w:r>
        <w:t xml:space="preserve"> </w:t>
      </w:r>
      <w:r>
        <w:t xml:space="preserve">positive impact of PO-B is assessed to be higher due to the introduction of RIS COMEX as the main</w:t>
      </w:r>
      <w:r>
        <w:t xml:space="preserve"> </w:t>
      </w:r>
      <w:r>
        <w:t xml:space="preserve">platform for exchange of RIS information (PM9), a platform that is also the basis for the</w:t>
      </w:r>
      <w:r>
        <w:t xml:space="preserve"> </w:t>
      </w:r>
      <w:r>
        <w:t xml:space="preserve">development of digital applications for other measures under consideration. Furthermore, by</w:t>
      </w:r>
      <w:r>
        <w:t xml:space="preserve"> </w:t>
      </w:r>
      <w:r>
        <w:t xml:space="preserve">mandating the use of eFTI (PM8) and introducing better links with ports (PM12) and other modes</w:t>
      </w:r>
      <w:r>
        <w:t xml:space="preserve"> </w:t>
      </w:r>
      <w:r>
        <w:t xml:space="preserve">(PM14), PO-B improves the interoperability of IWT through digital solutions. PO-C goes a step</w:t>
      </w:r>
      <w:r>
        <w:t xml:space="preserve"> </w:t>
      </w:r>
      <w:r>
        <w:t xml:space="preserve">further, with higher positive impacts on digitalisation than PO-B and PO-A, as it requires electronic</w:t>
      </w:r>
      <w:r>
        <w:t xml:space="preserve"> </w:t>
      </w:r>
      <w:r>
        <w:t xml:space="preserve">voyage plan reporting (PM5) and the exchange of cross-border data (PM15), and mandates</w:t>
      </w:r>
      <w:r>
        <w:t xml:space="preserve"> </w:t>
      </w:r>
      <w:r>
        <w:t xml:space="preserve">electronic exchange with ports (PM13).</w:t>
      </w:r>
      <w:r>
        <w:t xml:space="preserve"> </w:t>
      </w:r>
      <w:r>
        <w:t xml:space="preserve">6.1.10 Impacts on congestion</w:t>
      </w:r>
      <w:r>
        <w:t xml:space="preserve"> </w:t>
      </w:r>
      <w:r>
        <w:t xml:space="preserve">As discussed in section 6.1.7, measures PM4 and PM14 (included in PO-B and PO-C) are expected</w:t>
      </w:r>
      <w:r>
        <w:t xml:space="preserve"> </w:t>
      </w:r>
      <w:r>
        <w:t xml:space="preserve">to lead to higher use of freight IWT and a shift away from road transport, thus in turn reducing road</w:t>
      </w:r>
      <w:r>
        <w:t xml:space="preserve"> </w:t>
      </w:r>
      <w:r>
        <w:t xml:space="preserve">congestion117. The reduction in the external costs of road congestion in PO-B and PO-C are</w:t>
      </w:r>
      <w:r>
        <w:t xml:space="preserve"> </w:t>
      </w:r>
      <w:r>
        <w:t xml:space="preserve">estimated at EUR 4.7 million in 2030 and EUR 5.6 million in 2050 relative to the baseline (in 2022</w:t>
      </w:r>
      <w:r>
        <w:t xml:space="preserve"> </w:t>
      </w:r>
      <w:r>
        <w:t xml:space="preserve">prices)118. Expressed as present value over 2025-2050, this is equivalent to EUR 86.8 million in PO-</w:t>
      </w:r>
      <w:r>
        <w:t xml:space="preserve"> </w:t>
      </w:r>
      <w:r>
        <w:t xml:space="preserve">B and PO-C. No impact on congestion is expected in PO-A. More details are provided in Annex 4</w:t>
      </w:r>
      <w:r>
        <w:t xml:space="preserve"> </w:t>
      </w:r>
      <w:r>
        <w:t xml:space="preserve">(section 4).</w:t>
      </w:r>
      <w:r>
        <w:br/>
      </w:r>
      <w:r>
        <w:t xml:space="preserve">6.1.11 Territorial impacts</w:t>
      </w:r>
      <w:r>
        <w:t xml:space="preserve"> </w:t>
      </w:r>
      <w:r>
        <w:t xml:space="preserve">As explained in section 1, the interconnected waterway network of 13,000 km covers 13 Member</w:t>
      </w:r>
      <w:r>
        <w:t xml:space="preserve"> </w:t>
      </w:r>
      <w:r>
        <w:t xml:space="preserve">States (Austria, Belgium, Bulgaria, Czechia, Germany, France, Croatia, Hungary, Luxembourg, the</w:t>
      </w:r>
      <w:r>
        <w:t xml:space="preserve"> </w:t>
      </w:r>
      <w:r>
        <w:t xml:space="preserve">Netherlands, Poland, Romania and Slovakia) serving over 250 TEN-T inland ports in the TEN-T</w:t>
      </w:r>
      <w:r>
        <w:t xml:space="preserve"> </w:t>
      </w:r>
      <w:r>
        <w:t xml:space="preserve">network. Thus, the initiative and the analysis is limited to the relevant Member States and their</w:t>
      </w:r>
      <w:r>
        <w:t xml:space="preserve"> </w:t>
      </w:r>
      <w:r>
        <w:t xml:space="preserve">waterways.</w:t>
      </w:r>
      <w:r>
        <w:br/>
      </w:r>
      <w:r>
        <w:t xml:space="preserve">The inland waterways transport sector is small in terms of market size (EUR 7 billion of turnover in</w:t>
      </w:r>
      <w:r>
        <w:t xml:space="preserve"> </w:t>
      </w:r>
      <w:r>
        <w:t xml:space="preserve">2020, compared to EUR 454 billion for road transport and EUR 61 billion for rail) and inland modal</w:t>
      </w:r>
      <w:r>
        <w:t xml:space="preserve"> </w:t>
      </w:r>
      <w:r>
        <w:t xml:space="preserve">share (6% of freight inland traffic, compared to 77% for road transport and 17% for rail). In</w:t>
      </w:r>
      <w:r>
        <w:t xml:space="preserve"> </w:t>
      </w:r>
      <w:r>
        <w:t xml:space="preserve">addition, the impacts of all policy options in terms of net costs savings for vessel operators are</w:t>
      </w:r>
      <w:r>
        <w:t xml:space="preserve"> </w:t>
      </w:r>
      <w:r>
        <w:t xml:space="preserve">estimated at less than 0.1% of the annual turnover of the sector. As no significant impact is expected</w:t>
      </w:r>
      <w:r>
        <w:t xml:space="preserve"> </w:t>
      </w:r>
      <w:r>
        <w:t xml:space="preserve">due to the initiative, a territorial impact assessment has not been performed. Nevertheless, it should</w:t>
      </w:r>
      <w:r>
        <w:t xml:space="preserve"> </w:t>
      </w:r>
      <w:r>
        <w:t xml:space="preserve">be noted that the positive impacts due to the policy options are expected to be localised around the</w:t>
      </w:r>
      <w:r>
        <w:t xml:space="preserve"> </w:t>
      </w:r>
      <w:r>
        <w:t xml:space="preserve">inland ports of the 13 Member States concerned, and within the rivers themselves. The positive</w:t>
      </w:r>
      <w:r>
        <w:t xml:space="preserve"> </w:t>
      </w:r>
      <w:r>
        <w:t xml:space="preserve">impacts of the modal shift in terms of congestion, safety and environment will primarily materialise</w:t>
      </w:r>
    </w:p>
    <w:p>
      <w:pPr>
        <w:pStyle w:val="BodyText"/>
      </w:pPr>
      <w:r>
        <w:t xml:space="preserve">117 IWT does not suffer congestion.</w:t>
      </w:r>
      <w:r>
        <w:t xml:space="preserve"> </w:t>
      </w:r>
      <w:r>
        <w:t xml:space="preserve">118 The reduction in the external costs of road congestion are estimated based on the reduction in the road</w:t>
      </w:r>
      <w:r>
        <w:t xml:space="preserve"> </w:t>
      </w:r>
      <w:r>
        <w:t xml:space="preserve">transport activity and the unit values from the 2019 Handbook on the external costs of transport (Source :</w:t>
      </w:r>
      <w:r>
        <w:t xml:space="preserve"> </w:t>
      </w:r>
      <w:r>
        <w:t xml:space="preserve">Internalisation of transport external costs (europa.eu))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in the areas from which traffic is shifted away from road. Their magnitude is however also very</w:t>
      </w:r>
      <w:r>
        <w:t xml:space="preserve"> </w:t>
      </w:r>
      <w:r>
        <w:t xml:space="preserve">limited, due to the small size of the sector.</w:t>
      </w:r>
      <w:r>
        <w:br/>
      </w:r>
      <w:r>
        <w:t xml:space="preserve">6.2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The social impacts are assessed in terms of impacts on safety and fundamental rights.</w:t>
      </w:r>
      <w:r>
        <w:t xml:space="preserve"> </w:t>
      </w:r>
      <w:r>
        <w:t xml:space="preserve">6.2.1 Impacts on safety</w:t>
      </w:r>
      <w:r>
        <w:t xml:space="preserve"> </w:t>
      </w:r>
      <w:r>
        <w:t xml:space="preserve">In PO-B and PO-C, implementing new RIS technical specifications (PM4) and improving the links</w:t>
      </w:r>
      <w:r>
        <w:t xml:space="preserve"> </w:t>
      </w:r>
      <w:r>
        <w:t xml:space="preserve">with the systems of other modes (PM14), induces higher use of IWT and a shift away from road</w:t>
      </w:r>
      <w:r>
        <w:t xml:space="preserve"> </w:t>
      </w:r>
      <w:r>
        <w:t xml:space="preserve">transport (see section 6.1.7) that has an indirect positive impact on road safety. More specifically,</w:t>
      </w:r>
      <w:r>
        <w:t xml:space="preserve"> </w:t>
      </w:r>
      <w:r>
        <w:t xml:space="preserve">the reduction in the road freight transport activity relative to the baseline (by 0.38 billion tkm in</w:t>
      </w:r>
      <w:r>
        <w:t xml:space="preserve"> </w:t>
      </w:r>
      <w:r>
        <w:t xml:space="preserve">2030 and 0.45 billion tkm in 2050) is estimated to lead to a reduction in the external costs of</w:t>
      </w:r>
      <w:r>
        <w:t xml:space="preserve"> </w:t>
      </w:r>
      <w:r>
        <w:t xml:space="preserve">accidents, estimated at EUR 6.3 million in 2030 and EUR 7.5 million in 2050119. Expressed as</w:t>
      </w:r>
      <w:r>
        <w:t xml:space="preserve"> </w:t>
      </w:r>
      <w:r>
        <w:t xml:space="preserve">present value over 2025-2050, PO-B and PO-C are projected to result in savings in the external</w:t>
      </w:r>
      <w:r>
        <w:t xml:space="preserve"> </w:t>
      </w:r>
      <w:r>
        <w:t xml:space="preserve">costs of accidents of EUR 115.8 million relative to the baseline. No significant impacts are expected</w:t>
      </w:r>
      <w:r>
        <w:t xml:space="preserve"> </w:t>
      </w:r>
      <w:r>
        <w:t xml:space="preserve">in PO-A relative to the baseline.</w:t>
      </w:r>
      <w:r>
        <w:br/>
      </w:r>
      <w:r>
        <w:t xml:space="preserve">In the baseline scenario the number of accidents in IWT is projected to increase from 529 in 2015,</w:t>
      </w:r>
      <w:r>
        <w:t xml:space="preserve"> </w:t>
      </w:r>
      <w:r>
        <w:t xml:space="preserve">to 535 in 2030 and 551 in 2050, driven by the increase in the transport activity. According to Intergo</w:t>
      </w:r>
      <w:r>
        <w:t xml:space="preserve"> </w:t>
      </w:r>
      <w:r>
        <w:t xml:space="preserve">(2021)120, accidents in inland navigation are due to human error in 70 to 80% of the cases. Statistics</w:t>
      </w:r>
      <w:r>
        <w:t xml:space="preserve"> </w:t>
      </w:r>
      <w:r>
        <w:t xml:space="preserve">published by Eurostat and Rijkswaterstaat indicate that most reported accidents involve grounding,</w:t>
      </w:r>
      <w:r>
        <w:t xml:space="preserve"> </w:t>
      </w:r>
      <w:r>
        <w:t xml:space="preserve">collisions with infrastructure or collisions with other ships. Measures that aim to improve the</w:t>
      </w:r>
      <w:r>
        <w:t xml:space="preserve"> </w:t>
      </w:r>
      <w:r>
        <w:t xml:space="preserve">situational awareness of the vessel operators (PM4 in PO-B and PO-C, PM5 in PO-C and PM6 in</w:t>
      </w:r>
      <w:r>
        <w:t xml:space="preserve"> </w:t>
      </w:r>
      <w:r>
        <w:t xml:space="preserve">PO-A, PO-B and PO-C) should have a positive impact on avoiding accidents in IWT. The</w:t>
      </w:r>
      <w:r>
        <w:t xml:space="preserve"> </w:t>
      </w:r>
      <w:r>
        <w:t xml:space="preserve">evaluation indicated that water level messages concerning bridge passages can avoid collision with</w:t>
      </w:r>
      <w:r>
        <w:t xml:space="preserve"> </w:t>
      </w:r>
      <w:r>
        <w:t xml:space="preserve">infrastructure, and messages related to traffic can help avoid collisions between ships. Given that up</w:t>
      </w:r>
      <w:r>
        <w:t xml:space="preserve"> </w:t>
      </w:r>
      <w:r>
        <w:t xml:space="preserve">to date and accurate under keel clearance heights are only made available for a very limited number</w:t>
      </w:r>
      <w:r>
        <w:t xml:space="preserve"> </w:t>
      </w:r>
      <w:r>
        <w:t xml:space="preserve">of bridges, providing such information is expected to have a positive impact on the safety in the</w:t>
      </w:r>
      <w:r>
        <w:t xml:space="preserve"> </w:t>
      </w:r>
      <w:r>
        <w:t xml:space="preserve">IWT sector. However, the evaluation did not succeed in quantifying such benefits. In addition, the</w:t>
      </w:r>
      <w:r>
        <w:t xml:space="preserve"> </w:t>
      </w:r>
      <w:r>
        <w:t xml:space="preserve">information provided during the stakeholder consultation on the impact assessment did not allow to</w:t>
      </w:r>
      <w:r>
        <w:t xml:space="preserve"> </w:t>
      </w:r>
      <w:r>
        <w:t xml:space="preserve">identify a clear indicator that could be used to reflect the impact of these measures on avoiding</w:t>
      </w:r>
      <w:r>
        <w:t xml:space="preserve"> </w:t>
      </w:r>
      <w:r>
        <w:t xml:space="preserve">accidents. While a quantitative assessment was not possible, the impacts of PO-B and PO-C on</w:t>
      </w:r>
      <w:r>
        <w:t xml:space="preserve"> </w:t>
      </w:r>
      <w:r>
        <w:t xml:space="preserve">safety in the IWT sector are expected to be higher than those of PO-A.</w:t>
      </w:r>
      <w:r>
        <w:br/>
      </w:r>
      <w:r>
        <w:t xml:space="preserve">6.2.2 Impacts on fundamental rights</w:t>
      </w:r>
      <w:r>
        <w:t xml:space="preserve"> </w:t>
      </w:r>
      <w:r>
        <w:t xml:space="preserve">The policy options were assessed to determine if they have an impact on the fundamental rights</w:t>
      </w:r>
      <w:r>
        <w:t xml:space="preserve"> </w:t>
      </w:r>
      <w:r>
        <w:t xml:space="preserve">and/or equal treatment of EU citizens. The starting point of the assessment of the fundamental rights</w:t>
      </w:r>
      <w:r>
        <w:t xml:space="preserve"> </w:t>
      </w:r>
      <w:r>
        <w:t xml:space="preserve">is the Charter of Fundamental Rights of the European Union121. All policy options were assessed</w:t>
      </w:r>
      <w:r>
        <w:t xml:space="preserve"> </w:t>
      </w:r>
      <w:r>
        <w:t xml:space="preserve">having regard to the relevant EU instrument and it was concluded that they maintain full respect for</w:t>
      </w:r>
      <w:r>
        <w:t xml:space="preserve"> </w:t>
      </w:r>
      <w:r>
        <w:t xml:space="preserve">human and fundamental rights, and none will have any negative impact thereon. Furthermore, none</w:t>
      </w:r>
    </w:p>
    <w:p>
      <w:pPr>
        <w:pStyle w:val="BodyText"/>
      </w:pPr>
      <w:r>
        <w:t xml:space="preserve">119 The 2019 Handbook on the external costs of transport (Source: https://op.europa.eu/en/publication-detail/-</w:t>
      </w:r>
      <w:r>
        <w:t xml:space="preserve"> </w:t>
      </w:r>
      <w:r>
        <w:t xml:space="preserve">/publication/9781f65f-8448-11ea-bf12-01aa75ed71a1) has been used to monetise the costs. According to the</w:t>
      </w:r>
      <w:r>
        <w:t xml:space="preserve"> </w:t>
      </w:r>
      <w:r>
        <w:t xml:space="preserve">Handbook, the external cost of a fatality in 2022 prices is estimated at EUR 3.9 million and that of a serious</w:t>
      </w:r>
      <w:r>
        <w:t xml:space="preserve"> </w:t>
      </w:r>
      <w:r>
        <w:t xml:space="preserve">injury at EUR 0.6 million.</w:t>
      </w:r>
      <w:r>
        <w:t xml:space="preserve"> </w:t>
      </w:r>
      <w:r>
        <w:t xml:space="preserve">120 Intergo (2021), Human factors root causes of accidents in inland navigation: Organisational Aspects, retrieved</w:t>
      </w:r>
      <w:r>
        <w:t xml:space="preserve"> </w:t>
      </w:r>
      <w:r>
        <w:t xml:space="preserve">from: Report phase 2b organisational aspects __final_2.02 Main report (inlandwaterwaytransport.eu)</w:t>
      </w:r>
      <w:r>
        <w:t xml:space="preserve"> </w:t>
      </w:r>
      <w:r>
        <w:t xml:space="preserve">121 OJ C 326 of 26.10.2012 p.2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of the policy options mandate the exchange of personal data, but only provide more clarity (through</w:t>
      </w:r>
      <w:r>
        <w:t xml:space="preserve"> </w:t>
      </w:r>
      <w:r>
        <w:t xml:space="preserve">PM16 and PM17) on the conditions under which the handling of personal information by national</w:t>
      </w:r>
      <w:r>
        <w:t xml:space="preserve"> </w:t>
      </w:r>
      <w:r>
        <w:t xml:space="preserve">authorities is allowed (PM16), or define the technical aspects of how such an exchange should be</w:t>
      </w:r>
      <w:r>
        <w:t xml:space="preserve"> </w:t>
      </w:r>
      <w:r>
        <w:t xml:space="preserve">done through RIS if appropriate (PM17). This is fully in line with applicable legislation, thus</w:t>
      </w:r>
      <w:r>
        <w:t xml:space="preserve"> </w:t>
      </w:r>
      <w:r>
        <w:t xml:space="preserve">increasing legal clarity for users of RIS services.</w:t>
      </w:r>
      <w:r>
        <w:br/>
      </w:r>
      <w:r>
        <w:t xml:space="preserve">6.3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environmental impacts are assessed in terms of impacts on CO2 emissions, air pollution</w:t>
      </w:r>
      <w:r>
        <w:t xml:space="preserve"> </w:t>
      </w:r>
      <w:r>
        <w:t xml:space="preserve">emissions, noise reduction and effects on habitats. More detailed information is provided in section</w:t>
      </w:r>
      <w:r>
        <w:t xml:space="preserve"> </w:t>
      </w:r>
      <w:r>
        <w:t xml:space="preserve">4 of Annex 4 (see Table 71 to Table 76).</w:t>
      </w:r>
      <w:r>
        <w:br/>
      </w:r>
      <w:r>
        <w:t xml:space="preserve">CO2 emissions. As explained in section 6.1.7, in PO-B and PO-C, implementing new RIS technical</w:t>
      </w:r>
      <w:r>
        <w:t xml:space="preserve"> </w:t>
      </w:r>
      <w:r>
        <w:t xml:space="preserve">specifications (PM4) and improving the links with the systems of other modes (PM14) would</w:t>
      </w:r>
      <w:r>
        <w:t xml:space="preserve"> </w:t>
      </w:r>
      <w:r>
        <w:t xml:space="preserve">result in higher use of IWT and a reduction in the road freight transport activity relative to the</w:t>
      </w:r>
      <w:r>
        <w:t xml:space="preserve"> </w:t>
      </w:r>
      <w:r>
        <w:t xml:space="preserve">baseline (by 0.38 billion tkm in 2030 and 0.45 billion tkm in 2050). This is expected to result in CO2</w:t>
      </w:r>
      <w:r>
        <w:t xml:space="preserve"> </w:t>
      </w:r>
      <w:r>
        <w:t xml:space="preserve">emissions savings estimated at 22.5 thousand tonnes in 2030 and 5.6 thousand tonnes in 2050</w:t>
      </w:r>
      <w:r>
        <w:t xml:space="preserve"> </w:t>
      </w:r>
      <w:r>
        <w:t xml:space="preserve">relative to the baseline. PO-C is estimated to have further impact in reducing CO2 emissions relative</w:t>
      </w:r>
      <w:r>
        <w:t xml:space="preserve"> </w:t>
      </w:r>
      <w:r>
        <w:t xml:space="preserve">to PO-B through the reduced energy use of IWT vessels, as mandating electronic voyage planning</w:t>
      </w:r>
      <w:r>
        <w:t xml:space="preserve"> </w:t>
      </w:r>
      <w:r>
        <w:t xml:space="preserve">(PM5) will increase the situational awareness in the fairways and thus lead to more efficient</w:t>
      </w:r>
      <w:r>
        <w:t xml:space="preserve"> </w:t>
      </w:r>
      <w:r>
        <w:t xml:space="preserve">navigation. PM5 is estimated to result in 22.7 thousand tonnes of CO2 emissions saved in 2030 and</w:t>
      </w:r>
      <w:r>
        <w:t xml:space="preserve"> </w:t>
      </w:r>
      <w:r>
        <w:t xml:space="preserve">9 thousand tonnes saved in 2050. Thus, the highest reduction in CO2 emissions is estimated for PO-</w:t>
      </w:r>
      <w:r>
        <w:t xml:space="preserve"> </w:t>
      </w:r>
      <w:r>
        <w:t xml:space="preserve">C (45.2 thousand tonnes saved in 2030 and 14.5 thousand tonnes saved in 2050), followed by PO-B</w:t>
      </w:r>
      <w:r>
        <w:t xml:space="preserve"> </w:t>
      </w:r>
      <w:r>
        <w:t xml:space="preserve">with 22.5 thousand tonnes saved in 2030 and 5.6 thousand tonnes saved in 2050, relative to the</w:t>
      </w:r>
      <w:r>
        <w:t xml:space="preserve"> </w:t>
      </w:r>
      <w:r>
        <w:t xml:space="preserve">baseline. Cumulatively, over 2025-2050, CO2 emissions savings are estimated at 832.1 thousand</w:t>
      </w:r>
      <w:r>
        <w:t xml:space="preserve"> </w:t>
      </w:r>
      <w:r>
        <w:t xml:space="preserve">tonnes in PO-C and 389.1 thousand tonnes in PO-B relative to the baseline. No significant impact</w:t>
      </w:r>
      <w:r>
        <w:t xml:space="preserve"> </w:t>
      </w:r>
      <w:r>
        <w:t xml:space="preserve">on CO2 emissions is expected for PO-A. Using the unit costs of CO2 emissions from the 2019</w:t>
      </w:r>
      <w:r>
        <w:t xml:space="preserve"> </w:t>
      </w:r>
      <w:r>
        <w:t xml:space="preserve">Handbook on external costs of transport, the reduction in the external costs of CO2 emissions for</w:t>
      </w:r>
      <w:r>
        <w:t xml:space="preserve"> </w:t>
      </w:r>
      <w:r>
        <w:t xml:space="preserve">PO-C is estimated at EUR 5.4 million in 2030 and EUR 4.6 million in 2050, relative to the baseline,</w:t>
      </w:r>
      <w:r>
        <w:t xml:space="preserve"> </w:t>
      </w:r>
      <w:r>
        <w:t xml:space="preserve">and for PO-B at EUR 2.7 million in 2030 and EUR 1.8 million in 2050 (see Table 7). Expressed as</w:t>
      </w:r>
      <w:r>
        <w:t xml:space="preserve"> </w:t>
      </w:r>
      <w:r>
        <w:t xml:space="preserve">present value over 2025-2050, this is equivalent to EUR 105.2 million saved in PO-C and EUR 48.6</w:t>
      </w:r>
      <w:r>
        <w:t xml:space="preserve"> </w:t>
      </w:r>
      <w:r>
        <w:t xml:space="preserve">million in PO-B.</w:t>
      </w:r>
      <w:r>
        <w:t xml:space="preserve"> </w:t>
      </w:r>
      <w:r>
        <w:t xml:space="preserve">Air pollution. The drivers for the impacts on NOx and particulate matter (PM) emissions are the</w:t>
      </w:r>
      <w:r>
        <w:t xml:space="preserve"> </w:t>
      </w:r>
      <w:r>
        <w:t xml:space="preserve">same as those for CO2 emissions. PO-B is however expected to result in a limited increase in the</w:t>
      </w:r>
      <w:r>
        <w:t xml:space="preserve"> </w:t>
      </w:r>
      <w:r>
        <w:t xml:space="preserve">NOx and PM emissions relative to the baseline (for NOx: 19.7 tonnes in 2030 and 21.3 tonnes in</w:t>
      </w:r>
      <w:r>
        <w:t xml:space="preserve"> </w:t>
      </w:r>
      <w:r>
        <w:t xml:space="preserve">2050, and for PM: 3.2 tonnes in 2030 and 1.6 tonnes in 2050), due to the modal shift from road</w:t>
      </w:r>
      <w:r>
        <w:t xml:space="preserve"> </w:t>
      </w:r>
      <w:r>
        <w:t xml:space="preserve">transport to IWT. This is because in the baseline scenario road vehicles are projected to increase</w:t>
      </w:r>
      <w:r>
        <w:t xml:space="preserve"> </w:t>
      </w:r>
      <w:r>
        <w:t xml:space="preserve">their performance in terms of air pollution emissions faster than the IWT vessels, thanks to the Euro</w:t>
      </w:r>
      <w:r>
        <w:t xml:space="preserve"> </w:t>
      </w:r>
      <w:r>
        <w:t xml:space="preserve">standards. Cumulatively, over 2025-2050, PO-B would result in 603.2 additional tonnes of NOx and</w:t>
      </w:r>
      <w:r>
        <w:t xml:space="preserve"> </w:t>
      </w:r>
      <w:r>
        <w:t xml:space="preserve">60.8 additional tonnes of PM emissions relative to the baseline. PO-C results in additional energy</w:t>
      </w:r>
      <w:r>
        <w:t xml:space="preserve"> </w:t>
      </w:r>
      <w:r>
        <w:t xml:space="preserve">savings relative to PO-B, due to better travel information and adaptation of travel speed (PM5),</w:t>
      </w:r>
      <w:r>
        <w:t xml:space="preserve"> </w:t>
      </w:r>
      <w:r>
        <w:t xml:space="preserve">which reduces air pollution. Overall, in terms of NOx emissions, PO-C results in 367.6 tonnes saved</w:t>
      </w:r>
      <w:r>
        <w:t xml:space="preserve"> </w:t>
      </w:r>
      <w:r>
        <w:t xml:space="preserve">in 2030 and 129.5 tonnes saved in 2050, while in terms of PM emissions it results in 17 tonnes</w:t>
      </w:r>
      <w:r>
        <w:t xml:space="preserve"> </w:t>
      </w:r>
      <w:r>
        <w:t xml:space="preserve">saved in 2030 and 6.3 tonnes saved in 2050 relative to the baseline. Cumulatively, over 2025-2050,</w:t>
      </w:r>
      <w:r>
        <w:t xml:space="preserve"> </w:t>
      </w:r>
      <w:r>
        <w:t xml:space="preserve">PO-C would result in 6,552.3 tonnes of NOx saved and 338.8 tonnes of PM emissions saved.</w:t>
      </w:r>
      <w:r>
        <w:br/>
      </w:r>
      <w:r>
        <w:t xml:space="preserve">Using the unit costs of air pollution emissions from the 2019 Handbook on external costs of</w:t>
      </w:r>
      <w:r>
        <w:t xml:space="preserve"> </w:t>
      </w:r>
      <w:r>
        <w:t xml:space="preserve">transport, PO-B is estimated to result in an increase in the external costs of air pollution emissions</w:t>
      </w:r>
      <w:r>
        <w:t xml:space="preserve"> </w:t>
      </w:r>
      <w:r>
        <w:t xml:space="preserve">estimated at EUR 0.7 million in 2030 and EUR 0.6 million in 2050, while PO-C would result in a</w:t>
      </w:r>
      <w:r>
        <w:t xml:space="preserve"> </w:t>
      </w:r>
      <w:r>
        <w:t xml:space="preserve">reduction in external costs projected at EUR 9.4 million in 2030 and EUR 3.3 million in 2050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relative to the baseline (see Table 7). Expressed as present value over 2025-2050, the increase in the</w:t>
      </w:r>
      <w:r>
        <w:t xml:space="preserve"> </w:t>
      </w:r>
      <w:r>
        <w:t xml:space="preserve">external costs of air pollution in PO-B is estimated at EUR 13.1 million and the reduction in PO-C</w:t>
      </w:r>
      <w:r>
        <w:t xml:space="preserve"> </w:t>
      </w:r>
      <w:r>
        <w:t xml:space="preserve">at EUR 127.6 million relative to the baseline. No significant impact on air pollution emissions is</w:t>
      </w:r>
      <w:r>
        <w:t xml:space="preserve"> </w:t>
      </w:r>
      <w:r>
        <w:t xml:space="preserve">expected for PO-A.</w:t>
      </w:r>
      <w:r>
        <w:t xml:space="preserve"> </w:t>
      </w:r>
      <w:r>
        <w:t xml:space="preserve">Noise reduction. Modal shift from road transport to IWT in PO-B and PO-C, driven by the</w:t>
      </w:r>
      <w:r>
        <w:t xml:space="preserve"> </w:t>
      </w:r>
      <w:r>
        <w:t xml:space="preserve">implementation of PM4 and PM14, is projected to reduce noise emissions along the European road</w:t>
      </w:r>
      <w:r>
        <w:t xml:space="preserve"> </w:t>
      </w:r>
      <w:r>
        <w:t xml:space="preserve">network, as less heavy goods vehicles will be circulating on the roads. Drawing on the 2019</w:t>
      </w:r>
      <w:r>
        <w:t xml:space="preserve"> </w:t>
      </w:r>
      <w:r>
        <w:t xml:space="preserve">Handbook on external costs of transport, the reduction in the external costs of noise emissions is</w:t>
      </w:r>
      <w:r>
        <w:t xml:space="preserve"> </w:t>
      </w:r>
      <w:r>
        <w:t xml:space="preserve">estimated at EUR 2 million in 2030 and EUR 2.4 million in 2050, relative to the baseline (see Table</w:t>
      </w:r>
      <w:r>
        <w:t xml:space="preserve"> </w:t>
      </w:r>
      <w:r>
        <w:t xml:space="preserve">7). Expressed as present value over 2025-2050, the savings in external costs are estimated at EUR</w:t>
      </w:r>
      <w:r>
        <w:t xml:space="preserve"> </w:t>
      </w:r>
      <w:r>
        <w:t xml:space="preserve">36.6 million relative to the baseline in PO-B and PO-C. No significant impact on noise reduction is</w:t>
      </w:r>
      <w:r>
        <w:t xml:space="preserve"> </w:t>
      </w:r>
      <w:r>
        <w:t xml:space="preserve">expected for PO-A.</w:t>
      </w:r>
      <w:r>
        <w:t xml:space="preserve"> </w:t>
      </w:r>
      <w:r>
        <w:t xml:space="preserve">Habitats. Modal shift from road transport to IWT in PO-B and PO-C would contribute to improving</w:t>
      </w:r>
      <w:r>
        <w:t xml:space="preserve"> </w:t>
      </w:r>
      <w:r>
        <w:t xml:space="preserve">habitat quality along the European road network, by reducing the disturbance created by road</w:t>
      </w:r>
      <w:r>
        <w:t xml:space="preserve"> </w:t>
      </w:r>
      <w:r>
        <w:t xml:space="preserve">transport crossing fragile natural areas. With an increase in waterborne transport, more disturbance</w:t>
      </w:r>
      <w:r>
        <w:t xml:space="preserve"> </w:t>
      </w:r>
      <w:r>
        <w:t xml:space="preserve">of habitats is expected along the rivers. However, drawing on the 2019 Handbook on external costs</w:t>
      </w:r>
      <w:r>
        <w:t xml:space="preserve"> </w:t>
      </w:r>
      <w:r>
        <w:t xml:space="preserve">of transport, the modal shift is projected to result in net gain. The external costs related to habitats</w:t>
      </w:r>
      <w:r>
        <w:t xml:space="preserve"> </w:t>
      </w:r>
      <w:r>
        <w:t xml:space="preserve">are estimated to reduce by EUR 2 million in 2030 and EUR 2.3 million in 2050, relative to the</w:t>
      </w:r>
      <w:r>
        <w:t xml:space="preserve"> </w:t>
      </w:r>
      <w:r>
        <w:t xml:space="preserve">baseline (see Table 7). Expressed as present value over 2025-2050, this is equivalent to savings in</w:t>
      </w:r>
      <w:r>
        <w:t xml:space="preserve"> </w:t>
      </w:r>
      <w:r>
        <w:t xml:space="preserve">external costs of EUR 36.2 million in PO-B and PO-C relative to the baseline. No significant impact</w:t>
      </w:r>
      <w:r>
        <w:t xml:space="preserve"> </w:t>
      </w:r>
      <w:r>
        <w:t xml:space="preserve">on habitats is expected for PO-A.</w:t>
      </w:r>
      <w:r>
        <w:br/>
      </w:r>
      <w:r>
        <w:t xml:space="preserve">Table 7: Impact on external costs of CO2 emissions, air pollution emissions, noise and habitats relative to</w:t>
      </w:r>
      <w:r>
        <w:t xml:space="preserve"> </w:t>
      </w:r>
      <w:r>
        <w:t xml:space="preserve">the baseline in 2030, 2040 and 2050 (in million EUR, 2022 prices)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CO2 emissions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-2.7</w:t>
      </w:r>
      <w:r>
        <w:t xml:space="preserve"> </w:t>
      </w:r>
      <w:r>
        <w:t xml:space="preserve">-3.1</w:t>
      </w:r>
      <w:r>
        <w:t xml:space="preserve"> </w:t>
      </w:r>
      <w:r>
        <w:t xml:space="preserve">-1.8</w:t>
      </w:r>
      <w:r>
        <w:t xml:space="preserve"> </w:t>
      </w:r>
      <w:r>
        <w:t xml:space="preserve">-5.4</w:t>
      </w:r>
      <w:r>
        <w:t xml:space="preserve"> </w:t>
      </w:r>
      <w:r>
        <w:t xml:space="preserve">-7.1</w:t>
      </w:r>
      <w:r>
        <w:t xml:space="preserve"> </w:t>
      </w:r>
      <w:r>
        <w:t xml:space="preserve">-4.6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-2.7</w:t>
      </w:r>
      <w:r>
        <w:t xml:space="preserve"> </w:t>
      </w:r>
      <w:r>
        <w:t xml:space="preserve">-3.9</w:t>
      </w:r>
      <w:r>
        <w:t xml:space="preserve"> </w:t>
      </w:r>
      <w:r>
        <w:t xml:space="preserve">-2.9</w:t>
      </w:r>
      <w:r>
        <w:t xml:space="preserve"> </w:t>
      </w:r>
      <w:r>
        <w:t xml:space="preserve">PM4&amp;PM14</w:t>
      </w:r>
    </w:p>
    <w:p>
      <w:pPr>
        <w:pStyle w:val="BodyText"/>
      </w:pPr>
      <w:r>
        <w:t xml:space="preserve">-2.7</w:t>
      </w:r>
      <w:r>
        <w:t xml:space="preserve"> </w:t>
      </w:r>
      <w:r>
        <w:t xml:space="preserve">-3.1</w:t>
      </w:r>
      <w:r>
        <w:t xml:space="preserve"> </w:t>
      </w:r>
      <w:r>
        <w:t xml:space="preserve">-1.8</w:t>
      </w:r>
      <w:r>
        <w:t xml:space="preserve"> </w:t>
      </w:r>
      <w:r>
        <w:t xml:space="preserve">-2.7</w:t>
      </w:r>
      <w:r>
        <w:t xml:space="preserve"> </w:t>
      </w:r>
      <w:r>
        <w:t xml:space="preserve">-3.1</w:t>
      </w:r>
      <w:r>
        <w:t xml:space="preserve"> </w:t>
      </w:r>
      <w:r>
        <w:t xml:space="preserve">-1.8</w:t>
      </w:r>
      <w:r>
        <w:t xml:space="preserve"> </w:t>
      </w:r>
      <w:r>
        <w:t xml:space="preserve">Air pollution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0.7</w:t>
      </w:r>
      <w:r>
        <w:t xml:space="preserve"> </w:t>
      </w:r>
      <w:r>
        <w:t xml:space="preserve">0.9</w:t>
      </w:r>
      <w:r>
        <w:t xml:space="preserve"> </w:t>
      </w:r>
      <w:r>
        <w:t xml:space="preserve">0.6</w:t>
      </w:r>
      <w:r>
        <w:t xml:space="preserve"> </w:t>
      </w:r>
      <w:r>
        <w:t xml:space="preserve">-9.4</w:t>
      </w:r>
      <w:r>
        <w:t xml:space="preserve"> </w:t>
      </w:r>
      <w:r>
        <w:t xml:space="preserve">-6.0</w:t>
      </w:r>
      <w:r>
        <w:t xml:space="preserve"> </w:t>
      </w:r>
      <w:r>
        <w:t xml:space="preserve">-3.3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-10.2</w:t>
      </w:r>
      <w:r>
        <w:t xml:space="preserve"> </w:t>
      </w:r>
      <w:r>
        <w:t xml:space="preserve">-6.8</w:t>
      </w:r>
      <w:r>
        <w:t xml:space="preserve"> </w:t>
      </w:r>
      <w:r>
        <w:t xml:space="preserve">-4.0</w:t>
      </w:r>
      <w:r>
        <w:t xml:space="preserve"> </w:t>
      </w:r>
      <w:r>
        <w:t xml:space="preserve">PM4&amp;PM14</w:t>
      </w:r>
    </w:p>
    <w:p>
      <w:pPr>
        <w:pStyle w:val="BodyText"/>
      </w:pPr>
      <w:r>
        <w:t xml:space="preserve">0.7</w:t>
      </w:r>
      <w:r>
        <w:t xml:space="preserve"> </w:t>
      </w:r>
      <w:r>
        <w:t xml:space="preserve">0.9</w:t>
      </w:r>
      <w:r>
        <w:t xml:space="preserve"> </w:t>
      </w:r>
      <w:r>
        <w:t xml:space="preserve">0.6</w:t>
      </w:r>
      <w:r>
        <w:t xml:space="preserve"> </w:t>
      </w:r>
      <w:r>
        <w:t xml:space="preserve">0.7</w:t>
      </w:r>
      <w:r>
        <w:t xml:space="preserve"> </w:t>
      </w:r>
      <w:r>
        <w:t xml:space="preserve">0.9</w:t>
      </w:r>
      <w:r>
        <w:t xml:space="preserve"> </w:t>
      </w:r>
      <w:r>
        <w:t xml:space="preserve">0.6</w:t>
      </w:r>
      <w:r>
        <w:t xml:space="preserve"> </w:t>
      </w:r>
      <w:r>
        <w:t xml:space="preserve">Noise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-2.0</w:t>
      </w:r>
      <w:r>
        <w:t xml:space="preserve"> </w:t>
      </w:r>
      <w:r>
        <w:t xml:space="preserve">-2.2</w:t>
      </w:r>
      <w:r>
        <w:t xml:space="preserve"> </w:t>
      </w:r>
      <w:r>
        <w:t xml:space="preserve">-2.4</w:t>
      </w:r>
      <w:r>
        <w:t xml:space="preserve"> </w:t>
      </w:r>
      <w:r>
        <w:t xml:space="preserve">-2.0</w:t>
      </w:r>
      <w:r>
        <w:t xml:space="preserve"> </w:t>
      </w:r>
      <w:r>
        <w:t xml:space="preserve">-2.2</w:t>
      </w:r>
      <w:r>
        <w:t xml:space="preserve"> </w:t>
      </w:r>
      <w:r>
        <w:t xml:space="preserve">-2.4</w:t>
      </w:r>
      <w:r>
        <w:t xml:space="preserve"> </w:t>
      </w:r>
      <w:r>
        <w:t xml:space="preserve">PM4&amp;PM14</w:t>
      </w:r>
    </w:p>
    <w:p>
      <w:pPr>
        <w:pStyle w:val="BodyText"/>
      </w:pPr>
      <w:r>
        <w:t xml:space="preserve">-2.0</w:t>
      </w:r>
      <w:r>
        <w:t xml:space="preserve"> </w:t>
      </w:r>
      <w:r>
        <w:t xml:space="preserve">-2.2</w:t>
      </w:r>
      <w:r>
        <w:t xml:space="preserve"> </w:t>
      </w:r>
      <w:r>
        <w:t xml:space="preserve">-2.4</w:t>
      </w:r>
      <w:r>
        <w:t xml:space="preserve"> </w:t>
      </w:r>
      <w:r>
        <w:t xml:space="preserve">-2.0</w:t>
      </w:r>
      <w:r>
        <w:t xml:space="preserve"> </w:t>
      </w:r>
      <w:r>
        <w:t xml:space="preserve">-2.2</w:t>
      </w:r>
      <w:r>
        <w:t xml:space="preserve"> </w:t>
      </w:r>
      <w:r>
        <w:t xml:space="preserve">-2.4</w:t>
      </w:r>
      <w:r>
        <w:t xml:space="preserve"> </w:t>
      </w:r>
      <w:r>
        <w:t xml:space="preserve">Habitats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-2.0</w:t>
      </w:r>
      <w:r>
        <w:t xml:space="preserve"> </w:t>
      </w:r>
      <w:r>
        <w:t xml:space="preserve">-2.1</w:t>
      </w:r>
      <w:r>
        <w:t xml:space="preserve"> </w:t>
      </w:r>
      <w:r>
        <w:t xml:space="preserve">-2.3</w:t>
      </w:r>
      <w:r>
        <w:t xml:space="preserve"> </w:t>
      </w:r>
      <w:r>
        <w:t xml:space="preserve">-2.0</w:t>
      </w:r>
      <w:r>
        <w:t xml:space="preserve"> </w:t>
      </w:r>
      <w:r>
        <w:t xml:space="preserve">-2.1</w:t>
      </w:r>
      <w:r>
        <w:t xml:space="preserve"> </w:t>
      </w:r>
      <w:r>
        <w:t xml:space="preserve">-2.3</w:t>
      </w:r>
      <w:r>
        <w:t xml:space="preserve"> </w:t>
      </w:r>
      <w:r>
        <w:t xml:space="preserve">PM4&amp;PM14</w:t>
      </w:r>
    </w:p>
    <w:p>
      <w:pPr>
        <w:pStyle w:val="BodyText"/>
      </w:pPr>
      <w:r>
        <w:t xml:space="preserve">-2.0</w:t>
      </w:r>
      <w:r>
        <w:t xml:space="preserve"> </w:t>
      </w:r>
      <w:r>
        <w:t xml:space="preserve">-2.1</w:t>
      </w:r>
      <w:r>
        <w:t xml:space="preserve"> </w:t>
      </w:r>
      <w:r>
        <w:t xml:space="preserve">-2.3</w:t>
      </w:r>
      <w:r>
        <w:t xml:space="preserve"> </w:t>
      </w:r>
      <w:r>
        <w:t xml:space="preserve">-2.0</w:t>
      </w:r>
      <w:r>
        <w:t xml:space="preserve"> </w:t>
      </w:r>
      <w:r>
        <w:t xml:space="preserve">-2.1</w:t>
      </w:r>
      <w:r>
        <w:t xml:space="preserve"> </w:t>
      </w:r>
      <w:r>
        <w:t xml:space="preserve">-2.3</w:t>
      </w:r>
      <w:r>
        <w:t xml:space="preserve"> </w:t>
      </w:r>
      <w:r>
        <w:t xml:space="preserve">Total impact on external</w:t>
      </w:r>
      <w:r>
        <w:t xml:space="preserve"> </w:t>
      </w:r>
      <w:r>
        <w:t xml:space="preserve">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-5.9</w:t>
      </w:r>
      <w:r>
        <w:t xml:space="preserve"> </w:t>
      </w:r>
      <w:r>
        <w:t xml:space="preserve">-6.6</w:t>
      </w:r>
      <w:r>
        <w:t xml:space="preserve"> </w:t>
      </w:r>
      <w:r>
        <w:t xml:space="preserve">-5.9</w:t>
      </w:r>
      <w:r>
        <w:t xml:space="preserve"> </w:t>
      </w:r>
      <w:r>
        <w:t xml:space="preserve">-18.7</w:t>
      </w:r>
      <w:r>
        <w:t xml:space="preserve"> </w:t>
      </w:r>
      <w:r>
        <w:t xml:space="preserve">-17.4</w:t>
      </w:r>
      <w:r>
        <w:t xml:space="preserve"> </w:t>
      </w:r>
      <w:r>
        <w:t xml:space="preserve">-12.7</w:t>
      </w:r>
      <w:r>
        <w:t xml:space="preserve"> </w:t>
      </w:r>
      <w:r>
        <w:t xml:space="preserve">Source: Ramboll et al. (2024), impact assessment support study; Note: negative values refer to a reduction in</w:t>
      </w:r>
      <w:r>
        <w:t xml:space="preserve"> </w:t>
      </w:r>
      <w:r>
        <w:t xml:space="preserve">external costs and positive values to an increase relative to the baseline.</w:t>
      </w:r>
      <w:r>
        <w:br/>
      </w:r>
      <w:r>
        <w:t xml:space="preserve">PO-B and PO-C are consistent with the environmental objectives of the European Green Deal and</w:t>
      </w:r>
      <w:r>
        <w:t xml:space="preserve"> </w:t>
      </w:r>
      <w:r>
        <w:t xml:space="preserve">the European Climate Law122, while PO-A has no significant impact in this respect. PO-B and PO-</w:t>
      </w:r>
      <w:r>
        <w:t xml:space="preserve"> </w:t>
      </w:r>
      <w:r>
        <w:t xml:space="preserve">C contribute towards Sustainable Development Goal 13 (‘Take urgent action to combat climate</w:t>
      </w:r>
      <w:r>
        <w:t xml:space="preserve"> </w:t>
      </w:r>
      <w:r>
        <w:t xml:space="preserve">change and its impacts’). No significant harm is expected on the environment in any of the policy</w:t>
      </w:r>
      <w:r>
        <w:t xml:space="preserve"> </w:t>
      </w:r>
      <w:r>
        <w:t xml:space="preserve">options.</w:t>
      </w:r>
    </w:p>
    <w:p>
      <w:pPr>
        <w:pStyle w:val="BodyText"/>
      </w:pPr>
      <w:r>
        <w:t xml:space="preserve">122 Regulation (EU) 2021/1119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7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7.1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assessment of effectiveness looks at the extent to which the general and specific objectives (SO)</w:t>
      </w:r>
      <w:r>
        <w:t xml:space="preserve"> </w:t>
      </w:r>
      <w:r>
        <w:t xml:space="preserve">of the intervention, as previously described, are met. Table 8 provides the links between policy</w:t>
      </w:r>
      <w:r>
        <w:t xml:space="preserve"> </w:t>
      </w:r>
      <w:r>
        <w:t xml:space="preserve">objectives and assessment criteria.</w:t>
      </w:r>
      <w:r>
        <w:br/>
      </w:r>
      <w:r>
        <w:t xml:space="preserve">Table 8: Links between objectives and assessment criteria</w:t>
      </w:r>
      <w:r>
        <w:t xml:space="preserve"> </w:t>
      </w:r>
      <w:r>
        <w:t xml:space="preserve">General objective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Assessment criteria</w:t>
      </w:r>
      <w:r>
        <w:br/>
      </w:r>
      <w:r>
        <w:t xml:space="preserve">Provide an effective</w:t>
      </w:r>
      <w:r>
        <w:t xml:space="preserve"> </w:t>
      </w:r>
      <w:r>
        <w:t xml:space="preserve">framework for the</w:t>
      </w:r>
      <w:r>
        <w:t xml:space="preserve"> </w:t>
      </w:r>
      <w:r>
        <w:t xml:space="preserve">deployment and use of</w:t>
      </w:r>
      <w:r>
        <w:t xml:space="preserve"> </w:t>
      </w:r>
      <w:r>
        <w:t xml:space="preserve">harmonised River</w:t>
      </w:r>
      <w:r>
        <w:t xml:space="preserve"> </w:t>
      </w:r>
      <w:r>
        <w:t xml:space="preserve">Information Services in</w:t>
      </w:r>
      <w:r>
        <w:t xml:space="preserve"> </w:t>
      </w:r>
      <w:r>
        <w:t xml:space="preserve">the EU, that enables</w:t>
      </w:r>
      <w:r>
        <w:t xml:space="preserve"> </w:t>
      </w:r>
      <w:r>
        <w:t xml:space="preserve">improvements in the</w:t>
      </w:r>
      <w:r>
        <w:t xml:space="preserve"> </w:t>
      </w:r>
      <w:r>
        <w:t xml:space="preserve">competitiveness and</w:t>
      </w:r>
      <w:r>
        <w:t xml:space="preserve"> </w:t>
      </w:r>
      <w:r>
        <w:t xml:space="preserve">safety of the sector, and</w:t>
      </w:r>
      <w:r>
        <w:t xml:space="preserve"> </w:t>
      </w:r>
      <w:r>
        <w:t xml:space="preserve">its contribution towards</w:t>
      </w:r>
      <w:r>
        <w:t xml:space="preserve"> </w:t>
      </w:r>
      <w:r>
        <w:t xml:space="preserve">the European Green</w:t>
      </w:r>
      <w:r>
        <w:t xml:space="preserve"> </w:t>
      </w:r>
      <w:r>
        <w:t xml:space="preserve">Deal objectives</w:t>
      </w:r>
      <w:r>
        <w:t xml:space="preserve"> </w:t>
      </w:r>
      <w:r>
        <w:t xml:space="preserve">SO1 - Ensure improved RIS data</w:t>
      </w:r>
      <w:r>
        <w:t xml:space="preserve"> </w:t>
      </w:r>
      <w:r>
        <w:t xml:space="preserve">availability, and harmonised</w:t>
      </w:r>
      <w:r>
        <w:t xml:space="preserve"> </w:t>
      </w:r>
      <w:r>
        <w:t xml:space="preserve">standards</w:t>
      </w:r>
      <w:r>
        <w:t xml:space="preserve"> </w:t>
      </w:r>
      <w:r>
        <w:t xml:space="preserve">Expected increase in harmonisation of RIS</w:t>
      </w:r>
      <w:r>
        <w:t xml:space="preserve"> </w:t>
      </w:r>
      <w:r>
        <w:t xml:space="preserve">between Member States</w:t>
      </w:r>
    </w:p>
    <w:p>
      <w:pPr>
        <w:pStyle w:val="BodyText"/>
      </w:pPr>
      <w:r>
        <w:t xml:space="preserve">SO2 - Facilitate the integration of</w:t>
      </w:r>
      <w:r>
        <w:t xml:space="preserve"> </w:t>
      </w:r>
      <w:r>
        <w:t xml:space="preserve">IWT into the multimodal chain</w:t>
      </w:r>
      <w:r>
        <w:t xml:space="preserve"> </w:t>
      </w:r>
      <w:r>
        <w:t xml:space="preserve">Expected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IWT</w:t>
      </w:r>
      <w:r>
        <w:t xml:space="preserve"> </w:t>
      </w:r>
      <w:r>
        <w:t xml:space="preserve">operation</w:t>
      </w:r>
      <w:r>
        <w:t xml:space="preserve"> </w:t>
      </w:r>
      <w:r>
        <w:t xml:space="preserve">performance</w:t>
      </w:r>
      <w:r>
        <w:t xml:space="preserve"> </w:t>
      </w:r>
      <w:r>
        <w:t xml:space="preserve">Expected increase in exchanges with other</w:t>
      </w:r>
      <w:r>
        <w:t xml:space="preserve"> </w:t>
      </w:r>
      <w:r>
        <w:t xml:space="preserve">transport modes</w:t>
      </w:r>
      <w:r>
        <w:t xml:space="preserve"> </w:t>
      </w:r>
      <w:r>
        <w:t xml:space="preserve">SO3 - Ensure higher uptake and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of</w:t>
      </w:r>
      <w:r>
        <w:t xml:space="preserve"> </w:t>
      </w:r>
      <w:r>
        <w:t xml:space="preserve">digital</w:t>
      </w:r>
      <w:r>
        <w:t xml:space="preserve"> </w:t>
      </w:r>
      <w:r>
        <w:t xml:space="preserve">solutions,</w:t>
      </w:r>
      <w:r>
        <w:t xml:space="preserve"> </w:t>
      </w:r>
      <w:r>
        <w:t xml:space="preserve">and</w:t>
      </w:r>
      <w:r>
        <w:t xml:space="preserve"> </w:t>
      </w:r>
      <w:r>
        <w:t xml:space="preserve">address</w:t>
      </w:r>
      <w:r>
        <w:t xml:space="preserve"> </w:t>
      </w:r>
      <w:r>
        <w:t xml:space="preserve">data</w:t>
      </w:r>
      <w:r>
        <w:t xml:space="preserve"> </w:t>
      </w:r>
      <w:r>
        <w:t xml:space="preserve">protection concerns</w:t>
      </w:r>
      <w:r>
        <w:t xml:space="preserve"> </w:t>
      </w:r>
      <w:r>
        <w:t xml:space="preserve">Expected simplification of the process for RIS</w:t>
      </w:r>
      <w:r>
        <w:t xml:space="preserve"> </w:t>
      </w:r>
      <w:r>
        <w:t xml:space="preserve">data exchange</w:t>
      </w:r>
      <w:r>
        <w:t xml:space="preserve"> </w:t>
      </w:r>
      <w:r>
        <w:t xml:space="preserve">Expected uptake of digital solutions</w:t>
      </w:r>
      <w:r>
        <w:br/>
      </w:r>
      <w:r>
        <w:t xml:space="preserve">Source: European Commission</w:t>
      </w:r>
      <w:r>
        <w:t xml:space="preserve"> </w:t>
      </w:r>
      <w:r>
        <w:t xml:space="preserve">Each of the policy options addresses the problems identified, their drivers and the general and</w:t>
      </w:r>
      <w:r>
        <w:t xml:space="preserve"> </w:t>
      </w:r>
      <w:r>
        <w:t xml:space="preserve">specific objectives, though the effectiveness in addressing the objectives varies between the options.</w:t>
      </w:r>
      <w:r>
        <w:t xml:space="preserve"> </w:t>
      </w:r>
      <w:r>
        <w:t xml:space="preserve">The specific criteria for assessing the extent to which the objectives are addressed were developed</w:t>
      </w:r>
      <w:r>
        <w:t xml:space="preserve"> </w:t>
      </w:r>
      <w:r>
        <w:t xml:space="preserve">internally and approved by the Interservice Steering Group. To the extent possible, they focus on</w:t>
      </w:r>
      <w:r>
        <w:t xml:space="preserve"> </w:t>
      </w:r>
      <w:r>
        <w:t xml:space="preserve">output variables that are quantified.</w:t>
      </w:r>
      <w:r>
        <w:br/>
      </w:r>
      <w:r>
        <w:t xml:space="preserve">For SO1 (Ensure improved RIS data availability, and harmonised standards), the following</w:t>
      </w:r>
      <w:r>
        <w:t xml:space="preserve"> </w:t>
      </w:r>
      <w:r>
        <w:t xml:space="preserve">criterion is included:</w:t>
      </w:r>
      <w:r>
        <w:t xml:space="preserve"> </w:t>
      </w:r>
      <w:r>
        <w:t xml:space="preserve">-</w:t>
      </w:r>
      <w:r>
        <w:t xml:space="preserve"> </w:t>
      </w:r>
      <w:r>
        <w:t xml:space="preserve">Expected increase in harmonisation of RIS between Member States. The increase in</w:t>
      </w:r>
      <w:r>
        <w:t xml:space="preserve"> </w:t>
      </w:r>
      <w:r>
        <w:t xml:space="preserve">harmonisation has been established as a clear requirement. Due to the lack of data it was not</w:t>
      </w:r>
      <w:r>
        <w:t xml:space="preserve"> </w:t>
      </w:r>
      <w:r>
        <w:t xml:space="preserve">possible to assign a quantitative indicator (e.g. the number of discrepancies per Member State,</w:t>
      </w:r>
      <w:r>
        <w:t xml:space="preserve"> </w:t>
      </w:r>
      <w:r>
        <w:t xml:space="preserve">per technical specification). As such, the impact on harmonisation is assessed qualitatively.</w:t>
      </w:r>
      <w:r>
        <w:br/>
      </w:r>
      <w:r>
        <w:t xml:space="preserve">For SO2 (Facilitate the integration of IWT into the multimodal chain), the following criteria are</w:t>
      </w:r>
      <w:r>
        <w:t xml:space="preserve"> </w:t>
      </w:r>
      <w:r>
        <w:t xml:space="preserve">used:</w:t>
      </w:r>
      <w:r>
        <w:t xml:space="preserve"> </w:t>
      </w:r>
      <w:r>
        <w:t xml:space="preserve">-</w:t>
      </w:r>
      <w:r>
        <w:t xml:space="preserve"> </w:t>
      </w:r>
      <w:r>
        <w:t xml:space="preserve">Expected increase in IWT operation performance. The expected increase in the IWT operation</w:t>
      </w:r>
      <w:r>
        <w:t xml:space="preserve"> </w:t>
      </w:r>
      <w:r>
        <w:t xml:space="preserve">performance due to a more efficient data exchange environment is assessed through indicators</w:t>
      </w:r>
      <w:r>
        <w:t xml:space="preserve"> </w:t>
      </w:r>
      <w:r>
        <w:t xml:space="preserve">such as modal shift away from road and CO2 emissions savings.</w:t>
      </w:r>
      <w:r>
        <w:t xml:space="preserve"> </w:t>
      </w:r>
      <w:r>
        <w:t xml:space="preserve">-</w:t>
      </w:r>
      <w:r>
        <w:t xml:space="preserve"> </w:t>
      </w:r>
      <w:r>
        <w:t xml:space="preserve">Expected increase in exchanges with other transport modes. This criterion relates directly to the</w:t>
      </w:r>
      <w:r>
        <w:t xml:space="preserve"> </w:t>
      </w:r>
      <w:r>
        <w:t xml:space="preserve">connection with other modes and it was only possible to assess it in a qualitative way.</w:t>
      </w:r>
      <w:r>
        <w:br/>
      </w:r>
      <w:r>
        <w:t xml:space="preserve">For SO3 (Ensure higher uptake and interoperability of digital solutions, and address data</w:t>
      </w:r>
      <w:r>
        <w:t xml:space="preserve"> </w:t>
      </w:r>
      <w:r>
        <w:t xml:space="preserve">protection concerns), the criteria used are:</w:t>
      </w:r>
      <w:r>
        <w:br/>
      </w:r>
      <w:r>
        <w:t xml:space="preserve">-</w:t>
      </w:r>
      <w:r>
        <w:t xml:space="preserve"> </w:t>
      </w:r>
      <w:r>
        <w:t xml:space="preserve">Expected simplification of the process for RIS data exchange. This criterion relates to how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information will be exchanged within the RIS environment as a whole and is assessed</w:t>
      </w:r>
      <w:r>
        <w:t xml:space="preserve"> </w:t>
      </w:r>
      <w:r>
        <w:t xml:space="preserve">qualitatively.</w:t>
      </w:r>
      <w:r>
        <w:t xml:space="preserve"> </w:t>
      </w:r>
      <w:r>
        <w:t xml:space="preserve">-</w:t>
      </w:r>
      <w:r>
        <w:t xml:space="preserve"> </w:t>
      </w:r>
      <w:r>
        <w:t xml:space="preserve">Expected uptake of digital solutions. This criterion looks at the impact on the level of</w:t>
      </w:r>
      <w:r>
        <w:t xml:space="preserve"> </w:t>
      </w:r>
      <w:r>
        <w:t xml:space="preserve">digitalisation and the use of digital applications by the IWT sector, and is assessed qualitatively.</w:t>
      </w:r>
      <w:r>
        <w:br/>
      </w:r>
      <w:r>
        <w:t xml:space="preserve">Regarding SO1 (Ensure improved RIS data availability, and harmonised standards), PO-A</w:t>
      </w:r>
      <w:r>
        <w:t xml:space="preserve"> </w:t>
      </w:r>
      <w:r>
        <w:t xml:space="preserve">effectively contributes to increasing the harmonisation of RIS, as both national authorities and</w:t>
      </w:r>
      <w:r>
        <w:t xml:space="preserve"> </w:t>
      </w:r>
      <w:r>
        <w:t xml:space="preserve">vessel operators will benefit from clear guidelines that will help reduce discrepancies. Higher</w:t>
      </w:r>
      <w:r>
        <w:t xml:space="preserve"> </w:t>
      </w:r>
      <w:r>
        <w:t xml:space="preserve">quality and updated data will also be made available to RIS users through the ERDMS. Should data</w:t>
      </w:r>
      <w:r>
        <w:t xml:space="preserve"> </w:t>
      </w:r>
      <w:r>
        <w:t xml:space="preserve">not be consistent, harmonised or simply not available, RIS users will have the opportunity to signal</w:t>
      </w:r>
      <w:r>
        <w:t xml:space="preserve"> </w:t>
      </w:r>
      <w:r>
        <w:t xml:space="preserve">this to the national authorities through a clear mechanism. National authorities should take action to</w:t>
      </w:r>
      <w:r>
        <w:t xml:space="preserve"> </w:t>
      </w:r>
      <w:r>
        <w:t xml:space="preserve">rectify the problem, thus improving the monitoring of implementation and the consistency of</w:t>
      </w:r>
      <w:r>
        <w:t xml:space="preserve"> </w:t>
      </w:r>
      <w:r>
        <w:t xml:space="preserve">application. The nomination of CESNI as the development body for technical specifications should</w:t>
      </w:r>
      <w:r>
        <w:t xml:space="preserve"> </w:t>
      </w:r>
      <w:r>
        <w:t xml:space="preserve">allow for faster updates, which would allow RIS users to benefit from improved information and</w:t>
      </w:r>
      <w:r>
        <w:t xml:space="preserve"> </w:t>
      </w:r>
      <w:r>
        <w:t xml:space="preserve">services. PO-B is assessed to be more effective than PO-A because the introduction of RIS COMEX</w:t>
      </w:r>
      <w:r>
        <w:t xml:space="preserve"> </w:t>
      </w:r>
      <w:r>
        <w:t xml:space="preserve">as the main data exchange platform will ensure a common platform for all users, who now have to</w:t>
      </w:r>
      <w:r>
        <w:t xml:space="preserve"> </w:t>
      </w:r>
      <w:r>
        <w:t xml:space="preserve">work with separate systems for different Member States. In addition, PO-B will provide vessel</w:t>
      </w:r>
      <w:r>
        <w:t xml:space="preserve"> </w:t>
      </w:r>
      <w:r>
        <w:t xml:space="preserve">operators with a new category of data, which will assist them in navigation and voyage planning.</w:t>
      </w:r>
      <w:r>
        <w:t xml:space="preserve"> </w:t>
      </w:r>
      <w:r>
        <w:t xml:space="preserve">PO-C attains a slightly higher level of harmonisation than PO-B, as it introduces a performance</w:t>
      </w:r>
      <w:r>
        <w:t xml:space="preserve"> </w:t>
      </w:r>
      <w:r>
        <w:t xml:space="preserve">monitoring framework specifically aiming to identify harmonisation gaps. The requirement to share</w:t>
      </w:r>
      <w:r>
        <w:t xml:space="preserve"> </w:t>
      </w:r>
      <w:r>
        <w:t xml:space="preserve">traffic and transport management information cross-border by the Member States directly will also</w:t>
      </w:r>
      <w:r>
        <w:t xml:space="preserve"> </w:t>
      </w:r>
      <w:r>
        <w:t xml:space="preserve">reduce the harmonisation challenges that vessel operators face, as they will only need to report once</w:t>
      </w:r>
      <w:r>
        <w:t xml:space="preserve"> </w:t>
      </w:r>
      <w:r>
        <w:t xml:space="preserve">instead of whenever they cross a border.</w:t>
      </w:r>
      <w:r>
        <w:br/>
      </w:r>
      <w:r>
        <w:t xml:space="preserve">Regarding SO2 (Facilitate the integration of IWT into the multimodal chain), in terms of expected</w:t>
      </w:r>
      <w:r>
        <w:t xml:space="preserve"> </w:t>
      </w:r>
      <w:r>
        <w:t xml:space="preserve">impact on the operational performance of IWT, PO-A will have a positive but limited impact as the</w:t>
      </w:r>
      <w:r>
        <w:t xml:space="preserve"> </w:t>
      </w:r>
      <w:r>
        <w:t xml:space="preserve">guidelines will help reduce differences in implementation between Member States, which will</w:t>
      </w:r>
      <w:r>
        <w:t xml:space="preserve"> </w:t>
      </w:r>
      <w:r>
        <w:t xml:space="preserve">facilitate operations for vessel operators. PO-B is assessed to lead to a moderate positive impact on</w:t>
      </w:r>
      <w:r>
        <w:t xml:space="preserve"> </w:t>
      </w:r>
      <w:r>
        <w:t xml:space="preserve">the operational performance of IWT mainly as a result of the links with the other transport modes</w:t>
      </w:r>
      <w:r>
        <w:t xml:space="preserve"> </w:t>
      </w:r>
      <w:r>
        <w:t xml:space="preserve">and the new technical specifications on navigation and voyage planning, resulting in an increase in</w:t>
      </w:r>
      <w:r>
        <w:t xml:space="preserve"> </w:t>
      </w:r>
      <w:r>
        <w:t xml:space="preserve">the freight volumes shifted from road transport to IWT (by 0.38 billion tkm in 2030 and 0.45 billion</w:t>
      </w:r>
      <w:r>
        <w:t xml:space="preserve"> </w:t>
      </w:r>
      <w:r>
        <w:t xml:space="preserve">tkm in 2050) with benefits in terms of reduced CO2 emissions (389.1 thousand tonnes of CO2 saved</w:t>
      </w:r>
      <w:r>
        <w:t xml:space="preserve"> </w:t>
      </w:r>
      <w:r>
        <w:t xml:space="preserve">cumulatively over 2025-2050, relative to the baseline). PO-C is expected to have a stronger impact</w:t>
      </w:r>
      <w:r>
        <w:t xml:space="preserve"> </w:t>
      </w:r>
      <w:r>
        <w:t xml:space="preserve">on operational performance of IWT relative to PO-B, as in addition to modal shift (by 0.38 billion</w:t>
      </w:r>
      <w:r>
        <w:t xml:space="preserve"> </w:t>
      </w:r>
      <w:r>
        <w:t xml:space="preserve">tkm in 2030 and 0.45 billion tkm in 2050), the increased navigation performance through electronic</w:t>
      </w:r>
      <w:r>
        <w:t xml:space="preserve"> </w:t>
      </w:r>
      <w:r>
        <w:t xml:space="preserve">voyage plan reporting will lead to reduced energy needs. PO-C thus results in 832.1 thousand tonnes</w:t>
      </w:r>
      <w:r>
        <w:t xml:space="preserve"> </w:t>
      </w:r>
      <w:r>
        <w:t xml:space="preserve">of CO2 saved cumulatively over 2025-2050, relative to the baseline. Finally, as regards the</w:t>
      </w:r>
      <w:r>
        <w:t xml:space="preserve"> </w:t>
      </w:r>
      <w:r>
        <w:t xml:space="preserve">exchanges with other modes of transport, the impact of PO-A is considered positive but limited as</w:t>
      </w:r>
      <w:r>
        <w:t xml:space="preserve"> </w:t>
      </w:r>
      <w:r>
        <w:t xml:space="preserve">PO-A only foresees a voluntary exchange of required cargo information through the eFTI platforms.</w:t>
      </w:r>
      <w:r>
        <w:t xml:space="preserve"> </w:t>
      </w:r>
      <w:r>
        <w:t xml:space="preserve">PO-B has a moderate positive impact, as it makes the eFTI link mandatory, develops technical</w:t>
      </w:r>
      <w:r>
        <w:t xml:space="preserve"> </w:t>
      </w:r>
      <w:r>
        <w:t xml:space="preserve">specifications for links with the systems of other modes (e.g. EMSWe) and with inland ports, and it</w:t>
      </w:r>
      <w:r>
        <w:t xml:space="preserve"> </w:t>
      </w:r>
      <w:r>
        <w:t xml:space="preserve">aligns the scope of the Directive with that of the TEN-T network. While PO-C takes things one step</w:t>
      </w:r>
      <w:r>
        <w:t xml:space="preserve"> </w:t>
      </w:r>
      <w:r>
        <w:t xml:space="preserve">further, by mandating the data exchange with ports, the overall positive impact is still considered as</w:t>
      </w:r>
      <w:r>
        <w:t xml:space="preserve"> </w:t>
      </w:r>
      <w:r>
        <w:t xml:space="preserve">moderate because further steps (and initiatives) will need to be undertaken by other modes of</w:t>
      </w:r>
      <w:r>
        <w:t xml:space="preserve"> </w:t>
      </w:r>
      <w:r>
        <w:t xml:space="preserve">transport.</w:t>
      </w:r>
      <w:r>
        <w:br/>
      </w:r>
      <w:r>
        <w:t xml:space="preserve">Regarding SO3 (Ensure a higher uptake and interoperability of digital solutions, and address data</w:t>
      </w:r>
      <w:r>
        <w:t xml:space="preserve"> </w:t>
      </w:r>
      <w:r>
        <w:t xml:space="preserve">protection concerns), in PO-A the regular updates of technical specifications (through CESNI)</w:t>
      </w:r>
      <w:r>
        <w:t xml:space="preserve"> </w:t>
      </w:r>
      <w:r>
        <w:t xml:space="preserve">should simplify the process of exchanging data through RIS as users will operate under the most up</w:t>
      </w:r>
      <w:r>
        <w:t xml:space="preserve"> </w:t>
      </w:r>
      <w:r>
        <w:t xml:space="preserve">to date technical specifications. PO-B will have a strong positive impact as RIS COMEX, by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acting as a one-stop-shop solution, will simplify the process through which RIS users exchange</w:t>
      </w:r>
      <w:r>
        <w:t xml:space="preserve"> </w:t>
      </w:r>
      <w:r>
        <w:t xml:space="preserve">information. Similarly, PO-C will have a strong positive impact in addressing SO2 as the addition of</w:t>
      </w:r>
      <w:r>
        <w:t xml:space="preserve"> </w:t>
      </w:r>
      <w:r>
        <w:t xml:space="preserve">electronic voyage plan reporting, introduces a new digital solution for traffic and transport</w:t>
      </w:r>
      <w:r>
        <w:t xml:space="preserve"> </w:t>
      </w:r>
      <w:r>
        <w:t xml:space="preserve">management, while the introduction of specific forms for personal data exchange would further</w:t>
      </w:r>
      <w:r>
        <w:t xml:space="preserve"> </w:t>
      </w:r>
      <w:r>
        <w:t xml:space="preserve">simplify reporting for vessel operators. With regard to the expected uptake of digital solutions by the</w:t>
      </w:r>
      <w:r>
        <w:t xml:space="preserve"> </w:t>
      </w:r>
      <w:r>
        <w:t xml:space="preserve">sector, PO-A is expected to have a positive but limited impact by providing a basic level of update</w:t>
      </w:r>
      <w:r>
        <w:t xml:space="preserve"> </w:t>
      </w:r>
      <w:r>
        <w:t xml:space="preserve">of technical specifications and ERDMS information and a voluntary eFTI platform use. In PO-B</w:t>
      </w:r>
      <w:r>
        <w:t xml:space="preserve"> </w:t>
      </w:r>
      <w:r>
        <w:t xml:space="preserve">introducing the RIS COMEX as the main platform would have a moderate positive impact, as</w:t>
      </w:r>
      <w:r>
        <w:t xml:space="preserve"> </w:t>
      </w:r>
      <w:r>
        <w:t xml:space="preserve">exchanges will be done digitally instead of using other means (like radio, as is sometimes now the</w:t>
      </w:r>
      <w:r>
        <w:t xml:space="preserve"> </w:t>
      </w:r>
      <w:r>
        <w:t xml:space="preserve">case for reporting). Furthermore, use of eFTI becomes a requirement for reporting of dangerous</w:t>
      </w:r>
      <w:r>
        <w:t xml:space="preserve"> </w:t>
      </w:r>
      <w:r>
        <w:t xml:space="preserve">goods information; thus all vessel operators will need to apply it. The links with other modes and</w:t>
      </w:r>
      <w:r>
        <w:t xml:space="preserve"> </w:t>
      </w:r>
      <w:r>
        <w:t xml:space="preserve">inland ports increase the digital options available for RIS users and allow those users that see</w:t>
      </w:r>
      <w:r>
        <w:t xml:space="preserve"> </w:t>
      </w:r>
      <w:r>
        <w:t xml:space="preserve">benefits for their operational needs to make use of them. PO-C will slightly increase the uptake of</w:t>
      </w:r>
      <w:r>
        <w:t xml:space="preserve"> </w:t>
      </w:r>
      <w:r>
        <w:t xml:space="preserve">digital solutions relative to PO-B by introducing two mandatory elements, namely, the required</w:t>
      </w:r>
      <w:r>
        <w:t xml:space="preserve"> </w:t>
      </w:r>
      <w:r>
        <w:t xml:space="preserve">reporting of voyage plans, and the requirement to share information with inland ports. Both</w:t>
      </w:r>
      <w:r>
        <w:t xml:space="preserve"> </w:t>
      </w:r>
      <w:r>
        <w:t xml:space="preserve">measures, by design, will increase the use of digital solutions.</w:t>
      </w:r>
      <w:r>
        <w:t xml:space="preserve"> </w:t>
      </w:r>
      <w:r>
        <w:t xml:space="preserve">Risks related to implementation and enforcement requirements</w:t>
      </w:r>
      <w:r>
        <w:br/>
      </w:r>
      <w:r>
        <w:t xml:space="preserve">In terms of overall risks relating to implementation and enforcement, the non-harmonised</w:t>
      </w:r>
      <w:r>
        <w:t xml:space="preserve"> </w:t>
      </w:r>
      <w:r>
        <w:t xml:space="preserve">implementation was identified by the evaluation as a challenge. This challenge arises due to the lack</w:t>
      </w:r>
      <w:r>
        <w:t xml:space="preserve"> </w:t>
      </w:r>
      <w:r>
        <w:t xml:space="preserve">of clearly defined data to be exchanged between transport modes, different interpretation of</w:t>
      </w:r>
      <w:r>
        <w:t xml:space="preserve"> </w:t>
      </w:r>
      <w:r>
        <w:t xml:space="preserve">standards on voyage planning, etc.</w:t>
      </w:r>
      <w:r>
        <w:br/>
      </w:r>
      <w:r>
        <w:t xml:space="preserve">Three measures were developed to address it (namely PM1, PM2 and PM3). Through RIS</w:t>
      </w:r>
      <w:r>
        <w:t xml:space="preserve"> </w:t>
      </w:r>
      <w:r>
        <w:t xml:space="preserve">guidelines (PM1), the Commission will provide clear guidance on the technical specifications and</w:t>
      </w:r>
      <w:r>
        <w:t xml:space="preserve"> </w:t>
      </w:r>
      <w:r>
        <w:t xml:space="preserve">how they should be applied. This is expected to increase the common understanding and application</w:t>
      </w:r>
      <w:r>
        <w:t xml:space="preserve"> </w:t>
      </w:r>
      <w:r>
        <w:t xml:space="preserve">in PO-A. The complaint handling mechanism (PM2) in PO-A and PO-B will be an important tool</w:t>
      </w:r>
      <w:r>
        <w:t xml:space="preserve"> </w:t>
      </w:r>
      <w:r>
        <w:t xml:space="preserve">which will provide a bottom-up way to identify these inconsistencies and to signal them to the</w:t>
      </w:r>
      <w:r>
        <w:t xml:space="preserve"> </w:t>
      </w:r>
      <w:r>
        <w:t xml:space="preserve">appropriate authorities for action. Member State authorities will benefit of transparency on the</w:t>
      </w:r>
      <w:r>
        <w:t xml:space="preserve"> </w:t>
      </w:r>
      <w:r>
        <w:t xml:space="preserve">issues identified and will be required by a functionally independent body to address them. This is</w:t>
      </w:r>
      <w:r>
        <w:t xml:space="preserve"> </w:t>
      </w:r>
      <w:r>
        <w:t xml:space="preserve">expected to lead to a quick rectification of the issue. The relevant authorities will also need to inform</w:t>
      </w:r>
      <w:r>
        <w:t xml:space="preserve"> </w:t>
      </w:r>
      <w:r>
        <w:t xml:space="preserve">the Commission on the number and type of complaints (including their outcome), which will allow</w:t>
      </w:r>
      <w:r>
        <w:t xml:space="preserve"> </w:t>
      </w:r>
      <w:r>
        <w:t xml:space="preserve">to better monitor the overall implementation of the Directive, but also the performance of the</w:t>
      </w:r>
      <w:r>
        <w:t xml:space="preserve"> </w:t>
      </w:r>
      <w:r>
        <w:t xml:space="preserve">complaint mechanism itself. The Performance Measurement Framework (PM3) is an alternative</w:t>
      </w:r>
      <w:r>
        <w:t xml:space="preserve"> </w:t>
      </w:r>
      <w:r>
        <w:t xml:space="preserve">approach to PM2, included in PO-C, that is based on top-down monitoring. In this case, national</w:t>
      </w:r>
      <w:r>
        <w:t xml:space="preserve"> </w:t>
      </w:r>
      <w:r>
        <w:t xml:space="preserve">authorities will be required to collect and report on a yearly basis to the Commission a set of</w:t>
      </w:r>
      <w:r>
        <w:t xml:space="preserve"> </w:t>
      </w:r>
      <w:r>
        <w:t xml:space="preserve">indicators related to the performance of RIS on their territory. Through this Performance</w:t>
      </w:r>
      <w:r>
        <w:t xml:space="preserve"> </w:t>
      </w:r>
      <w:r>
        <w:t xml:space="preserve">Measurement Framework, the Commission will have an overall picture of the implementation in</w:t>
      </w:r>
      <w:r>
        <w:t xml:space="preserve"> </w:t>
      </w:r>
      <w:r>
        <w:t xml:space="preserve">each Member State and will be able to take action as required.</w:t>
      </w:r>
      <w:r>
        <w:br/>
      </w:r>
      <w:r>
        <w:t xml:space="preserve">Thus, PO-C follows a more traditional approach for ensuring implementation and enforcement, with</w:t>
      </w:r>
      <w:r>
        <w:t xml:space="preserve"> </w:t>
      </w:r>
      <w:r>
        <w:t xml:space="preserve">the disadvantage that is it heavily reliant on the collection and reporting of indicators. Even when</w:t>
      </w:r>
      <w:r>
        <w:t xml:space="preserve"> </w:t>
      </w:r>
      <w:r>
        <w:t xml:space="preserve">not considering possible gaps or inconsistencies in the reported information, one has to factor in a</w:t>
      </w:r>
      <w:r>
        <w:t xml:space="preserve"> </w:t>
      </w:r>
      <w:r>
        <w:t xml:space="preserve">natural time-delay from the moment the problem occurs, to the moment it is reported, assessed and</w:t>
      </w:r>
      <w:r>
        <w:t xml:space="preserve"> </w:t>
      </w:r>
      <w:r>
        <w:t xml:space="preserve">finally acted upon. On the other hand, PO-B, with the inclusion of the complaint mechanism, has</w:t>
      </w:r>
      <w:r>
        <w:t xml:space="preserve"> </w:t>
      </w:r>
      <w:r>
        <w:t xml:space="preserve">the advantage that problems will be signalled to the authorities sooner, and Member States will be</w:t>
      </w:r>
      <w:r>
        <w:t xml:space="preserve"> </w:t>
      </w:r>
      <w:r>
        <w:t xml:space="preserve">able to act upon them faster, if possible, at their level, or be reported to the Commission for further</w:t>
      </w:r>
      <w:r>
        <w:t xml:space="preserve"> </w:t>
      </w:r>
      <w:r>
        <w:t xml:space="preserve">action if it is of a more general or fundamental nature. Finally, PO-A would have a more positive</w:t>
      </w:r>
      <w:r>
        <w:t xml:space="preserve"> </w:t>
      </w:r>
      <w:r>
        <w:t xml:space="preserve">outcome as it would combine the complaint mechanism with interpretative guidelines, thus adding</w:t>
      </w:r>
      <w:r>
        <w:t xml:space="preserve"> </w:t>
      </w:r>
      <w:r>
        <w:t xml:space="preserve">an extra layer of clarity and guidance on how technical specifications should be applied.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Another relevant challenge that was identified by the evaluation is the long duration in setting and</w:t>
      </w:r>
      <w:r>
        <w:t xml:space="preserve"> </w:t>
      </w:r>
      <w:r>
        <w:t xml:space="preserve">updating the technical specifications (which could take around 10 years). Late development or</w:t>
      </w:r>
      <w:r>
        <w:t xml:space="preserve"> </w:t>
      </w:r>
      <w:r>
        <w:t xml:space="preserve">update of technical specifications could increase the risk related to the implementation and</w:t>
      </w:r>
      <w:r>
        <w:t xml:space="preserve"> </w:t>
      </w:r>
      <w:r>
        <w:t xml:space="preserve">enforcement, as well as delay the introduction of new technology solution to IWT, which could</w:t>
      </w:r>
      <w:r>
        <w:t xml:space="preserve"> </w:t>
      </w:r>
      <w:r>
        <w:t xml:space="preserve">bring operational benefits and other benefits (e.g. the development and use of application via tablets</w:t>
      </w:r>
      <w:r>
        <w:t xml:space="preserve"> </w:t>
      </w:r>
      <w:r>
        <w:t xml:space="preserve">or other technical devices by the skippers or the authorities). The involvement of CESNI for RIS</w:t>
      </w:r>
      <w:r>
        <w:t xml:space="preserve"> </w:t>
      </w:r>
      <w:r>
        <w:t xml:space="preserve">(PM10, included in PO-A, PO-B and PO-C) is expected to speed up the process of adoption of</w:t>
      </w:r>
      <w:r>
        <w:t xml:space="preserve"> </w:t>
      </w:r>
      <w:r>
        <w:t xml:space="preserve">technical specifications. With CESNI planning and leading the work, it was possible to develop</w:t>
      </w:r>
      <w:r>
        <w:t xml:space="preserve"> </w:t>
      </w:r>
      <w:r>
        <w:t xml:space="preserve">technical specifications for these Directives on average every 2 years, which is a big improvement</w:t>
      </w:r>
      <w:r>
        <w:t xml:space="preserve"> </w:t>
      </w:r>
      <w:r>
        <w:t xml:space="preserve">compared to the current RIS setting. PM10 is supported by all stakeholder groups, it proved it can</w:t>
      </w:r>
      <w:r>
        <w:t xml:space="preserve"> </w:t>
      </w:r>
      <w:r>
        <w:t xml:space="preserve">deliver, and it ensures control of the work by the Commission. As PM10 is applied in the same way</w:t>
      </w:r>
      <w:r>
        <w:t xml:space="preserve"> </w:t>
      </w:r>
      <w:r>
        <w:t xml:space="preserve">to all policy options, it has no impact on their comparison.</w:t>
      </w:r>
      <w:r>
        <w:br/>
      </w:r>
      <w:r>
        <w:t xml:space="preserve">7.2</w:t>
      </w:r>
      <w:r>
        <w:t xml:space="preserve"> </w:t>
      </w:r>
      <w:r>
        <w:t xml:space="preserve">Efficiency</w:t>
      </w:r>
      <w:r>
        <w:t xml:space="preserve"> </w:t>
      </w:r>
      <w:r>
        <w:t xml:space="preserve">Efficiency concerns the ‘extent to which objectives can be achieved for a given cost (cost</w:t>
      </w:r>
      <w:r>
        <w:t xml:space="preserve"> </w:t>
      </w:r>
      <w:r>
        <w:t xml:space="preserve">effectiveness)’. In all policy options, the benefits outweigh the increase in costs, relative to the</w:t>
      </w:r>
      <w:r>
        <w:t xml:space="preserve"> </w:t>
      </w:r>
      <w:r>
        <w:t xml:space="preserve">baseline. The estimates of costs and benefits are summarised in Table 9.</w:t>
      </w:r>
      <w:r>
        <w:t xml:space="preserve"> </w:t>
      </w:r>
      <w:r>
        <w:t xml:space="preserve">Table 9: Summary of costs and benefits of policy options – net present value for 2025-2050 compared to</w:t>
      </w:r>
      <w:r>
        <w:t xml:space="preserve"> </w:t>
      </w:r>
      <w:r>
        <w:t xml:space="preserve">the baseline (in million EUR, in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Vessel operators</w:t>
      </w:r>
    </w:p>
    <w:p>
      <w:pPr>
        <w:pStyle w:val="BodyText"/>
      </w:pPr>
      <w:r>
        <w:t xml:space="preserve">Administrative 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367.5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29.6</w:t>
      </w:r>
      <w:r>
        <w:t xml:space="preserve"> </w:t>
      </w:r>
      <w:r>
        <w:t xml:space="preserve">72.1</w:t>
      </w:r>
      <w:r>
        <w:t xml:space="preserve"> </w:t>
      </w:r>
      <w:r>
        <w:t xml:space="preserve">324.0</w:t>
      </w:r>
      <w:r>
        <w:t xml:space="preserve"> </w:t>
      </w:r>
      <w:r>
        <w:t xml:space="preserve">Administrative costs savings</w:t>
      </w:r>
      <w:r>
        <w:t xml:space="preserve"> </w:t>
      </w:r>
      <w:r>
        <w:t xml:space="preserve">10.7</w:t>
      </w:r>
      <w:r>
        <w:t xml:space="preserve"> </w:t>
      </w:r>
      <w:r>
        <w:t xml:space="preserve">28.5</w:t>
      </w:r>
      <w:r>
        <w:t xml:space="preserve"> </w:t>
      </w:r>
      <w:r>
        <w:t xml:space="preserve">51.9</w:t>
      </w:r>
      <w:r>
        <w:t xml:space="preserve"> </w:t>
      </w:r>
      <w:r>
        <w:t xml:space="preserve">Software providers</w:t>
      </w:r>
    </w:p>
    <w:p>
      <w:pPr>
        <w:pStyle w:val="BodyText"/>
      </w:pPr>
      <w:r>
        <w:t xml:space="preserve">Adjustment costs savings</w:t>
      </w:r>
      <w:r>
        <w:t xml:space="preserve"> </w:t>
      </w:r>
      <w:r>
        <w:t xml:space="preserve">4.4</w:t>
      </w:r>
      <w:r>
        <w:t xml:space="preserve"> </w:t>
      </w:r>
      <w:r>
        <w:t xml:space="preserve">8.1</w:t>
      </w:r>
      <w:r>
        <w:t xml:space="preserve"> </w:t>
      </w:r>
      <w:r>
        <w:t xml:space="preserve">8.4</w:t>
      </w:r>
      <w:r>
        <w:t xml:space="preserve"> </w:t>
      </w:r>
      <w:r>
        <w:t xml:space="preserve">National authorities</w:t>
      </w:r>
    </w:p>
    <w:p>
      <w:pPr>
        <w:pStyle w:val="BodyText"/>
      </w:pPr>
      <w:r>
        <w:t xml:space="preserve">Adjustment costs</w:t>
      </w:r>
      <w:r>
        <w:t xml:space="preserve"> </w:t>
      </w:r>
      <w:r>
        <w:t xml:space="preserve">5.6</w:t>
      </w:r>
      <w:r>
        <w:t xml:space="preserve"> </w:t>
      </w:r>
      <w:r>
        <w:t xml:space="preserve">18.3</w:t>
      </w:r>
      <w:r>
        <w:t xml:space="preserve"> </w:t>
      </w:r>
      <w:r>
        <w:t xml:space="preserve">28.2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34.9</w:t>
      </w:r>
      <w:r>
        <w:t xml:space="preserve"> </w:t>
      </w:r>
      <w:r>
        <w:t xml:space="preserve">75.3</w:t>
      </w:r>
      <w:r>
        <w:t xml:space="preserve"> </w:t>
      </w:r>
      <w:r>
        <w:t xml:space="preserve">104.3</w:t>
      </w:r>
      <w:r>
        <w:t xml:space="preserve"> </w:t>
      </w:r>
      <w:r>
        <w:t xml:space="preserve">Administrative cost savings</w:t>
      </w:r>
      <w:r>
        <w:t xml:space="preserve"> </w:t>
      </w:r>
      <w:r>
        <w:t xml:space="preserve">11.4</w:t>
      </w:r>
      <w:r>
        <w:t xml:space="preserve"> </w:t>
      </w:r>
      <w:r>
        <w:t xml:space="preserve">30.6</w:t>
      </w:r>
      <w:r>
        <w:t xml:space="preserve"> </w:t>
      </w:r>
      <w:r>
        <w:t xml:space="preserve">37.4</w:t>
      </w:r>
      <w:r>
        <w:t xml:space="preserve"> </w:t>
      </w:r>
      <w:r>
        <w:t xml:space="preserve">European Commission</w:t>
      </w:r>
    </w:p>
    <w:p>
      <w:pPr>
        <w:pStyle w:val="BodyText"/>
      </w:pPr>
      <w:r>
        <w:t xml:space="preserve">Adjustment costs</w:t>
      </w:r>
      <w:r>
        <w:t xml:space="preserve"> </w:t>
      </w:r>
      <w:r>
        <w:t xml:space="preserve">0.5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External costs savings</w:t>
      </w:r>
    </w:p>
    <w:p>
      <w:pPr>
        <w:pStyle w:val="BodyText"/>
      </w:pPr>
      <w:r>
        <w:t xml:space="preserve">Reduction in external costs of CO2 emissions</w:t>
      </w:r>
    </w:p>
    <w:p>
      <w:pPr>
        <w:pStyle w:val="BodyText"/>
      </w:pPr>
      <w:r>
        <w:t xml:space="preserve">48.6</w:t>
      </w:r>
      <w:r>
        <w:t xml:space="preserve"> </w:t>
      </w:r>
      <w:r>
        <w:t xml:space="preserve">105.2</w:t>
      </w:r>
      <w:r>
        <w:t xml:space="preserve"> </w:t>
      </w:r>
      <w:r>
        <w:t xml:space="preserve">Reduction in external costs of air pollution emissions</w:t>
      </w:r>
    </w:p>
    <w:p>
      <w:pPr>
        <w:pStyle w:val="BodyText"/>
      </w:pPr>
      <w:r>
        <w:t xml:space="preserve">-13.1</w:t>
      </w:r>
      <w:r>
        <w:t xml:space="preserve"> </w:t>
      </w:r>
      <w:r>
        <w:t xml:space="preserve">127.6</w:t>
      </w:r>
      <w:r>
        <w:t xml:space="preserve"> </w:t>
      </w:r>
      <w:r>
        <w:t xml:space="preserve">Reduction in external costs of noise emissions</w:t>
      </w:r>
    </w:p>
    <w:p>
      <w:pPr>
        <w:pStyle w:val="BodyText"/>
      </w:pPr>
      <w:r>
        <w:t xml:space="preserve">36.6</w:t>
      </w:r>
      <w:r>
        <w:t xml:space="preserve"> </w:t>
      </w:r>
      <w:r>
        <w:t xml:space="preserve">36.6</w:t>
      </w:r>
      <w:r>
        <w:t xml:space="preserve"> </w:t>
      </w:r>
      <w:r>
        <w:t xml:space="preserve">Reduction in external costs of habitats</w:t>
      </w:r>
    </w:p>
    <w:p>
      <w:pPr>
        <w:pStyle w:val="BodyText"/>
      </w:pPr>
      <w:r>
        <w:t xml:space="preserve">36.2</w:t>
      </w:r>
      <w:r>
        <w:t xml:space="preserve"> </w:t>
      </w:r>
      <w:r>
        <w:t xml:space="preserve">36.2</w:t>
      </w:r>
      <w:r>
        <w:t xml:space="preserve"> </w:t>
      </w:r>
      <w:r>
        <w:t xml:space="preserve">Reduction in external costs of congestion</w:t>
      </w:r>
    </w:p>
    <w:p>
      <w:pPr>
        <w:pStyle w:val="BodyText"/>
      </w:pPr>
      <w:r>
        <w:t xml:space="preserve">86.8</w:t>
      </w:r>
      <w:r>
        <w:t xml:space="preserve"> </w:t>
      </w:r>
      <w:r>
        <w:t xml:space="preserve">86.8</w:t>
      </w:r>
      <w:r>
        <w:t xml:space="preserve"> </w:t>
      </w:r>
      <w:r>
        <w:t xml:space="preserve">Reduction in external costs of accidents</w:t>
      </w:r>
    </w:p>
    <w:p>
      <w:pPr>
        <w:pStyle w:val="BodyText"/>
      </w:pPr>
      <w:r>
        <w:t xml:space="preserve">115.8</w:t>
      </w:r>
      <w:r>
        <w:t xml:space="preserve"> </w:t>
      </w:r>
      <w:r>
        <w:t xml:space="preserve">115.8</w:t>
      </w:r>
      <w:r>
        <w:t xml:space="preserve"> </w:t>
      </w:r>
      <w:r>
        <w:t xml:space="preserve">Total costs</w:t>
      </w:r>
      <w:r>
        <w:t xml:space="preserve"> </w:t>
      </w:r>
      <w:r>
        <w:t xml:space="preserve">41.0</w:t>
      </w:r>
      <w:r>
        <w:t xml:space="preserve"> </w:t>
      </w:r>
      <w:r>
        <w:t xml:space="preserve">93.6</w:t>
      </w:r>
      <w:r>
        <w:t xml:space="preserve"> </w:t>
      </w:r>
      <w:r>
        <w:t xml:space="preserve">499.9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56.1</w:t>
      </w:r>
      <w:r>
        <w:t xml:space="preserve"> </w:t>
      </w:r>
      <w:r>
        <w:t xml:space="preserve">450.4</w:t>
      </w:r>
      <w:r>
        <w:t xml:space="preserve"> </w:t>
      </w:r>
      <w:r>
        <w:t xml:space="preserve">930.0</w:t>
      </w:r>
      <w:r>
        <w:t xml:space="preserve"> </w:t>
      </w:r>
      <w:r>
        <w:t xml:space="preserve">Net benefits</w:t>
      </w:r>
      <w:r>
        <w:t xml:space="preserve"> </w:t>
      </w:r>
      <w:r>
        <w:t xml:space="preserve">15.1</w:t>
      </w:r>
      <w:r>
        <w:t xml:space="preserve"> </w:t>
      </w:r>
      <w:r>
        <w:t xml:space="preserve">356.7</w:t>
      </w:r>
      <w:r>
        <w:t xml:space="preserve"> </w:t>
      </w:r>
      <w:r>
        <w:t xml:space="preserve">430.1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1.4</w:t>
      </w:r>
      <w:r>
        <w:t xml:space="preserve"> </w:t>
      </w:r>
      <w:r>
        <w:t xml:space="preserve">4.8</w:t>
      </w:r>
      <w:r>
        <w:t xml:space="preserve"> </w:t>
      </w:r>
      <w:r>
        <w:t xml:space="preserve">1.9</w:t>
      </w:r>
      <w:r>
        <w:t xml:space="preserve"> </w:t>
      </w:r>
      <w:r>
        <w:t xml:space="preserve">Source: Ramboll et al. (2024), impact assessment support study.</w:t>
      </w:r>
      <w:r>
        <w:t xml:space="preserve"> </w:t>
      </w:r>
      <w:r>
        <w:t xml:space="preserve">The major cost elements of the policy options are related to administrative costs for public</w:t>
      </w:r>
      <w:r>
        <w:t xml:space="preserve"> </w:t>
      </w:r>
      <w:r>
        <w:t xml:space="preserve">authorities (in all policy options) and for vessel operators (in PO-C), and adjustment costs for public</w:t>
      </w:r>
      <w:r>
        <w:t xml:space="preserve"> </w:t>
      </w:r>
      <w:r>
        <w:t xml:space="preserve">authorities (in all policy options). PO-C shows the highest total costs estimated at EUR 499.9</w:t>
      </w:r>
      <w:r>
        <w:t xml:space="preserve"> </w:t>
      </w:r>
      <w:r>
        <w:t xml:space="preserve">million, followed by PO-B (EUR 93.6 million) and PO-A (EUR 41 million), expressed as present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value relative to the baseline. PO-C is also estimated to result in the highest total benefits, estimated</w:t>
      </w:r>
      <w:r>
        <w:t xml:space="preserve"> </w:t>
      </w:r>
      <w:r>
        <w:t xml:space="preserve">at EUR 930 million expressed as present value over 2025-2050 relative to the baseline, followed by</w:t>
      </w:r>
      <w:r>
        <w:t xml:space="preserve"> </w:t>
      </w:r>
      <w:r>
        <w:t xml:space="preserve">PO-B (EUR 450.4 million) and PO-A (EUR 56.1 million).</w:t>
      </w:r>
      <w:r>
        <w:br/>
      </w:r>
      <w:r>
        <w:t xml:space="preserve">Overall, all policy options result in net benefits relative to the baseline. PO-C shows the highest net</w:t>
      </w:r>
      <w:r>
        <w:t xml:space="preserve"> </w:t>
      </w:r>
      <w:r>
        <w:t xml:space="preserve">benefits, estimated at EUR 430.1 million expressed as present value over 2025-2050, followed by</w:t>
      </w:r>
      <w:r>
        <w:t xml:space="preserve"> </w:t>
      </w:r>
      <w:r>
        <w:t xml:space="preserve">PO-B (EUR 356.7 million) and PO-A (EUR 15.1 million). On the other hand, PO-B shows the</w:t>
      </w:r>
      <w:r>
        <w:t xml:space="preserve"> </w:t>
      </w:r>
      <w:r>
        <w:t xml:space="preserve">highest benefits to costs ratio among the options (4.8), followed by PO-C (1.9) and PO-A (1.4).</w:t>
      </w:r>
      <w:r>
        <w:t xml:space="preserve"> </w:t>
      </w:r>
      <w:r>
        <w:t xml:space="preserve">Thus, PO-B is assessed to be the most efficient among the policy options.</w:t>
      </w:r>
      <w:r>
        <w:br/>
      </w:r>
      <w:r>
        <w:t xml:space="preserve">7.3</w:t>
      </w:r>
      <w:r>
        <w:t xml:space="preserve"> </w:t>
      </w:r>
      <w:r>
        <w:t xml:space="preserve">Coherence</w:t>
      </w:r>
      <w:r>
        <w:t xml:space="preserve"> </w:t>
      </w:r>
      <w:r>
        <w:t xml:space="preserve">Internal coherence. The internal coherence assesses how well the various provisions of the revised</w:t>
      </w:r>
      <w:r>
        <w:t xml:space="preserve"> </w:t>
      </w:r>
      <w:r>
        <w:t xml:space="preserve">Directive fit together and work in a coordinated manner to achieve its objectives. It should be noted</w:t>
      </w:r>
      <w:r>
        <w:t xml:space="preserve"> </w:t>
      </w:r>
      <w:r>
        <w:t xml:space="preserve">that this does not only concern the Directive itself, but also its accompanying secondary legislation</w:t>
      </w:r>
      <w:r>
        <w:t xml:space="preserve"> </w:t>
      </w:r>
      <w:r>
        <w:t xml:space="preserve">(implementing acts) as well as interpretative guidelines.</w:t>
      </w:r>
      <w:r>
        <w:br/>
      </w:r>
      <w:r>
        <w:t xml:space="preserve">Although all three policy options address the identified problem, they do so in different ways. All</w:t>
      </w:r>
      <w:r>
        <w:t xml:space="preserve"> </w:t>
      </w:r>
      <w:r>
        <w:t xml:space="preserve">policy options foresee that the required technical details will be introduced through secondary</w:t>
      </w:r>
      <w:r>
        <w:t xml:space="preserve"> </w:t>
      </w:r>
      <w:r>
        <w:t xml:space="preserve">legislation, and they all entrust the development of the technical specifications to CESNI. All policy</w:t>
      </w:r>
      <w:r>
        <w:t xml:space="preserve"> </w:t>
      </w:r>
      <w:r>
        <w:t xml:space="preserve">options aim to improve the quality of RIS data by mandating the provision of required information</w:t>
      </w:r>
      <w:r>
        <w:t xml:space="preserve"> </w:t>
      </w:r>
      <w:r>
        <w:t xml:space="preserve">to the ERDMS. In addition, PO-A addresses the problem by providing more flexibility to the</w:t>
      </w:r>
      <w:r>
        <w:t xml:space="preserve"> </w:t>
      </w:r>
      <w:r>
        <w:t xml:space="preserve">Member States, as specific guidance will be provided through interpretative guidelines, aiming to</w:t>
      </w:r>
      <w:r>
        <w:t xml:space="preserve"> </w:t>
      </w:r>
      <w:r>
        <w:t xml:space="preserve">reduce the existing fragmentation in the application of the provisions of the Directive. Furthermore,</w:t>
      </w:r>
      <w:r>
        <w:t xml:space="preserve"> </w:t>
      </w:r>
      <w:r>
        <w:t xml:space="preserve">it encourages the use of eFTI but does not mandate it. Other than that, it introduces a harmonised</w:t>
      </w:r>
      <w:r>
        <w:t xml:space="preserve"> </w:t>
      </w:r>
      <w:r>
        <w:t xml:space="preserve">complaint mechanism and provides more clarity for exchange of personal data. PO-B and PO-C</w:t>
      </w:r>
      <w:r>
        <w:t xml:space="preserve"> </w:t>
      </w:r>
      <w:r>
        <w:t xml:space="preserve">propose amendments to the Directive for all aspects that require further harmonisation and thus</w:t>
      </w:r>
      <w:r>
        <w:t xml:space="preserve"> </w:t>
      </w:r>
      <w:r>
        <w:t xml:space="preserve">ensure a higher degree of internal coherence than PO-A. PO-B follows a more targeted approach in</w:t>
      </w:r>
      <w:r>
        <w:t xml:space="preserve"> </w:t>
      </w:r>
      <w:r>
        <w:t xml:space="preserve">the amendments proposed to the Directive, focusing on the improvement of the performance of the</w:t>
      </w:r>
      <w:r>
        <w:t xml:space="preserve"> </w:t>
      </w:r>
      <w:r>
        <w:t xml:space="preserve">Directive and introducing a concrete structure for the provision of RIS (through COMEX), while</w:t>
      </w:r>
      <w:r>
        <w:t xml:space="preserve"> </w:t>
      </w:r>
      <w:r>
        <w:t xml:space="preserve">allowing for improved links with other modes. PO-C envisages introducing further elements (such</w:t>
      </w:r>
      <w:r>
        <w:t xml:space="preserve"> </w:t>
      </w:r>
      <w:r>
        <w:t xml:space="preserve">as mandating electronic voyage reporting and mandating cross border exchange of data). All policy</w:t>
      </w:r>
      <w:r>
        <w:t xml:space="preserve"> </w:t>
      </w:r>
      <w:r>
        <w:t xml:space="preserve">options contain measures to improve the monitoring of the performance of RIS, and clarify cases of</w:t>
      </w:r>
      <w:r>
        <w:t xml:space="preserve"> </w:t>
      </w:r>
      <w:r>
        <w:t xml:space="preserve">handling of personal data, with PO-C containing more detailed provisions due to its wider focus.</w:t>
      </w:r>
      <w:r>
        <w:br/>
      </w:r>
      <w:r>
        <w:t xml:space="preserve">External coherence. The external coherence concentrates on the compliance of the Directive with</w:t>
      </w:r>
      <w:r>
        <w:t xml:space="preserve"> </w:t>
      </w:r>
      <w:r>
        <w:t xml:space="preserve">key EU policy objectives and international legislation. All policy options have links to several EU</w:t>
      </w:r>
      <w:r>
        <w:t xml:space="preserve"> </w:t>
      </w:r>
      <w:r>
        <w:t xml:space="preserve">instruments. PO-B and PO-C are consistent with the European Green Deal, SSMS and the</w:t>
      </w:r>
      <w:r>
        <w:t xml:space="preserve"> </w:t>
      </w:r>
      <w:r>
        <w:t xml:space="preserve">NAIADES III Communication as they contribute to modal shift and the reduction of CO2</w:t>
      </w:r>
      <w:r>
        <w:t xml:space="preserve"> </w:t>
      </w:r>
      <w:r>
        <w:t xml:space="preserve">emissions. By aiming to improve digital applications in IWT and aligning the scope of application</w:t>
      </w:r>
      <w:r>
        <w:t xml:space="preserve"> </w:t>
      </w:r>
      <w:r>
        <w:t xml:space="preserve">to that of the TEN-T waterways, PO-B and PO-C are also coherent with the TEN-T policy, which</w:t>
      </w:r>
      <w:r>
        <w:t xml:space="preserve"> </w:t>
      </w:r>
      <w:r>
        <w:t xml:space="preserve">among its priorities deals with information and communication technology, such as implementing</w:t>
      </w:r>
      <w:r>
        <w:t xml:space="preserve"> </w:t>
      </w:r>
      <w:r>
        <w:t xml:space="preserve">telematics applications (including RIS), as well as with multimodal aspects, such as connecting</w:t>
      </w:r>
      <w:r>
        <w:t xml:space="preserve"> </w:t>
      </w:r>
      <w:r>
        <w:t xml:space="preserve">inland port infrastructure to rail freight and road transport infrastructure. In addition, the CEF</w:t>
      </w:r>
      <w:r>
        <w:t xml:space="preserve"> </w:t>
      </w:r>
      <w:r>
        <w:t xml:space="preserve">programme, under the TEN-T is providing funding for the development of RIS. The approach used</w:t>
      </w:r>
      <w:r>
        <w:t xml:space="preserve"> </w:t>
      </w:r>
      <w:r>
        <w:t xml:space="preserve">in all the policy options in this regard is not to duplicate or develop overlapping tools and</w:t>
      </w:r>
      <w:r>
        <w:t xml:space="preserve"> </w:t>
      </w:r>
      <w:r>
        <w:t xml:space="preserve">functionalities, but to enable and enhance links with those tools (through exchange of appropriate</w:t>
      </w:r>
      <w:r>
        <w:t xml:space="preserve"> </w:t>
      </w:r>
      <w:r>
        <w:t xml:space="preserve">information), thus making best use of existing systems.</w:t>
      </w:r>
      <w:r>
        <w:t xml:space="preserve"> </w:t>
      </w:r>
      <w:r>
        <w:t xml:space="preserve">Furthermore, the AFIR is mandating On Shore Power Systems (OPS) in inland ports for allowing</w:t>
      </w:r>
      <w:r>
        <w:t xml:space="preserve"> </w:t>
      </w:r>
      <w:r>
        <w:t xml:space="preserve">vessels to connect to electricity and not polluting the air by turning their engines at quays. It also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requires Member States to create plans to provide other clean energy sources in the future. Through</w:t>
      </w:r>
      <w:r>
        <w:t xml:space="preserve"> </w:t>
      </w:r>
      <w:r>
        <w:t xml:space="preserve">PM12 (in PO-B) and PM13 (in PO-C) skippers will, among others, be provided with information if</w:t>
      </w:r>
      <w:r>
        <w:t xml:space="preserve"> </w:t>
      </w:r>
      <w:r>
        <w:t xml:space="preserve">and when OPS installations are available for use in the port of their destination. They thus both work</w:t>
      </w:r>
      <w:r>
        <w:t xml:space="preserve"> </w:t>
      </w:r>
      <w:r>
        <w:t xml:space="preserve">complementary in supporting the greening of IWT fleet. The eFTI Regulation established a legal</w:t>
      </w:r>
      <w:r>
        <w:t xml:space="preserve"> </w:t>
      </w:r>
      <w:r>
        <w:t xml:space="preserve">framework that allows economic operators to share information with enforcement authorities in an</w:t>
      </w:r>
      <w:r>
        <w:t xml:space="preserve"> </w:t>
      </w:r>
      <w:r>
        <w:t xml:space="preserve">electronic format (i.e. for the transport of goods by road, rail, inland waterways and air in the</w:t>
      </w:r>
      <w:r>
        <w:t xml:space="preserve"> </w:t>
      </w:r>
      <w:r>
        <w:t xml:space="preserve">Union). All policy options are coherent with eFTI, as through PM7 and PM8 they introduce eFTI as</w:t>
      </w:r>
      <w:r>
        <w:t xml:space="preserve"> </w:t>
      </w:r>
      <w:r>
        <w:t xml:space="preserve">the platform for exchange of cargo information.</w:t>
      </w:r>
      <w:r>
        <w:t xml:space="preserve"> </w:t>
      </w:r>
      <w:r>
        <w:t xml:space="preserve">Likewise, PO-B and PO-C are coherent with SDG 9 on industry, innovation, and infrastructure</w:t>
      </w:r>
      <w:r>
        <w:t xml:space="preserve"> </w:t>
      </w:r>
      <w:r>
        <w:t xml:space="preserve">(specifically 9.1 “Develop quality, reliable, sustainable and resilient infrastructure, including</w:t>
      </w:r>
      <w:r>
        <w:t xml:space="preserve"> </w:t>
      </w:r>
      <w:r>
        <w:t xml:space="preserve">regional and transborder infrastructure, to support economic development and human well-being,</w:t>
      </w:r>
      <w:r>
        <w:t xml:space="preserve"> </w:t>
      </w:r>
      <w:r>
        <w:t xml:space="preserve">with a focus on affordable and equitable access for all”), as it promotes the shift of freight from road</w:t>
      </w:r>
      <w:r>
        <w:t xml:space="preserve"> </w:t>
      </w:r>
      <w:r>
        <w:t xml:space="preserve">to inland waterways. They are also coherent with SDG 13 (“Take urgent action to combat climate</w:t>
      </w:r>
      <w:r>
        <w:t xml:space="preserve"> </w:t>
      </w:r>
      <w:r>
        <w:t xml:space="preserve">change and its impacts”), as they lead to a decrease in CO2 emissions.</w:t>
      </w:r>
      <w:r>
        <w:t xml:space="preserve"> </w:t>
      </w:r>
      <w:r>
        <w:t xml:space="preserve">Finally, the Directive does not make any provision on safety and traffic management on rivers that</w:t>
      </w:r>
      <w:r>
        <w:t xml:space="preserve"> </w:t>
      </w:r>
      <w:r>
        <w:t xml:space="preserve">would fall exclusively under the responsibility of Member States or are developed by the River</w:t>
      </w:r>
      <w:r>
        <w:t xml:space="preserve"> </w:t>
      </w:r>
      <w:r>
        <w:t xml:space="preserve">Commissions (Police Regulations).</w:t>
      </w:r>
      <w:r>
        <w:br/>
      </w:r>
      <w:r>
        <w:t xml:space="preserve">7.4</w:t>
      </w:r>
      <w:r>
        <w:t xml:space="preserve"> </w:t>
      </w:r>
      <w:r>
        <w:t xml:space="preserve">Subsidiarity and proportionality</w:t>
      </w:r>
      <w:r>
        <w:t xml:space="preserve"> </w:t>
      </w:r>
      <w:r>
        <w:t xml:space="preserve">As highlighted in section 3 there is a clear need for EU action on the problem identified, and its</w:t>
      </w:r>
      <w:r>
        <w:t xml:space="preserve"> </w:t>
      </w:r>
      <w:r>
        <w:t xml:space="preserve">drivers. The current Directive has not attained full harmonisation of RIS and experience with its</w:t>
      </w:r>
      <w:r>
        <w:t xml:space="preserve"> </w:t>
      </w:r>
      <w:r>
        <w:t xml:space="preserve">implementation shows challenges with the timely introduction of technical specifications and with</w:t>
      </w:r>
      <w:r>
        <w:t xml:space="preserve"> </w:t>
      </w:r>
      <w:r>
        <w:t xml:space="preserve">monitoring. Furthermore, the Directive needs to become fit for today’s challenges related to</w:t>
      </w:r>
      <w:r>
        <w:t xml:space="preserve"> </w:t>
      </w:r>
      <w:r>
        <w:t xml:space="preserve">digitalisation, intermodality and sustainability. Member States individually are not able to tackle the</w:t>
      </w:r>
      <w:r>
        <w:t xml:space="preserve"> </w:t>
      </w:r>
      <w:r>
        <w:t xml:space="preserve">problem identified. To avoid a fragmented legal framework, there is a need for EU action. All policy</w:t>
      </w:r>
      <w:r>
        <w:t xml:space="preserve"> </w:t>
      </w:r>
      <w:r>
        <w:t xml:space="preserve">options ensure a certain degree of harmonisation of the legal framework, in full respect of the</w:t>
      </w:r>
      <w:r>
        <w:t xml:space="preserve"> </w:t>
      </w:r>
      <w:r>
        <w:t xml:space="preserve">subsidiarity principle. All policy options designate CESNI as the body responsible for the</w:t>
      </w:r>
      <w:r>
        <w:t xml:space="preserve"> </w:t>
      </w:r>
      <w:r>
        <w:t xml:space="preserve">development of new technical specifications, which will involve Member States and sectoral</w:t>
      </w:r>
      <w:r>
        <w:t xml:space="preserve"> </w:t>
      </w:r>
      <w:r>
        <w:t xml:space="preserve">experts, and improve collaboration with the River Commissions. Furthermore, PO-A and PO-B</w:t>
      </w:r>
      <w:r>
        <w:t xml:space="preserve"> </w:t>
      </w:r>
      <w:r>
        <w:t xml:space="preserve">place the identification and eventual solution of problems in the implementation of RIS at the</w:t>
      </w:r>
      <w:r>
        <w:t xml:space="preserve"> </w:t>
      </w:r>
      <w:r>
        <w:t xml:space="preserve">national level, and thus closer to the user than in PO-C.</w:t>
      </w:r>
      <w:r>
        <w:br/>
      </w:r>
      <w:r>
        <w:t xml:space="preserve">All policy options are assessed to be proportionate as action at EU level is limited to what is</w:t>
      </w:r>
      <w:r>
        <w:t xml:space="preserve"> </w:t>
      </w:r>
      <w:r>
        <w:t xml:space="preserve">necessary to achieve an improvement in the overall level of River Information Services offered to</w:t>
      </w:r>
      <w:r>
        <w:t xml:space="preserve"> </w:t>
      </w:r>
      <w:r>
        <w:t xml:space="preserve">RIS users, through improved exchanges of better-quality information. PO-A and PO-B contribute to</w:t>
      </w:r>
      <w:r>
        <w:t xml:space="preserve"> </w:t>
      </w:r>
      <w:r>
        <w:t xml:space="preserve">such improvement without imposing any cost for businesses and entailing only some adjustment</w:t>
      </w:r>
      <w:r>
        <w:t xml:space="preserve"> </w:t>
      </w:r>
      <w:r>
        <w:t xml:space="preserve">and administrative costs for national public administrations. On the other hand, PO-C results in</w:t>
      </w:r>
      <w:r>
        <w:t xml:space="preserve"> </w:t>
      </w:r>
      <w:r>
        <w:t xml:space="preserve">administrative costs for vessel operators (mostly SMEs) due to the requirement on the electronic</w:t>
      </w:r>
      <w:r>
        <w:t xml:space="preserve"> </w:t>
      </w:r>
      <w:r>
        <w:t xml:space="preserve">voyage plan reporting. This specific measure results in additional administrative costs of EUR 367.5</w:t>
      </w:r>
      <w:r>
        <w:t xml:space="preserve"> </w:t>
      </w:r>
      <w:r>
        <w:t xml:space="preserve">million for vessel operators, expressed as present value over 2025-2050. It however also results in</w:t>
      </w:r>
      <w:r>
        <w:t xml:space="preserve"> </w:t>
      </w:r>
      <w:r>
        <w:t xml:space="preserve">adjustment cost savings for vessel operators (EUR 248.7 million) due to the reduced fuel</w:t>
      </w:r>
      <w:r>
        <w:t xml:space="preserve"> </w:t>
      </w:r>
      <w:r>
        <w:t xml:space="preserve">consumption. PO-B appears as the option providing the most balanced approach as it achieves a</w:t>
      </w:r>
      <w:r>
        <w:t xml:space="preserve"> </w:t>
      </w:r>
      <w:r>
        <w:t xml:space="preserve">higher degree of harmonisation than PO-A, does not entail additional administrative or adjustment</w:t>
      </w:r>
      <w:r>
        <w:t xml:space="preserve"> </w:t>
      </w:r>
      <w:r>
        <w:t xml:space="preserve">costs for businesses, but only costs savings. In this respect it is considered to be a more balanced</w:t>
      </w:r>
      <w:r>
        <w:t xml:space="preserve"> </w:t>
      </w:r>
      <w:r>
        <w:t xml:space="preserve">option and thus more proportionate than either PO-A or PO-C.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7.5</w:t>
      </w:r>
      <w:r>
        <w:t xml:space="preserve"> </w:t>
      </w:r>
      <w:r>
        <w:t xml:space="preserve">Summary of the comparison of policy options</w:t>
      </w:r>
      <w:r>
        <w:t xml:space="preserve"> </w:t>
      </w:r>
      <w:r>
        <w:t xml:space="preserve">Table 10 provides a summary of the comparison of the options against the baseline scenario in</w:t>
      </w:r>
      <w:r>
        <w:t xml:space="preserve"> </w:t>
      </w:r>
      <w:r>
        <w:t xml:space="preserve">terms of effectiveness, efficiency, coherence, subsidiarity and proportionality. The following</w:t>
      </w:r>
      <w:r>
        <w:t xml:space="preserve"> </w:t>
      </w:r>
      <w:r>
        <w:t xml:space="preserve">ranking symbols have been used: from</w:t>
      </w:r>
      <w:r>
        <w:t xml:space="preserve"> </w:t>
      </w:r>
      <w:r>
        <w:t xml:space="preserve">‘+’</w:t>
      </w:r>
      <w:r>
        <w:t xml:space="preserve"> </w:t>
      </w:r>
      <w:r>
        <w:t xml:space="preserve">(more effective/efficient/coherent/ proportionate than the</w:t>
      </w:r>
      <w:r>
        <w:t xml:space="preserve"> </w:t>
      </w:r>
      <w:r>
        <w:t xml:space="preserve">baseline) to</w:t>
      </w:r>
      <w:r>
        <w:t xml:space="preserve"> </w:t>
      </w:r>
      <w:r>
        <w:t xml:space="preserve">‘+++’</w:t>
      </w:r>
      <w:r>
        <w:t xml:space="preserve"> </w:t>
      </w:r>
      <w:r>
        <w:t xml:space="preserve">(much more effective/efficient/coherent/ proportionate than the baseline); from</w:t>
      </w:r>
      <w:r>
        <w:t xml:space="preserve"> </w:t>
      </w:r>
      <w:r>
        <w:t xml:space="preserve">‘-’</w:t>
      </w:r>
      <w:r>
        <w:t xml:space="preserve"> </w:t>
      </w:r>
      <w:r>
        <w:t xml:space="preserve">(less</w:t>
      </w:r>
      <w:r>
        <w:t xml:space="preserve"> </w:t>
      </w:r>
      <w:r>
        <w:t xml:space="preserve">effective/efficient/coherent/proportionate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baseline)</w:t>
      </w:r>
      <w:r>
        <w:t xml:space="preserve"> </w:t>
      </w:r>
      <w:r>
        <w:t xml:space="preserve">to</w:t>
      </w:r>
      <w:r>
        <w:t xml:space="preserve"> </w:t>
      </w:r>
      <w:r>
        <w:t xml:space="preserve">‘—’</w:t>
      </w:r>
      <w:r>
        <w:t xml:space="preserve"> </w:t>
      </w:r>
      <w:r>
        <w:t xml:space="preserve">(much</w:t>
      </w:r>
      <w:r>
        <w:t xml:space="preserve"> </w:t>
      </w:r>
      <w:r>
        <w:t xml:space="preserve">less</w:t>
      </w:r>
      <w:r>
        <w:t xml:space="preserve"> </w:t>
      </w:r>
      <w:r>
        <w:t xml:space="preserve">effective/efficient/coherent/ proportionate than the baseline).</w:t>
      </w:r>
      <w:r>
        <w:t xml:space="preserve"> </w:t>
      </w:r>
      <w:r>
        <w:t xml:space="preserve">Table 10: Comparison of options in terms of effectiveness, efficiency, coherence, subsidiarity and</w:t>
      </w:r>
      <w:r>
        <w:t xml:space="preserve"> </w:t>
      </w:r>
      <w:r>
        <w:t xml:space="preserve">proportionality relative to the baseline</w:t>
      </w:r>
      <w:r>
        <w:t xml:space="preserve"> </w:t>
      </w:r>
      <w:r>
        <w:t xml:space="preserve">Criteria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Effectiveness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Efficiency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Coherence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Subsidiarity and proportionality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Source: European Commission</w:t>
      </w:r>
      <w:r>
        <w:t xml:space="preserve"> </w:t>
      </w:r>
      <w:r>
        <w:t xml:space="preserve">7.6</w:t>
      </w:r>
      <w:r>
        <w:t xml:space="preserve"> </w:t>
      </w:r>
      <w:r>
        <w:t xml:space="preserve">Sensitivity analysis</w:t>
      </w:r>
      <w:r>
        <w:t xml:space="preserve"> </w:t>
      </w:r>
      <w:r>
        <w:t xml:space="preserve">As explained in section 6.1.7, sensitivity analysis has been performed in relation to the impacts of</w:t>
      </w:r>
      <w:r>
        <w:t xml:space="preserve"> </w:t>
      </w:r>
      <w:r>
        <w:t xml:space="preserve">the policy options on the modal shift from road to IWT. Subsequently, the impacts on external costs</w:t>
      </w:r>
      <w:r>
        <w:t xml:space="preserve"> </w:t>
      </w:r>
      <w:r>
        <w:t xml:space="preserve">and the efficiency of the policy options is assessed. More specifically, for the sensitivity analysis it is</w:t>
      </w:r>
      <w:r>
        <w:t xml:space="preserve"> </w:t>
      </w:r>
      <w:r>
        <w:t xml:space="preserve">assumed that each 10% increase in punctuality would result in:</w:t>
      </w:r>
      <w:r>
        <w:br/>
      </w:r>
      <w:r>
        <w:t xml:space="preserve">-</w:t>
      </w:r>
      <w:r>
        <w:t xml:space="preserve"> </w:t>
      </w:r>
      <w:r>
        <w:t xml:space="preserve">4.1% increase in transport demand (low case);</w:t>
      </w:r>
      <w:r>
        <w:t xml:space="preserve"> </w:t>
      </w:r>
      <w:r>
        <w:t xml:space="preserve">-</w:t>
      </w:r>
      <w:r>
        <w:t xml:space="preserve"> </w:t>
      </w:r>
      <w:r>
        <w:t xml:space="preserve">8.1% increase in transport demand (high case).</w:t>
      </w:r>
      <w:r>
        <w:br/>
      </w:r>
      <w:r>
        <w:t xml:space="preserve">This is further compared with the central case estimate (6.1% increase in transport demand).</w:t>
      </w:r>
      <w:r>
        <w:t xml:space="preserve"> </w:t>
      </w:r>
      <w:r>
        <w:t xml:space="preserve">The impacts on the traffic shifted from road to IWT transport for the low case, central case and high</w:t>
      </w:r>
      <w:r>
        <w:t xml:space="preserve"> </w:t>
      </w:r>
      <w:r>
        <w:t xml:space="preserve">case are presented in Table 11 below.</w:t>
      </w:r>
      <w:r>
        <w:br/>
      </w:r>
      <w:r>
        <w:t xml:space="preserve">Table 11: Impact on freight inland waterways transport activity in the low case, central case and high case</w:t>
      </w:r>
      <w:r>
        <w:t xml:space="preserve"> </w:t>
      </w:r>
      <w:r>
        <w:t xml:space="preserve">relative to the baseline</w:t>
      </w:r>
    </w:p>
    <w:p>
      <w:pPr>
        <w:pStyle w:val="BodyText"/>
      </w:pP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Shift from road to freight IWT activity relative to the</w:t>
      </w:r>
      <w:r>
        <w:t xml:space="preserve"> </w:t>
      </w:r>
      <w:r>
        <w:t xml:space="preserve">baseline (Gtkm)</w:t>
      </w:r>
    </w:p>
    <w:p>
      <w:pPr>
        <w:pStyle w:val="BodyText"/>
      </w:pPr>
      <w:r>
        <w:t xml:space="preserve">Low case</w:t>
      </w:r>
      <w:r>
        <w:t xml:space="preserve"> </w:t>
      </w:r>
      <w:r>
        <w:t xml:space="preserve">0.24</w:t>
      </w:r>
      <w:r>
        <w:t xml:space="preserve"> </w:t>
      </w:r>
      <w:r>
        <w:t xml:space="preserve">0.25</w:t>
      </w:r>
      <w:r>
        <w:t xml:space="preserve"> </w:t>
      </w:r>
      <w:r>
        <w:t xml:space="preserve">0.28</w:t>
      </w:r>
      <w:r>
        <w:t xml:space="preserve"> </w:t>
      </w:r>
      <w:r>
        <w:t xml:space="preserve">0.30</w:t>
      </w:r>
      <w:r>
        <w:t xml:space="preserve"> </w:t>
      </w:r>
      <w:r>
        <w:t xml:space="preserve">Central case</w:t>
      </w:r>
      <w:r>
        <w:t xml:space="preserve"> </w:t>
      </w:r>
      <w:r>
        <w:t xml:space="preserve">0.35</w:t>
      </w:r>
      <w:r>
        <w:t xml:space="preserve"> </w:t>
      </w:r>
      <w:r>
        <w:t xml:space="preserve">0.38</w:t>
      </w:r>
      <w:r>
        <w:t xml:space="preserve"> </w:t>
      </w:r>
      <w:r>
        <w:t xml:space="preserve">0.41</w:t>
      </w:r>
      <w:r>
        <w:t xml:space="preserve"> </w:t>
      </w:r>
      <w:r>
        <w:t xml:space="preserve">0.45</w:t>
      </w:r>
      <w:r>
        <w:t xml:space="preserve"> </w:t>
      </w:r>
      <w:r>
        <w:t xml:space="preserve">High case</w:t>
      </w:r>
      <w:r>
        <w:t xml:space="preserve"> </w:t>
      </w:r>
      <w:r>
        <w:t xml:space="preserve">0.47</w:t>
      </w:r>
      <w:r>
        <w:t xml:space="preserve"> </w:t>
      </w:r>
      <w:r>
        <w:t xml:space="preserve">0.50</w:t>
      </w:r>
      <w:r>
        <w:t xml:space="preserve"> </w:t>
      </w:r>
      <w:r>
        <w:t xml:space="preserve">0.55</w:t>
      </w:r>
      <w:r>
        <w:t xml:space="preserve"> </w:t>
      </w:r>
      <w:r>
        <w:t xml:space="preserve">0.59</w:t>
      </w:r>
      <w:r>
        <w:t xml:space="preserve"> </w:t>
      </w:r>
      <w:r>
        <w:t xml:space="preserve">Source: European Commission</w:t>
      </w:r>
    </w:p>
    <w:p>
      <w:pPr>
        <w:pStyle w:val="BodyText"/>
      </w:pPr>
      <w:r>
        <w:t xml:space="preserve">Table 12 further presents the impacts on external costs of transport in the low case, central case and</w:t>
      </w:r>
      <w:r>
        <w:t xml:space="preserve"> </w:t>
      </w:r>
      <w:r>
        <w:t xml:space="preserve">high case, due to shift from road to inland waterways traffic.</w:t>
      </w:r>
      <w:r>
        <w:br/>
      </w:r>
      <w:r>
        <w:t xml:space="preserve">Table 12: External costs savings by policy option in the low case, central case and high case, expressed as</w:t>
      </w:r>
      <w:r>
        <w:t xml:space="preserve"> </w:t>
      </w:r>
      <w:r>
        <w:t xml:space="preserve">present value over 2025-2050 compared to the baseline (in million EUR, in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Total external costs savings - low case</w:t>
      </w:r>
    </w:p>
    <w:p>
      <w:pPr>
        <w:pStyle w:val="BodyText"/>
      </w:pPr>
      <w:r>
        <w:t xml:space="preserve">209.1</w:t>
      </w:r>
      <w:r>
        <w:t xml:space="preserve"> </w:t>
      </w:r>
      <w:r>
        <w:t xml:space="preserve">406.3</w:t>
      </w:r>
      <w:r>
        <w:t xml:space="preserve"> </w:t>
      </w:r>
      <w:r>
        <w:t xml:space="preserve">Reduction in external costs of CO2 emissions</w:t>
      </w:r>
    </w:p>
    <w:p>
      <w:pPr>
        <w:pStyle w:val="BodyText"/>
      </w:pPr>
      <w:r>
        <w:t xml:space="preserve">32.7</w:t>
      </w:r>
      <w:r>
        <w:t xml:space="preserve"> </w:t>
      </w:r>
      <w:r>
        <w:t xml:space="preserve">89.2</w:t>
      </w:r>
      <w:r>
        <w:t xml:space="preserve"> </w:t>
      </w:r>
      <w:r>
        <w:t xml:space="preserve">Reduction in external costs of air pollution emissions</w:t>
      </w:r>
    </w:p>
    <w:p>
      <w:pPr>
        <w:pStyle w:val="BodyText"/>
      </w:pPr>
      <w:r>
        <w:t xml:space="preserve">-8.8</w:t>
      </w:r>
      <w:r>
        <w:t xml:space="preserve"> </w:t>
      </w:r>
      <w:r>
        <w:t xml:space="preserve">131.9</w:t>
      </w:r>
      <w:r>
        <w:t xml:space="preserve"> </w:t>
      </w:r>
      <w:r>
        <w:t xml:space="preserve">Reduction in external costs of noise emissions</w:t>
      </w:r>
    </w:p>
    <w:p>
      <w:pPr>
        <w:pStyle w:val="BodyText"/>
      </w:pPr>
      <w:r>
        <w:t xml:space="preserve">24.6</w:t>
      </w:r>
      <w:r>
        <w:t xml:space="preserve"> </w:t>
      </w:r>
      <w:r>
        <w:t xml:space="preserve">24.6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Reduction in external costs of habitats</w:t>
      </w:r>
    </w:p>
    <w:p>
      <w:pPr>
        <w:pStyle w:val="BodyText"/>
      </w:pPr>
      <w:r>
        <w:t xml:space="preserve">24.4</w:t>
      </w:r>
      <w:r>
        <w:t xml:space="preserve"> </w:t>
      </w:r>
      <w:r>
        <w:t xml:space="preserve">24.4</w:t>
      </w:r>
      <w:r>
        <w:t xml:space="preserve"> </w:t>
      </w:r>
      <w:r>
        <w:t xml:space="preserve">Reduction in external costs of congestion</w:t>
      </w:r>
    </w:p>
    <w:p>
      <w:pPr>
        <w:pStyle w:val="BodyText"/>
      </w:pPr>
      <w:r>
        <w:t xml:space="preserve">58.3</w:t>
      </w:r>
      <w:r>
        <w:t xml:space="preserve"> </w:t>
      </w:r>
      <w:r>
        <w:t xml:space="preserve">58.3</w:t>
      </w:r>
      <w:r>
        <w:t xml:space="preserve"> </w:t>
      </w:r>
      <w:r>
        <w:t xml:space="preserve">Reduction in external costs of accidents</w:t>
      </w:r>
    </w:p>
    <w:p>
      <w:pPr>
        <w:pStyle w:val="BodyText"/>
      </w:pPr>
      <w:r>
        <w:t xml:space="preserve">77.9</w:t>
      </w:r>
      <w:r>
        <w:t xml:space="preserve"> </w:t>
      </w:r>
      <w:r>
        <w:t xml:space="preserve">77.9</w:t>
      </w:r>
      <w:r>
        <w:t xml:space="preserve"> </w:t>
      </w:r>
      <w:r>
        <w:t xml:space="preserve">Total external costs savings - central case</w:t>
      </w:r>
    </w:p>
    <w:p>
      <w:pPr>
        <w:pStyle w:val="BodyText"/>
      </w:pPr>
      <w:r>
        <w:t xml:space="preserve">311.0</w:t>
      </w:r>
      <w:r>
        <w:t xml:space="preserve"> </w:t>
      </w:r>
      <w:r>
        <w:t xml:space="preserve">508.3</w:t>
      </w:r>
      <w:r>
        <w:t xml:space="preserve"> </w:t>
      </w:r>
      <w:r>
        <w:t xml:space="preserve">Reduction in external costs of CO2 emissions</w:t>
      </w:r>
    </w:p>
    <w:p>
      <w:pPr>
        <w:pStyle w:val="BodyText"/>
      </w:pPr>
      <w:r>
        <w:t xml:space="preserve">48.6</w:t>
      </w:r>
      <w:r>
        <w:t xml:space="preserve"> </w:t>
      </w:r>
      <w:r>
        <w:t xml:space="preserve">105.2</w:t>
      </w:r>
      <w:r>
        <w:t xml:space="preserve"> </w:t>
      </w:r>
      <w:r>
        <w:t xml:space="preserve">Reduction in external costs of air pollution emissions</w:t>
      </w:r>
    </w:p>
    <w:p>
      <w:pPr>
        <w:pStyle w:val="BodyText"/>
      </w:pPr>
      <w:r>
        <w:t xml:space="preserve">-13.1</w:t>
      </w:r>
      <w:r>
        <w:t xml:space="preserve"> </w:t>
      </w:r>
      <w:r>
        <w:t xml:space="preserve">127.6</w:t>
      </w:r>
      <w:r>
        <w:t xml:space="preserve"> </w:t>
      </w:r>
      <w:r>
        <w:t xml:space="preserve">Reduction in external costs of noise emissions</w:t>
      </w:r>
    </w:p>
    <w:p>
      <w:pPr>
        <w:pStyle w:val="BodyText"/>
      </w:pPr>
      <w:r>
        <w:t xml:space="preserve">36.6</w:t>
      </w:r>
      <w:r>
        <w:t xml:space="preserve"> </w:t>
      </w:r>
      <w:r>
        <w:t xml:space="preserve">36.6</w:t>
      </w:r>
      <w:r>
        <w:t xml:space="preserve"> </w:t>
      </w:r>
      <w:r>
        <w:t xml:space="preserve">Reduction in external costs of habitats</w:t>
      </w:r>
    </w:p>
    <w:p>
      <w:pPr>
        <w:pStyle w:val="BodyText"/>
      </w:pPr>
      <w:r>
        <w:t xml:space="preserve">36.2</w:t>
      </w:r>
      <w:r>
        <w:t xml:space="preserve"> </w:t>
      </w:r>
      <w:r>
        <w:t xml:space="preserve">36.2</w:t>
      </w:r>
      <w:r>
        <w:t xml:space="preserve"> </w:t>
      </w:r>
      <w:r>
        <w:t xml:space="preserve">Reduction in external costs of congestion</w:t>
      </w:r>
    </w:p>
    <w:p>
      <w:pPr>
        <w:pStyle w:val="BodyText"/>
      </w:pPr>
      <w:r>
        <w:t xml:space="preserve">86.8</w:t>
      </w:r>
      <w:r>
        <w:t xml:space="preserve"> </w:t>
      </w:r>
      <w:r>
        <w:t xml:space="preserve">86.8</w:t>
      </w:r>
      <w:r>
        <w:t xml:space="preserve"> </w:t>
      </w:r>
      <w:r>
        <w:t xml:space="preserve">Reduction in external costs of accidents</w:t>
      </w:r>
    </w:p>
    <w:p>
      <w:pPr>
        <w:pStyle w:val="BodyText"/>
      </w:pPr>
      <w:r>
        <w:t xml:space="preserve">115.8</w:t>
      </w:r>
      <w:r>
        <w:t xml:space="preserve"> </w:t>
      </w:r>
      <w:r>
        <w:t xml:space="preserve">115.8</w:t>
      </w:r>
      <w:r>
        <w:t xml:space="preserve"> </w:t>
      </w:r>
      <w:r>
        <w:t xml:space="preserve">Total external costs savings - high case</w:t>
      </w:r>
    </w:p>
    <w:p>
      <w:pPr>
        <w:pStyle w:val="BodyText"/>
      </w:pPr>
      <w:r>
        <w:t xml:space="preserve">413.0</w:t>
      </w:r>
      <w:r>
        <w:t xml:space="preserve"> </w:t>
      </w:r>
      <w:r>
        <w:t xml:space="preserve">610.3</w:t>
      </w:r>
      <w:r>
        <w:t xml:space="preserve"> </w:t>
      </w:r>
      <w:r>
        <w:t xml:space="preserve">Reduction in external costs of CO2 emissions</w:t>
      </w:r>
    </w:p>
    <w:p>
      <w:pPr>
        <w:pStyle w:val="BodyText"/>
      </w:pPr>
      <w:r>
        <w:t xml:space="preserve">64.5</w:t>
      </w:r>
      <w:r>
        <w:t xml:space="preserve"> </w:t>
      </w:r>
      <w:r>
        <w:t xml:space="preserve">121.1</w:t>
      </w:r>
      <w:r>
        <w:t xml:space="preserve"> </w:t>
      </w:r>
      <w:r>
        <w:t xml:space="preserve">Reduction in external costs of air pollution emissions</w:t>
      </w:r>
    </w:p>
    <w:p>
      <w:pPr>
        <w:pStyle w:val="BodyText"/>
      </w:pPr>
      <w:r>
        <w:t xml:space="preserve">-17.3</w:t>
      </w:r>
      <w:r>
        <w:t xml:space="preserve"> </w:t>
      </w:r>
      <w:r>
        <w:t xml:space="preserve">123.4</w:t>
      </w:r>
      <w:r>
        <w:t xml:space="preserve"> </w:t>
      </w:r>
      <w:r>
        <w:t xml:space="preserve">Reduction in external costs of noise emissions</w:t>
      </w:r>
    </w:p>
    <w:p>
      <w:pPr>
        <w:pStyle w:val="BodyText"/>
      </w:pPr>
      <w:r>
        <w:t xml:space="preserve">48.6</w:t>
      </w:r>
      <w:r>
        <w:t xml:space="preserve"> </w:t>
      </w:r>
      <w:r>
        <w:t xml:space="preserve">48.6</w:t>
      </w:r>
      <w:r>
        <w:t xml:space="preserve"> </w:t>
      </w:r>
      <w:r>
        <w:t xml:space="preserve">Reduction in external costs of habitats</w:t>
      </w:r>
    </w:p>
    <w:p>
      <w:pPr>
        <w:pStyle w:val="BodyText"/>
      </w:pPr>
      <w:r>
        <w:t xml:space="preserve">48.1</w:t>
      </w:r>
      <w:r>
        <w:t xml:space="preserve"> </w:t>
      </w:r>
      <w:r>
        <w:t xml:space="preserve">48.1</w:t>
      </w:r>
      <w:r>
        <w:t xml:space="preserve"> </w:t>
      </w:r>
      <w:r>
        <w:t xml:space="preserve">Reduction in external costs of congestion</w:t>
      </w:r>
    </w:p>
    <w:p>
      <w:pPr>
        <w:pStyle w:val="BodyText"/>
      </w:pPr>
      <w:r>
        <w:t xml:space="preserve">115.2</w:t>
      </w:r>
      <w:r>
        <w:t xml:space="preserve"> </w:t>
      </w:r>
      <w:r>
        <w:t xml:space="preserve">115.2</w:t>
      </w:r>
      <w:r>
        <w:t xml:space="preserve"> </w:t>
      </w:r>
      <w:r>
        <w:t xml:space="preserve">Reduction in external costs of accidents</w:t>
      </w:r>
    </w:p>
    <w:p>
      <w:pPr>
        <w:pStyle w:val="BodyText"/>
      </w:pPr>
      <w:r>
        <w:t xml:space="preserve">153.8</w:t>
      </w:r>
      <w:r>
        <w:t xml:space="preserve"> </w:t>
      </w:r>
      <w:r>
        <w:t xml:space="preserve">153.8</w:t>
      </w:r>
      <w:r>
        <w:t xml:space="preserve"> </w:t>
      </w:r>
      <w:r>
        <w:t xml:space="preserve">Source: European Commission</w:t>
      </w:r>
      <w:r>
        <w:t xml:space="preserve"> </w:t>
      </w:r>
      <w:r>
        <w:t xml:space="preserve">Finally, Table 13 presents the impacts on total benefits, net benefits and benefits to costs ratio by</w:t>
      </w:r>
      <w:r>
        <w:t xml:space="preserve"> </w:t>
      </w:r>
      <w:r>
        <w:t xml:space="preserve">policy option in the low case, central case and high case. It shows that all policy options are</w:t>
      </w:r>
      <w:r>
        <w:t xml:space="preserve"> </w:t>
      </w:r>
      <w:r>
        <w:t xml:space="preserve">expected to result in net benefits under the three cases considered. It also shows that the ranking of</w:t>
      </w:r>
      <w:r>
        <w:t xml:space="preserve"> </w:t>
      </w:r>
      <w:r>
        <w:t xml:space="preserve">the policy options is not expected to change in the low case and high case relative to the central case</w:t>
      </w:r>
      <w:r>
        <w:t xml:space="preserve"> </w:t>
      </w:r>
      <w:r>
        <w:t xml:space="preserve">estimates.</w:t>
      </w:r>
      <w:r>
        <w:br/>
      </w:r>
      <w:r>
        <w:t xml:space="preserve">Table 13: Summary of costs and benefits of the policy options in the low case, central case and high case,</w:t>
      </w:r>
      <w:r>
        <w:t xml:space="preserve"> </w:t>
      </w:r>
      <w:r>
        <w:t xml:space="preserve">expressed as present value over 2025-2050 compared to the baseline (in million EUR, in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Total costs</w:t>
      </w:r>
      <w:r>
        <w:t xml:space="preserve"> </w:t>
      </w:r>
      <w:r>
        <w:t xml:space="preserve">41.0</w:t>
      </w:r>
      <w:r>
        <w:t xml:space="preserve"> </w:t>
      </w:r>
      <w:r>
        <w:t xml:space="preserve">93.6</w:t>
      </w:r>
      <w:r>
        <w:t xml:space="preserve"> </w:t>
      </w:r>
      <w:r>
        <w:t xml:space="preserve">499.9</w:t>
      </w:r>
      <w:r>
        <w:t xml:space="preserve"> </w:t>
      </w:r>
      <w:r>
        <w:t xml:space="preserve">Total benefits</w:t>
      </w:r>
    </w:p>
    <w:p>
      <w:pPr>
        <w:pStyle w:val="BodyText"/>
      </w:pPr>
      <w:r>
        <w:t xml:space="preserve">Low case</w:t>
      </w:r>
      <w:r>
        <w:t xml:space="preserve"> </w:t>
      </w:r>
      <w:r>
        <w:t xml:space="preserve">56.1</w:t>
      </w:r>
      <w:r>
        <w:t xml:space="preserve"> </w:t>
      </w:r>
      <w:r>
        <w:t xml:space="preserve">348.4</w:t>
      </w:r>
      <w:r>
        <w:t xml:space="preserve"> </w:t>
      </w:r>
      <w:r>
        <w:t xml:space="preserve">828.0</w:t>
      </w:r>
      <w:r>
        <w:t xml:space="preserve"> </w:t>
      </w:r>
      <w:r>
        <w:t xml:space="preserve">Central case</w:t>
      </w:r>
      <w:r>
        <w:t xml:space="preserve"> </w:t>
      </w:r>
      <w:r>
        <w:t xml:space="preserve">56.1</w:t>
      </w:r>
      <w:r>
        <w:t xml:space="preserve"> </w:t>
      </w:r>
      <w:r>
        <w:t xml:space="preserve">450.4</w:t>
      </w:r>
      <w:r>
        <w:t xml:space="preserve"> </w:t>
      </w:r>
      <w:r>
        <w:t xml:space="preserve">930.0</w:t>
      </w:r>
      <w:r>
        <w:t xml:space="preserve"> </w:t>
      </w:r>
      <w:r>
        <w:t xml:space="preserve">High case</w:t>
      </w:r>
      <w:r>
        <w:t xml:space="preserve"> </w:t>
      </w:r>
      <w:r>
        <w:t xml:space="preserve">56.1</w:t>
      </w:r>
      <w:r>
        <w:t xml:space="preserve"> </w:t>
      </w:r>
      <w:r>
        <w:t xml:space="preserve">552.3</w:t>
      </w:r>
      <w:r>
        <w:t xml:space="preserve"> </w:t>
      </w:r>
      <w:r>
        <w:t xml:space="preserve">1,032.0</w:t>
      </w:r>
      <w:r>
        <w:t xml:space="preserve"> </w:t>
      </w:r>
      <w:r>
        <w:t xml:space="preserve">Net benefits</w:t>
      </w:r>
    </w:p>
    <w:p>
      <w:pPr>
        <w:pStyle w:val="BodyText"/>
      </w:pPr>
      <w:r>
        <w:t xml:space="preserve">Low case</w:t>
      </w:r>
      <w:r>
        <w:t xml:space="preserve"> </w:t>
      </w:r>
      <w:r>
        <w:t xml:space="preserve">15.1</w:t>
      </w:r>
      <w:r>
        <w:t xml:space="preserve"> </w:t>
      </w:r>
      <w:r>
        <w:t xml:space="preserve">254.8</w:t>
      </w:r>
      <w:r>
        <w:t xml:space="preserve"> </w:t>
      </w:r>
      <w:r>
        <w:t xml:space="preserve">328.1</w:t>
      </w:r>
      <w:r>
        <w:t xml:space="preserve"> </w:t>
      </w:r>
      <w:r>
        <w:t xml:space="preserve">Central case</w:t>
      </w:r>
      <w:r>
        <w:t xml:space="preserve"> </w:t>
      </w:r>
      <w:r>
        <w:t xml:space="preserve">15.1</w:t>
      </w:r>
      <w:r>
        <w:t xml:space="preserve"> </w:t>
      </w:r>
      <w:r>
        <w:t xml:space="preserve">356.7</w:t>
      </w:r>
      <w:r>
        <w:t xml:space="preserve"> </w:t>
      </w:r>
      <w:r>
        <w:t xml:space="preserve">430.1</w:t>
      </w:r>
      <w:r>
        <w:t xml:space="preserve"> </w:t>
      </w:r>
      <w:r>
        <w:t xml:space="preserve">High case</w:t>
      </w:r>
      <w:r>
        <w:t xml:space="preserve"> </w:t>
      </w:r>
      <w:r>
        <w:t xml:space="preserve">15.1</w:t>
      </w:r>
      <w:r>
        <w:t xml:space="preserve"> </w:t>
      </w:r>
      <w:r>
        <w:t xml:space="preserve">458.7</w:t>
      </w:r>
      <w:r>
        <w:t xml:space="preserve"> </w:t>
      </w:r>
      <w:r>
        <w:t xml:space="preserve">532.1</w:t>
      </w:r>
      <w:r>
        <w:t xml:space="preserve"> </w:t>
      </w:r>
      <w:r>
        <w:t xml:space="preserve">Benefits to costs ratio</w:t>
      </w:r>
    </w:p>
    <w:p>
      <w:pPr>
        <w:pStyle w:val="BodyText"/>
      </w:pPr>
      <w:r>
        <w:t xml:space="preserve">Low case</w:t>
      </w:r>
      <w:r>
        <w:t xml:space="preserve"> </w:t>
      </w:r>
      <w:r>
        <w:t xml:space="preserve">1.4</w:t>
      </w:r>
      <w:r>
        <w:t xml:space="preserve"> </w:t>
      </w:r>
      <w:r>
        <w:t xml:space="preserve">3.7</w:t>
      </w:r>
      <w:r>
        <w:t xml:space="preserve"> </w:t>
      </w:r>
      <w:r>
        <w:t xml:space="preserve">1.7</w:t>
      </w:r>
      <w:r>
        <w:t xml:space="preserve"> </w:t>
      </w:r>
      <w:r>
        <w:t xml:space="preserve">Central case</w:t>
      </w:r>
      <w:r>
        <w:t xml:space="preserve"> </w:t>
      </w:r>
      <w:r>
        <w:t xml:space="preserve">1.4</w:t>
      </w:r>
      <w:r>
        <w:t xml:space="preserve"> </w:t>
      </w:r>
      <w:r>
        <w:t xml:space="preserve">4.8</w:t>
      </w:r>
      <w:r>
        <w:t xml:space="preserve"> </w:t>
      </w:r>
      <w:r>
        <w:t xml:space="preserve">1.9</w:t>
      </w:r>
      <w:r>
        <w:t xml:space="preserve"> </w:t>
      </w:r>
      <w:r>
        <w:t xml:space="preserve">High case</w:t>
      </w:r>
      <w:r>
        <w:t xml:space="preserve"> </w:t>
      </w:r>
      <w:r>
        <w:t xml:space="preserve">1.4</w:t>
      </w:r>
      <w:r>
        <w:t xml:space="preserve"> </w:t>
      </w:r>
      <w:r>
        <w:t xml:space="preserve">5.9</w:t>
      </w:r>
      <w:r>
        <w:t xml:space="preserve"> </w:t>
      </w:r>
      <w:r>
        <w:t xml:space="preserve">2.1</w:t>
      </w:r>
      <w:r>
        <w:t xml:space="preserve"> </w:t>
      </w:r>
      <w:r>
        <w:t xml:space="preserve">Source: European Commission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8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8.1</w:t>
      </w:r>
      <w:r>
        <w:t xml:space="preserve"> </w:t>
      </w:r>
      <w:r>
        <w:t xml:space="preserve">Identification of the preferred policy option and stakeholders views</w:t>
      </w:r>
      <w:r>
        <w:t xml:space="preserve"> </w:t>
      </w:r>
      <w:r>
        <w:t xml:space="preserve">Even though all policy options are in line with the general objective and include measures that</w:t>
      </w:r>
      <w:r>
        <w:t xml:space="preserve"> </w:t>
      </w:r>
      <w:r>
        <w:t xml:space="preserve">address all specific objectives and problem drivers, they vary when assessed in terms of</w:t>
      </w:r>
      <w:r>
        <w:t xml:space="preserve"> </w:t>
      </w:r>
      <w:r>
        <w:t xml:space="preserve">effectiveness, efficiency, coherence, subsidiarity and proportionality.</w:t>
      </w:r>
      <w:r>
        <w:br/>
      </w:r>
      <w:r>
        <w:t xml:space="preserve">First, there is a difference in their effectiveness. As explained in section 7.1 and Table 10, PO-C is</w:t>
      </w:r>
      <w:r>
        <w:t xml:space="preserve"> </w:t>
      </w:r>
      <w:r>
        <w:t xml:space="preserve">the most effective in addressing all the specific objectives. With regard to efficiency, PO-C only</w:t>
      </w:r>
      <w:r>
        <w:t xml:space="preserve"> </w:t>
      </w:r>
      <w:r>
        <w:t xml:space="preserve">ranks second (after PO-B) with a benefit to cost ratio of 1.9 (relative to 4.8 in PO-B). PO-C shows</w:t>
      </w:r>
      <w:r>
        <w:t xml:space="preserve"> </w:t>
      </w:r>
      <w:r>
        <w:t xml:space="preserve">the highest net benefits, and at the same time entails the highest level of costs. The total costs of PO-</w:t>
      </w:r>
      <w:r>
        <w:t xml:space="preserve"> </w:t>
      </w:r>
      <w:r>
        <w:t xml:space="preserve">C are 434% higher than those of PO-B, while the total benefits are only 107% higher for PO-C</w:t>
      </w:r>
      <w:r>
        <w:t xml:space="preserve"> </w:t>
      </w:r>
      <w:r>
        <w:t xml:space="preserve">compared to PO-B. The higher costs of PO-C are linked to the mandatory measures (primarily PM5</w:t>
      </w:r>
      <w:r>
        <w:t xml:space="preserve"> </w:t>
      </w:r>
      <w:r>
        <w:t xml:space="preserve">on the reporting requirements for voyage plans, and to a lesser extent PM13 and PM17) that entail</w:t>
      </w:r>
      <w:r>
        <w:t xml:space="preserve"> </w:t>
      </w:r>
      <w:r>
        <w:t xml:space="preserve">administrative costs for vessel operators (due to PM5) and administrative and adjustment costs for</w:t>
      </w:r>
      <w:r>
        <w:t xml:space="preserve"> </w:t>
      </w:r>
      <w:r>
        <w:t xml:space="preserve">national administrations (due to PM13 and PM17).</w:t>
      </w:r>
      <w:r>
        <w:br/>
      </w:r>
      <w:r>
        <w:t xml:space="preserve">PO-B is assessed to be less effective than PO-C in addressing the specific objectives. However, the</w:t>
      </w:r>
      <w:r>
        <w:t xml:space="preserve"> </w:t>
      </w:r>
      <w:r>
        <w:t xml:space="preserve">specific objectives are addressed in a more progressive and efficient way, entailing a higher benefit</w:t>
      </w:r>
      <w:r>
        <w:t xml:space="preserve"> </w:t>
      </w:r>
      <w:r>
        <w:t xml:space="preserve">to cost ratio than PO-C (4.8 versus 1.9), and allowing a smooth transition for authorities and</w:t>
      </w:r>
      <w:r>
        <w:t xml:space="preserve"> </w:t>
      </w:r>
      <w:r>
        <w:t xml:space="preserve">operators (due to fewer mandatory measures). Measures under PO-B are also easier and quicker to</w:t>
      </w:r>
      <w:r>
        <w:t xml:space="preserve"> </w:t>
      </w:r>
      <w:r>
        <w:t xml:space="preserve">implement and closer to the user than those in PO-C.</w:t>
      </w:r>
      <w:r>
        <w:br/>
      </w:r>
      <w:r>
        <w:t xml:space="preserve">PO-A is the least effective in addressing the specific objectives, and shows the lowest benefit to cost</w:t>
      </w:r>
      <w:r>
        <w:t xml:space="preserve"> </w:t>
      </w:r>
      <w:r>
        <w:t xml:space="preserve">ratio among the options.</w:t>
      </w:r>
      <w:r>
        <w:br/>
      </w:r>
      <w:r>
        <w:t xml:space="preserve">In relation to internal coherence, PO-B and PO-C propose amendments to the Directive for all</w:t>
      </w:r>
      <w:r>
        <w:t xml:space="preserve"> </w:t>
      </w:r>
      <w:r>
        <w:t xml:space="preserve">aspects that require further harmonisation and thus ensure a higher degree of internal coherence than</w:t>
      </w:r>
      <w:r>
        <w:t xml:space="preserve"> </w:t>
      </w:r>
      <w:r>
        <w:t xml:space="preserve">PO-A. In relation to the external coherence with other instruments and policies, all policy options</w:t>
      </w:r>
      <w:r>
        <w:t xml:space="preserve"> </w:t>
      </w:r>
      <w:r>
        <w:t xml:space="preserve">are coherent with several EU instruments (see section 7.3 and Table 10). PO-B and PO-C show a</w:t>
      </w:r>
      <w:r>
        <w:t xml:space="preserve"> </w:t>
      </w:r>
      <w:r>
        <w:t xml:space="preserve">higher degree of external coherence than PO-A as they directly align the scope of the Directive with</w:t>
      </w:r>
      <w:r>
        <w:t xml:space="preserve"> </w:t>
      </w:r>
      <w:r>
        <w:t xml:space="preserve">that of the TEN-T Regulation. They support multimodality and the greening of the sector, in</w:t>
      </w:r>
      <w:r>
        <w:t xml:space="preserve"> </w:t>
      </w:r>
      <w:r>
        <w:t xml:space="preserve">particular by increasing links with other modes and leading to modal shift away from road. They</w:t>
      </w:r>
      <w:r>
        <w:t xml:space="preserve"> </w:t>
      </w:r>
      <w:r>
        <w:t xml:space="preserve">also both increase digitalisation in the sector by introducing and mandating the use of digital</w:t>
      </w:r>
      <w:r>
        <w:t xml:space="preserve"> </w:t>
      </w:r>
      <w:r>
        <w:t xml:space="preserve">applications in RIS.</w:t>
      </w:r>
      <w:r>
        <w:br/>
      </w:r>
      <w:r>
        <w:t xml:space="preserve">All policy options ensure a certain degree of harmonisation of the legal framework, in full respect of</w:t>
      </w:r>
      <w:r>
        <w:t xml:space="preserve"> </w:t>
      </w:r>
      <w:r>
        <w:t xml:space="preserve">the subsidiarity principle. However, PO-A and PO-B place the identification and eventual solution</w:t>
      </w:r>
      <w:r>
        <w:t xml:space="preserve"> </w:t>
      </w:r>
      <w:r>
        <w:t xml:space="preserve">of problems in the implementation of RIS at the national level, and thus closer to the user than in</w:t>
      </w:r>
      <w:r>
        <w:t xml:space="preserve"> </w:t>
      </w:r>
      <w:r>
        <w:t xml:space="preserve">PO-C. All policy options are assessed to be proportionate as action at EU level is limited to what is</w:t>
      </w:r>
      <w:r>
        <w:t xml:space="preserve"> </w:t>
      </w:r>
      <w:r>
        <w:t xml:space="preserve">necessary to achieve an improvement in the overall level of River Information Services offered to</w:t>
      </w:r>
      <w:r>
        <w:t xml:space="preserve"> </w:t>
      </w:r>
      <w:r>
        <w:t xml:space="preserve">RIS users, through improved exchanges of better quality information. PO-B appears however as the</w:t>
      </w:r>
      <w:r>
        <w:t xml:space="preserve"> </w:t>
      </w:r>
      <w:r>
        <w:t xml:space="preserve">option providing the most balanced approach as it achieves a higher degree of harmonisation than</w:t>
      </w:r>
      <w:r>
        <w:t xml:space="preserve"> </w:t>
      </w:r>
      <w:r>
        <w:t xml:space="preserve">PO-A without additional costs for businesses and only some adjustment and administrative costs for</w:t>
      </w:r>
      <w:r>
        <w:t xml:space="preserve"> </w:t>
      </w:r>
      <w:r>
        <w:t xml:space="preserve">national public administrations. On the other hand, although achieving a higher degree of</w:t>
      </w:r>
      <w:r>
        <w:t xml:space="preserve"> </w:t>
      </w:r>
      <w:r>
        <w:t xml:space="preserve">harmonisation than PO-B, PO-C results in additional administrative costs for vessel operators</w:t>
      </w:r>
      <w:r>
        <w:t xml:space="preserve"> </w:t>
      </w:r>
      <w:r>
        <w:t xml:space="preserve">(mostly SMEs) due to the requirement on the electronic voyage plan reporting, and it is thus</w:t>
      </w:r>
      <w:r>
        <w:t xml:space="preserve"> </w:t>
      </w:r>
      <w:r>
        <w:t xml:space="preserve">assessed to be less proportionate than PO-B.</w:t>
      </w:r>
      <w:r>
        <w:t xml:space="preserve"> </w:t>
      </w:r>
      <w:r>
        <w:t xml:space="preserve">In conclusion the analysis points at PO-B as the preferred policy option, since it brings the best</w:t>
      </w:r>
      <w:r>
        <w:t xml:space="preserve"> </w:t>
      </w:r>
      <w:r>
        <w:t xml:space="preserve">balance between the objectives that must be achieved and shows the best benefits to costs ratio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among the policy options. It ensures the proportionality of the intervention and is fully in line with</w:t>
      </w:r>
      <w:r>
        <w:t xml:space="preserve"> </w:t>
      </w:r>
      <w:r>
        <w:t xml:space="preserve">the subsidiarity principle. In addition, it does not introduce burdens for the private sector.</w:t>
      </w:r>
      <w:r>
        <w:br/>
      </w:r>
      <w:r>
        <w:t xml:space="preserve">The level of ambition of the preferred policy option is considered appropriate as it modernises the</w:t>
      </w:r>
      <w:r>
        <w:t xml:space="preserve"> </w:t>
      </w:r>
      <w:r>
        <w:t xml:space="preserve">RIS Directive bringing it up to speed with digital developments, addresses all identified problem</w:t>
      </w:r>
      <w:r>
        <w:t xml:space="preserve"> </w:t>
      </w:r>
      <w:r>
        <w:t xml:space="preserve">drivers, improves the position of IWT in the logistics chain and contributes to improving its</w:t>
      </w:r>
      <w:r>
        <w:t xml:space="preserve"> </w:t>
      </w:r>
      <w:r>
        <w:t xml:space="preserve">environmental performance. Moreover, it attains these results by making use of and increasing links</w:t>
      </w:r>
      <w:r>
        <w:t xml:space="preserve"> </w:t>
      </w:r>
      <w:r>
        <w:t xml:space="preserve">with existing solutions and initiatives, thus avoiding duplication of efforts. In terms of preparing the</w:t>
      </w:r>
      <w:r>
        <w:t xml:space="preserve"> </w:t>
      </w:r>
      <w:r>
        <w:t xml:space="preserve">IWT sector for future developments such as smart shipping and automation, the preferred policy</w:t>
      </w:r>
      <w:r>
        <w:t xml:space="preserve"> </w:t>
      </w:r>
      <w:r>
        <w:t xml:space="preserve">option establishes a central platform for RIS exchanges, which can provide the basis upon which</w:t>
      </w:r>
      <w:r>
        <w:t xml:space="preserve"> </w:t>
      </w:r>
      <w:r>
        <w:t xml:space="preserve">new functionalities and services may be developed in the future.</w:t>
      </w:r>
      <w:r>
        <w:br/>
      </w:r>
      <w:r>
        <w:t xml:space="preserve">Stakeholders widely supported the involvement of CESNI in the development and adoption of</w:t>
      </w:r>
      <w:r>
        <w:t xml:space="preserve"> </w:t>
      </w:r>
      <w:r>
        <w:t xml:space="preserve">technical specifications. Stakeholders were also in agreement that RIS COMEX provides an</w:t>
      </w:r>
      <w:r>
        <w:t xml:space="preserve"> </w:t>
      </w:r>
      <w:r>
        <w:t xml:space="preserve">important basis. A small number of RIS experts expressed the view that the Directive was</w:t>
      </w:r>
      <w:r>
        <w:t xml:space="preserve"> </w:t>
      </w:r>
      <w:r>
        <w:t xml:space="preserve">sufficiently broad, and focus should rather be placed on implementation and on the introduction of</w:t>
      </w:r>
      <w:r>
        <w:t xml:space="preserve"> </w:t>
      </w:r>
      <w:r>
        <w:t xml:space="preserve">guidelines. However, the majority of stakeholders across all groups envisaged the need for further</w:t>
      </w:r>
      <w:r>
        <w:t xml:space="preserve"> </w:t>
      </w:r>
      <w:r>
        <w:t xml:space="preserve">adaptations to the Directive.</w:t>
      </w:r>
      <w:r>
        <w:br/>
      </w:r>
      <w:r>
        <w:t xml:space="preserve">Differences in opinions appeared in particular between Member State authorities and vessel</w:t>
      </w:r>
      <w:r>
        <w:t xml:space="preserve"> </w:t>
      </w:r>
      <w:r>
        <w:t xml:space="preserve">operators in terms of the costs and benefits of the complaint mechanism (Member States tended to</w:t>
      </w:r>
      <w:r>
        <w:t xml:space="preserve"> </w:t>
      </w:r>
      <w:r>
        <w:t xml:space="preserve">be against) and of electronic voyage reporting (vessel operators tended to be against). The links with</w:t>
      </w:r>
      <w:r>
        <w:t xml:space="preserve"> </w:t>
      </w:r>
      <w:r>
        <w:t xml:space="preserve">eFTI triggered some discussions, with some Member State autorities considering that they need to</w:t>
      </w:r>
      <w:r>
        <w:t xml:space="preserve"> </w:t>
      </w:r>
      <w:r>
        <w:t xml:space="preserve">become mandatory, and vessel operators being more sceptical (while some saw this as a potential</w:t>
      </w:r>
      <w:r>
        <w:t xml:space="preserve"> </w:t>
      </w:r>
      <w:r>
        <w:t xml:space="preserve">opening for business-to-business applications). Last but not least, there was a clear concern from the</w:t>
      </w:r>
      <w:r>
        <w:t xml:space="preserve"> </w:t>
      </w:r>
      <w:r>
        <w:t xml:space="preserve">side of vessel operators (and in particular those representing SMEs) about the use of personal data</w:t>
      </w:r>
      <w:r>
        <w:t xml:space="preserve"> </w:t>
      </w:r>
      <w:r>
        <w:t xml:space="preserve">(thought there did not appear to be a clear understanding of what would qualify as “personal data”).</w:t>
      </w:r>
      <w:r>
        <w:t xml:space="preserve"> </w:t>
      </w:r>
      <w:r>
        <w:t xml:space="preserve">Some vessel operators went beyond the issue of personal data, expressing the view that they need to</w:t>
      </w:r>
      <w:r>
        <w:t xml:space="preserve"> </w:t>
      </w:r>
      <w:r>
        <w:t xml:space="preserve">be in clear control of what information is shared, including business information. Member State</w:t>
      </w:r>
      <w:r>
        <w:t xml:space="preserve"> </w:t>
      </w:r>
      <w:r>
        <w:t xml:space="preserve">authorities saw potential in exchanging personal data but it became apparent that some clarity on the</w:t>
      </w:r>
      <w:r>
        <w:t xml:space="preserve"> </w:t>
      </w:r>
      <w:r>
        <w:t xml:space="preserve">conditions under which exchange is possible is required, as some of them pointed to potential</w:t>
      </w:r>
      <w:r>
        <w:t xml:space="preserve"> </w:t>
      </w:r>
      <w:r>
        <w:t xml:space="preserve">conflicts with national legislation.</w:t>
      </w:r>
      <w:r>
        <w:br/>
      </w:r>
      <w:r>
        <w:t xml:space="preserve">8.2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This initiative is part of the Commission Work Programme 2023 under Annex II (REFIT</w:t>
      </w:r>
      <w:r>
        <w:t xml:space="preserve"> </w:t>
      </w:r>
      <w:r>
        <w:t xml:space="preserve">initiatives), under the heading ‘A Europe fit for the Digital Age’. It has a REFIT dimension in terms</w:t>
      </w:r>
      <w:r>
        <w:t xml:space="preserve"> </w:t>
      </w:r>
      <w:r>
        <w:t xml:space="preserve">of simplifying and harmonising the information exchange through RIS. The initiative will reduce</w:t>
      </w:r>
      <w:r>
        <w:t xml:space="preserve"> </w:t>
      </w:r>
      <w:r>
        <w:t xml:space="preserve">administrative burden for vessel operators by reducing the need for re-registering cargo information</w:t>
      </w:r>
      <w:r>
        <w:t xml:space="preserve"> </w:t>
      </w:r>
      <w:r>
        <w:t xml:space="preserve">and reporting cargo information to ports. The preferred policy option (PO-B) is estimated to result in</w:t>
      </w:r>
      <w:r>
        <w:t xml:space="preserve"> </w:t>
      </w:r>
      <w:r>
        <w:t xml:space="preserve">administrative costs savings of EUR 28.5 million, expressed as present value over 2025-2050</w:t>
      </w:r>
      <w:r>
        <w:t xml:space="preserve"> </w:t>
      </w:r>
      <w:r>
        <w:t xml:space="preserve">relative to the baseline scenario.</w:t>
      </w:r>
      <w:r>
        <w:br/>
      </w:r>
      <w:r>
        <w:t xml:space="preserve">Currently, vessel operators need to consult sever websites in different Member States to obtain the</w:t>
      </w:r>
      <w:r>
        <w:t xml:space="preserve"> </w:t>
      </w:r>
      <w:r>
        <w:t xml:space="preserve">information they need in order to plan their voyage. In addition, differences in the application of the</w:t>
      </w:r>
      <w:r>
        <w:t xml:space="preserve"> </w:t>
      </w:r>
      <w:r>
        <w:t xml:space="preserve">provisions of the Directive by the Member States means that the information required is not</w:t>
      </w:r>
      <w:r>
        <w:t xml:space="preserve"> </w:t>
      </w:r>
      <w:r>
        <w:t xml:space="preserve">provided in a harmonised way. The preferred policy option will reduce this burden by introducing a</w:t>
      </w:r>
      <w:r>
        <w:t xml:space="preserve"> </w:t>
      </w:r>
      <w:r>
        <w:t xml:space="preserve">one-stop-shop platform for exchange of RIS information (RIS COMEX). Other measures foreseen</w:t>
      </w:r>
      <w:r>
        <w:t xml:space="preserve"> </w:t>
      </w:r>
      <w:r>
        <w:t xml:space="preserve">as part of PO-B will also reduce the time spent by vessel operators in planning their voyage (new</w:t>
      </w:r>
      <w:r>
        <w:t xml:space="preserve"> </w:t>
      </w:r>
      <w:r>
        <w:t xml:space="preserve">technical specifications on data for navigation and voyage planning, provisions for supplying data</w:t>
      </w:r>
      <w:r>
        <w:t xml:space="preserve"> </w:t>
      </w:r>
      <w:r>
        <w:t xml:space="preserve">to the ERDMS, new technical specifications for the exchange of information relating to IWT ports,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a harmonised complaint mechanism in Member States). This is expected to result in adjustment</w:t>
      </w:r>
      <w:r>
        <w:t xml:space="preserve"> </w:t>
      </w:r>
      <w:r>
        <w:t xml:space="preserve">costs savings for vessel operators, estimated at EUR 72.1 million expressed as present value over</w:t>
      </w:r>
      <w:r>
        <w:t xml:space="preserve"> </w:t>
      </w:r>
      <w:r>
        <w:t xml:space="preserve">2025-2050, relative to the baseline scenario. In addition, RIS software services providers would</w:t>
      </w:r>
      <w:r>
        <w:t xml:space="preserve"> </w:t>
      </w:r>
      <w:r>
        <w:t xml:space="preserve">benefit of access to more and better-quality data with adjustment costs savings estimated at EUR 8.1</w:t>
      </w:r>
      <w:r>
        <w:t xml:space="preserve"> </w:t>
      </w:r>
      <w:r>
        <w:t xml:space="preserve">million, expressed as present value over 2025-2050 relative to the baseline scenario.</w:t>
      </w:r>
      <w:r>
        <w:br/>
      </w:r>
      <w:r>
        <w:t xml:space="preserve">Finally, in the preferred policy option (PO-B) no reporting obligations arise for businesses. For</w:t>
      </w:r>
      <w:r>
        <w:t xml:space="preserve"> </w:t>
      </w:r>
      <w:r>
        <w:t xml:space="preserve">national public administrations, reporting obligations arise due to measure PM6. However, as</w:t>
      </w:r>
      <w:r>
        <w:t xml:space="preserve"> </w:t>
      </w:r>
      <w:r>
        <w:t xml:space="preserve">explained in section 6.1.4, the costs savings for vessel operators and software service providers due</w:t>
      </w:r>
      <w:r>
        <w:t xml:space="preserve"> </w:t>
      </w:r>
      <w:r>
        <w:t xml:space="preserve">to PM6 outweigh the administrative costs for national public administrations.</w:t>
      </w:r>
      <w:r>
        <w:t xml:space="preserve"> </w:t>
      </w:r>
      <w:r>
        <w:t xml:space="preserve">8.3</w:t>
      </w:r>
      <w:r>
        <w:t xml:space="preserve"> </w:t>
      </w:r>
      <w:r>
        <w:t xml:space="preserve">Application of the ‘one in, one out’ approach</w:t>
      </w:r>
      <w:r>
        <w:br/>
      </w:r>
      <w:r>
        <w:t xml:space="preserve">PO-B is expected to lead to administrative costs savings for vessel operators, by reducing the need</w:t>
      </w:r>
      <w:r>
        <w:t xml:space="preserve"> </w:t>
      </w:r>
      <w:r>
        <w:t xml:space="preserve">for re-registering cargo information and reporting cargo information to ports, estimated at EUR 1.6</w:t>
      </w:r>
      <w:r>
        <w:t xml:space="preserve"> </w:t>
      </w:r>
      <w:r>
        <w:t xml:space="preserve">million per year relative to the baseline. These administrative costs savings are driven by the</w:t>
      </w:r>
      <w:r>
        <w:t xml:space="preserve"> </w:t>
      </w:r>
      <w:r>
        <w:t xml:space="preserve">exchange of cargo-related information through the eFTI mechanism (EUR 0.6 million)123, the</w:t>
      </w:r>
      <w:r>
        <w:t xml:space="preserve"> </w:t>
      </w:r>
      <w:r>
        <w:t xml:space="preserve">exchange of information through the RIS COMEX platform (EUR 0.2 million)124, the new</w:t>
      </w:r>
      <w:r>
        <w:t xml:space="preserve"> </w:t>
      </w:r>
      <w:r>
        <w:t xml:space="preserve">technical specifications for the exchange of information with IWT ports (EUR 0.5 million)125 and</w:t>
      </w:r>
      <w:r>
        <w:t xml:space="preserve"> </w:t>
      </w:r>
      <w:r>
        <w:t xml:space="preserve">legal clarity for personal data (EUR 0.3 million)126. There are no administrative costs for businesses</w:t>
      </w:r>
      <w:r>
        <w:t xml:space="preserve"> </w:t>
      </w:r>
      <w:r>
        <w:t xml:space="preserve">under PO-B.</w:t>
      </w:r>
      <w:r>
        <w:t xml:space="preserve"> </w:t>
      </w:r>
      <w:r>
        <w:t xml:space="preserve">In addition, in PO-B the adjustment costs savings for vessel operators are estimated at EUR 72.1</w:t>
      </w:r>
      <w:r>
        <w:t xml:space="preserve"> </w:t>
      </w:r>
      <w:r>
        <w:t xml:space="preserve">million and those for software services providers at EUR 8.1 million, expressed as present value</w:t>
      </w:r>
      <w:r>
        <w:t xml:space="preserve"> </w:t>
      </w:r>
      <w:r>
        <w:t xml:space="preserve">over 2025-2050 relative to the baseline.</w:t>
      </w:r>
      <w:r>
        <w:t xml:space="preserve"> </w:t>
      </w:r>
      <w:r>
        <w:t xml:space="preserve">9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initiative will be implemented in parallel with other initiatives under the European Green Deal</w:t>
      </w:r>
      <w:r>
        <w:t xml:space="preserve"> </w:t>
      </w:r>
      <w:r>
        <w:t xml:space="preserve">and the SSMS. Taking those into account in the baseline, in particular for the multimodality aspects,</w:t>
      </w:r>
      <w:r>
        <w:t xml:space="preserve"> </w:t>
      </w:r>
      <w:r>
        <w:t xml:space="preserve">the share of the IWT activity is expected to roughly remain stable over time. The environmental</w:t>
      </w:r>
      <w:r>
        <w:t xml:space="preserve"> </w:t>
      </w:r>
      <w:r>
        <w:t xml:space="preserve">performance of IWT (especially in terms of CO2 emissions) is expected to improve due to the large-</w:t>
      </w:r>
      <w:r>
        <w:t xml:space="preserve"> </w:t>
      </w:r>
      <w:r>
        <w:t xml:space="preserve">scale uptake of renewable and low carbon fuels, namely e-fuels, biofuels and electricity. Safety is</w:t>
      </w:r>
      <w:r>
        <w:t xml:space="preserve"> </w:t>
      </w:r>
      <w:r>
        <w:t xml:space="preserve">expected to stay within the same levels in the baseline.</w:t>
      </w:r>
    </w:p>
    <w:p>
      <w:pPr>
        <w:pStyle w:val="BodyText"/>
      </w:pPr>
      <w:r>
        <w:t xml:space="preserve">123 For the purpose of the application of the ‘one in, one out’ approach, the average reduction in the number of</w:t>
      </w:r>
      <w:r>
        <w:t xml:space="preserve"> </w:t>
      </w:r>
      <w:r>
        <w:t xml:space="preserve">repeated notifications over 2026-2035 (simple average) has been estimated at 88,397 per year relative to the</w:t>
      </w:r>
      <w:r>
        <w:t xml:space="preserve"> </w:t>
      </w:r>
      <w:r>
        <w:t xml:space="preserve">baseline and the average costs saved per repeated notification at EUR 6.5. Thus, the average annual</w:t>
      </w:r>
      <w:r>
        <w:t xml:space="preserve"> </w:t>
      </w:r>
      <w:r>
        <w:t xml:space="preserve">administrative costs savings (simple average) for vessel operators are estimated at EUR 0.6 million relative to</w:t>
      </w:r>
      <w:r>
        <w:t xml:space="preserve"> </w:t>
      </w:r>
      <w:r>
        <w:t xml:space="preserve">the baseline.</w:t>
      </w:r>
      <w:r>
        <w:t xml:space="preserve"> </w:t>
      </w:r>
      <w:r>
        <w:t xml:space="preserve">124 For the purpose of the application of the ‘one in, one out’ approach, the average reduction in the number of</w:t>
      </w:r>
      <w:r>
        <w:t xml:space="preserve"> </w:t>
      </w:r>
      <w:r>
        <w:t xml:space="preserve">repeated notifications over 2026-2035 (simple average) has been estimated at 34,448 per year relative to the</w:t>
      </w:r>
      <w:r>
        <w:t xml:space="preserve"> </w:t>
      </w:r>
      <w:r>
        <w:t xml:space="preserve">baseline and the average costs saved per repeated notification at EUR 6.5. Thus, the average annual</w:t>
      </w:r>
      <w:r>
        <w:t xml:space="preserve"> </w:t>
      </w:r>
      <w:r>
        <w:t xml:space="preserve">administrative costs savings (simple average) for vessel operators are estimated at EUR 0.2 million relative to</w:t>
      </w:r>
      <w:r>
        <w:t xml:space="preserve"> </w:t>
      </w:r>
      <w:r>
        <w:t xml:space="preserve">the baseline.</w:t>
      </w:r>
      <w:r>
        <w:t xml:space="preserve"> </w:t>
      </w:r>
      <w:r>
        <w:t xml:space="preserve">125 For the purpose of the application of the ‘one in, one out’ approach, the average reduction in the number of</w:t>
      </w:r>
      <w:r>
        <w:t xml:space="preserve"> </w:t>
      </w:r>
      <w:r>
        <w:t xml:space="preserve">resubmitted cargo reports over 2026-2035 (simple average) has been estimated at 114,006 per year relative to the</w:t>
      </w:r>
      <w:r>
        <w:t xml:space="preserve"> </w:t>
      </w:r>
      <w:r>
        <w:t xml:space="preserve">baseline and the average costs saved per resubmission at EUR 4.4. Thus, the average annual administrative costs</w:t>
      </w:r>
      <w:r>
        <w:t xml:space="preserve"> </w:t>
      </w:r>
      <w:r>
        <w:t xml:space="preserve">savings for vessel operators are estimated at EUR 0.5 million relative to the baseline.</w:t>
      </w:r>
      <w:r>
        <w:t xml:space="preserve"> </w:t>
      </w:r>
      <w:r>
        <w:t xml:space="preserve">126 For the purpose of the application of the ‘one in, one out’ approach, the average reduction in the number of</w:t>
      </w:r>
      <w:r>
        <w:t xml:space="preserve"> </w:t>
      </w:r>
      <w:r>
        <w:t xml:space="preserve">resubmitted cargo reports over 2026-2035 (simple average) has been estimated at 72,799 per year relative to the</w:t>
      </w:r>
      <w:r>
        <w:t xml:space="preserve"> </w:t>
      </w:r>
      <w:r>
        <w:t xml:space="preserve">baseline and the average costs saved per resubmission at EUR 4.4. Thus, the average annual administrative costs</w:t>
      </w:r>
      <w:r>
        <w:t xml:space="preserve"> </w:t>
      </w:r>
      <w:r>
        <w:t xml:space="preserve">savings (simple average) for vessel operators are estimated at EUR 0.3 million relative to the baseline.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The initiative is expected to complement these developments by updating and modernising the</w:t>
      </w:r>
      <w:r>
        <w:t xml:space="preserve"> </w:t>
      </w:r>
      <w:r>
        <w:t xml:space="preserve">framework under which RIS is provided in the EU. This would allow more efficient exchange of</w:t>
      </w:r>
      <w:r>
        <w:t xml:space="preserve"> </w:t>
      </w:r>
      <w:r>
        <w:t xml:space="preserve">information among RIS users and access to better quality information, which in turn should lead to</w:t>
      </w:r>
      <w:r>
        <w:t xml:space="preserve"> </w:t>
      </w:r>
      <w:r>
        <w:t xml:space="preserve">improved operational performance, greater integration in the multimodal chain and a more</w:t>
      </w:r>
      <w:r>
        <w:t xml:space="preserve"> </w:t>
      </w:r>
      <w:r>
        <w:t xml:space="preserve">harmonised IWT market.</w:t>
      </w:r>
      <w:r>
        <w:t xml:space="preserve"> </w:t>
      </w:r>
      <w:r>
        <w:t xml:space="preserve">The measures under this initiative have links with other initiatives, such as eFTI, which has</w:t>
      </w:r>
      <w:r>
        <w:t xml:space="preserve"> </w:t>
      </w:r>
      <w:r>
        <w:t xml:space="preserve">introduced an environment for the voluntary handling of cargo information, EMSWe, which is a</w:t>
      </w:r>
      <w:r>
        <w:t xml:space="preserve"> </w:t>
      </w:r>
      <w:r>
        <w:t xml:space="preserve">single window for reporting in the maritime sector, and the TEN-T which defines the important</w:t>
      </w:r>
      <w:r>
        <w:t xml:space="preserve"> </w:t>
      </w:r>
      <w:r>
        <w:t xml:space="preserve">multimodal corridors in the EU. It also has links with AFIR which aims to provide green charging</w:t>
      </w:r>
      <w:r>
        <w:t xml:space="preserve"> </w:t>
      </w:r>
      <w:r>
        <w:t xml:space="preserve">infrastructure for vessels. Furthermore, it has links with the CEF funded RIS COMEX project,</w:t>
      </w:r>
      <w:r>
        <w:t xml:space="preserve"> </w:t>
      </w:r>
      <w:r>
        <w:t xml:space="preserve">developed by the Member States to improve the functionality of RIS.</w:t>
      </w:r>
      <w:r>
        <w:t xml:space="preserve"> </w:t>
      </w:r>
      <w:r>
        <w:t xml:space="preserve">The initiative will be successful if it brings an improvement in the overall RIS framework, in terms</w:t>
      </w:r>
      <w:r>
        <w:t xml:space="preserve"> </w:t>
      </w:r>
      <w:r>
        <w:t xml:space="preserve">of the number, quality and way river information services are provided to all users, that results in an</w:t>
      </w:r>
      <w:r>
        <w:t xml:space="preserve"> </w:t>
      </w:r>
      <w:r>
        <w:t xml:space="preserve">a visible progress of IWT performance. This would in turn improve the competitiveness and safety</w:t>
      </w:r>
      <w:r>
        <w:t xml:space="preserve"> </w:t>
      </w:r>
      <w:r>
        <w:t xml:space="preserve">of the sector and its contribution towards the EGD objectives.</w:t>
      </w:r>
      <w:r>
        <w:br/>
      </w:r>
      <w:r>
        <w:t xml:space="preserve">The level of progress needs to be seen, however, in the context of the size of the IWT sector, the</w:t>
      </w:r>
      <w:r>
        <w:t xml:space="preserve"> </w:t>
      </w:r>
      <w:r>
        <w:t xml:space="preserve">geographic and other characteristics (described in section 1), and the overall nature and aim of this</w:t>
      </w:r>
      <w:r>
        <w:t xml:space="preserve"> </w:t>
      </w:r>
      <w:r>
        <w:t xml:space="preserve">initiative.</w:t>
      </w:r>
      <w:r>
        <w:t xml:space="preserve"> </w:t>
      </w:r>
      <w:r>
        <w:t xml:space="preserve">Ultimately, a successful scenario is one where there is an increase of information exchnaged through</w:t>
      </w:r>
      <w:r>
        <w:t xml:space="preserve"> </w:t>
      </w:r>
      <w:r>
        <w:t xml:space="preserve">digital means, where IWT has established links with other modes of transport, which would lead to</w:t>
      </w:r>
      <w:r>
        <w:t xml:space="preserve"> </w:t>
      </w:r>
      <w:r>
        <w:t xml:space="preserve">a growing modal share of IWT and an increased number of river information services. This should</w:t>
      </w:r>
      <w:r>
        <w:t xml:space="preserve"> </w:t>
      </w:r>
      <w:r>
        <w:t xml:space="preserve">also translate into a better environmental performance of the EU transport system.</w:t>
      </w:r>
      <w:r>
        <w:br/>
      </w:r>
      <w:r>
        <w:t xml:space="preserve">The Commission will monitor the actual impacts of the legislation through different actions and a</w:t>
      </w:r>
      <w:r>
        <w:t xml:space="preserve"> </w:t>
      </w:r>
      <w:r>
        <w:t xml:space="preserve">set of indicators allowing to measure progress in reaching the specific objectives. The monitoring</w:t>
      </w:r>
      <w:r>
        <w:t xml:space="preserve"> </w:t>
      </w:r>
      <w:r>
        <w:t xml:space="preserve">actions will include the regular collection of publicly available information as well as information</w:t>
      </w:r>
      <w:r>
        <w:t xml:space="preserve"> </w:t>
      </w:r>
      <w:r>
        <w:t xml:space="preserve">from RIS COMEX and the complaint mechanism. In addition, the existing Commission expert</w:t>
      </w:r>
      <w:r>
        <w:t xml:space="preserve"> </w:t>
      </w:r>
      <w:r>
        <w:t xml:space="preserve">groups on DINA and NAIDES will be used as platforms to collect ad hoc feedback and information</w:t>
      </w:r>
      <w:r>
        <w:t xml:space="preserve"> </w:t>
      </w:r>
      <w:r>
        <w:t xml:space="preserve">from the Member States and other stakeholders. The Commission may also encourage and support</w:t>
      </w:r>
      <w:r>
        <w:t xml:space="preserve"> </w:t>
      </w:r>
      <w:r>
        <w:t xml:space="preserve">the exchange of best practices among Member States. In developing technical specifications,</w:t>
      </w:r>
      <w:r>
        <w:t xml:space="preserve"> </w:t>
      </w:r>
      <w:r>
        <w:t xml:space="preserve">CESNI will also develop specific technical indicators to be monitored which will then become part</w:t>
      </w:r>
      <w:r>
        <w:t xml:space="preserve"> </w:t>
      </w:r>
      <w:r>
        <w:t xml:space="preserve">of the secondary legal acts.</w:t>
      </w:r>
      <w:r>
        <w:br/>
      </w:r>
      <w:r>
        <w:t xml:space="preserve">The overall success of the initiative, given its overall objectives, cannot be assessed based on a</w:t>
      </w:r>
      <w:r>
        <w:t xml:space="preserve"> </w:t>
      </w:r>
      <w:r>
        <w:t xml:space="preserve">single indicator but rather on the attainment of the operational objectives. To measure the progress</w:t>
      </w:r>
      <w:r>
        <w:t xml:space="preserve"> </w:t>
      </w:r>
      <w:r>
        <w:t xml:space="preserve">and the actual effects of the initiative, a list of operational objectives and indicators for assessing the</w:t>
      </w:r>
      <w:r>
        <w:t xml:space="preserve"> </w:t>
      </w:r>
      <w:r>
        <w:t xml:space="preserve">progress towards them have been identified and are detailed Table 14.</w:t>
      </w:r>
      <w:r>
        <w:br/>
      </w:r>
      <w:r>
        <w:t xml:space="preserve">Table 14: Operational objectives and indicators for monitoring progress</w:t>
      </w:r>
      <w:r>
        <w:t xml:space="preserve"> </w:t>
      </w:r>
      <w:r>
        <w:t xml:space="preserve">Operational objectives</w:t>
      </w:r>
      <w:r>
        <w:t xml:space="preserve"> </w:t>
      </w:r>
      <w:r>
        <w:t xml:space="preserve">Possible Indicators</w:t>
      </w:r>
      <w:r>
        <w:t xml:space="preserve"> </w:t>
      </w:r>
      <w:r>
        <w:t xml:space="preserve">Improve quality of RIS</w:t>
      </w:r>
      <w:r>
        <w:t xml:space="preserve"> </w:t>
      </w:r>
      <w:r>
        <w:t xml:space="preserve">Data availability in ERDMS and frequency of update by</w:t>
      </w:r>
      <w:r>
        <w:t xml:space="preserve"> </w:t>
      </w:r>
      <w:r>
        <w:t xml:space="preserve">Member States</w:t>
      </w:r>
      <w:r>
        <w:t xml:space="preserve"> </w:t>
      </w:r>
      <w:r>
        <w:t xml:space="preserve">Data availability in RIS Index and frequency of update by</w:t>
      </w:r>
      <w:r>
        <w:t xml:space="preserve"> </w:t>
      </w:r>
      <w:r>
        <w:t xml:space="preserve">Member States</w:t>
      </w:r>
      <w:r>
        <w:t xml:space="preserve"> </w:t>
      </w:r>
      <w:r>
        <w:t xml:space="preserve">Number and type of complaints received by national</w:t>
      </w:r>
      <w:r>
        <w:t xml:space="preserve"> </w:t>
      </w:r>
      <w:r>
        <w:t xml:space="preserve">complaint handling bodies</w:t>
      </w:r>
      <w:r>
        <w:br/>
      </w:r>
      <w:r>
        <w:t xml:space="preserve">Number of corrective actions taken and average time to</w:t>
      </w:r>
      <w:r>
        <w:t xml:space="preserve"> </w:t>
      </w:r>
      <w:r>
        <w:t xml:space="preserve">resolve complaints per year</w:t>
      </w:r>
      <w:r>
        <w:t xml:space="preserve"> </w:t>
      </w:r>
      <w:r>
        <w:t xml:space="preserve">Frequency of introduction of technical specifications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Operational objectives</w:t>
      </w:r>
      <w:r>
        <w:t xml:space="preserve"> </w:t>
      </w:r>
      <w:r>
        <w:t xml:space="preserve">Possible Indicators</w:t>
      </w:r>
      <w:r>
        <w:t xml:space="preserve"> </w:t>
      </w:r>
      <w:r>
        <w:t xml:space="preserve">Improve exchange of data</w:t>
      </w:r>
      <w:r>
        <w:t xml:space="preserve"> </w:t>
      </w:r>
      <w:r>
        <w:t xml:space="preserve">Number of exchanges with eFTI</w:t>
      </w:r>
      <w:r>
        <w:t xml:space="preserve"> </w:t>
      </w:r>
      <w:r>
        <w:t xml:space="preserve">Number of exchanges with EMSWe</w:t>
      </w:r>
      <w:r>
        <w:t xml:space="preserve"> </w:t>
      </w:r>
      <w:r>
        <w:t xml:space="preserve">Number of exchanges with inland ports</w:t>
      </w:r>
      <w:r>
        <w:t xml:space="preserve"> </w:t>
      </w:r>
      <w:r>
        <w:t xml:space="preserve">Improve uptake of digital solutions</w:t>
      </w:r>
      <w:r>
        <w:t xml:space="preserve"> </w:t>
      </w:r>
      <w:r>
        <w:t xml:space="preserve">Number of RIS COMEX users</w:t>
      </w:r>
      <w:r>
        <w:t xml:space="preserve"> </w:t>
      </w:r>
      <w:r>
        <w:t xml:space="preserve">Data availability in RIS COMEX</w:t>
      </w:r>
      <w:r>
        <w:t xml:space="preserve"> </w:t>
      </w:r>
      <w:r>
        <w:t xml:space="preserve">Data availability in national platforms that participate in RIS</w:t>
      </w:r>
      <w:r>
        <w:t xml:space="preserve"> </w:t>
      </w:r>
      <w:r>
        <w:t xml:space="preserve">COMEX</w:t>
      </w:r>
      <w:r>
        <w:t xml:space="preserve"> </w:t>
      </w:r>
      <w:r>
        <w:t xml:space="preserve">Number of other systems linked with RIS COMEX</w:t>
      </w:r>
      <w:r>
        <w:t xml:space="preserve"> </w:t>
      </w:r>
      <w:r>
        <w:t xml:space="preserve">Improving performance of the IWT sector</w:t>
      </w:r>
      <w:r>
        <w:br/>
      </w:r>
      <w:r>
        <w:t xml:space="preserve">Average waiting times at key points in the network</w:t>
      </w:r>
      <w:r>
        <w:t xml:space="preserve"> </w:t>
      </w:r>
      <w:r>
        <w:t xml:space="preserve">Average time spent in reporting and voyage planning</w:t>
      </w:r>
      <w:r>
        <w:t xml:space="preserve"> </w:t>
      </w:r>
      <w:r>
        <w:t xml:space="preserve">Average time spent in processing reports</w:t>
      </w:r>
      <w:r>
        <w:t xml:space="preserve"> </w:t>
      </w:r>
      <w:r>
        <w:t xml:space="preserve">Tonne-kilometres (tkm) and passenger kilometres (pkm)</w:t>
      </w:r>
      <w:r>
        <w:t xml:space="preserve"> </w:t>
      </w:r>
      <w:r>
        <w:t xml:space="preserve">transported by IWT</w:t>
      </w:r>
      <w:r>
        <w:t xml:space="preserve"> </w:t>
      </w:r>
      <w:r>
        <w:t xml:space="preserve">Estimated emission levels</w:t>
      </w:r>
      <w:r>
        <w:t xml:space="preserve"> </w:t>
      </w:r>
      <w:r>
        <w:t xml:space="preserve">Improving logistics links</w:t>
      </w:r>
      <w:r>
        <w:t xml:space="preserve"> </w:t>
      </w:r>
      <w:r>
        <w:t xml:space="preserve">Volume of intermodal operations</w:t>
      </w:r>
      <w:r>
        <w:t xml:space="preserve"> </w:t>
      </w:r>
      <w:r>
        <w:t xml:space="preserve">Modal share of IWT transport</w:t>
      </w:r>
      <w:r>
        <w:t xml:space="preserve"> </w:t>
      </w:r>
      <w:r>
        <w:t xml:space="preserve">Tonnes of goods transported</w:t>
      </w:r>
      <w:r>
        <w:t xml:space="preserve"> </w:t>
      </w:r>
      <w:r>
        <w:t xml:space="preserve">Number of persons transported</w:t>
      </w:r>
      <w:r>
        <w:t xml:space="preserve"> </w:t>
      </w:r>
      <w:r>
        <w:t xml:space="preserve">Number of companies</w:t>
      </w:r>
      <w:r>
        <w:t xml:space="preserve"> </w:t>
      </w:r>
      <w:r>
        <w:t xml:space="preserve">Number of people employed in IWT</w:t>
      </w:r>
      <w:r>
        <w:t xml:space="preserve"> </w:t>
      </w:r>
      <w:r>
        <w:t xml:space="preserve">Source: European Commission</w:t>
      </w:r>
      <w:r>
        <w:t xml:space="preserve"> </w:t>
      </w:r>
      <w:r>
        <w:t xml:space="preserve">The success of the RIS Directive can be measured against operational objectives as follows:</w:t>
      </w:r>
      <w:r>
        <w:t xml:space="preserve"> </w:t>
      </w:r>
      <w:r>
        <w:t xml:space="preserve">• The success in improving the quality of the RIS can be assessed based on the availability and</w:t>
      </w:r>
      <w:r>
        <w:t xml:space="preserve"> </w:t>
      </w:r>
      <w:r>
        <w:t xml:space="preserve">quality of information using harmonised technical specifications. This can be measured through</w:t>
      </w:r>
      <w:r>
        <w:t xml:space="preserve"> </w:t>
      </w:r>
      <w:r>
        <w:t xml:space="preserve">the availability and completeness of up-to-date data, which can be collected from the relevant</w:t>
      </w:r>
      <w:r>
        <w:t xml:space="preserve"> </w:t>
      </w:r>
      <w:r>
        <w:t xml:space="preserve">databases. The number of complaints submitted by RIS users to the Member States is also an</w:t>
      </w:r>
      <w:r>
        <w:t xml:space="preserve"> </w:t>
      </w:r>
      <w:r>
        <w:t xml:space="preserve">important indicator to show the level of harmonisation attained. DINA and NAIADES experts</w:t>
      </w:r>
      <w:r>
        <w:t xml:space="preserve"> </w:t>
      </w:r>
      <w:r>
        <w:t xml:space="preserve">will also be consulted for relevant input, and CESNI will be requested to further develop specific</w:t>
      </w:r>
      <w:r>
        <w:t xml:space="preserve"> </w:t>
      </w:r>
      <w:r>
        <w:t xml:space="preserve">technical indicators to be monitored.</w:t>
      </w:r>
      <w:r>
        <w:t xml:space="preserve"> </w:t>
      </w:r>
      <w:r>
        <w:t xml:space="preserve">• The success in improving the exchange of RIS data within the IWT sector and with other</w:t>
      </w:r>
      <w:r>
        <w:t xml:space="preserve"> </w:t>
      </w:r>
      <w:r>
        <w:t xml:space="preserve">transport modes can be assessed based on the use of RIS COMEX and the information</w:t>
      </w:r>
      <w:r>
        <w:t xml:space="preserve"> </w:t>
      </w:r>
      <w:r>
        <w:t xml:space="preserve">exchanged with other systems. Specific and technical indicators can be further developed with</w:t>
      </w:r>
      <w:r>
        <w:t xml:space="preserve"> </w:t>
      </w:r>
      <w:r>
        <w:t xml:space="preserve">the assistance of CESNI and NAIADES and DINA experts and will be collected from these</w:t>
      </w:r>
      <w:r>
        <w:t xml:space="preserve"> </w:t>
      </w:r>
      <w:r>
        <w:t xml:space="preserve">systems and national authorities.</w:t>
      </w:r>
      <w:r>
        <w:t xml:space="preserve"> </w:t>
      </w:r>
      <w:r>
        <w:t xml:space="preserve">• The success in increasing the uptake of digital solutions can be monitored though the yearly</w:t>
      </w:r>
      <w:r>
        <w:t xml:space="preserve"> </w:t>
      </w:r>
      <w:r>
        <w:t xml:space="preserve">number of RIS COMEX users, the type and volume of information exchanged, and the number</w:t>
      </w:r>
      <w:r>
        <w:t xml:space="preserve"> </w:t>
      </w:r>
      <w:r>
        <w:t xml:space="preserve">of systems linked (e.g. with ports). This information will be collected though the RIS COMEX</w:t>
      </w:r>
      <w:r>
        <w:t xml:space="preserve"> </w:t>
      </w:r>
      <w:r>
        <w:t xml:space="preserve">and from the national authorities.</w:t>
      </w:r>
      <w:r>
        <w:t xml:space="preserve"> </w:t>
      </w:r>
      <w:r>
        <w:t xml:space="preserve">• The success in improving the performance of RIS can also be measured in terms of average</w:t>
      </w:r>
      <w:r>
        <w:t xml:space="preserve"> </w:t>
      </w:r>
      <w:r>
        <w:t xml:space="preserve">waiting times at locks and other points along the river, average time spent in reporting and</w:t>
      </w:r>
      <w:r>
        <w:t xml:space="preserve"> </w:t>
      </w:r>
      <w:r>
        <w:t xml:space="preserve">voyage planning (vessel operators) and handling of reports (for national public authorities), etc.</w:t>
      </w:r>
      <w:r>
        <w:t xml:space="preserve"> </w:t>
      </w:r>
      <w:r>
        <w:t xml:space="preserve">This information can be collected from the national authorities and River Commissions, as well</w:t>
      </w:r>
      <w:r>
        <w:t xml:space="preserve"> </w:t>
      </w:r>
      <w:r>
        <w:t xml:space="preserve">as from vessel operators and sectoral organisations (ad hoc studies). In addition, the</w:t>
      </w:r>
      <w:r>
        <w:t xml:space="preserve"> </w:t>
      </w:r>
      <w:r>
        <w:t xml:space="preserve">environmental performance could be monitored through transport activity shifted from road</w:t>
      </w:r>
      <w:r>
        <w:t xml:space="preserve"> </w:t>
      </w:r>
      <w:r>
        <w:t xml:space="preserve">transport to IWT and the associated reduction in emissions.</w:t>
      </w:r>
      <w:r>
        <w:br/>
      </w:r>
      <w:r>
        <w:t xml:space="preserve">• The success of improving IWT position in the logistics chain can be measured by monitoring the</w:t>
      </w:r>
      <w:r>
        <w:t xml:space="preserve"> </w:t>
      </w:r>
      <w:r>
        <w:t xml:space="preserve">increase in the volume of intermodal operations (containerised and non-containerised), the</w:t>
      </w:r>
      <w:r>
        <w:t xml:space="preserve"> </w:t>
      </w:r>
      <w:r>
        <w:t xml:space="preserve">increase in the number of vessel operators that are involved in intermodal operations and the</w:t>
      </w:r>
      <w:r>
        <w:t xml:space="preserve"> </w:t>
      </w:r>
      <w:r>
        <w:t xml:space="preserve">development in the modal split indicators. The information will be gathered from the sectoral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organisations, official statistics on volumes of operations by transport mode and changes in</w:t>
      </w:r>
      <w:r>
        <w:t xml:space="preserve"> </w:t>
      </w:r>
      <w:r>
        <w:t xml:space="preserve">modal shares of freight transport.</w:t>
      </w:r>
      <w:r>
        <w:br/>
      </w:r>
      <w:r>
        <w:t xml:space="preserve">Regarding the sources for the information to be collected (when, by whom), it should be noted that</w:t>
      </w:r>
      <w:r>
        <w:t xml:space="preserve"> </w:t>
      </w:r>
      <w:r>
        <w:t xml:space="preserve">use will be made of publicly available or already collected data (e.g. modal share, volumes of goods</w:t>
      </w:r>
      <w:r>
        <w:t xml:space="preserve"> </w:t>
      </w:r>
      <w:r>
        <w:t xml:space="preserve">transported) for several indicators. There are indicators relating to specific measures (e.g. exchanges</w:t>
      </w:r>
      <w:r>
        <w:t xml:space="preserve"> </w:t>
      </w:r>
      <w:r>
        <w:t xml:space="preserve">through COMEX) which are technical indicators and are part of the design of each policy measure</w:t>
      </w:r>
      <w:r>
        <w:t xml:space="preserve"> </w:t>
      </w:r>
      <w:r>
        <w:t xml:space="preserve">and will be refined as the technical specifications are developed in the secondary acts. For</w:t>
      </w:r>
      <w:r>
        <w:t xml:space="preserve"> </w:t>
      </w:r>
      <w:r>
        <w:t xml:space="preserve">improving the quality of RIS, information on ERDMS and RIS index can be obtained directly and at</w:t>
      </w:r>
      <w:r>
        <w:t xml:space="preserve"> </w:t>
      </w:r>
      <w:r>
        <w:t xml:space="preserve">any time from these systems by the Commission. The information on the complaint mechanism will</w:t>
      </w:r>
      <w:r>
        <w:t xml:space="preserve"> </w:t>
      </w:r>
      <w:r>
        <w:t xml:space="preserve">be reported by the competent authorities on a yearly basis. RIS COMEX usage data will provide</w:t>
      </w:r>
      <w:r>
        <w:t xml:space="preserve"> </w:t>
      </w:r>
      <w:r>
        <w:t xml:space="preserve">information that will be used for a number of indicators, such as the exchange of data within IWT</w:t>
      </w:r>
      <w:r>
        <w:t xml:space="preserve"> </w:t>
      </w:r>
      <w:r>
        <w:t xml:space="preserve">and with other modes, and the uptake of digital solution. Relevant standards for statistics to be</w:t>
      </w:r>
      <w:r>
        <w:t xml:space="preserve"> </w:t>
      </w:r>
      <w:r>
        <w:t xml:space="preserve">collected by the platform will be introduced by secondary legislation and can be compiled and</w:t>
      </w:r>
      <w:r>
        <w:t xml:space="preserve"> </w:t>
      </w:r>
      <w:r>
        <w:t xml:space="preserve">reported on a yearly basis by the platform. For improving the performance of RIS, information will</w:t>
      </w:r>
      <w:r>
        <w:t xml:space="preserve"> </w:t>
      </w:r>
      <w:r>
        <w:t xml:space="preserve">be reported by national authorities on a yearly basis from statistics on e.g. waiting times at locks.</w:t>
      </w:r>
      <w:r>
        <w:t xml:space="preserve"> </w:t>
      </w:r>
      <w:r>
        <w:t xml:space="preserve">Information from vessel operators (e.g. average time for voyage planning) will be obtained through</w:t>
      </w:r>
      <w:r>
        <w:t xml:space="preserve"> </w:t>
      </w:r>
      <w:r>
        <w:t xml:space="preserve">ad-hoc studies. General statistics (e.g. tonne-kilometres) will be obtained from Eurostat on a yearly</w:t>
      </w:r>
      <w:r>
        <w:t xml:space="preserve"> </w:t>
      </w:r>
      <w:r>
        <w:t xml:space="preserve">basis. Eurostat will also be the source for the improvement of logistics performance and</w:t>
      </w:r>
      <w:r>
        <w:t xml:space="preserve"> </w:t>
      </w:r>
      <w:r>
        <w:t xml:space="preserve">supplemented in this case by sectoral statistics as available.</w:t>
      </w:r>
      <w:r>
        <w:t xml:space="preserve"> </w:t>
      </w:r>
      <w:r>
        <w:t xml:space="preserve">The initiative will provide a legal framework for the development of more detailed rules, procedures</w:t>
      </w:r>
      <w:r>
        <w:t xml:space="preserve"> </w:t>
      </w:r>
      <w:r>
        <w:t xml:space="preserve">and templates, which will be laid down in secondary legislation. Therefore, the implementation</w:t>
      </w:r>
      <w:r>
        <w:t xml:space="preserve"> </w:t>
      </w:r>
      <w:r>
        <w:t xml:space="preserve">period should reflect the entry into effect of these acts. Five years after the end of the</w:t>
      </w:r>
      <w:r>
        <w:t xml:space="preserve"> </w:t>
      </w:r>
      <w:r>
        <w:t xml:space="preserve">implementation date of all the relevant legislation (including the adoption and entry into effect of the</w:t>
      </w:r>
      <w:r>
        <w:t xml:space="preserve"> </w:t>
      </w:r>
      <w:r>
        <w:t xml:space="preserve">necessary implementing and delegated acts), the Commission services should carry out an</w:t>
      </w:r>
      <w:r>
        <w:t xml:space="preserve"> </w:t>
      </w:r>
      <w:r>
        <w:t xml:space="preserve">evaluation to verify to what extent the objectives of the initiative have been reached.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lead DG is the Directorate-General for Mobility and Transport DG MOVE, Unit D3:</w:t>
      </w:r>
      <w:r>
        <w:t xml:space="preserve"> </w:t>
      </w:r>
      <w:r>
        <w:t xml:space="preserve">Ports and Inland Waterways</w:t>
      </w:r>
      <w:r>
        <w:t xml:space="preserve"> </w:t>
      </w:r>
      <w:r>
        <w:t xml:space="preserve">DECIDE reference number: PLAN/2021/11060</w:t>
      </w:r>
      <w:r>
        <w:t xml:space="preserve"> </w:t>
      </w:r>
      <w:r>
        <w:t xml:space="preserve">Item 5 in Annex II to Commission Work Programme 2023: A Union standing firm and united</w:t>
      </w:r>
      <w:r>
        <w:t xml:space="preserve"> </w:t>
      </w:r>
      <w:r>
        <w:t xml:space="preserve">127.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impact assessment follows the ex-post evaluation Directive 2005/44/EC on Harmonised</w:t>
      </w:r>
      <w:r>
        <w:t xml:space="preserve"> </w:t>
      </w:r>
      <w:r>
        <w:t xml:space="preserve">River Information Services (RIS)128.</w:t>
      </w:r>
      <w:r>
        <w:t xml:space="preserve"> </w:t>
      </w:r>
      <w:r>
        <w:t xml:space="preserve">The impact assessment started in 2022, with the inception impact assessment published on 3</w:t>
      </w:r>
      <w:r>
        <w:t xml:space="preserve"> </w:t>
      </w:r>
      <w:r>
        <w:t xml:space="preserve">August 2021129.</w:t>
      </w:r>
      <w:r>
        <w:br/>
      </w:r>
      <w:r>
        <w:t xml:space="preserve">The impact assessment on a possible review of the RIS Directive was coordinated by an Inter-</w:t>
      </w:r>
      <w:r>
        <w:t xml:space="preserve"> </w:t>
      </w:r>
      <w:r>
        <w:t xml:space="preserve">Service Steering Group (ISSG). The Commission Services participating in the ISSG were:</w:t>
      </w:r>
      <w:r>
        <w:t xml:space="preserve"> </w:t>
      </w:r>
      <w:r>
        <w:t xml:space="preserve">Secretariat-General, Legal Service, DG Communications Networks, Content and Technology,</w:t>
      </w:r>
      <w:r>
        <w:t xml:space="preserve"> </w:t>
      </w:r>
      <w:r>
        <w:t xml:space="preserve">DG Informatics, DG for Energy, DG Environment, the Joint Research Centre, DG Justice and</w:t>
      </w:r>
      <w:r>
        <w:t xml:space="preserve"> </w:t>
      </w:r>
      <w:r>
        <w:t xml:space="preserve">Consumers, DG Regional and Urban Policy, DG Research and Innovation, and the European</w:t>
      </w:r>
      <w:r>
        <w:t xml:space="preserve"> </w:t>
      </w:r>
      <w:r>
        <w:t xml:space="preserve">Climate, Infrastructure and Environment Executive Agency (CINEA).</w:t>
      </w:r>
      <w:r>
        <w:t xml:space="preserve"> </w:t>
      </w:r>
      <w:r>
        <w:t xml:space="preserve">The Inter-Service Steering Group met 6 times: on 16 September 2021, 3 March 2022, 4 June</w:t>
      </w:r>
      <w:r>
        <w:t xml:space="preserve"> </w:t>
      </w:r>
      <w:r>
        <w:t xml:space="preserve">2022, 12 September 2022, 30 January 2023, and 14th of July 2023. It was consulted</w:t>
      </w:r>
      <w:r>
        <w:t xml:space="preserve"> </w:t>
      </w:r>
      <w:r>
        <w:t xml:space="preserve">throughout the different steps of the impact assessment process: notably on all stakeholder</w:t>
      </w:r>
      <w:r>
        <w:t xml:space="preserve"> </w:t>
      </w:r>
      <w:r>
        <w:t xml:space="preserve">consultation materials and deliverables from the external contractor and on the draft Staff</w:t>
      </w:r>
      <w:r>
        <w:t xml:space="preserve"> </w:t>
      </w:r>
      <w:r>
        <w:t xml:space="preserve">Working Document.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The draft report was submitted to the Regulatory Scutiny Board on 30 August 2023. The RSB</w:t>
      </w:r>
      <w:r>
        <w:t xml:space="preserve"> </w:t>
      </w:r>
      <w:r>
        <w:t xml:space="preserve">issued a positive opinion with reservations on 28 September 2023. The comments received</w:t>
      </w:r>
      <w:r>
        <w:t xml:space="preserve"> </w:t>
      </w:r>
      <w:r>
        <w:t xml:space="preserve">from the Board have been addressed in the revised version of the impact assessment as</w:t>
      </w:r>
      <w:r>
        <w:t xml:space="preserve"> </w:t>
      </w:r>
      <w:r>
        <w:t xml:space="preserve">detailed in the table below.</w:t>
      </w:r>
      <w:r>
        <w:t xml:space="preserve"> </w:t>
      </w:r>
      <w:r>
        <w:t xml:space="preserve">Table 15: Modifications of the impact assessment report in response to RSB comments</w:t>
      </w:r>
      <w:r>
        <w:t xml:space="preserve"> </w:t>
      </w:r>
      <w:r>
        <w:t xml:space="preserve">What to improve</w:t>
      </w:r>
      <w:r>
        <w:t xml:space="preserve"> </w:t>
      </w:r>
      <w:r>
        <w:t xml:space="preserve">Modifications to the impact assessment</w:t>
      </w:r>
      <w:r>
        <w:t xml:space="preserve"> </w:t>
      </w:r>
      <w:r>
        <w:t xml:space="preserve">(1) The report should better explain the magnitude of the</w:t>
      </w:r>
      <w:r>
        <w:t xml:space="preserve"> </w:t>
      </w:r>
      <w:r>
        <w:t xml:space="preserve">problems. The problem definition should better distinguish</w:t>
      </w:r>
      <w:r>
        <w:t xml:space="preserve"> </w:t>
      </w:r>
      <w:r>
        <w:t xml:space="preserve">the individual problems and their links with the problem</w:t>
      </w:r>
      <w:r>
        <w:t xml:space="preserve"> </w:t>
      </w:r>
      <w:r>
        <w:t xml:space="preserve">Section 1 has been expanded (including the addition of</w:t>
      </w:r>
      <w:r>
        <w:t xml:space="preserve"> </w:t>
      </w:r>
      <w:r>
        <w:t xml:space="preserve">graphs) to better explain the specific context and</w:t>
      </w:r>
      <w:r>
        <w:t xml:space="preserve"> </w:t>
      </w:r>
      <w:r>
        <w:t xml:space="preserve">characteristics of the IWT and RIS.</w:t>
      </w:r>
    </w:p>
    <w:p>
      <w:pPr>
        <w:pStyle w:val="BodyText"/>
      </w:pPr>
      <w:r>
        <w:t xml:space="preserve">127 COM(2022) 548 final</w:t>
      </w:r>
      <w:r>
        <w:t xml:space="preserve"> </w:t>
      </w:r>
      <w:r>
        <w:t xml:space="preserve">128 SWD(2021) 50 final</w:t>
      </w:r>
      <w:r>
        <w:t xml:space="preserve"> </w:t>
      </w:r>
      <w:r>
        <w:t xml:space="preserve">129</w:t>
      </w:r>
      <w:r>
        <w:t xml:space="preserve"> </w:t>
      </w:r>
      <w:r>
        <w:t xml:space="preserve">https://ec.europa.eu/info/law/better-regulation/have-your-say/initiatives/13135-River-information-services-</w:t>
      </w:r>
      <w:r>
        <w:t xml:space="preserve"> </w:t>
      </w:r>
      <w:r>
        <w:t xml:space="preserve">revision-of-EU-rules_en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drivers</w:t>
      </w:r>
      <w:r>
        <w:t xml:space="preserve"> </w:t>
      </w:r>
      <w:r>
        <w:t xml:space="preserve">and</w:t>
      </w:r>
      <w:r>
        <w:t xml:space="preserve"> </w:t>
      </w:r>
      <w:r>
        <w:t xml:space="preserve">consequences.</w:t>
      </w:r>
      <w:r>
        <w:t xml:space="preserve"> </w:t>
      </w:r>
      <w:r>
        <w:t xml:space="preserve">The</w:t>
      </w:r>
      <w:r>
        <w:t xml:space="preserve"> </w:t>
      </w:r>
      <w:r>
        <w:t xml:space="preserve">analysis</w:t>
      </w:r>
      <w:r>
        <w:t xml:space="preserve"> </w:t>
      </w:r>
      <w:r>
        <w:t xml:space="preserve">should</w:t>
      </w:r>
      <w:r>
        <w:t xml:space="preserve"> </w:t>
      </w:r>
      <w:r>
        <w:t xml:space="preserve">demonstrate, with more evidence, the urgency for the EU</w:t>
      </w:r>
      <w:r>
        <w:t xml:space="preserve"> </w:t>
      </w:r>
      <w:r>
        <w:t xml:space="preserve">to act, reflecting the views of the most affected Member</w:t>
      </w:r>
      <w:r>
        <w:t xml:space="preserve"> </w:t>
      </w:r>
      <w:r>
        <w:t xml:space="preserve">States. It should set out the main bottlenecks that have</w:t>
      </w:r>
      <w:r>
        <w:t xml:space="preserve"> </w:t>
      </w:r>
      <w:r>
        <w:t xml:space="preserve">been delaying timely implementation of the new</w:t>
      </w:r>
      <w:r>
        <w:t xml:space="preserve"> </w:t>
      </w:r>
      <w:r>
        <w:t xml:space="preserve">standards. The report should also differentiate between</w:t>
      </w:r>
      <w:r>
        <w:t xml:space="preserve"> </w:t>
      </w:r>
      <w:r>
        <w:t xml:space="preserve">problems affecting specific Member States, regions, local</w:t>
      </w:r>
      <w:r>
        <w:t xml:space="preserve"> </w:t>
      </w:r>
      <w:r>
        <w:t xml:space="preserve">authorities, private entities, or particular EU areas. It</w:t>
      </w:r>
      <w:r>
        <w:t xml:space="preserve"> </w:t>
      </w:r>
      <w:r>
        <w:t xml:space="preserve">should better elaborate whether there are particular</w:t>
      </w:r>
      <w:r>
        <w:t xml:space="preserve"> </w:t>
      </w:r>
      <w:r>
        <w:t xml:space="preserve">concerns</w:t>
      </w:r>
      <w:r>
        <w:t xml:space="preserve"> </w:t>
      </w:r>
      <w:r>
        <w:t xml:space="preserve">regarding</w:t>
      </w:r>
      <w:r>
        <w:t xml:space="preserve"> </w:t>
      </w:r>
      <w:r>
        <w:t xml:space="preserve">safety,</w:t>
      </w:r>
      <w:r>
        <w:t xml:space="preserve"> </w:t>
      </w:r>
      <w:r>
        <w:t xml:space="preserve">data</w:t>
      </w:r>
      <w:r>
        <w:t xml:space="preserve"> </w:t>
      </w:r>
      <w:r>
        <w:t xml:space="preserve">protection,</w:t>
      </w:r>
      <w:r>
        <w:t xml:space="preserve"> </w:t>
      </w:r>
      <w:r>
        <w:t xml:space="preserve">or</w:t>
      </w:r>
      <w:r>
        <w:t xml:space="preserve"> </w:t>
      </w:r>
      <w:r>
        <w:t xml:space="preserve">environmental and territorial concerns.</w:t>
      </w:r>
    </w:p>
    <w:p>
      <w:pPr>
        <w:pStyle w:val="BodyText"/>
      </w:pPr>
      <w:r>
        <w:t xml:space="preserve">The description of the problem in section 2.1 has been</w:t>
      </w:r>
      <w:r>
        <w:t xml:space="preserve"> </w:t>
      </w:r>
      <w:r>
        <w:t xml:space="preserve">improved</w:t>
      </w:r>
      <w:r>
        <w:t xml:space="preserve"> </w:t>
      </w:r>
      <w:r>
        <w:t xml:space="preserve">to</w:t>
      </w:r>
      <w:r>
        <w:t xml:space="preserve"> </w:t>
      </w:r>
      <w:r>
        <w:t xml:space="preserve">provide:</w:t>
      </w:r>
      <w:r>
        <w:t xml:space="preserve"> </w:t>
      </w:r>
      <w:r>
        <w:t xml:space="preserve">more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clarifications on data limitations, how stakeholders are</w:t>
      </w:r>
      <w:r>
        <w:t xml:space="preserve"> </w:t>
      </w:r>
      <w:r>
        <w:t xml:space="preserve">affected, importance of challenges, and consequences</w:t>
      </w:r>
      <w:r>
        <w:t xml:space="preserve"> </w:t>
      </w:r>
      <w:r>
        <w:t xml:space="preserve">of the problem in terms of safety and environment.</w:t>
      </w:r>
      <w:r>
        <w:t xml:space="preserve"> </w:t>
      </w:r>
      <w:r>
        <w:t xml:space="preserve">Section 2.2 on problem drivers has been strengthened</w:t>
      </w:r>
      <w:r>
        <w:t xml:space="preserve"> </w:t>
      </w:r>
      <w:r>
        <w:t xml:space="preserve">with</w:t>
      </w:r>
      <w:r>
        <w:t xml:space="preserve"> </w:t>
      </w:r>
      <w:r>
        <w:t xml:space="preserve">further</w:t>
      </w:r>
      <w:r>
        <w:t xml:space="preserve"> </w:t>
      </w:r>
      <w:r>
        <w:t xml:space="preserve">information,</w:t>
      </w:r>
      <w:r>
        <w:t xml:space="preserve"> </w:t>
      </w:r>
      <w:r>
        <w:t xml:space="preserve">where</w:t>
      </w:r>
      <w:r>
        <w:t xml:space="preserve"> </w:t>
      </w:r>
      <w:r>
        <w:t xml:space="preserve">available,</w:t>
      </w:r>
      <w:r>
        <w:t xml:space="preserve"> </w:t>
      </w:r>
      <w:r>
        <w:t xml:space="preserve">on</w:t>
      </w:r>
      <w:r>
        <w:t xml:space="preserve"> </w:t>
      </w:r>
      <w:r>
        <w:t xml:space="preserve">consequences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Member</w:t>
      </w:r>
      <w:r>
        <w:t xml:space="preserve"> </w:t>
      </w:r>
      <w:r>
        <w:t xml:space="preserve">States,</w:t>
      </w:r>
      <w:r>
        <w:t xml:space="preserve"> </w:t>
      </w:r>
      <w:r>
        <w:t xml:space="preserve">main</w:t>
      </w:r>
      <w:r>
        <w:t xml:space="preserve"> </w:t>
      </w:r>
      <w:r>
        <w:t xml:space="preserve">bottlenecks, personal data aspects and the views of</w:t>
      </w:r>
      <w:r>
        <w:t xml:space="preserve"> </w:t>
      </w:r>
      <w:r>
        <w:t xml:space="preserve">stakeholders. Section 2.3 has been strengthened by</w:t>
      </w:r>
      <w:r>
        <w:t xml:space="preserve"> </w:t>
      </w:r>
      <w:r>
        <w:t xml:space="preserve">including the views of stakeholders. Overall, the</w:t>
      </w:r>
      <w:r>
        <w:t xml:space="preserve"> </w:t>
      </w:r>
      <w:r>
        <w:t xml:space="preserve">wording has been fine tuned, to improve the clarity of</w:t>
      </w:r>
      <w:r>
        <w:t xml:space="preserve"> </w:t>
      </w:r>
      <w:r>
        <w:t xml:space="preserve">the text.</w:t>
      </w:r>
    </w:p>
    <w:p>
      <w:pPr>
        <w:pStyle w:val="BodyText"/>
      </w:pPr>
      <w:r>
        <w:t xml:space="preserve">The necessity of EU action has been further clarified</w:t>
      </w:r>
      <w:r>
        <w:t xml:space="preserve"> </w:t>
      </w:r>
      <w:r>
        <w:t xml:space="preserve">in section 3.2.</w:t>
      </w:r>
    </w:p>
    <w:p>
      <w:pPr>
        <w:pStyle w:val="BodyText"/>
      </w:pPr>
      <w:r>
        <w:t xml:space="preserve">The specific objectives in section 4.2 have been</w:t>
      </w:r>
      <w:r>
        <w:t xml:space="preserve"> </w:t>
      </w:r>
      <w:r>
        <w:t xml:space="preserve">simplified, to make it easier to assess their attainment.</w:t>
      </w:r>
      <w:r>
        <w:br/>
      </w:r>
      <w:r>
        <w:t xml:space="preserve">(2) The policy options section should bring out clearly the</w:t>
      </w:r>
      <w:r>
        <w:t xml:space="preserve"> </w:t>
      </w:r>
      <w:r>
        <w:t xml:space="preserve">available</w:t>
      </w:r>
      <w:r>
        <w:t xml:space="preserve"> </w:t>
      </w:r>
      <w:r>
        <w:t xml:space="preserve">options,</w:t>
      </w:r>
      <w:r>
        <w:t xml:space="preserve"> </w:t>
      </w:r>
      <w:r>
        <w:t xml:space="preserve">presenting</w:t>
      </w:r>
      <w:r>
        <w:t xml:space="preserve"> </w:t>
      </w:r>
      <w:r>
        <w:t xml:space="preserve">genuine</w:t>
      </w:r>
      <w:r>
        <w:t xml:space="preserve"> </w:t>
      </w:r>
      <w:r>
        <w:t xml:space="preserve">alternative</w:t>
      </w:r>
      <w:r>
        <w:t xml:space="preserve"> </w:t>
      </w:r>
      <w:r>
        <w:t xml:space="preserve">approaches and bringing out the relevant policy choices.</w:t>
      </w:r>
      <w:r>
        <w:t xml:space="preserve"> </w:t>
      </w:r>
      <w:r>
        <w:t xml:space="preserve">The presentation of the options should better explain how</w:t>
      </w:r>
      <w:r>
        <w:t xml:space="preserve"> </w:t>
      </w:r>
      <w:r>
        <w:t xml:space="preserve">the policy measures would work in practice and which are</w:t>
      </w:r>
      <w:r>
        <w:t xml:space="preserve"> </w:t>
      </w:r>
      <w:r>
        <w:t xml:space="preserve">the most important ones in ensuring the success of the</w:t>
      </w:r>
      <w:r>
        <w:t xml:space="preserve"> </w:t>
      </w:r>
      <w:r>
        <w:t xml:space="preserve">initiative. It should also explain what would be the</w:t>
      </w:r>
      <w:r>
        <w:t xml:space="preserve"> </w:t>
      </w:r>
      <w:r>
        <w:t xml:space="preserve">responsibility of each actor, i.e. Member States, regional</w:t>
      </w:r>
      <w:r>
        <w:t xml:space="preserve"> </w:t>
      </w:r>
      <w:r>
        <w:t xml:space="preserve">authorities, private entities, etc. The option description and</w:t>
      </w:r>
      <w:r>
        <w:t xml:space="preserve"> </w:t>
      </w:r>
      <w:r>
        <w:t xml:space="preserve">analysis should use a simpler language, making it less</w:t>
      </w:r>
      <w:r>
        <w:t xml:space="preserve"> </w:t>
      </w:r>
      <w:r>
        <w:t xml:space="preserve">technical and more accessible for the non specialist</w:t>
      </w:r>
      <w:r>
        <w:t xml:space="preserve"> </w:t>
      </w:r>
      <w:r>
        <w:t xml:space="preserve">readers.</w:t>
      </w:r>
      <w:r>
        <w:t xml:space="preserve"> </w:t>
      </w:r>
      <w:r>
        <w:t xml:space="preserve">A table providing an overview of discarded measures</w:t>
      </w:r>
      <w:r>
        <w:t xml:space="preserve"> </w:t>
      </w:r>
      <w:r>
        <w:t xml:space="preserve">has been included in section 5.2.1, while a non-</w:t>
      </w:r>
      <w:r>
        <w:t xml:space="preserve"> </w:t>
      </w:r>
      <w:r>
        <w:t xml:space="preserve">technical description of the different measures is</w:t>
      </w:r>
      <w:r>
        <w:t xml:space="preserve"> </w:t>
      </w:r>
      <w:r>
        <w:t xml:space="preserve">included in section 5.2.3, along with the expected</w:t>
      </w:r>
      <w:r>
        <w:t xml:space="preserve"> </w:t>
      </w:r>
      <w:r>
        <w:t xml:space="preserve">importance of the measures.</w:t>
      </w:r>
    </w:p>
    <w:p>
      <w:pPr>
        <w:pStyle w:val="BodyText"/>
      </w:pPr>
      <w:r>
        <w:t xml:space="preserve">Section 5.2.4 on the policy options has been redrafted</w:t>
      </w:r>
      <w:r>
        <w:t xml:space="preserve"> </w:t>
      </w:r>
      <w:r>
        <w:t xml:space="preserve">in a less technical way, to improve clarity.</w:t>
      </w:r>
      <w:r>
        <w:t xml:space="preserve"> </w:t>
      </w:r>
      <w:r>
        <w:t xml:space="preserve">(3) The analysis should be clearer on how different</w:t>
      </w:r>
      <w:r>
        <w:t xml:space="preserve"> </w:t>
      </w:r>
      <w:r>
        <w:t xml:space="preserve">estimates were calculated, where they come from and how</w:t>
      </w:r>
      <w:r>
        <w:t xml:space="preserve"> </w:t>
      </w:r>
      <w:r>
        <w:t xml:space="preserve">robust and complete their assessment is. It should better</w:t>
      </w:r>
      <w:r>
        <w:t xml:space="preserve"> </w:t>
      </w:r>
      <w:r>
        <w:t xml:space="preserve">assess the reliability of estimates on environmental and</w:t>
      </w:r>
      <w:r>
        <w:t xml:space="preserve"> </w:t>
      </w:r>
      <w:r>
        <w:t xml:space="preserve">social impacts which appear to be attributed to increased</w:t>
      </w:r>
      <w:r>
        <w:t xml:space="preserve"> </w:t>
      </w:r>
      <w:r>
        <w:t xml:space="preserve">punctuality, given that these drive the benefit-cost ratio.</w:t>
      </w:r>
      <w:r>
        <w:t xml:space="preserve"> </w:t>
      </w:r>
      <w:r>
        <w:t xml:space="preserve">The report should be more explicit as to how this initiative</w:t>
      </w:r>
      <w:r>
        <w:t xml:space="preserve"> </w:t>
      </w:r>
      <w:r>
        <w:t xml:space="preserve">would increase punctuality under each option, given that</w:t>
      </w:r>
      <w:r>
        <w:t xml:space="preserve"> </w:t>
      </w:r>
      <w:r>
        <w:t xml:space="preserve">the study estimates cited as basis for the calculations were</w:t>
      </w:r>
      <w:r>
        <w:t xml:space="preserve"> </w:t>
      </w:r>
      <w:r>
        <w:t xml:space="preserve">based on figures for railway and it is unclear to which</w:t>
      </w:r>
      <w:r>
        <w:t xml:space="preserve"> </w:t>
      </w:r>
      <w:r>
        <w:t xml:space="preserve">extent these can be used in the present context.</w:t>
      </w:r>
      <w:r>
        <w:t xml:space="preserve"> </w:t>
      </w:r>
      <w:r>
        <w:t xml:space="preserve">Sections 6.1.1 to 6.1.3 have been revised, to better</w:t>
      </w:r>
      <w:r>
        <w:t xml:space="preserve"> </w:t>
      </w:r>
      <w:r>
        <w:t xml:space="preserve">explain the link with Annex 4 in which the detailed</w:t>
      </w:r>
      <w:r>
        <w:t xml:space="preserve"> </w:t>
      </w:r>
      <w:r>
        <w:t xml:space="preserve">calculations are provided. Section 6.1.4 has been</w:t>
      </w:r>
      <w:r>
        <w:t xml:space="preserve"> </w:t>
      </w:r>
      <w:r>
        <w:t xml:space="preserve">added on the new reporting obligations. The analysis</w:t>
      </w:r>
      <w:r>
        <w:t xml:space="preserve"> </w:t>
      </w:r>
      <w:r>
        <w:t xml:space="preserve">of the impacts on SMEs in section 6.1.5 and in Annex</w:t>
      </w:r>
      <w:r>
        <w:t xml:space="preserve"> </w:t>
      </w:r>
      <w:r>
        <w:t xml:space="preserve">6 has been expanded to include more detailed</w:t>
      </w:r>
      <w:r>
        <w:t xml:space="preserve"> </w:t>
      </w:r>
      <w:r>
        <w:t xml:space="preserve">information. A new section on territorial impacts</w:t>
      </w:r>
      <w:r>
        <w:t xml:space="preserve"> </w:t>
      </w:r>
      <w:r>
        <w:t xml:space="preserve">(section 6.1.10) has been added.</w:t>
      </w:r>
    </w:p>
    <w:p>
      <w:pPr>
        <w:pStyle w:val="BodyText"/>
      </w:pPr>
      <w:r>
        <w:t xml:space="preserve">Further explanations have been added on the</w:t>
      </w:r>
      <w:r>
        <w:t xml:space="preserve"> </w:t>
      </w:r>
      <w:r>
        <w:t xml:space="preserve">reliability of the calculations for modal shift (and thus</w:t>
      </w:r>
      <w:r>
        <w:t xml:space="preserve"> </w:t>
      </w:r>
      <w:r>
        <w:t xml:space="preserve">for environmental and social impacts) in section 6.1.7.</w:t>
      </w:r>
      <w:r>
        <w:t xml:space="preserve"> </w:t>
      </w:r>
      <w:r>
        <w:t xml:space="preserve">In addition, sensitivity analysis has been performed</w:t>
      </w:r>
      <w:r>
        <w:t xml:space="preserve"> </w:t>
      </w:r>
      <w:r>
        <w:t xml:space="preserve">and added in section 7.6, including the environmental</w:t>
      </w:r>
      <w:r>
        <w:t xml:space="preserve"> </w:t>
      </w:r>
      <w:r>
        <w:t xml:space="preserve">and social impacts, as well as the impacts on the</w:t>
      </w:r>
      <w:r>
        <w:t xml:space="preserve"> </w:t>
      </w:r>
      <w:r>
        <w:t xml:space="preserve">benefits to costs ratio.</w:t>
      </w:r>
    </w:p>
    <w:p>
      <w:pPr>
        <w:pStyle w:val="BodyText"/>
      </w:pPr>
      <w:r>
        <w:t xml:space="preserve">The effectiveness section (section 7.1) has been re-</w:t>
      </w:r>
      <w:r>
        <w:t xml:space="preserve"> </w:t>
      </w:r>
      <w:r>
        <w:t xml:space="preserve">drafted, to take into account of the revised specific</w:t>
      </w:r>
      <w:r>
        <w:t xml:space="preserve"> </w:t>
      </w:r>
      <w:r>
        <w:t xml:space="preserve">objectives. The description has been simplified for the</w:t>
      </w:r>
      <w:r>
        <w:t xml:space="preserve"> </w:t>
      </w:r>
      <w:r>
        <w:t xml:space="preserve">non-technical reader. Section 7.3 on coherence has</w:t>
      </w:r>
      <w:r>
        <w:t xml:space="preserve"> </w:t>
      </w:r>
      <w:r>
        <w:t xml:space="preserve">been expanded to include further details on the</w:t>
      </w:r>
      <w:r>
        <w:t xml:space="preserve"> </w:t>
      </w:r>
      <w:r>
        <w:t xml:space="preserve">coherence with specific relevant initiatives.</w:t>
      </w:r>
    </w:p>
    <w:p>
      <w:pPr>
        <w:pStyle w:val="BodyText"/>
      </w:pPr>
      <w:r>
        <w:t xml:space="preserve">Section 8.1 has been strengthened to include further</w:t>
      </w:r>
      <w:r>
        <w:t xml:space="preserve"> </w:t>
      </w:r>
      <w:r>
        <w:t xml:space="preserve">elaboration on the effectiveness of the preferred policy</w:t>
      </w:r>
      <w:r>
        <w:t xml:space="preserve"> </w:t>
      </w:r>
      <w:r>
        <w:t xml:space="preserve">option in comparison with the other policy options,</w:t>
      </w:r>
      <w:r>
        <w:t xml:space="preserve"> </w:t>
      </w:r>
      <w:r>
        <w:t xml:space="preserve">and the result of the cost-benefit analysis has been</w:t>
      </w:r>
      <w:r>
        <w:t xml:space="preserve"> </w:t>
      </w:r>
      <w:r>
        <w:t xml:space="preserve">highlighted.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(4) The report should better explain what the initiative</w:t>
      </w:r>
      <w:r>
        <w:t xml:space="preserve"> </w:t>
      </w:r>
      <w:r>
        <w:t xml:space="preserve">aims to accomplish exactly. To achieve this, the general</w:t>
      </w:r>
      <w:r>
        <w:t xml:space="preserve"> </w:t>
      </w:r>
      <w:r>
        <w:t xml:space="preserve">and specific objectives should be better structured, split in</w:t>
      </w:r>
      <w:r>
        <w:t xml:space="preserve"> </w:t>
      </w:r>
      <w:r>
        <w:t xml:space="preserve">order to fit with the problem drivers and expressed in</w:t>
      </w:r>
      <w:r>
        <w:t xml:space="preserve"> </w:t>
      </w:r>
      <w:r>
        <w:t xml:space="preserve">SMARTer terms to ensure better measurement and</w:t>
      </w:r>
      <w:r>
        <w:t xml:space="preserve"> </w:t>
      </w:r>
      <w:r>
        <w:t xml:space="preserve">monitoring of effectiveness and ultimately success of the</w:t>
      </w:r>
      <w:r>
        <w:t xml:space="preserve"> </w:t>
      </w:r>
      <w:r>
        <w:t xml:space="preserve">EU action.</w:t>
      </w:r>
      <w:r>
        <w:t xml:space="preserve"> </w:t>
      </w:r>
      <w:r>
        <w:t xml:space="preserve">Section 9 has been reinforced and now discusses how</w:t>
      </w:r>
      <w:r>
        <w:t xml:space="preserve"> </w:t>
      </w:r>
      <w:r>
        <w:t xml:space="preserve">success would look like in terms of an improved RIS</w:t>
      </w:r>
      <w:r>
        <w:t xml:space="preserve"> </w:t>
      </w:r>
      <w:r>
        <w:t xml:space="preserve">framework, linking the achievements of this initiative</w:t>
      </w:r>
      <w:r>
        <w:t xml:space="preserve"> </w:t>
      </w:r>
      <w:r>
        <w:t xml:space="preserve">with parallel complementary initiatives focusing on</w:t>
      </w:r>
      <w:r>
        <w:t xml:space="preserve"> </w:t>
      </w:r>
      <w:r>
        <w:t xml:space="preserve">multimodality and environmental performance.</w:t>
      </w:r>
    </w:p>
    <w:p>
      <w:pPr>
        <w:pStyle w:val="Compact"/>
        <w:numPr>
          <w:ilvl w:val="0"/>
          <w:numId w:val="1001"/>
        </w:numPr>
      </w:pPr>
      <w:r>
        <w:t xml:space="preserve">EVIDENCE, SOURCES AND QUALITY</w:t>
      </w:r>
      <w:r>
        <w:t xml:space="preserve"> </w:t>
      </w:r>
      <w:r>
        <w:t xml:space="preserve">The impact assessment is based on several sources, including:</w:t>
      </w:r>
    </w:p>
    <w:p>
      <w:pPr>
        <w:pStyle w:val="Compact"/>
        <w:numPr>
          <w:ilvl w:val="0"/>
          <w:numId w:val="1001"/>
        </w:numPr>
      </w:pPr>
      <w:r>
        <w:t xml:space="preserve">The ex-post evaluation of the RIS Directive;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Stakeholder consultation activities (see Annex 2);</w:t>
      </w:r>
    </w:p>
    <w:p>
      <w:pPr>
        <w:pStyle w:val="Compact"/>
        <w:numPr>
          <w:ilvl w:val="0"/>
          <w:numId w:val="1001"/>
        </w:numPr>
      </w:pPr>
      <w:r>
        <w:t xml:space="preserve">External support study carried out by an independent consultant (Ramboll Management</w:t>
      </w:r>
      <w:r>
        <w:t xml:space="preserve"> </w:t>
      </w:r>
      <w:r>
        <w:t xml:space="preserve">Consulting, supported by Transport &amp; Mobility Leuven and Panteia);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Commission experience in monitoring and implementing the Directive;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Commission expert groups for NAIADES and DINA (Digital Inland Navigation) The</w:t>
      </w:r>
      <w:r>
        <w:t xml:space="preserve"> </w:t>
      </w:r>
      <w:r>
        <w:t xml:space="preserve">expert group meetings were held on 7th of July and 12th of December 2022.</w:t>
      </w:r>
    </w:p>
    <w:p>
      <w:pPr>
        <w:pStyle w:val="FirstParagraph"/>
      </w:pPr>
      <w:r>
        <w:t xml:space="preserve">78</w:t>
      </w:r>
      <w:r>
        <w:t xml:space="preserve"> </w:t>
      </w:r>
      <w:r>
        <w:t xml:space="preserve">ANNEX 2: STAKEHOLDER CONSULTATION (SYNOPSIS REPORT)</w:t>
      </w:r>
      <w:r>
        <w:t xml:space="preserve"> </w:t>
      </w:r>
      <w:r>
        <w:t xml:space="preserve">1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This annex provides a summary of the outcomes of the consultation activities which have</w:t>
      </w:r>
      <w:r>
        <w:t xml:space="preserve"> </w:t>
      </w:r>
      <w:r>
        <w:t xml:space="preserve">been carried out for the review of RIS Directive, including in the context of the external</w:t>
      </w:r>
      <w:r>
        <w:t xml:space="preserve"> </w:t>
      </w:r>
      <w:r>
        <w:t xml:space="preserve">support study. It notes the range of stakeholders consulted, describes the main consultation</w:t>
      </w:r>
      <w:r>
        <w:t xml:space="preserve"> </w:t>
      </w:r>
      <w:r>
        <w:t xml:space="preserve">activities and provides a succinct analysis of their views and the main issues they raised.</w:t>
      </w:r>
      <w:r>
        <w:br/>
      </w:r>
      <w:r>
        <w:t xml:space="preserve">The objective of the consultation activities was to collect information and opinions of</w:t>
      </w:r>
      <w:r>
        <w:t xml:space="preserve"> </w:t>
      </w:r>
      <w:r>
        <w:t xml:space="preserve">stakeholders on the key problems and associated drivers, definition of relevant policy</w:t>
      </w:r>
      <w:r>
        <w:t xml:space="preserve"> </w:t>
      </w:r>
      <w:r>
        <w:t xml:space="preserve">objectives linked to those problem areas and the identification, definition and screening of</w:t>
      </w:r>
      <w:r>
        <w:t xml:space="preserve"> </w:t>
      </w:r>
      <w:r>
        <w:t xml:space="preserve">policy measures that could eventually be incorporated into policy options for this impact</w:t>
      </w:r>
      <w:r>
        <w:t xml:space="preserve"> </w:t>
      </w:r>
      <w:r>
        <w:t xml:space="preserve">assessment as well as gather information and opinions on their likely impacts. A consultation</w:t>
      </w:r>
      <w:r>
        <w:t xml:space="preserve"> </w:t>
      </w:r>
      <w:r>
        <w:t xml:space="preserve">strategy, covering the stakeholder consultation activities, has been developed and further fine-</w:t>
      </w:r>
      <w:r>
        <w:t xml:space="preserve"> </w:t>
      </w:r>
      <w:r>
        <w:t xml:space="preserve">tuned throughout the different phases of impact assessment process.</w:t>
      </w:r>
      <w:r>
        <w:t xml:space="preserve"> </w:t>
      </w:r>
      <w:r>
        <w:t xml:space="preserve">The main consultation activities included:</w:t>
      </w:r>
      <w:r>
        <w:t xml:space="preserve"> </w:t>
      </w:r>
      <w:r>
        <w:t xml:space="preserve">- Consultation on the Inception Impact Assessment (IIA) was conducted by the European</w:t>
      </w:r>
      <w:r>
        <w:t xml:space="preserve"> </w:t>
      </w:r>
      <w:r>
        <w:t xml:space="preserve">Commission between August and September 2021. In total 21 respondents provided</w:t>
      </w:r>
      <w:r>
        <w:t xml:space="preserve"> </w:t>
      </w:r>
      <w:r>
        <w:t xml:space="preserve">feedback.</w:t>
      </w:r>
      <w:r>
        <w:t xml:space="preserve"> </w:t>
      </w:r>
      <w:r>
        <w:t xml:space="preserve">- An Open Public Consultation (OPC), which was available in all EU languages, was</w:t>
      </w:r>
      <w:r>
        <w:t xml:space="preserve"> </w:t>
      </w:r>
      <w:r>
        <w:t xml:space="preserve">conducted over the period 16 August 2022 - 22 November 2022. The OPC was aimed at</w:t>
      </w:r>
      <w:r>
        <w:t xml:space="preserve"> </w:t>
      </w:r>
      <w:r>
        <w:t xml:space="preserve">gathering public opinion on the shortcomings and challenges in the implementation of the</w:t>
      </w:r>
      <w:r>
        <w:t xml:space="preserve"> </w:t>
      </w:r>
      <w:r>
        <w:t xml:space="preserve">RIS Directive, and the possible ways in which the Directive could be revised. In total, 13</w:t>
      </w:r>
      <w:r>
        <w:t xml:space="preserve"> </w:t>
      </w:r>
      <w:r>
        <w:t xml:space="preserve">responses were received.</w:t>
      </w:r>
      <w:r>
        <w:t xml:space="preserve"> </w:t>
      </w:r>
      <w:r>
        <w:t xml:space="preserve">- 29 interviews were organised in the context of the impact assessment support study (during</w:t>
      </w:r>
      <w:r>
        <w:t xml:space="preserve"> </w:t>
      </w:r>
      <w:r>
        <w:t xml:space="preserve">the period 25 October - 18 November 2022) with relevant stakeholders at the national level</w:t>
      </w:r>
      <w:r>
        <w:t xml:space="preserve"> </w:t>
      </w:r>
      <w:r>
        <w:t xml:space="preserve">and with key stakeholders at the EU level particularly to support and refine the overall</w:t>
      </w:r>
      <w:r>
        <w:t xml:space="preserve"> </w:t>
      </w:r>
      <w:r>
        <w:t xml:space="preserve">problem definition and possible policy options.</w:t>
      </w:r>
      <w:r>
        <w:t xml:space="preserve"> </w:t>
      </w:r>
      <w:r>
        <w:t xml:space="preserve">- 2 targeted surveys covered two different parts of the impact assessment: (i) First survey -</w:t>
      </w:r>
      <w:r>
        <w:t xml:space="preserve"> </w:t>
      </w:r>
      <w:r>
        <w:t xml:space="preserve">views on the identified problems and their assessment of the policy measures; (ii) Second</w:t>
      </w:r>
      <w:r>
        <w:t xml:space="preserve"> </w:t>
      </w:r>
      <w:r>
        <w:t xml:space="preserve">survey - views on the costs and benefits of each of the proposed policy measure. The</w:t>
      </w:r>
      <w:r>
        <w:t xml:space="preserve"> </w:t>
      </w:r>
      <w:r>
        <w:t xml:space="preserve">respondents were asked to also distribute the survey to other relevant authorities or</w:t>
      </w:r>
      <w:r>
        <w:t xml:space="preserve"> </w:t>
      </w:r>
      <w:r>
        <w:t xml:space="preserve">organisations that would be interested to complete the surveys. The survey was distributed</w:t>
      </w:r>
      <w:r>
        <w:t xml:space="preserve"> </w:t>
      </w:r>
      <w:r>
        <w:t xml:space="preserve">to 229 stakeholders. In the first survey, there were 65 respondents, whereas in the second</w:t>
      </w:r>
      <w:r>
        <w:t xml:space="preserve"> </w:t>
      </w:r>
      <w:r>
        <w:t xml:space="preserve">survey there were 13 respondents. Overall, the response rate for both surveys was 34 %.</w:t>
      </w:r>
      <w:r>
        <w:t xml:space="preserve"> </w:t>
      </w:r>
      <w:r>
        <w:t xml:space="preserve">The first survey was launched on the 1st of August 2022 and has been closed on the 26th</w:t>
      </w:r>
      <w:r>
        <w:t xml:space="preserve"> </w:t>
      </w:r>
      <w:r>
        <w:t xml:space="preserve">of August 2022. The second survey was launched on 24th November 2022 and was closed</w:t>
      </w:r>
      <w:r>
        <w:t xml:space="preserve"> </w:t>
      </w:r>
      <w:r>
        <w:t xml:space="preserve">on 07th February 2023.</w:t>
      </w:r>
      <w:r>
        <w:br/>
      </w:r>
      <w:r>
        <w:t xml:space="preserve">- 2 meetings were organised with experts from the Commission expert group on inland</w:t>
      </w:r>
      <w:r>
        <w:t xml:space="preserve"> </w:t>
      </w:r>
      <w:r>
        <w:t xml:space="preserve">waterway transport (NAIADES implementation group) and the expert group on digital</w:t>
      </w:r>
      <w:r>
        <w:t xml:space="preserve"> </w:t>
      </w:r>
      <w:r>
        <w:t xml:space="preserve">inland navigation (DINA expert group). The aim of the meetings was to gather and</w:t>
      </w:r>
      <w:r>
        <w:t xml:space="preserve"> </w:t>
      </w:r>
      <w:r>
        <w:t xml:space="preserve">validate expert views on the problem drivers and on the list of proposed measures. The</w:t>
      </w:r>
      <w:r>
        <w:t xml:space="preserve"> </w:t>
      </w:r>
      <w:r>
        <w:t xml:space="preserve">meetings were held on 7th of July and 12th of December 2022.</w:t>
      </w:r>
      <w:r>
        <w:br/>
      </w:r>
      <w:r>
        <w:t xml:space="preserve">- Additional consultation activities as part of the consultation strategy, included a two-day</w:t>
      </w:r>
      <w:r>
        <w:t xml:space="preserve"> </w:t>
      </w:r>
      <w:r>
        <w:t xml:space="preserve">targeted workshop organised on 26 and 27 January 2023 (to facilitate the participation of</w:t>
      </w:r>
      <w:r>
        <w:t xml:space="preserve"> </w:t>
      </w:r>
      <w:r>
        <w:t xml:space="preserve">vessel operator representatives). The aim was to collect the feedback of RIS users on the</w:t>
      </w:r>
      <w:r>
        <w:t xml:space="preserve"> </w:t>
      </w:r>
      <w:r>
        <w:t xml:space="preserve">potential costs or expected benefits stemming from the proposed policy measures. The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workshop was co-organised with one of the professional associations at the European</w:t>
      </w:r>
      <w:r>
        <w:t xml:space="preserve"> </w:t>
      </w:r>
      <w:r>
        <w:t xml:space="preserve">Level (IWT Platform) and attended by staff of enterprises providing inland navigation and</w:t>
      </w:r>
      <w:r>
        <w:t xml:space="preserve"> </w:t>
      </w:r>
      <w:r>
        <w:t xml:space="preserve">logistics ICT, representatives of networks of private businesses, members of the shipping</w:t>
      </w:r>
      <w:r>
        <w:t xml:space="preserve"> </w:t>
      </w:r>
      <w:r>
        <w:t xml:space="preserve">sector associations and non-profit organisations for innovation in the inland navigation</w:t>
      </w:r>
      <w:r>
        <w:t xml:space="preserve"> </w:t>
      </w:r>
      <w:r>
        <w:t xml:space="preserve">industry.</w:t>
      </w:r>
      <w:r>
        <w:br/>
      </w:r>
      <w:r>
        <w:t xml:space="preserve">The information collected from stakeholders was key in identifying the problem and its</w:t>
      </w:r>
      <w:r>
        <w:t xml:space="preserve"> </w:t>
      </w:r>
      <w:r>
        <w:t xml:space="preserve">drivers, in refining the design of the Policy Options (POs) as well as in assessing their</w:t>
      </w:r>
      <w:r>
        <w:t xml:space="preserve"> </w:t>
      </w:r>
      <w:r>
        <w:t xml:space="preserve">economic, social and environmental impacts. Findings from the stakeholder consultation</w:t>
      </w:r>
      <w:r>
        <w:t xml:space="preserve"> </w:t>
      </w:r>
      <w:r>
        <w:t xml:space="preserve">complemented the desk research carried out in the context of the impact assessment support</w:t>
      </w:r>
      <w:r>
        <w:t xml:space="preserve"> </w:t>
      </w:r>
      <w:r>
        <w:t xml:space="preserve">study.</w:t>
      </w:r>
      <w:r>
        <w:t xml:space="preserve"> </w:t>
      </w:r>
      <w:r>
        <w:t xml:space="preserve">2</w:t>
      </w:r>
      <w:r>
        <w:t xml:space="preserve"> </w:t>
      </w:r>
      <w:r>
        <w:t xml:space="preserve">METHODOLOGY</w:t>
      </w:r>
      <w:r>
        <w:t xml:space="preserve"> </w:t>
      </w:r>
      <w:r>
        <w:t xml:space="preserve">The remainder of the annex presents the main findings from the analysis of stakeholder</w:t>
      </w:r>
      <w:r>
        <w:t xml:space="preserve"> </w:t>
      </w:r>
      <w:r>
        <w:t xml:space="preserve">contributions to the consultation process. They are structured around the main elements of the</w:t>
      </w:r>
      <w:r>
        <w:t xml:space="preserve"> </w:t>
      </w:r>
      <w:r>
        <w:t xml:space="preserve">intervention logic, namely problems and their drivers, key policy objectives as well as key</w:t>
      </w:r>
      <w:r>
        <w:t xml:space="preserve"> </w:t>
      </w:r>
      <w:r>
        <w:t xml:space="preserve">needs and possible aspects of policy design.</w:t>
      </w:r>
      <w:r>
        <w:br/>
      </w:r>
      <w:r>
        <w:t xml:space="preserve">A mixed methods approach combining online surveys, targeted and follow up interviews,</w:t>
      </w:r>
      <w:r>
        <w:t xml:space="preserve"> </w:t>
      </w:r>
      <w:r>
        <w:t xml:space="preserve">expert meetings and stakeholder workshops has been adopted to conduct the targeted</w:t>
      </w:r>
      <w:r>
        <w:t xml:space="preserve"> </w:t>
      </w:r>
      <w:r>
        <w:t xml:space="preserve">stakeholder consultation activities, which have taken place gradually throughout the impact</w:t>
      </w:r>
      <w:r>
        <w:t xml:space="preserve"> </w:t>
      </w:r>
      <w:r>
        <w:t xml:space="preserve">assessment process. This allowed to capture and fill in data gaps and provide evidence for the</w:t>
      </w:r>
      <w:r>
        <w:t xml:space="preserve"> </w:t>
      </w:r>
      <w:r>
        <w:t xml:space="preserve">impact assessment. Interviews and meetings have been held mostly by videoconference.</w:t>
      </w:r>
      <w:r>
        <w:br/>
      </w:r>
      <w:r>
        <w:t xml:space="preserve">2.1</w:t>
      </w:r>
      <w:r>
        <w:t xml:space="preserve"> </w:t>
      </w:r>
      <w:r>
        <w:t xml:space="preserve">Feedback on the Inception Impact Assessment</w:t>
      </w:r>
      <w:r>
        <w:t xml:space="preserve"> </w:t>
      </w:r>
      <w:r>
        <w:t xml:space="preserve">The consultation on the Inception Impact Assessment (IIA) was conducted by the European</w:t>
      </w:r>
      <w:r>
        <w:t xml:space="preserve"> </w:t>
      </w:r>
      <w:r>
        <w:t xml:space="preserve">Commission in August 2021. The IIA was open to stakeholders and the general public to</w:t>
      </w:r>
      <w:r>
        <w:t xml:space="preserve"> </w:t>
      </w:r>
      <w:r>
        <w:t xml:space="preserve">comment and provide feedback.</w:t>
      </w:r>
      <w:r>
        <w:br/>
      </w:r>
      <w:r>
        <w:t xml:space="preserve">In total, 21 responses were received, originating from 11 countries, with the largest response</w:t>
      </w:r>
      <w:r>
        <w:t xml:space="preserve"> </w:t>
      </w:r>
      <w:r>
        <w:t xml:space="preserve">rate originating from the Netherlands (4 out of 21). The main stakeholders which provided</w:t>
      </w:r>
      <w:r>
        <w:t xml:space="preserve"> </w:t>
      </w:r>
      <w:r>
        <w:t xml:space="preserve">feedback were public authorities and business associations.</w:t>
      </w:r>
      <w:r>
        <w:t xml:space="preserve"> </w:t>
      </w:r>
      <w:r>
        <w:t xml:space="preserve">Figure 13: Overview of respondents to the inception impact assessment (N=21)</w:t>
      </w:r>
    </w:p>
    <w:p>
      <w:pPr>
        <w:pStyle w:val="BodyText"/>
      </w:pPr>
      <w:r>
        <w:t xml:space="preserve">Source: Ramboll et al. (2024), impact assessment support study</w:t>
      </w:r>
      <w:r>
        <w:t xml:space="preserve"> </w:t>
      </w:r>
      <w:r>
        <w:t xml:space="preserve">As regards the replies provided, the following was noted: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• Regarding the context, the problem definition and the subsidiarity check, the respondents</w:t>
      </w:r>
      <w:r>
        <w:t xml:space="preserve"> </w:t>
      </w:r>
      <w:r>
        <w:t xml:space="preserve">largely welcomed and supported the need for the revision of the RIS Directive and</w:t>
      </w:r>
      <w:r>
        <w:t xml:space="preserve"> </w:t>
      </w:r>
      <w:r>
        <w:t xml:space="preserve">considered it very timely considering the evolution of RIS. They acknowledged the</w:t>
      </w:r>
      <w:r>
        <w:t xml:space="preserve"> </w:t>
      </w:r>
      <w:r>
        <w:t xml:space="preserve">definition of the problem, mentioning clearly that full harmonisation and interoperability of</w:t>
      </w:r>
      <w:r>
        <w:t xml:space="preserve"> </w:t>
      </w:r>
      <w:r>
        <w:t xml:space="preserve">RIS has not been achieved due to fragmented implementation. Respondents from public</w:t>
      </w:r>
      <w:r>
        <w:t xml:space="preserve"> </w:t>
      </w:r>
      <w:r>
        <w:t xml:space="preserve">authorities mainly mentioned problems of cross-border inefficiencies and data protection</w:t>
      </w:r>
      <w:r>
        <w:t xml:space="preserve"> </w:t>
      </w:r>
      <w:r>
        <w:t xml:space="preserve">as the relevant ones, as well as inefficient processes for adopting RIS technical</w:t>
      </w:r>
      <w:r>
        <w:t xml:space="preserve"> </w:t>
      </w:r>
      <w:r>
        <w:t xml:space="preserve">specifications. The respondents from the business sector emphasized that too much focus</w:t>
      </w:r>
      <w:r>
        <w:t xml:space="preserve"> </w:t>
      </w:r>
      <w:r>
        <w:t xml:space="preserve">was placed on the needs of authorities, without the necessary level of involvement of the</w:t>
      </w:r>
      <w:r>
        <w:t xml:space="preserve"> </w:t>
      </w:r>
      <w:r>
        <w:t xml:space="preserve">sector players and that the revision of the Directive needs to be oriented towards</w:t>
      </w:r>
      <w:r>
        <w:t xml:space="preserve"> </w:t>
      </w:r>
      <w:r>
        <w:t xml:space="preserve">decreasing the administrative burden for the operators.</w:t>
      </w:r>
      <w:r>
        <w:br/>
      </w:r>
      <w:r>
        <w:t xml:space="preserve">• Regarding the objectives and the policy options, the respondents welcomed the identified</w:t>
      </w:r>
      <w:r>
        <w:t xml:space="preserve"> </w:t>
      </w:r>
      <w:r>
        <w:t xml:space="preserve">objectives and policy options, especially the part on facilitating interfaces with other</w:t>
      </w:r>
      <w:r>
        <w:t xml:space="preserve"> </w:t>
      </w:r>
      <w:r>
        <w:t xml:space="preserve">transport modes (in particular maritime). Public authorities considered as very relevant the</w:t>
      </w:r>
      <w:r>
        <w:t xml:space="preserve"> </w:t>
      </w:r>
      <w:r>
        <w:t xml:space="preserve">measure ensuring the efficiency and effectiveness of the processes and organisation design</w:t>
      </w:r>
      <w:r>
        <w:t xml:space="preserve"> </w:t>
      </w:r>
      <w:r>
        <w:t xml:space="preserve">for the adoption of RIS technical specifications, enabling the sector to take up innovation</w:t>
      </w:r>
      <w:r>
        <w:t xml:space="preserve"> </w:t>
      </w:r>
      <w:r>
        <w:t xml:space="preserve">in a timely way. The corresponding role of CESNI in that regard was clearly referenced by</w:t>
      </w:r>
      <w:r>
        <w:t xml:space="preserve"> </w:t>
      </w:r>
      <w:r>
        <w:t xml:space="preserve">the respondents from public authorities, but also from the business sector.</w:t>
      </w:r>
      <w:r>
        <w:br/>
      </w:r>
      <w:r>
        <w:t xml:space="preserve">• In terms of preliminary assessment of expected impacts, only two respondents commented.</w:t>
      </w:r>
      <w:r>
        <w:t xml:space="preserve"> </w:t>
      </w:r>
      <w:r>
        <w:t xml:space="preserve">One respondent mentioned that the impacts listed in the document are valid, whereas some</w:t>
      </w:r>
      <w:r>
        <w:t xml:space="preserve"> </w:t>
      </w:r>
      <w:r>
        <w:t xml:space="preserve">of them might need further checks. The other commented on the likely social impacts and</w:t>
      </w:r>
      <w:r>
        <w:t xml:space="preserve"> </w:t>
      </w:r>
      <w:r>
        <w:t xml:space="preserve">raised doubt regarding the ability of skippers to adapt to new digital processes and</w:t>
      </w:r>
      <w:r>
        <w:t xml:space="preserve"> </w:t>
      </w:r>
      <w:r>
        <w:t xml:space="preserve">requirements that are going to be imposed on small and medium sized barge owners.</w:t>
      </w:r>
      <w:r>
        <w:t xml:space="preserve"> </w:t>
      </w:r>
      <w:r>
        <w:t xml:space="preserve">2.2</w:t>
      </w:r>
      <w:r>
        <w:t xml:space="preserve"> </w:t>
      </w:r>
      <w:r>
        <w:t xml:space="preserve">Open Public Consultation</w:t>
      </w:r>
      <w:r>
        <w:br/>
      </w:r>
      <w:r>
        <w:t xml:space="preserve">An Open Public Consultation was designed and implemented by the Commission over the</w:t>
      </w:r>
      <w:r>
        <w:t xml:space="preserve"> </w:t>
      </w:r>
      <w:r>
        <w:t xml:space="preserve">period 16 August 2022 - 22 November 2022, to support the gathering of evidence for the</w:t>
      </w:r>
      <w:r>
        <w:t xml:space="preserve"> </w:t>
      </w:r>
      <w:r>
        <w:t xml:space="preserve">impact assessment process. The public consultation aimed to gather public opinion on the</w:t>
      </w:r>
      <w:r>
        <w:t xml:space="preserve"> </w:t>
      </w:r>
      <w:r>
        <w:t xml:space="preserve">shortcomings and challenges in the implementation of the RIS Directive and the possible</w:t>
      </w:r>
      <w:r>
        <w:t xml:space="preserve"> </w:t>
      </w:r>
      <w:r>
        <w:t xml:space="preserve">ways in which the Directive could be revised. Out of the 13 responses received, 6 were from</w:t>
      </w:r>
      <w:r>
        <w:t xml:space="preserve"> </w:t>
      </w:r>
      <w:r>
        <w:t xml:space="preserve">public authorities, 3 from business associations and 2 from company/business organisations.</w:t>
      </w:r>
      <w:r>
        <w:t xml:space="preserve"> </w:t>
      </w:r>
      <w:r>
        <w:t xml:space="preserve">In terms of geographical distribution of the respondents, the largest response rate was from</w:t>
      </w:r>
      <w:r>
        <w:t xml:space="preserve"> </w:t>
      </w:r>
      <w:r>
        <w:t xml:space="preserve">respondents in Belgium (3), followed by Austria and France (2 respectively).</w:t>
      </w:r>
      <w:r>
        <w:t xml:space="preserve"> </w:t>
      </w:r>
      <w:r>
        <w:t xml:space="preserve">Excluding the reply from the EU and a business association which did not provide this</w:t>
      </w:r>
      <w:r>
        <w:t xml:space="preserve"> </w:t>
      </w:r>
      <w:r>
        <w:t xml:space="preserve">information, the breakdown of the size of the organisations/companies is presented in Figure</w:t>
      </w:r>
      <w:r>
        <w:t xml:space="preserve"> </w:t>
      </w:r>
      <w:r>
        <w:t xml:space="preserve">14.</w:t>
      </w:r>
      <w:r>
        <w:t xml:space="preserve"> </w:t>
      </w:r>
      <w:r>
        <w:t xml:space="preserve">Figure 14: OPC replies - breakdown of organisation size</w:t>
      </w:r>
    </w:p>
    <w:p>
      <w:pPr>
        <w:pStyle w:val="BodyText"/>
      </w:pPr>
      <w:r>
        <w:t xml:space="preserve">Source: Open Public Consultation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Within the Open Public Questionnaire, the respondents were requested to provide feedback</w:t>
      </w:r>
      <w:r>
        <w:t xml:space="preserve"> </w:t>
      </w:r>
      <w:r>
        <w:t xml:space="preserve">on 4 main areas:</w:t>
      </w:r>
      <w:r>
        <w:br/>
      </w:r>
      <w:r>
        <w:t xml:space="preserve">• problem drivers and the baseline;</w:t>
      </w:r>
      <w:r>
        <w:t xml:space="preserve"> </w:t>
      </w:r>
      <w:r>
        <w:t xml:space="preserve">• expected development of the inland waterway sector if the legal framework of RIS</w:t>
      </w:r>
      <w:r>
        <w:t xml:space="preserve"> </w:t>
      </w:r>
      <w:r>
        <w:t xml:space="preserve">remains unchanged;</w:t>
      </w:r>
      <w:r>
        <w:br/>
      </w:r>
      <w:r>
        <w:t xml:space="preserve">• areas where a revision of the RIS Directive would have the highest impact;</w:t>
      </w:r>
      <w:r>
        <w:t xml:space="preserve"> </w:t>
      </w:r>
      <w:r>
        <w:t xml:space="preserve">• priority areas of a possible revision of the RIS directive.</w:t>
      </w:r>
      <w:r>
        <w:t xml:space="preserve"> </w:t>
      </w:r>
      <w:r>
        <w:t xml:space="preserve">Regarding feedback on problem drivers and baseline, respondents were asked to provide their</w:t>
      </w:r>
      <w:r>
        <w:t xml:space="preserve"> </w:t>
      </w:r>
      <w:r>
        <w:t xml:space="preserve">views on the importance of specific challenges in the implementation of the River</w:t>
      </w:r>
      <w:r>
        <w:t xml:space="preserve"> </w:t>
      </w:r>
      <w:r>
        <w:t xml:space="preserve">Information Services (RIS) in Europe. The answers are provided in Figure 15.</w:t>
      </w:r>
      <w:r>
        <w:t xml:space="preserve"> </w:t>
      </w:r>
      <w:r>
        <w:t xml:space="preserve">Figure 15: Importance of challenges in the implementation of River Information Services (RIS) in Europe</w:t>
      </w:r>
    </w:p>
    <w:p>
      <w:pPr>
        <w:pStyle w:val="BodyText"/>
      </w:pPr>
      <w:r>
        <w:t xml:space="preserve">Source: Open Public Consultation</w:t>
      </w:r>
      <w:r>
        <w:t xml:space="preserve"> </w:t>
      </w:r>
      <w:r>
        <w:t xml:space="preserve">With regard to missing and non-harmonised RIS information hampering efficient and safe</w:t>
      </w:r>
      <w:r>
        <w:t xml:space="preserve"> </w:t>
      </w:r>
      <w:r>
        <w:t xml:space="preserve">navigation, 12 of the 13 respondents consider this as a very important challenge, and 1 as</w:t>
      </w:r>
      <w:r>
        <w:t xml:space="preserve"> </w:t>
      </w:r>
      <w:r>
        <w:t xml:space="preserve">somewhat important. Delayed introduction of technical specifications for River Information</w:t>
      </w:r>
      <w:r>
        <w:t xml:space="preserve"> </w:t>
      </w:r>
      <w:r>
        <w:t xml:space="preserve">Services is considered as a very important challenge by 10 of the 13 respondents and as</w:t>
      </w:r>
      <w:r>
        <w:t xml:space="preserve"> </w:t>
      </w:r>
      <w:r>
        <w:t xml:space="preserve">somewhat important by the other 3. Of the 13 respondents, 9 consider as a very important</w:t>
      </w:r>
      <w:r>
        <w:t xml:space="preserve"> </w:t>
      </w:r>
      <w:r>
        <w:t xml:space="preserve">challenge that River Information Services do not support the integration of inland waterway</w:t>
      </w:r>
      <w:r>
        <w:t xml:space="preserve"> </w:t>
      </w:r>
      <w:r>
        <w:t xml:space="preserve">transport in the multimodal supply chains, while 2 consider it as somewhat important and</w:t>
      </w:r>
      <w:r>
        <w:t xml:space="preserve"> </w:t>
      </w:r>
      <w:r>
        <w:t xml:space="preserve">further 2 as not important at all. As far as missing relevant information and efficient</w:t>
      </w:r>
      <w:r>
        <w:t xml:space="preserve"> </w:t>
      </w:r>
      <w:r>
        <w:t xml:space="preserve">monitoring to reduce the negative externalities of transport, including through modal shift, 7</w:t>
      </w:r>
      <w:r>
        <w:t xml:space="preserve"> </w:t>
      </w:r>
      <w:r>
        <w:t xml:space="preserve">out of 13 respondents consider this as a very important challenge, 5 out of 13 as somewhat</w:t>
      </w:r>
      <w:r>
        <w:t xml:space="preserve"> </w:t>
      </w:r>
      <w:r>
        <w:t xml:space="preserve">important, while 1 respondent did not know. Electronic data issues including exchange of</w:t>
      </w:r>
      <w:r>
        <w:t xml:space="preserve"> </w:t>
      </w:r>
      <w:r>
        <w:t xml:space="preserve">information (including cross-border) and reporting, were considered as very important</w:t>
      </w:r>
      <w:r>
        <w:t xml:space="preserve"> </w:t>
      </w:r>
      <w:r>
        <w:t xml:space="preserve">challenges by 10 out of 13 respondents, and the rest 3 considered it as somewhat important.</w:t>
      </w:r>
      <w:r>
        <w:t xml:space="preserve"> </w:t>
      </w:r>
      <w:r>
        <w:t xml:space="preserve">Personal data protection concerns by the inland waterway operators were viewed as a very</w:t>
      </w:r>
      <w:r>
        <w:t xml:space="preserve"> </w:t>
      </w:r>
      <w:r>
        <w:t xml:space="preserve">important challenge by 8 out of 13 respondents, as somewhat important by 3 out of 13</w:t>
      </w:r>
      <w:r>
        <w:t xml:space="preserve"> </w:t>
      </w:r>
      <w:r>
        <w:t xml:space="preserve">respondents, and as not important by the rest (2). In addition, 5 out of 13 respondents</w:t>
      </w:r>
      <w:r>
        <w:t xml:space="preserve"> </w:t>
      </w:r>
      <w:r>
        <w:t xml:space="preserve">indicated an additional challenge. Of those, 2 out of 5 considered it a very important</w:t>
      </w:r>
      <w:r>
        <w:t xml:space="preserve"> </w:t>
      </w:r>
      <w:r>
        <w:t xml:space="preserve">challenge (which was further defined by 1 out of 2 as relating to data protection of movement</w:t>
      </w:r>
      <w:r>
        <w:t xml:space="preserve"> </w:t>
      </w:r>
      <w:r>
        <w:t xml:space="preserve">of ships and by the other as relating to the standardisation of information), further 2 out 5</w:t>
      </w:r>
      <w:r>
        <w:t xml:space="preserve"> </w:t>
      </w:r>
      <w:r>
        <w:t xml:space="preserve">indicated as a non important challenge (further defined as the imprecision of minimum data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requirements concerning navigation and voyage planning), and 1 out of 5 respondents</w:t>
      </w:r>
      <w:r>
        <w:t xml:space="preserve"> </w:t>
      </w:r>
      <w:r>
        <w:t xml:space="preserve">indicated “do not know” as an answer.</w:t>
      </w:r>
      <w:r>
        <w:t xml:space="preserve"> </w:t>
      </w:r>
      <w:r>
        <w:t xml:space="preserve">Regarding the expected development of the inland waterway sector if the legal framework of</w:t>
      </w:r>
      <w:r>
        <w:t xml:space="preserve"> </w:t>
      </w:r>
      <w:r>
        <w:t xml:space="preserve">RIS remains unchanged, respondents were asked to provide their views on how they expect</w:t>
      </w:r>
      <w:r>
        <w:t xml:space="preserve"> </w:t>
      </w:r>
      <w:r>
        <w:t xml:space="preserve">the inland waterway sector to develop, if the legal framework of RIS remains unchanged. The</w:t>
      </w:r>
      <w:r>
        <w:t xml:space="preserve"> </w:t>
      </w:r>
      <w:r>
        <w:t xml:space="preserve">answers are provided in Figure 16.</w:t>
      </w:r>
      <w:r>
        <w:t xml:space="preserve"> </w:t>
      </w:r>
      <w:r>
        <w:t xml:space="preserve">Figure 16: Development of inland waterway sector if the legal framework remains unchanged</w:t>
      </w:r>
    </w:p>
    <w:p>
      <w:pPr>
        <w:pStyle w:val="BodyText"/>
      </w:pPr>
      <w:r>
        <w:t xml:space="preserve">Source: Open Public Consultation</w:t>
      </w:r>
      <w:r>
        <w:t xml:space="preserve"> </w:t>
      </w:r>
      <w:r>
        <w:t xml:space="preserve">If the legal framework remains unchanged, 5 out of 13 respondents believe this will have a</w:t>
      </w:r>
      <w:r>
        <w:t xml:space="preserve"> </w:t>
      </w:r>
      <w:r>
        <w:t xml:space="preserve">strong negative development in terms of the implementation of the RIS technical</w:t>
      </w:r>
      <w:r>
        <w:t xml:space="preserve"> </w:t>
      </w:r>
      <w:r>
        <w:t xml:space="preserve">specifications, 4 out of 13 believe it will have a somewhat negative development, 2 out of 13</w:t>
      </w:r>
      <w:r>
        <w:t xml:space="preserve"> </w:t>
      </w:r>
      <w:r>
        <w:t xml:space="preserve">believe it will have a somewhat positive development, 1 out of 13 strongly positive and 1 out</w:t>
      </w:r>
      <w:r>
        <w:t xml:space="preserve"> </w:t>
      </w:r>
      <w:r>
        <w:t xml:space="preserve">of 13 respondents believes that things will remain unchanged. Regarding the digital</w:t>
      </w:r>
      <w:r>
        <w:t xml:space="preserve"> </w:t>
      </w:r>
      <w:r>
        <w:t xml:space="preserve">transformation of the sector, 6 out of 13 respondents anticipate a strongly negative</w:t>
      </w:r>
      <w:r>
        <w:t xml:space="preserve"> </w:t>
      </w:r>
      <w:r>
        <w:t xml:space="preserve">development, 5 out of 13 a somewhat negative development, 2 out of 13 a somewhat positive</w:t>
      </w:r>
      <w:r>
        <w:t xml:space="preserve"> </w:t>
      </w:r>
      <w:r>
        <w:t xml:space="preserve">development and 1 out of 13 respondents believes that things will remain unchanged. On the</w:t>
      </w:r>
      <w:r>
        <w:t xml:space="preserve"> </w:t>
      </w:r>
      <w:r>
        <w:t xml:space="preserve">issue of the environmental performance of the inland waterway sector, 6 out of 13</w:t>
      </w:r>
      <w:r>
        <w:t xml:space="preserve"> </w:t>
      </w:r>
      <w:r>
        <w:t xml:space="preserve">respondents expect no changes, 4 out of 13 somewhat negative developments, 2 out of 13</w:t>
      </w:r>
      <w:r>
        <w:t xml:space="preserve"> </w:t>
      </w:r>
      <w:r>
        <w:t xml:space="preserve">somewhat positive and one respondent indicated no knowledge. In relation to safety of</w:t>
      </w:r>
      <w:r>
        <w:t xml:space="preserve"> </w:t>
      </w:r>
      <w:r>
        <w:t xml:space="preserve">navigation 6 out of 13 respondents anticipate somewhat negative developments, 4 out of 13</w:t>
      </w:r>
      <w:r>
        <w:t xml:space="preserve"> </w:t>
      </w:r>
      <w:r>
        <w:t xml:space="preserve">that the situation will not change, 2 out of 13 that it will be somewhat positive and 1 out of 13</w:t>
      </w:r>
      <w:r>
        <w:t xml:space="preserve"> </w:t>
      </w:r>
      <w:r>
        <w:t xml:space="preserve">that it will become strongly negative. On the integration of inland waterway transport into the</w:t>
      </w:r>
      <w:r>
        <w:t xml:space="preserve"> </w:t>
      </w:r>
      <w:r>
        <w:t xml:space="preserve">multimodal supply chain, 7 out of 13 expect a strong negative development, 4 out of 13 a</w:t>
      </w:r>
      <w:r>
        <w:t xml:space="preserve"> </w:t>
      </w:r>
      <w:r>
        <w:t xml:space="preserve">somewhat negative development and of the remaining, 1 considers no change and 1 a</w:t>
      </w:r>
      <w:r>
        <w:t xml:space="preserve"> </w:t>
      </w:r>
      <w:r>
        <w:t xml:space="preserve">somewhat positive development. Regarding the efficient use of RIS, 8 out of 13 expect a</w:t>
      </w:r>
      <w:r>
        <w:t xml:space="preserve"> </w:t>
      </w:r>
      <w:r>
        <w:t xml:space="preserve">somewhat negative development, 2 out of 13 a strongly negative, 2 out of 13 that things will</w:t>
      </w:r>
      <w:r>
        <w:t xml:space="preserve"> </w:t>
      </w:r>
      <w:r>
        <w:t xml:space="preserve">remain unchanged and 1 out of 13 a strongly positive development. As far as developments in</w:t>
      </w:r>
      <w:r>
        <w:t xml:space="preserve"> </w:t>
      </w:r>
      <w:r>
        <w:t xml:space="preserve">the internal market are concerned, 9 out of 13 respondents expect no change, 3 out of 13 a</w:t>
      </w:r>
      <w:r>
        <w:t xml:space="preserve"> </w:t>
      </w:r>
      <w:r>
        <w:t xml:space="preserve">somewhat negative development and 1 out of 13 a somewhat positive development.</w:t>
      </w:r>
      <w:r>
        <w:t xml:space="preserve"> </w:t>
      </w:r>
      <w:r>
        <w:t xml:space="preserve">Regarding areas where a revision of the RIS Directive would have the highest impact,</w:t>
      </w:r>
      <w:r>
        <w:t xml:space="preserve"> </w:t>
      </w:r>
      <w:r>
        <w:t xml:space="preserve">participants were asked about the area where a possible revision of the RIS Directive should</w:t>
      </w:r>
      <w:r>
        <w:t xml:space="preserve"> </w:t>
      </w:r>
      <w:r>
        <w:t xml:space="preserve">have the highest impact. The answers are presented in Figure 17.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Figure 17: Areas where a revision of the RIS Directive would have the highest impact</w:t>
      </w:r>
    </w:p>
    <w:p>
      <w:pPr>
        <w:pStyle w:val="BodyText"/>
      </w:pPr>
      <w:r>
        <w:t xml:space="preserve">Source: Open Public Consultation</w:t>
      </w:r>
      <w:r>
        <w:t xml:space="preserve"> </w:t>
      </w:r>
      <w:r>
        <w:t xml:space="preserve">Of the respondents, 8 out of 13 indicated the integration with other transport modes, 3 out of</w:t>
      </w:r>
      <w:r>
        <w:t xml:space="preserve"> </w:t>
      </w:r>
      <w:r>
        <w:t xml:space="preserve">13 the efficiency of inland waterway operations, and 1 out of 13 safety. In addition, 1 out of</w:t>
      </w:r>
      <w:r>
        <w:t xml:space="preserve"> </w:t>
      </w:r>
      <w:r>
        <w:t xml:space="preserve">13 respondents indicated another area of impact which was further described as</w:t>
      </w:r>
      <w:r>
        <w:t xml:space="preserve"> </w:t>
      </w:r>
      <w:r>
        <w:t xml:space="preserve">standardisation of information. Regarding priority areas of a possible revision of the RIS</w:t>
      </w:r>
      <w:r>
        <w:t xml:space="preserve"> </w:t>
      </w:r>
      <w:r>
        <w:t xml:space="preserve">directive, the replies are presented in Figure 18.</w:t>
      </w:r>
      <w:r>
        <w:t xml:space="preserve"> </w:t>
      </w:r>
      <w:r>
        <w:t xml:space="preserve">Figure 18: Priority areas of a possible revision of the RIS directive</w:t>
      </w:r>
    </w:p>
    <w:p>
      <w:pPr>
        <w:pStyle w:val="BodyText"/>
      </w:pPr>
      <w:r>
        <w:t xml:space="preserve">Source: Open Public Consultation</w:t>
      </w:r>
      <w:r>
        <w:t xml:space="preserve"> </w:t>
      </w:r>
      <w:r>
        <w:t xml:space="preserve">From the replies of the participants, 9 out of 13 indicated the provision of a clear legal basis</w:t>
      </w:r>
      <w:r>
        <w:t xml:space="preserve"> </w:t>
      </w:r>
      <w:r>
        <w:t xml:space="preserve">for the processing of personal data as a high priority, 3 out of 13 as a low priority and 1 out of</w:t>
      </w:r>
      <w:r>
        <w:t xml:space="preserve"> </w:t>
      </w:r>
      <w:r>
        <w:t xml:space="preserve">13 as no need to take action. On the alignment of the scope of RIS to other relevant policy</w:t>
      </w:r>
      <w:r>
        <w:t xml:space="preserve"> </w:t>
      </w:r>
      <w:r>
        <w:t xml:space="preserve">fields, 8 out of 13 indicated this as a high priority, 3 out of 13 as low priority, 1 out of 13 as</w:t>
      </w:r>
      <w:r>
        <w:t xml:space="preserve"> </w:t>
      </w:r>
      <w:r>
        <w:t xml:space="preserve">no need to take action and 1 out of 13 indicated do not know. Regarding the facilitation of</w:t>
      </w:r>
      <w:r>
        <w:t xml:space="preserve"> </w:t>
      </w:r>
      <w:r>
        <w:t xml:space="preserve">interfaces with other modes of transport, 9 out of 13 considered this a high priority and 4 out</w:t>
      </w:r>
      <w:r>
        <w:t xml:space="preserve"> </w:t>
      </w:r>
      <w:r>
        <w:t xml:space="preserve">13 as low priority. 11 out of 13 respondents consider that a possible revision should mandate</w:t>
      </w:r>
      <w:r>
        <w:t xml:space="preserve"> </w:t>
      </w:r>
      <w:r>
        <w:t xml:space="preserve">links between RIS and other information services as high priority and 2 out of 13 as low</w:t>
      </w:r>
      <w:r>
        <w:t xml:space="preserve"> </w:t>
      </w:r>
      <w:r>
        <w:t xml:space="preserve">priority. Improvement of monitoring of RIS implementation and complaint handling was</w:t>
      </w:r>
      <w:r>
        <w:t xml:space="preserve"> </w:t>
      </w:r>
      <w:r>
        <w:t xml:space="preserve">considered a high priority by 6 out of 13 respondents, as low priority by 6 out of 13 and 1 out</w:t>
      </w:r>
      <w:r>
        <w:t xml:space="preserve"> </w:t>
      </w:r>
      <w:r>
        <w:t xml:space="preserve">of 13 did not know. Speeding up the adoption of RIS technical specifications was seen as high</w:t>
      </w:r>
      <w:r>
        <w:t xml:space="preserve"> </w:t>
      </w:r>
      <w:r>
        <w:t xml:space="preserve">priority by 8 out of 12 respondents, as low by 3 out of 12 and 1 out of 13 did not know.</w:t>
      </w:r>
      <w:r>
        <w:t xml:space="preserve"> </w:t>
      </w:r>
      <w:r>
        <w:t xml:space="preserve">Reducing cross border information gaps and reporting requirements, is considered as high</w:t>
      </w:r>
      <w:r>
        <w:t xml:space="preserve"> </w:t>
      </w:r>
      <w:r>
        <w:t xml:space="preserve">priority by 11 out of 13 respondents and as low priority by 2 out of 13. As regards introducing</w:t>
      </w:r>
      <w:r>
        <w:t xml:space="preserve"> </w:t>
      </w:r>
      <w:r>
        <w:t xml:space="preserve">provisions on reporting of voyages / cargo / persons-on-board, including voyage plans, 11 out</w:t>
      </w:r>
      <w:r>
        <w:t xml:space="preserve"> </w:t>
      </w:r>
      <w:r>
        <w:t xml:space="preserve">of 12 respondents considered this a high priority and 1 out of 12 as low priority. As high</w:t>
      </w:r>
      <w:r>
        <w:t xml:space="preserve"> </w:t>
      </w:r>
      <w:r>
        <w:t xml:space="preserve">priority is the increase of harmonisation of information provided through RIS, including new</w:t>
      </w:r>
      <w:r>
        <w:t xml:space="preserve"> </w:t>
      </w:r>
      <w:r>
        <w:t xml:space="preserve">technical specifications seen by 12 out of 13 respondents, while 1 out 13 sees this as a low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priority. Mandating the exchange of information between all actors is considered as a high</w:t>
      </w:r>
      <w:r>
        <w:t xml:space="preserve"> </w:t>
      </w:r>
      <w:r>
        <w:t xml:space="preserve">priority by 12 out of 13 respondents and as a low priority by 1 out of 13.</w:t>
      </w:r>
      <w:r>
        <w:t xml:space="preserve"> </w:t>
      </w:r>
      <w:r>
        <w:t xml:space="preserve">2.3</w:t>
      </w:r>
      <w:r>
        <w:t xml:space="preserve"> </w:t>
      </w:r>
      <w:r>
        <w:t xml:space="preserve">Interviews, surveys and targeted consultations</w:t>
      </w:r>
      <w:r>
        <w:br/>
      </w:r>
      <w:r>
        <w:t xml:space="preserve">Overall, 29 interviews were conducted with relevant stakeholders at the national level and</w:t>
      </w:r>
      <w:r>
        <w:t xml:space="preserve"> </w:t>
      </w:r>
      <w:r>
        <w:t xml:space="preserve">with key stakeholders at the EU level. The interview programme followed the results of the</w:t>
      </w:r>
      <w:r>
        <w:t xml:space="preserve"> </w:t>
      </w:r>
      <w:r>
        <w:t xml:space="preserve">first survey. The interviews aimed to provide an opportunity for respondents to go into more</w:t>
      </w:r>
      <w:r>
        <w:t xml:space="preserve"> </w:t>
      </w:r>
      <w:r>
        <w:t xml:space="preserve">details. The results fed into the assessment of impacts. Despite efforts to reach out to</w:t>
      </w:r>
      <w:r>
        <w:t xml:space="preserve"> </w:t>
      </w:r>
      <w:r>
        <w:t xml:space="preserve">stakeholders, only 22% of those approached agreed to participate in interviews.</w:t>
      </w:r>
      <w:r>
        <w:br/>
      </w:r>
      <w:r>
        <w:t xml:space="preserve">Table 16: Overview of interviews</w:t>
      </w:r>
      <w:r>
        <w:br/>
      </w:r>
      <w:r>
        <w:t xml:space="preserve">Stakeholder group</w:t>
      </w:r>
      <w:r>
        <w:t xml:space="preserve"> </w:t>
      </w:r>
      <w:r>
        <w:t xml:space="preserve">Stakeholder type</w:t>
      </w:r>
      <w:r>
        <w:t xml:space="preserve"> </w:t>
      </w:r>
      <w:r>
        <w:t xml:space="preserve">No. of proposed</w:t>
      </w:r>
      <w:r>
        <w:t xml:space="preserve"> </w:t>
      </w:r>
      <w:r>
        <w:t xml:space="preserve">interviews</w:t>
      </w:r>
      <w:r>
        <w:t xml:space="preserve"> </w:t>
      </w:r>
      <w:r>
        <w:t xml:space="preserve">No. of</w:t>
      </w:r>
      <w:r>
        <w:t xml:space="preserve"> </w:t>
      </w:r>
      <w:r>
        <w:t xml:space="preserve">interviews</w:t>
      </w:r>
      <w:r>
        <w:t xml:space="preserve"> </w:t>
      </w:r>
      <w:r>
        <w:t xml:space="preserve">Public bodies:</w:t>
      </w:r>
      <w:r>
        <w:t xml:space="preserve"> </w:t>
      </w:r>
      <w:r>
        <w:t xml:space="preserve">International level</w:t>
      </w:r>
      <w:r>
        <w:t xml:space="preserve"> </w:t>
      </w:r>
      <w:r>
        <w:t xml:space="preserve">Shipping Regulation / Technical</w:t>
      </w:r>
      <w:r>
        <w:t xml:space="preserve"> </w:t>
      </w:r>
      <w:r>
        <w:t xml:space="preserve">Certification Authority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Public bodies: European</w:t>
      </w:r>
      <w:r>
        <w:t xml:space="preserve"> </w:t>
      </w:r>
      <w:r>
        <w:t xml:space="preserve">level</w:t>
      </w:r>
      <w:r>
        <w:t xml:space="preserve"> </w:t>
      </w:r>
      <w:r>
        <w:t xml:space="preserve">River Commissions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Other RIS related bodies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Public bodies: National</w:t>
      </w:r>
      <w:r>
        <w:t xml:space="preserve"> </w:t>
      </w:r>
      <w:r>
        <w:t xml:space="preserve">level</w:t>
      </w:r>
      <w:r>
        <w:t xml:space="preserve"> </w:t>
      </w:r>
      <w:r>
        <w:t xml:space="preserve">Port Authorities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National RIS authorities</w:t>
      </w:r>
      <w:r>
        <w:t xml:space="preserve"> </w:t>
      </w:r>
      <w:r>
        <w:t xml:space="preserve">15</w:t>
      </w:r>
      <w:r>
        <w:t xml:space="preserve"> </w:t>
      </w:r>
      <w:r>
        <w:t xml:space="preserve">10</w:t>
      </w:r>
      <w:r>
        <w:t xml:space="preserve"> </w:t>
      </w:r>
      <w:r>
        <w:t xml:space="preserve">Calamity abatement support / agencies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Private sector companies</w:t>
      </w:r>
      <w:r>
        <w:t xml:space="preserve"> </w:t>
      </w:r>
      <w:r>
        <w:t xml:space="preserve">/ representative</w:t>
      </w:r>
      <w:r>
        <w:t xml:space="preserve"> </w:t>
      </w:r>
      <w:r>
        <w:t xml:space="preserve">organisations</w:t>
      </w:r>
      <w:r>
        <w:t xml:space="preserve"> </w:t>
      </w:r>
      <w:r>
        <w:t xml:space="preserve">Professional Associations (European</w:t>
      </w:r>
      <w:r>
        <w:t xml:space="preserve"> </w:t>
      </w:r>
      <w:r>
        <w:t xml:space="preserve">level) representing IWT operators and</w:t>
      </w:r>
      <w:r>
        <w:t xml:space="preserve"> </w:t>
      </w:r>
      <w:r>
        <w:t xml:space="preserve">port operators</w:t>
      </w:r>
      <w:r>
        <w:t xml:space="preserve"> </w:t>
      </w:r>
      <w:r>
        <w:t xml:space="preserve">3</w:t>
      </w:r>
      <w:r>
        <w:t xml:space="preserve"> </w:t>
      </w:r>
      <w:r>
        <w:t xml:space="preserve">6</w:t>
      </w:r>
      <w:r>
        <w:t xml:space="preserve"> </w:t>
      </w:r>
      <w:r>
        <w:t xml:space="preserve">Professional Associations (national level)</w:t>
      </w:r>
      <w:r>
        <w:t xml:space="preserve"> </w:t>
      </w:r>
      <w:r>
        <w:t xml:space="preserve">and the IWT operators, navigation</w:t>
      </w:r>
      <w:r>
        <w:t xml:space="preserve"> </w:t>
      </w:r>
      <w:r>
        <w:t xml:space="preserve">personnel and port operators they</w:t>
      </w:r>
      <w:r>
        <w:t xml:space="preserve"> </w:t>
      </w:r>
      <w:r>
        <w:t xml:space="preserve">represent.</w:t>
      </w:r>
      <w:r>
        <w:br/>
      </w:r>
      <w:r>
        <w:t xml:space="preserve">12</w:t>
      </w:r>
      <w:r>
        <w:t xml:space="preserve"> </w:t>
      </w:r>
      <w:r>
        <w:t xml:space="preserve">3</w:t>
      </w:r>
      <w:r>
        <w:t xml:space="preserve"> </w:t>
      </w:r>
      <w:r>
        <w:t xml:space="preserve">Developers of RIS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Total</w:t>
      </w:r>
      <w:r>
        <w:t xml:space="preserve"> </w:t>
      </w:r>
      <w:r>
        <w:t xml:space="preserve">40</w:t>
      </w:r>
      <w:r>
        <w:t xml:space="preserve"> </w:t>
      </w:r>
      <w:r>
        <w:t xml:space="preserve">29</w:t>
      </w:r>
      <w:r>
        <w:t xml:space="preserve"> </w:t>
      </w:r>
      <w:r>
        <w:t xml:space="preserve">Response rate</w:t>
      </w:r>
    </w:p>
    <w:p>
      <w:pPr>
        <w:pStyle w:val="BodyText"/>
      </w:pPr>
      <w:r>
        <w:t xml:space="preserve">22%</w:t>
      </w:r>
      <w:r>
        <w:t xml:space="preserve"> </w:t>
      </w:r>
      <w:r>
        <w:t xml:space="preserve">Source: Ramboll et al. (2024), impact assessment support study</w:t>
      </w:r>
      <w:r>
        <w:t xml:space="preserve"> </w:t>
      </w:r>
      <w:r>
        <w:t xml:space="preserve">Due to the low response rate to the interviews, a two days targeted back-to-back workshop</w:t>
      </w:r>
      <w:r>
        <w:t xml:space="preserve"> </w:t>
      </w:r>
      <w:r>
        <w:t xml:space="preserve">was organised in order to obtain targeted feedback from RIS users, in particular skippers who</w:t>
      </w:r>
      <w:r>
        <w:t xml:space="preserve"> </w:t>
      </w:r>
      <w:r>
        <w:t xml:space="preserve">broadly represent SMEs. Representatives of staff of enterprises providing inland navigation</w:t>
      </w:r>
      <w:r>
        <w:t xml:space="preserve"> </w:t>
      </w:r>
      <w:r>
        <w:t xml:space="preserve">services, logistics and ICT, representatives of networks of private businesses (skippers) and</w:t>
      </w:r>
      <w:r>
        <w:t xml:space="preserve"> </w:t>
      </w:r>
      <w:r>
        <w:t xml:space="preserve">members of the shipping sector associations (representing skippers) and non-profit</w:t>
      </w:r>
      <w:r>
        <w:t xml:space="preserve"> </w:t>
      </w:r>
      <w:r>
        <w:t xml:space="preserve">organisations for innovation in the inland navigation industry, were invited to discuss</w:t>
      </w:r>
      <w:r>
        <w:t xml:space="preserve"> </w:t>
      </w:r>
      <w:r>
        <w:t xml:space="preserve">estimates of potential costs or expected benefits stemming from the proposed policy measures</w:t>
      </w:r>
      <w:r>
        <w:t xml:space="preserve"> </w:t>
      </w:r>
      <w:r>
        <w:t xml:space="preserve">to update the RIS Directive. In total, 10 out of the 35 persons invited took part in the</w:t>
      </w:r>
      <w:r>
        <w:t xml:space="preserve"> </w:t>
      </w:r>
      <w:r>
        <w:t xml:space="preserve">workshops.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Furthermore, online surveys were paramount in reaching out to the relevant stakeholders and</w:t>
      </w:r>
      <w:r>
        <w:t xml:space="preserve"> </w:t>
      </w:r>
      <w:r>
        <w:t xml:space="preserve">collecting their views and opinions on the identified problems and their assessment of the</w:t>
      </w:r>
      <w:r>
        <w:t xml:space="preserve"> </w:t>
      </w:r>
      <w:r>
        <w:t xml:space="preserve">policy measures, as well as the costs and benefits of each of the policy measures. The first</w:t>
      </w:r>
      <w:r>
        <w:t xml:space="preserve"> </w:t>
      </w:r>
      <w:r>
        <w:t xml:space="preserve">survey was structured and presented on the following key areas: problem and problem drivers,</w:t>
      </w:r>
      <w:r>
        <w:t xml:space="preserve"> </w:t>
      </w:r>
      <w:r>
        <w:t xml:space="preserve">situation under the current RIS Directive, and feedback on the draft policy measures. The</w:t>
      </w:r>
      <w:r>
        <w:t xml:space="preserve"> </w:t>
      </w:r>
      <w:r>
        <w:t xml:space="preserve">survey was distributed to 229 stakeholders, of which 65 have completed it. Out of these 65</w:t>
      </w:r>
      <w:r>
        <w:t xml:space="preserve"> </w:t>
      </w:r>
      <w:r>
        <w:t xml:space="preserve">respondents, in terms of the geographical scope of the countries where the stakeholders work</w:t>
      </w:r>
      <w:r>
        <w:t xml:space="preserve"> </w:t>
      </w:r>
      <w:r>
        <w:t xml:space="preserve">in, the highest number of stakeholders’ replies were received from the Netherlands (22</w:t>
      </w:r>
      <w:r>
        <w:t xml:space="preserve"> </w:t>
      </w:r>
      <w:r>
        <w:t xml:space="preserve">respondents), followed by Germany (11 respondents), Belgium (7 respondents) and Austria (5</w:t>
      </w:r>
      <w:r>
        <w:t xml:space="preserve"> </w:t>
      </w:r>
      <w:r>
        <w:t xml:space="preserve">respondents). 8 stakeholders responded that they work in more than one country, with 2</w:t>
      </w:r>
      <w:r>
        <w:t xml:space="preserve"> </w:t>
      </w:r>
      <w:r>
        <w:t xml:space="preserve">stakeholders working in the Netherlands, Belgium and Germany; 1 working in the</w:t>
      </w:r>
      <w:r>
        <w:t xml:space="preserve"> </w:t>
      </w:r>
      <w:r>
        <w:t xml:space="preserve">Netherlands, Germany, Hungary, Slovakia, Belgium, Austria and Serbia; 2 working in an</w:t>
      </w:r>
      <w:r>
        <w:t xml:space="preserve"> </w:t>
      </w:r>
      <w:r>
        <w:t xml:space="preserve">international organisation, 1 in the Sava Commission, 1 internationally between the</w:t>
      </w:r>
      <w:r>
        <w:t xml:space="preserve"> </w:t>
      </w:r>
      <w:r>
        <w:t xml:space="preserve">Netherlands, France, Germany and Belgium, and 1 across Europe.</w:t>
      </w:r>
      <w:r>
        <w:t xml:space="preserve"> </w:t>
      </w:r>
      <w:r>
        <w:t xml:space="preserve">Furthermore, regarding the stakeholder categories of the respondents, the majority of the</w:t>
      </w:r>
      <w:r>
        <w:t xml:space="preserve"> </w:t>
      </w:r>
      <w:r>
        <w:t xml:space="preserve">respondents were either inland waterway transport or RIS users (31 respondents) or national</w:t>
      </w:r>
      <w:r>
        <w:t xml:space="preserve"> </w:t>
      </w:r>
      <w:r>
        <w:t xml:space="preserve">level public bodies (15 respondents).</w:t>
      </w:r>
      <w:r>
        <w:br/>
      </w:r>
      <w:r>
        <w:t xml:space="preserve">The second survey focused on the potential costs and benefits for the stakeholders of the</w:t>
      </w:r>
      <w:r>
        <w:t xml:space="preserve"> </w:t>
      </w:r>
      <w:r>
        <w:t xml:space="preserve">proposed policy measures in terms of economic, environmental, and social impacts. The</w:t>
      </w:r>
      <w:r>
        <w:t xml:space="preserve"> </w:t>
      </w:r>
      <w:r>
        <w:t xml:space="preserve">survey was distributed to 229 stakeholders, of which 13 have completed it. As regards the</w:t>
      </w:r>
      <w:r>
        <w:t xml:space="preserve"> </w:t>
      </w:r>
      <w:r>
        <w:t xml:space="preserve">geographical scope, the highest number of stakeholders work primarily in Germany (3</w:t>
      </w:r>
      <w:r>
        <w:t xml:space="preserve"> </w:t>
      </w:r>
      <w:r>
        <w:t xml:space="preserve">respondents), followed by Austria (2 respondents). In addition, two stakeholders responded</w:t>
      </w:r>
      <w:r>
        <w:t xml:space="preserve"> </w:t>
      </w:r>
      <w:r>
        <w:t xml:space="preserve">that they work in more than one country, with 1 stakeholder working for an international</w:t>
      </w:r>
      <w:r>
        <w:t xml:space="preserve"> </w:t>
      </w:r>
      <w:r>
        <w:t xml:space="preserve">organisation whose headquarter is in France, and 1 working across Europe. In terms of the</w:t>
      </w:r>
      <w:r>
        <w:t xml:space="preserve"> </w:t>
      </w:r>
      <w:r>
        <w:t xml:space="preserve">stakeholder categories of the respondents, the majority of the respondents were either national</w:t>
      </w:r>
      <w:r>
        <w:t xml:space="preserve"> </w:t>
      </w:r>
      <w:r>
        <w:t xml:space="preserve">level public bodies (3 respondents) or inland waterway transport or RIS users (3 respondents).</w:t>
      </w:r>
      <w:r>
        <w:t xml:space="preserve"> </w:t>
      </w:r>
      <w:r>
        <w:t xml:space="preserve">1 stakeholder chose “other type of professional association” and responded as a IWT operator</w:t>
      </w:r>
      <w:r>
        <w:t xml:space="preserve"> </w:t>
      </w:r>
      <w:r>
        <w:t xml:space="preserve">for fleet and ports; whilst 1 stakeholder chose “other” and responded as a RIS operator.</w:t>
      </w:r>
      <w:r>
        <w:t xml:space="preserve"> </w:t>
      </w:r>
      <w:r>
        <w:t xml:space="preserve">With regard to the 2 meetings organised with experts of the Commission expert group on</w:t>
      </w:r>
      <w:r>
        <w:t xml:space="preserve"> </w:t>
      </w:r>
      <w:r>
        <w:t xml:space="preserve">inland waterway transport (NAIADES implementation group) and the expert group on digital</w:t>
      </w:r>
      <w:r>
        <w:t xml:space="preserve"> </w:t>
      </w:r>
      <w:r>
        <w:t xml:space="preserve">inland navigation (DINA expert group), the following key elements were gathered:</w:t>
      </w:r>
      <w:r>
        <w:t xml:space="preserve"> </w:t>
      </w:r>
      <w:r>
        <w:t xml:space="preserve">During the 1st meeting, which was attended by 26 participants, the discussions focused on the</w:t>
      </w:r>
      <w:r>
        <w:t xml:space="preserve"> </w:t>
      </w:r>
      <w:r>
        <w:t xml:space="preserve">draft problems, draft problem drivers and draft policy measures. The results of the analysis of</w:t>
      </w:r>
      <w:r>
        <w:t xml:space="preserve"> </w:t>
      </w:r>
      <w:r>
        <w:t xml:space="preserve">the inputs regarding the problem drivers showed that the opinion that prevailed among the</w:t>
      </w:r>
      <w:r>
        <w:t xml:space="preserve"> </w:t>
      </w:r>
      <w:r>
        <w:t xml:space="preserve">participants was that if no revisions were made to the RIS Directive (i.e. the baseline</w:t>
      </w:r>
      <w:r>
        <w:t xml:space="preserve"> </w:t>
      </w:r>
      <w:r>
        <w:t xml:space="preserve">scenario), problem drivers are likely to persist. Similarly, the findings on the expected</w:t>
      </w:r>
      <w:r>
        <w:t xml:space="preserve"> </w:t>
      </w:r>
      <w:r>
        <w:t xml:space="preserve">development of the draft problem showed a similar pattern, with majority of votes saying that</w:t>
      </w:r>
      <w:r>
        <w:t xml:space="preserve"> </w:t>
      </w:r>
      <w:r>
        <w:t xml:space="preserve">the situation will stay relatively the same. In relation to the policy measures, the measures</w:t>
      </w:r>
      <w:r>
        <w:t xml:space="preserve"> </w:t>
      </w:r>
      <w:r>
        <w:t xml:space="preserve">which the participants ranked the highest according to their relevance/importance in</w:t>
      </w:r>
      <w:r>
        <w:t xml:space="preserve"> </w:t>
      </w:r>
      <w:r>
        <w:t xml:space="preserve">addressing a given problem driver, were the measures related to increasing the level of</w:t>
      </w:r>
      <w:r>
        <w:t xml:space="preserve"> </w:t>
      </w:r>
      <w:r>
        <w:t xml:space="preserve">harmonisation of RIS by providing guidelines for competent authorities; introducing</w:t>
      </w:r>
      <w:r>
        <w:t xml:space="preserve"> </w:t>
      </w:r>
      <w:r>
        <w:t xml:space="preserve">provision for supplying data to the ERDMS and its operation; strengthening requirements by</w:t>
      </w:r>
      <w:r>
        <w:t xml:space="preserve"> </w:t>
      </w:r>
      <w:r>
        <w:t xml:space="preserve">adding new standards for navigation and voyage planning (RIS INDEX).</w:t>
      </w:r>
      <w:r>
        <w:br/>
      </w:r>
      <w:r>
        <w:t xml:space="preserve">During the 2nd meeting, which was attended by 18 participants, participants were asked to</w:t>
      </w:r>
      <w:r>
        <w:t xml:space="preserve"> </w:t>
      </w:r>
      <w:r>
        <w:t xml:space="preserve">rank the 17 measures from the least costly to the most costly to implement, while the second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exercise asked them to rank these from the least beneficial for RIS users to the most</w:t>
      </w:r>
      <w:r>
        <w:t xml:space="preserve"> </w:t>
      </w:r>
      <w:r>
        <w:t xml:space="preserve">beneficial.</w:t>
      </w:r>
      <w:r>
        <w:br/>
      </w:r>
      <w:r>
        <w:t xml:space="preserve">As a general comment on the assumptions for the parameters substantiating the policy</w:t>
      </w:r>
      <w:r>
        <w:t xml:space="preserve"> </w:t>
      </w:r>
      <w:r>
        <w:t xml:space="preserve">measures, experts stressed that the types of assumptions greatly depended on the actors that</w:t>
      </w:r>
      <w:r>
        <w:t xml:space="preserve"> </w:t>
      </w:r>
      <w:r>
        <w:t xml:space="preserve">provided them. On the complaint mechanism, experts stressed that complaints and the costs</w:t>
      </w:r>
      <w:r>
        <w:t xml:space="preserve"> </w:t>
      </w:r>
      <w:r>
        <w:t xml:space="preserve">thereof are not linked to objects but rather to RIS-related problems. A few experts also</w:t>
      </w:r>
      <w:r>
        <w:t xml:space="preserve"> </w:t>
      </w:r>
      <w:r>
        <w:t xml:space="preserve">reckoned that the assumptions for the costs and impacts of the complaint mechanism were too</w:t>
      </w:r>
      <w:r>
        <w:t xml:space="preserve"> </w:t>
      </w:r>
      <w:r>
        <w:t xml:space="preserve">wide as they included a wide scope of information linked to very different parameters. It was</w:t>
      </w:r>
      <w:r>
        <w:t xml:space="preserve"> </w:t>
      </w:r>
      <w:r>
        <w:t xml:space="preserve">also suggested that a complaint mechanism should not be operated at the Member State-level,</w:t>
      </w:r>
      <w:r>
        <w:t xml:space="preserve"> </w:t>
      </w:r>
      <w:r>
        <w:t xml:space="preserve">but rather at the corridor-level. For what concerns the performance measurement framework,</w:t>
      </w:r>
      <w:r>
        <w:t xml:space="preserve"> </w:t>
      </w:r>
      <w:r>
        <w:t xml:space="preserve">it was stressed by the experts that its costs would greatly change depending on what the key</w:t>
      </w:r>
      <w:r>
        <w:t xml:space="preserve"> </w:t>
      </w:r>
      <w:r>
        <w:t xml:space="preserve">indicators chosen for framework are and on whether the framework is based on a Member</w:t>
      </w:r>
      <w:r>
        <w:t xml:space="preserve"> </w:t>
      </w:r>
      <w:r>
        <w:t xml:space="preserve">State- or corridor-level, suggesting a strong preference for the latter. Other important</w:t>
      </w:r>
      <w:r>
        <w:t xml:space="preserve"> </w:t>
      </w:r>
      <w:r>
        <w:t xml:space="preserve">takeaways from the discussions related to the involvement of CESNI in adopting RIS</w:t>
      </w:r>
      <w:r>
        <w:t xml:space="preserve"> </w:t>
      </w:r>
      <w:r>
        <w:t xml:space="preserve">standards, which was welcomed by the experts as it is expected to increase the swiftness of</w:t>
      </w:r>
      <w:r>
        <w:t xml:space="preserve"> </w:t>
      </w:r>
      <w:r>
        <w:t xml:space="preserve">the adoption of RIS technical standards; support was given to the need to clarify the</w:t>
      </w:r>
      <w:r>
        <w:t xml:space="preserve"> </w:t>
      </w:r>
      <w:r>
        <w:t xml:space="preserve">management of data, possibly allowing barge owners to autonomously decide who they share</w:t>
      </w:r>
      <w:r>
        <w:t xml:space="preserve"> </w:t>
      </w:r>
      <w:r>
        <w:t xml:space="preserve">their data with. Also, the area which was emphasized as important was the protection of</w:t>
      </w:r>
      <w:r>
        <w:t xml:space="preserve"> </w:t>
      </w:r>
      <w:r>
        <w:t xml:space="preserve">company data and the need of RIS-users for Member States to ensure that the illegal use of</w:t>
      </w:r>
      <w:r>
        <w:t xml:space="preserve"> </w:t>
      </w:r>
      <w:r>
        <w:t xml:space="preserve">AIS data is fought against, as this data may disclose contractual relationships and sensitive</w:t>
      </w:r>
      <w:r>
        <w:t xml:space="preserve"> </w:t>
      </w:r>
      <w:r>
        <w:t xml:space="preserve">commercial information.</w:t>
      </w:r>
      <w:r>
        <w:t xml:space="preserve"> </w:t>
      </w:r>
      <w:r>
        <w:t xml:space="preserve">3</w:t>
      </w:r>
      <w:r>
        <w:t xml:space="preserve"> </w:t>
      </w:r>
      <w:r>
        <w:t xml:space="preserve">ANALYSIS OF THE STAKEHOLDER CONSULTATION</w:t>
      </w:r>
      <w:r>
        <w:t xml:space="preserve"> </w:t>
      </w:r>
      <w:r>
        <w:t xml:space="preserve">The remainder of the annex presents the main findings from the analysis of stakeholder</w:t>
      </w:r>
      <w:r>
        <w:t xml:space="preserve"> </w:t>
      </w:r>
      <w:r>
        <w:t xml:space="preserve">contributions to the consultation process. They are structured around the main elements of the</w:t>
      </w:r>
      <w:r>
        <w:t xml:space="preserve"> </w:t>
      </w:r>
      <w:r>
        <w:t xml:space="preserve">intervention logic, including the problem areas and their drivers, the policy objectives as well</w:t>
      </w:r>
      <w:r>
        <w:t xml:space="preserve"> </w:t>
      </w:r>
      <w:r>
        <w:t xml:space="preserve">as the key aspects of the design of possible policy measures. The impact assessment support</w:t>
      </w:r>
      <w:r>
        <w:t xml:space="preserve"> </w:t>
      </w:r>
      <w:r>
        <w:t xml:space="preserve">study130 contains the detailed presentation of findings from the targeted consultation activities.</w:t>
      </w:r>
      <w:r>
        <w:t xml:space="preserve"> </w:t>
      </w:r>
      <w:r>
        <w:t xml:space="preserve">3.1</w:t>
      </w:r>
      <w:r>
        <w:t xml:space="preserve"> </w:t>
      </w:r>
      <w:r>
        <w:t xml:space="preserve">Problem areas and policy objectives</w:t>
      </w:r>
      <w:r>
        <w:br/>
      </w:r>
      <w:r>
        <w:t xml:space="preserve">The impact assessment identified one main overarching problem to be addressed through a</w:t>
      </w:r>
      <w:r>
        <w:t xml:space="preserve"> </w:t>
      </w:r>
      <w:r>
        <w:t xml:space="preserve">revision of the RIS Directive. As part of the interviews, stakeholders were asked to identify</w:t>
      </w:r>
      <w:r>
        <w:t xml:space="preserve"> </w:t>
      </w:r>
      <w:r>
        <w:t xml:space="preserve">what they see as being the main problem to be addressed through a revision of the RIS</w:t>
      </w:r>
      <w:r>
        <w:t xml:space="preserve"> </w:t>
      </w:r>
      <w:r>
        <w:t xml:space="preserve">Directive. Overall, the most salient topic was the difference in the level of implementation of</w:t>
      </w:r>
      <w:r>
        <w:t xml:space="preserve"> </w:t>
      </w:r>
      <w:r>
        <w:t xml:space="preserve">RIS across Member States and the problems that subsequently arise in relation to</w:t>
      </w:r>
      <w:r>
        <w:t xml:space="preserve"> </w:t>
      </w:r>
      <w:r>
        <w:t xml:space="preserve">harmonisation. This was raised by 3 out of 10 national RIS authorities, 2 out of 3 River</w:t>
      </w:r>
      <w:r>
        <w:t xml:space="preserve"> </w:t>
      </w:r>
      <w:r>
        <w:t xml:space="preserve">Commissions, 1 out of 6 professional association at the EU level, 1 out of 3 professional</w:t>
      </w:r>
      <w:r>
        <w:t xml:space="preserve"> </w:t>
      </w:r>
      <w:r>
        <w:t xml:space="preserve">association at the national level and 1 out of 3 developers of RIS. In particular, the lack of</w:t>
      </w:r>
      <w:r>
        <w:t xml:space="preserve"> </w:t>
      </w:r>
      <w:r>
        <w:t xml:space="preserve">harmonised information was noted to bring about legal and organisational challenges, often</w:t>
      </w:r>
      <w:r>
        <w:t xml:space="preserve"> </w:t>
      </w:r>
      <w:r>
        <w:t xml:space="preserve">stemming from lack of efficient communication between stakeholders.</w:t>
      </w:r>
      <w:r>
        <w:br/>
      </w:r>
      <w:r>
        <w:t xml:space="preserve">Based on the feedback from interviews and the evaluation findings, the overall problem was</w:t>
      </w:r>
      <w:r>
        <w:t xml:space="preserve"> </w:t>
      </w:r>
      <w:r>
        <w:t xml:space="preserve">defined as: “slow and fragmented deployment of River Information Services that hamper the</w:t>
      </w:r>
      <w:r>
        <w:t xml:space="preserve"> </w:t>
      </w:r>
      <w:r>
        <w:t xml:space="preserve">competitiveness and safety of the sector, and its contribution towards the European Green</w:t>
      </w:r>
    </w:p>
    <w:p>
      <w:pPr>
        <w:pStyle w:val="BodyText"/>
      </w:pPr>
      <w:r>
        <w:t xml:space="preserve">130 Rambol et al. (2023), Impact Assessment support study for the revision of Directive 2005/44/EC on</w:t>
      </w:r>
      <w:r>
        <w:t xml:space="preserve"> </w:t>
      </w:r>
      <w:r>
        <w:t xml:space="preserve">Harmonised River Information Services (RIS).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Deal objectives”. As seen in Figure 19, 40 out of 59 respondents considered that the problem</w:t>
      </w:r>
      <w:r>
        <w:t xml:space="preserve"> </w:t>
      </w:r>
      <w:r>
        <w:t xml:space="preserve">will somewhat or considerably worsen in the absence of EU level action.</w:t>
      </w:r>
      <w:r>
        <w:br/>
      </w:r>
      <w:r>
        <w:t xml:space="preserve">Figure 19: How do you expect the problem (slow and fragmented deployment of River Information</w:t>
      </w:r>
      <w:r>
        <w:t xml:space="preserve"> </w:t>
      </w:r>
      <w:r>
        <w:t xml:space="preserve">Services that hamper the competitiveness and safety of the sector, and its contribution towards the</w:t>
      </w:r>
      <w:r>
        <w:t xml:space="preserve"> </w:t>
      </w:r>
      <w:r>
        <w:t xml:space="preserve">European Green Deal objectives) to develop in the future? (n=59)</w:t>
      </w:r>
    </w:p>
    <w:p>
      <w:pPr>
        <w:pStyle w:val="BodyText"/>
      </w:pPr>
      <w:r>
        <w:t xml:space="preserve">Source: First Survey</w:t>
      </w:r>
      <w:r>
        <w:t xml:space="preserve"> </w:t>
      </w:r>
      <w:r>
        <w:t xml:space="preserve">Based on the input from stakeholders, a series of problem drivers were developed to explain</w:t>
      </w:r>
      <w:r>
        <w:t xml:space="preserve"> </w:t>
      </w:r>
      <w:r>
        <w:t xml:space="preserve">the main factors that contribute to the slow and fragmented deployment of RIS that hamper</w:t>
      </w:r>
      <w:r>
        <w:t xml:space="preserve"> </w:t>
      </w:r>
      <w:r>
        <w:t xml:space="preserve">the competitiveness and safety of the sector. The main source of stakeholder input for the</w:t>
      </w:r>
      <w:r>
        <w:t xml:space="preserve"> </w:t>
      </w:r>
      <w:r>
        <w:t xml:space="preserve">problem drivers stemmed from the first expert groups meeting and the first survey. Figure 20</w:t>
      </w:r>
      <w:r>
        <w:t xml:space="preserve"> </w:t>
      </w:r>
      <w:r>
        <w:t xml:space="preserve">and accompanying text provide a summary of the responses provided, showing that the</w:t>
      </w:r>
      <w:r>
        <w:t xml:space="preserve"> </w:t>
      </w:r>
      <w:r>
        <w:t xml:space="preserve">stakeholders largely confirm the identified problem drivers, and provide an indication as to</w:t>
      </w:r>
      <w:r>
        <w:t xml:space="preserve"> </w:t>
      </w:r>
      <w:r>
        <w:t xml:space="preserve">their importance.</w:t>
      </w:r>
      <w:r>
        <w:t xml:space="preserve"> </w:t>
      </w:r>
      <w:r>
        <w:t xml:space="preserve">Figure 20: Responses from the first survey to the question “In your view, are the problem drivers listed</w:t>
      </w:r>
      <w:r>
        <w:t xml:space="preserve"> </w:t>
      </w:r>
      <w:r>
        <w:t xml:space="preserve">below problems which the IWT/ RIS sector currently faces?” (n=65)</w:t>
      </w:r>
    </w:p>
    <w:p>
      <w:pPr>
        <w:pStyle w:val="BodyText"/>
      </w:pPr>
      <w:r>
        <w:t xml:space="preserve">Source: First survey</w:t>
      </w:r>
      <w:r>
        <w:t xml:space="preserve"> </w:t>
      </w:r>
      <w:r>
        <w:t xml:space="preserve">There is no significant difference between the opinions of the stakeholders on the problem</w:t>
      </w:r>
      <w:r>
        <w:t xml:space="preserve"> </w:t>
      </w:r>
      <w:r>
        <w:t xml:space="preserve">drivers. The majority of the stakeholders considered all problem drivers to be relevant.</w:t>
      </w:r>
      <w:r>
        <w:t xml:space="preserve"> </w:t>
      </w:r>
      <w:r>
        <w:t xml:space="preserve">Problem driver 3 (Information Services do not support the integration of inland waterways</w:t>
      </w:r>
      <w:r>
        <w:t xml:space="preserve"> </w:t>
      </w:r>
      <w:r>
        <w:t xml:space="preserve">transport into multimodal supply chains) was found to be an issue by slightly fewer</w:t>
      </w:r>
      <w:r>
        <w:t xml:space="preserve"> </w:t>
      </w:r>
      <w:r>
        <w:t xml:space="preserve">stakeholders, 15 out of 56 stakeholders stating that it is not a current problem driver. Inland</w:t>
      </w:r>
      <w:r>
        <w:t xml:space="preserve"> </w:t>
      </w:r>
      <w:r>
        <w:t xml:space="preserve">waterway transport/RIS users were consistent in their views across the different drivers, about</w:t>
      </w:r>
      <w:r>
        <w:t xml:space="preserve"> </w:t>
      </w:r>
      <w:r>
        <w:t xml:space="preserve">half of them considered them to be “definitely a current problem driver”. For problem driver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3, the most responses considering it “definitely a current problem driver” were from national</w:t>
      </w:r>
      <w:r>
        <w:t xml:space="preserve"> </w:t>
      </w:r>
      <w:r>
        <w:t xml:space="preserve">public bodies.</w:t>
      </w:r>
      <w:r>
        <w:br/>
      </w:r>
      <w:r>
        <w:t xml:space="preserve">Figure 21: Responses from the first survey and the DINA/NAIADES expert group meeting to the question</w:t>
      </w:r>
      <w:r>
        <w:t xml:space="preserve"> </w:t>
      </w:r>
      <w:r>
        <w:t xml:space="preserve">“If the current RIS Directive is not revised, how do you expect the following problem drivers to develop in</w:t>
      </w:r>
      <w:r>
        <w:t xml:space="preserve"> </w:t>
      </w:r>
      <w:r>
        <w:t xml:space="preserve">the future?” (Survey, n=59; Expert group meeting, n=26)</w:t>
      </w:r>
    </w:p>
    <w:p>
      <w:pPr>
        <w:pStyle w:val="BodyText"/>
      </w:pPr>
      <w:r>
        <w:t xml:space="preserve">Source: First survey and DINA/NAIADES expert group meeting</w:t>
      </w:r>
      <w:r>
        <w:t xml:space="preserve"> </w:t>
      </w:r>
      <w:r>
        <w:t xml:space="preserve">In terms of stakeholder differences across the problem drivers during the first survey, the</w:t>
      </w:r>
      <w:r>
        <w:t xml:space="preserve"> </w:t>
      </w:r>
      <w:r>
        <w:t xml:space="preserve">majority who responded “the problem will get considerably worse” for problem driver 5 were</w:t>
      </w:r>
      <w:r>
        <w:t xml:space="preserve"> </w:t>
      </w:r>
      <w:r>
        <w:t xml:space="preserve">inland waterway transport/RIS users (9 out of 13 respondents), while for problem drivers 3</w:t>
      </w:r>
      <w:r>
        <w:t xml:space="preserve"> </w:t>
      </w:r>
      <w:r>
        <w:t xml:space="preserve">and 4 the majority were inland waterway transport/RIS users (7 respondents for problem</w:t>
      </w:r>
      <w:r>
        <w:t xml:space="preserve"> </w:t>
      </w:r>
      <w:r>
        <w:t xml:space="preserve">driver 3 and 7 respondents for problem driver 4) and national level public bodies (6</w:t>
      </w:r>
      <w:r>
        <w:t xml:space="preserve"> </w:t>
      </w:r>
      <w:r>
        <w:t xml:space="preserve">respondents for problem driver 3 and 5 respondents for problem driver 4). Approximately half</w:t>
      </w:r>
      <w:r>
        <w:t xml:space="preserve"> </w:t>
      </w:r>
      <w:r>
        <w:t xml:space="preserve">of the stakeholders who responded “the problem will get considerably worse” for problem</w:t>
      </w:r>
      <w:r>
        <w:t xml:space="preserve"> </w:t>
      </w:r>
      <w:r>
        <w:t xml:space="preserve">driver 2 were inland waterway transport/RIS users (6 out of 13 respondents). For problem</w:t>
      </w:r>
      <w:r>
        <w:t xml:space="preserve"> </w:t>
      </w:r>
      <w:r>
        <w:t xml:space="preserve">driver 1 there were no significant differences between the stakeholder groups in the survey</w:t>
      </w:r>
      <w:r>
        <w:t xml:space="preserve"> </w:t>
      </w:r>
      <w:r>
        <w:t xml:space="preserve">responses, however in the expert group meeting, one national authority noted that the non-</w:t>
      </w:r>
      <w:r>
        <w:t xml:space="preserve"> </w:t>
      </w:r>
      <w:r>
        <w:t xml:space="preserve">harmonisation aspect may be missing within the EuRIS portal, but it is dependent on the</w:t>
      </w:r>
      <w:r>
        <w:t xml:space="preserve"> </w:t>
      </w:r>
      <w:r>
        <w:t xml:space="preserve">Member States. However, this view was disputed by one navigation authority which noted</w:t>
      </w:r>
      <w:r>
        <w:t xml:space="preserve"> </w:t>
      </w:r>
      <w:r>
        <w:t xml:space="preserve">that in some countries it takes a long time for the information to be updated (weeks or</w:t>
      </w:r>
      <w:r>
        <w:t xml:space="preserve"> </w:t>
      </w:r>
      <w:r>
        <w:t xml:space="preserve">months), which poses a big problem. One representative of a national authority expressed the</w:t>
      </w:r>
      <w:r>
        <w:t xml:space="preserve"> </w:t>
      </w:r>
      <w:r>
        <w:t xml:space="preserve">view that “although the EuURIS portal as part of the RIS COMEX platform, provides a way</w:t>
      </w:r>
      <w:r>
        <w:t xml:space="preserve"> </w:t>
      </w:r>
      <w:r>
        <w:t xml:space="preserve">to distribute and collect information, it does not solve the problem”.</w:t>
      </w:r>
      <w:r>
        <w:t xml:space="preserve"> </w:t>
      </w:r>
      <w:r>
        <w:t xml:space="preserve">3.2</w:t>
      </w:r>
      <w:r>
        <w:t xml:space="preserve"> </w:t>
      </w:r>
      <w:r>
        <w:t xml:space="preserve">Potential policy measures</w:t>
      </w:r>
      <w:r>
        <w:t xml:space="preserve"> </w:t>
      </w:r>
      <w:r>
        <w:t xml:space="preserve">The stakeholder views on the list of policy measures are described in this section. Each policy</w:t>
      </w:r>
      <w:r>
        <w:t xml:space="preserve"> </w:t>
      </w:r>
      <w:r>
        <w:t xml:space="preserve">measure was discussed in connection with one or more of the problem drivers. As part of the</w:t>
      </w:r>
      <w:r>
        <w:t xml:space="preserve"> </w:t>
      </w:r>
      <w:r>
        <w:t xml:space="preserve">first survey stakeholders were asked about the extent to which they believed that the</w:t>
      </w:r>
      <w:r>
        <w:t xml:space="preserve"> </w:t>
      </w:r>
      <w:r>
        <w:t xml:space="preserve">individual measures could address each of the identified problem drivers.</w:t>
      </w:r>
      <w:r>
        <w:br/>
      </w:r>
      <w:r>
        <w:t xml:space="preserve">Under problem driver 1, the measures for the provisions of guidelines for competent</w:t>
      </w:r>
      <w:r>
        <w:t xml:space="preserve"> </w:t>
      </w:r>
      <w:r>
        <w:t xml:space="preserve">authorities and the addition of new standards gathered support across all stakeholder groups.</w:t>
      </w:r>
      <w:r>
        <w:t xml:space="preserve"> </w:t>
      </w:r>
      <w:r>
        <w:t xml:space="preserve">For the measures on the requirement of electronic voyage planning reporting, introduction of</w:t>
      </w:r>
      <w:r>
        <w:t xml:space="preserve"> </w:t>
      </w:r>
      <w:r>
        <w:t xml:space="preserve">provisions for supplying data to the ERDMS and its operation, private sector organisations</w:t>
      </w:r>
      <w:r>
        <w:t xml:space="preserve"> </w:t>
      </w:r>
      <w:r>
        <w:t xml:space="preserve">generally were less in favour. This was also true of the introduction of a new Performance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Measurement Framework, and complaint mechanism, of which international level</w:t>
      </w:r>
      <w:r>
        <w:t xml:space="preserve"> </w:t>
      </w:r>
      <w:r>
        <w:t xml:space="preserve">organisations also were less in favour. The requirement of electronic voyage reporting also</w:t>
      </w:r>
      <w:r>
        <w:t xml:space="preserve"> </w:t>
      </w:r>
      <w:r>
        <w:t xml:space="preserve">gathered more negative views from IWT and RIS users, as well as participants from the first</w:t>
      </w:r>
      <w:r>
        <w:t xml:space="preserve"> </w:t>
      </w:r>
      <w:r>
        <w:t xml:space="preserve">expert group meeting.</w:t>
      </w:r>
      <w:r>
        <w:br/>
      </w:r>
      <w:r>
        <w:t xml:space="preserve">Under problem driver 2, the measure for the inclusion of CESNI in the development and</w:t>
      </w:r>
      <w:r>
        <w:t xml:space="preserve"> </w:t>
      </w:r>
      <w:r>
        <w:t xml:space="preserve">adoption of technical specifications by revising the governance structure and adoption</w:t>
      </w:r>
      <w:r>
        <w:t xml:space="preserve"> </w:t>
      </w:r>
      <w:r>
        <w:t xml:space="preserve">procedure for technical specifications of the RIS Directive was broadly supported across each</w:t>
      </w:r>
      <w:r>
        <w:t xml:space="preserve"> </w:t>
      </w:r>
      <w:r>
        <w:t xml:space="preserve">consultation method, with private sector companies however being split on the degree to</w:t>
      </w:r>
      <w:r>
        <w:t xml:space="preserve"> </w:t>
      </w:r>
      <w:r>
        <w:t xml:space="preserve">which it could bring about positive change.</w:t>
      </w:r>
      <w:r>
        <w:br/>
      </w:r>
      <w:r>
        <w:t xml:space="preserve">Under problem driver 3, for the measures of encouraging and requiring electronic voyage plan</w:t>
      </w:r>
      <w:r>
        <w:t xml:space="preserve"> </w:t>
      </w:r>
      <w:r>
        <w:t xml:space="preserve">reporting, there was general support across stakeholder groups, with the exception of</w:t>
      </w:r>
      <w:r>
        <w:t xml:space="preserve"> </w:t>
      </w:r>
      <w:r>
        <w:t xml:space="preserve">international level public bodies and private sector companies. Private sector companies were</w:t>
      </w:r>
      <w:r>
        <w:t xml:space="preserve"> </w:t>
      </w:r>
      <w:r>
        <w:t xml:space="preserve">also less in favour of the measure to add new standards on data for navigation and voyage</w:t>
      </w:r>
      <w:r>
        <w:t xml:space="preserve"> </w:t>
      </w:r>
      <w:r>
        <w:t xml:space="preserve">planning, revise the RIS guidelines as well as the introduction of provisions for supplying</w:t>
      </w:r>
      <w:r>
        <w:t xml:space="preserve"> </w:t>
      </w:r>
      <w:r>
        <w:t xml:space="preserve">data to the ERDMS and its operation, which was also not supported by national RIS</w:t>
      </w:r>
      <w:r>
        <w:t xml:space="preserve"> </w:t>
      </w:r>
      <w:r>
        <w:t xml:space="preserve">authorities. For the measure of linking RIS requirements with those of the TEN-T Regulation,</w:t>
      </w:r>
      <w:r>
        <w:t xml:space="preserve"> </w:t>
      </w:r>
      <w:r>
        <w:t xml:space="preserve">there was general support across stakeholder groups with the exception of international level</w:t>
      </w:r>
      <w:r>
        <w:t xml:space="preserve"> </w:t>
      </w:r>
      <w:r>
        <w:t xml:space="preserve">public bodies and private sector companies.</w:t>
      </w:r>
      <w:r>
        <w:br/>
      </w:r>
      <w:r>
        <w:t xml:space="preserve">Under problem driver 4, for the measure on information exchange through eFTI and EMSWe</w:t>
      </w:r>
      <w:r>
        <w:t xml:space="preserve"> </w:t>
      </w:r>
      <w:r>
        <w:t xml:space="preserve">mechanisms, despite agreement between national level public bodies and representative</w:t>
      </w:r>
      <w:r>
        <w:t xml:space="preserve"> </w:t>
      </w:r>
      <w:r>
        <w:t xml:space="preserve">organisations, a more negative opinion was provided by IWT/RIS users and international</w:t>
      </w:r>
      <w:r>
        <w:t xml:space="preserve"> </w:t>
      </w:r>
      <w:r>
        <w:t xml:space="preserve">level organisations. Similarly, international level organisations and private organisations were</w:t>
      </w:r>
      <w:r>
        <w:t xml:space="preserve"> </w:t>
      </w:r>
      <w:r>
        <w:t xml:space="preserve">also less in favour of the measures for the encouragement of information exchange through</w:t>
      </w:r>
      <w:r>
        <w:t xml:space="preserve"> </w:t>
      </w:r>
      <w:r>
        <w:t xml:space="preserve">the RIS COMEX platform and a centralised system for RIS data exchange by the</w:t>
      </w:r>
      <w:r>
        <w:t xml:space="preserve"> </w:t>
      </w:r>
      <w:r>
        <w:t xml:space="preserve">Commission.</w:t>
      </w:r>
      <w:r>
        <w:br/>
      </w:r>
      <w:r>
        <w:t xml:space="preserve">Finally, under problem driver 5, all of the measures proposed were positively received by</w:t>
      </w:r>
      <w:r>
        <w:t xml:space="preserve"> </w:t>
      </w:r>
      <w:r>
        <w:t xml:space="preserve">stakeholders with the exception of international organisations which generally held the view</w:t>
      </w:r>
      <w:r>
        <w:t xml:space="preserve"> </w:t>
      </w:r>
      <w:r>
        <w:t xml:space="preserve">that the measures would only address the problem to a small or to no extent.</w:t>
      </w:r>
      <w:r>
        <w:t xml:space="preserve"> </w:t>
      </w:r>
      <w:r>
        <w:t xml:space="preserve">Figure 22 to Figure 26 below show to what extent participants in the DINA/NAIADES expert</w:t>
      </w:r>
      <w:r>
        <w:t xml:space="preserve"> </w:t>
      </w:r>
      <w:r>
        <w:t xml:space="preserve">group meetings considered that different draft policy measures would address the various</w:t>
      </w:r>
      <w:r>
        <w:t xml:space="preserve"> </w:t>
      </w:r>
      <w:r>
        <w:t xml:space="preserve">identified problem drivers.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Figure 22: To what extent do you believe the</w:t>
      </w:r>
      <w:r>
        <w:t xml:space="preserve"> </w:t>
      </w:r>
      <w:r>
        <w:t xml:space="preserve">individual measures below could help to address</w:t>
      </w:r>
      <w:r>
        <w:t xml:space="preserve"> </w:t>
      </w:r>
      <w:r>
        <w:t xml:space="preserve">problem driver 1? (n=49)</w:t>
      </w:r>
    </w:p>
    <w:p>
      <w:pPr>
        <w:pStyle w:val="BodyText"/>
      </w:pPr>
      <w:r>
        <w:t xml:space="preserve">Figure 23: To what extent do you believe the individual</w:t>
      </w:r>
      <w:r>
        <w:t xml:space="preserve"> </w:t>
      </w:r>
      <w:r>
        <w:t xml:space="preserve">measures below could help to address problem driver 2?</w:t>
      </w:r>
      <w:r>
        <w:t xml:space="preserve"> </w:t>
      </w:r>
      <w:r>
        <w:t xml:space="preserve">(n=48)</w:t>
      </w:r>
      <w:r>
        <w:t xml:space="preserve"> </w:t>
      </w:r>
      <w:r>
        <w:t xml:space="preserve">Figure 24: To what extent do you believe the</w:t>
      </w:r>
      <w:r>
        <w:t xml:space="preserve"> </w:t>
      </w:r>
      <w:r>
        <w:t xml:space="preserve">individual measures below could help to address</w:t>
      </w:r>
      <w:r>
        <w:t xml:space="preserve"> </w:t>
      </w:r>
      <w:r>
        <w:t xml:space="preserve">problem driver 3? (n=48)</w:t>
      </w:r>
    </w:p>
    <w:p>
      <w:pPr>
        <w:pStyle w:val="BodyText"/>
      </w:pPr>
      <w:r>
        <w:t xml:space="preserve">Figure 25: To what extent do you believe the individual</w:t>
      </w:r>
      <w:r>
        <w:t xml:space="preserve"> </w:t>
      </w:r>
      <w:r>
        <w:t xml:space="preserve">measures below could help to address problem driver 4?</w:t>
      </w:r>
      <w:r>
        <w:t xml:space="preserve"> </w:t>
      </w:r>
      <w:r>
        <w:t xml:space="preserve">(n=48)</w:t>
      </w:r>
      <w:r>
        <w:t xml:space="preserve"> </w:t>
      </w:r>
      <w:r>
        <w:t xml:space="preserve">Figure 26: To what extent do you believe the individual measures below could help to address problem</w:t>
      </w:r>
      <w:r>
        <w:t xml:space="preserve"> </w:t>
      </w:r>
      <w:r>
        <w:t xml:space="preserve">driver 5? (n=46)</w:t>
      </w:r>
    </w:p>
    <w:p>
      <w:pPr>
        <w:pStyle w:val="BodyText"/>
      </w:pPr>
      <w:r>
        <w:t xml:space="preserve">Source: DINA/NAIADES expert group meeting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3.3</w:t>
      </w:r>
      <w:r>
        <w:t xml:space="preserve"> </w:t>
      </w:r>
      <w:r>
        <w:t xml:space="preserve">Differences among stakeholder groups and integration of consultation results</w:t>
      </w:r>
      <w:r>
        <w:t xml:space="preserve"> </w:t>
      </w:r>
      <w:r>
        <w:t xml:space="preserve">While the number of stakeholders consulted differs significantly across the different levels of</w:t>
      </w:r>
      <w:r>
        <w:t xml:space="preserve"> </w:t>
      </w:r>
      <w:r>
        <w:t xml:space="preserve">governance, a concerted effort was made to consult all relevant stakeholder groups. While all</w:t>
      </w:r>
      <w:r>
        <w:t xml:space="preserve"> </w:t>
      </w:r>
      <w:r>
        <w:t xml:space="preserve">groups were contacted, there was a limited response from IWT skippers and barge owners</w:t>
      </w:r>
      <w:r>
        <w:t xml:space="preserve"> </w:t>
      </w:r>
      <w:r>
        <w:t xml:space="preserve">thus limiting their contribution in the triangulation of results.</w:t>
      </w:r>
      <w:r>
        <w:br/>
      </w:r>
      <w:r>
        <w:t xml:space="preserve">The Open Public Consultation had a low response rate, while in the case of the interviews, the</w:t>
      </w:r>
      <w:r>
        <w:t xml:space="preserve"> </w:t>
      </w:r>
      <w:r>
        <w:t xml:space="preserve">main stakeholder group targeted was that of national RIS authorities. In terms of geographical</w:t>
      </w:r>
      <w:r>
        <w:t xml:space="preserve"> </w:t>
      </w:r>
      <w:r>
        <w:t xml:space="preserve">coverage, overall, there was noticeable bias with stakeholders from the Netherlands,</w:t>
      </w:r>
      <w:r>
        <w:t xml:space="preserve"> </w:t>
      </w:r>
      <w:r>
        <w:t xml:space="preserve">Germany, Austria and Belgium. This bias was however to be expected, given the main</w:t>
      </w:r>
      <w:r>
        <w:t xml:space="preserve"> </w:t>
      </w:r>
      <w:r>
        <w:t xml:space="preserve">transport/ river routes across Europe, as well as the most prominent stakeholders being EU or</w:t>
      </w:r>
      <w:r>
        <w:t xml:space="preserve"> </w:t>
      </w:r>
      <w:r>
        <w:t xml:space="preserve">International associations/ organisations.</w:t>
      </w:r>
      <w:r>
        <w:br/>
      </w:r>
      <w:r>
        <w:t xml:space="preserve">With regards to the surveys and interviews a slight bias towards greater representation of</w:t>
      </w:r>
      <w:r>
        <w:t xml:space="preserve"> </w:t>
      </w:r>
      <w:r>
        <w:t xml:space="preserve">IWT/ RIS users was found in the overall sample size compared to other groups. This was</w:t>
      </w:r>
      <w:r>
        <w:t xml:space="preserve"> </w:t>
      </w:r>
      <w:r>
        <w:t xml:space="preserve">however judged positively as the majority of those respondents indicated to work for SMEs.</w:t>
      </w:r>
      <w:r>
        <w:t xml:space="preserve"> </w:t>
      </w:r>
      <w:r>
        <w:t xml:space="preserve">No weightings were applied in relation in the different sample sizes, but rather the data was</w:t>
      </w:r>
      <w:r>
        <w:t xml:space="preserve"> </w:t>
      </w:r>
      <w:r>
        <w:t xml:space="preserve">triangulated, and biases were taken into account in the presentation of results.</w:t>
      </w:r>
      <w:r>
        <w:t xml:space="preserve"> </w:t>
      </w:r>
      <w:r>
        <w:t xml:space="preserve">From the different activities described above, triangulation of the data uncovered that the</w:t>
      </w:r>
      <w:r>
        <w:t xml:space="preserve"> </w:t>
      </w:r>
      <w:r>
        <w:t xml:space="preserve">stakeholder views were largely divided across two broad points of view: 1) keep the RIS in its</w:t>
      </w:r>
      <w:r>
        <w:t xml:space="preserve"> </w:t>
      </w:r>
      <w:r>
        <w:t xml:space="preserve">current form, but reinforce implementation across Member States, and 2) revise the RIS</w:t>
      </w:r>
      <w:r>
        <w:t xml:space="preserve"> </w:t>
      </w:r>
      <w:r>
        <w:t xml:space="preserve">Directive and focus on greater implementation. Another diverging sets of views could be seen</w:t>
      </w:r>
      <w:r>
        <w:t xml:space="preserve"> </w:t>
      </w:r>
      <w:r>
        <w:t xml:space="preserve">in the area of sharing of data where the public authorities were much more in favour of</w:t>
      </w:r>
      <w:r>
        <w:t xml:space="preserve"> </w:t>
      </w:r>
      <w:r>
        <w:t xml:space="preserve">sharing of relevant data, while the operators and business associations were against data</w:t>
      </w:r>
      <w:r>
        <w:t xml:space="preserve"> </w:t>
      </w:r>
      <w:r>
        <w:t xml:space="preserve">sharing as well as managing the data on a central level. These differing views were found in</w:t>
      </w:r>
      <w:r>
        <w:t xml:space="preserve"> </w:t>
      </w:r>
      <w:r>
        <w:t xml:space="preserve">each of the consultation activities and have been taken into account and adequately</w:t>
      </w:r>
      <w:r>
        <w:t xml:space="preserve"> </w:t>
      </w:r>
      <w:r>
        <w:t xml:space="preserve">represented in the analysis.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The revision of the Directive on River Information Services (RIS) aims at providing a</w:t>
      </w:r>
      <w:r>
        <w:t xml:space="preserve"> </w:t>
      </w:r>
      <w:r>
        <w:t xml:space="preserve">framework for harmonised and updated RIS that will enable improvements in the</w:t>
      </w:r>
      <w:r>
        <w:t xml:space="preserve"> </w:t>
      </w:r>
      <w:r>
        <w:t xml:space="preserve">competitiveness and safety of the sector, and its contribution towards the European Green</w:t>
      </w:r>
      <w:r>
        <w:t xml:space="preserve"> </w:t>
      </w:r>
      <w:r>
        <w:t xml:space="preserve">Deal objectives.</w:t>
      </w:r>
      <w:r>
        <w:br/>
      </w:r>
      <w:r>
        <w:t xml:space="preserve">The preferred policy option will improve the performance of RIS, provide for more and better</w:t>
      </w:r>
      <w:r>
        <w:t xml:space="preserve"> </w:t>
      </w:r>
      <w:r>
        <w:t xml:space="preserve">quality data exchange, through a clear structure. It will support enhanced participation in</w:t>
      </w:r>
      <w:r>
        <w:t xml:space="preserve"> </w:t>
      </w:r>
      <w:r>
        <w:t xml:space="preserve">intermodal operations and will bring legal clarity on the exchange for cross border operations.</w:t>
      </w:r>
      <w:r>
        <w:br/>
      </w:r>
      <w:r>
        <w:t xml:space="preserve">The preferred policy option will promote digitalisation in the sector, improve links with other</w:t>
      </w:r>
      <w:r>
        <w:t xml:space="preserve"> </w:t>
      </w:r>
      <w:r>
        <w:t xml:space="preserve">systems and tackle the identified challenges. In this respect the preferred policy option sets</w:t>
      </w:r>
      <w:r>
        <w:t xml:space="preserve"> </w:t>
      </w:r>
      <w:r>
        <w:t xml:space="preserve">the basis and acts as an enabler for further developments to improve operational performance,</w:t>
      </w:r>
      <w:r>
        <w:t xml:space="preserve"> </w:t>
      </w:r>
      <w:r>
        <w:t xml:space="preserve">intermodality, competitiveness and sustainability. The main stakeholder groups affected are:</w:t>
      </w:r>
      <w:r>
        <w:t xml:space="preserve"> </w:t>
      </w:r>
      <w:r>
        <w:t xml:space="preserve">national public authorities, vessel operators, RIS software services providers and the</w:t>
      </w:r>
      <w:r>
        <w:t xml:space="preserve"> </w:t>
      </w:r>
      <w:r>
        <w:t xml:space="preserve">European Commission.</w:t>
      </w:r>
      <w:r>
        <w:br/>
      </w:r>
      <w:r>
        <w:t xml:space="preserve">The national public authorities will initially bear some upfront adjustment costs related to</w:t>
      </w:r>
      <w:r>
        <w:t xml:space="preserve"> </w:t>
      </w:r>
      <w:r>
        <w:t xml:space="preserve">the setting up of the complaint handling mechanism, as well as for necessary software and</w:t>
      </w:r>
      <w:r>
        <w:t xml:space="preserve"> </w:t>
      </w:r>
      <w:r>
        <w:t xml:space="preserve">hardware to improve the RIS Index and RIS COMEX, as well as links with other modes</w:t>
      </w:r>
      <w:r>
        <w:t xml:space="preserve"> </w:t>
      </w:r>
      <w:r>
        <w:t xml:space="preserve">(eFTI, EMSWe) and inland ports. National public authorities will also bear recurrent</w:t>
      </w:r>
      <w:r>
        <w:t xml:space="preserve"> </w:t>
      </w:r>
      <w:r>
        <w:t xml:space="preserve">administrative costs for maintenance and update of the above-mentioned systems. On the</w:t>
      </w:r>
      <w:r>
        <w:t xml:space="preserve"> </w:t>
      </w:r>
      <w:r>
        <w:t xml:space="preserve">other hand, they will benefit from administrative cost savings through electronic processing of</w:t>
      </w:r>
      <w:r>
        <w:t xml:space="preserve"> </w:t>
      </w:r>
      <w:r>
        <w:t xml:space="preserve">cargo information (instead of paper cargo reports) and the phase out of national platforms that</w:t>
      </w:r>
      <w:r>
        <w:t xml:space="preserve"> </w:t>
      </w:r>
      <w:r>
        <w:t xml:space="preserve">would be gradually replaced by RIS COMEX.</w:t>
      </w:r>
      <w:r>
        <w:br/>
      </w:r>
      <w:r>
        <w:t xml:space="preserve">Vessel operators will benefit from better quality information and reduced efforts to collect</w:t>
      </w:r>
      <w:r>
        <w:t xml:space="preserve"> </w:t>
      </w:r>
      <w:r>
        <w:t xml:space="preserve">the necessary information to plan their voyage, which will bring adjustment costs savings.</w:t>
      </w:r>
      <w:r>
        <w:t xml:space="preserve"> </w:t>
      </w:r>
      <w:r>
        <w:t xml:space="preserve">They will also benefit from administrative cost savings, as less efforts will be required to</w:t>
      </w:r>
      <w:r>
        <w:t xml:space="preserve"> </w:t>
      </w:r>
      <w:r>
        <w:t xml:space="preserve">prepare and resubmit reports as these will be done with harmonised and standardised tools,</w:t>
      </w:r>
      <w:r>
        <w:t xml:space="preserve"> </w:t>
      </w:r>
      <w:r>
        <w:t xml:space="preserve">like the one-stop-shop RIS COMEX, the eFTI platforms, and with inland ports.</w:t>
      </w:r>
      <w:r>
        <w:br/>
      </w:r>
      <w:r>
        <w:t xml:space="preserve">Software services providers will benefit of adjustment costs savings due to improved access</w:t>
      </w:r>
      <w:r>
        <w:t xml:space="preserve"> </w:t>
      </w:r>
      <w:r>
        <w:t xml:space="preserve">to better quality information, which will reduce the costs of their software applications.</w:t>
      </w:r>
      <w:r>
        <w:br/>
      </w:r>
      <w:r>
        <w:t xml:space="preserve">The society at large will benefit from a reduction in the external costs of CO2 emissions,</w:t>
      </w:r>
      <w:r>
        <w:t xml:space="preserve"> </w:t>
      </w:r>
      <w:r>
        <w:t xml:space="preserve">accidents, congestion, noise and habitats.</w:t>
      </w:r>
      <w:r>
        <w:br/>
      </w:r>
      <w:r>
        <w:t xml:space="preserve">2.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I. Overview of Benefits (total for all provisions) – Preferred Option (PO-B)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for vessel operators,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EUR 72.1 million</w:t>
      </w:r>
      <w:r>
        <w:t xml:space="preserve"> </w:t>
      </w:r>
      <w:r>
        <w:t xml:space="preserve">Recurrent adjustment costs savings for</w:t>
      </w:r>
      <w:r>
        <w:t xml:space="preserve"> </w:t>
      </w:r>
      <w:r>
        <w:t xml:space="preserve">vessel operators due to better quality</w:t>
      </w:r>
      <w:r>
        <w:t xml:space="preserve"> </w:t>
      </w:r>
      <w:r>
        <w:t xml:space="preserve">information and reduced efforts to collect</w:t>
      </w:r>
      <w:r>
        <w:t xml:space="preserve"> </w:t>
      </w:r>
      <w:r>
        <w:t xml:space="preserve">the necessary information to plan their</w:t>
      </w:r>
      <w:r>
        <w:t xml:space="preserve"> </w:t>
      </w:r>
      <w:r>
        <w:t xml:space="preserve">voyage.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I. Overview of Benefits (total for all provisions) – Preferred Option (PO-B)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savings for vessel operators,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EUR 28.5 million</w:t>
      </w:r>
      <w:r>
        <w:t xml:space="preserve"> </w:t>
      </w:r>
      <w:r>
        <w:t xml:space="preserve">Recurrent administrative costs savings for</w:t>
      </w:r>
      <w:r>
        <w:t xml:space="preserve"> </w:t>
      </w:r>
      <w:r>
        <w:t xml:space="preserve">vessel operators, due to reducing the need</w:t>
      </w:r>
      <w:r>
        <w:t xml:space="preserve"> </w:t>
      </w:r>
      <w:r>
        <w:t xml:space="preserve">for re-registering cargo information and</w:t>
      </w:r>
      <w:r>
        <w:t xml:space="preserve"> </w:t>
      </w:r>
      <w:r>
        <w:t xml:space="preserve">reporting cargo information to ports. These</w:t>
      </w:r>
      <w:r>
        <w:t xml:space="preserve"> </w:t>
      </w:r>
      <w:r>
        <w:t xml:space="preserve">administrative costs savings are driven by</w:t>
      </w:r>
      <w:r>
        <w:t xml:space="preserve"> </w:t>
      </w:r>
      <w:r>
        <w:t xml:space="preserve">the exchange of cargo-related information</w:t>
      </w:r>
      <w:r>
        <w:t xml:space="preserve"> </w:t>
      </w:r>
      <w:r>
        <w:t xml:space="preserve">through the eFTI mechanism, the exchange</w:t>
      </w:r>
      <w:r>
        <w:t xml:space="preserve"> </w:t>
      </w:r>
      <w:r>
        <w:t xml:space="preserve">of information through the RIS COMEX</w:t>
      </w:r>
      <w:r>
        <w:t xml:space="preserve"> </w:t>
      </w:r>
      <w:r>
        <w:t xml:space="preserve">platform, the new technical specifications</w:t>
      </w:r>
      <w:r>
        <w:t xml:space="preserve"> </w:t>
      </w:r>
      <w:r>
        <w:t xml:space="preserve">for the exchange of information with IWT</w:t>
      </w:r>
      <w:r>
        <w:t xml:space="preserve"> </w:t>
      </w:r>
      <w:r>
        <w:t xml:space="preserve">ports and legal clarity for personal data.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for RIS software services</w:t>
      </w:r>
      <w:r>
        <w:t xml:space="preserve"> </w:t>
      </w:r>
      <w:r>
        <w:t xml:space="preserve">providers, expressed as</w:t>
      </w:r>
      <w:r>
        <w:t xml:space="preserve"> </w:t>
      </w:r>
      <w:r>
        <w:t xml:space="preserve">present value over 2025-</w:t>
      </w:r>
      <w:r>
        <w:t xml:space="preserve"> </w:t>
      </w:r>
      <w:r>
        <w:t xml:space="preserve">2050 relative to the baseline</w:t>
      </w:r>
      <w:r>
        <w:t xml:space="preserve"> </w:t>
      </w:r>
      <w:r>
        <w:t xml:space="preserve">EUR 8.1 million</w:t>
      </w:r>
      <w:r>
        <w:t xml:space="preserve"> </w:t>
      </w:r>
      <w:r>
        <w:t xml:space="preserve">Recurrent adjustment costs savings for RIS</w:t>
      </w:r>
      <w:r>
        <w:t xml:space="preserve"> </w:t>
      </w:r>
      <w:r>
        <w:t xml:space="preserve">software</w:t>
      </w:r>
      <w:r>
        <w:t xml:space="preserve"> </w:t>
      </w:r>
      <w:r>
        <w:t xml:space="preserve">services</w:t>
      </w:r>
      <w:r>
        <w:t xml:space="preserve"> </w:t>
      </w:r>
      <w:r>
        <w:t xml:space="preserve">providers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improved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better</w:t>
      </w:r>
      <w:r>
        <w:t xml:space="preserve"> </w:t>
      </w:r>
      <w:r>
        <w:t xml:space="preserve">quality</w:t>
      </w:r>
      <w:r>
        <w:t xml:space="preserve"> </w:t>
      </w:r>
      <w:r>
        <w:t xml:space="preserve">information, which will reduce the costs of</w:t>
      </w:r>
      <w:r>
        <w:t xml:space="preserve"> </w:t>
      </w:r>
      <w:r>
        <w:t xml:space="preserve">their software applications.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savings for national public</w:t>
      </w:r>
      <w:r>
        <w:t xml:space="preserve"> </w:t>
      </w:r>
      <w:r>
        <w:t xml:space="preserve">authorities, expressed as</w:t>
      </w:r>
      <w:r>
        <w:t xml:space="preserve"> </w:t>
      </w:r>
      <w:r>
        <w:t xml:space="preserve">present value over 2025-</w:t>
      </w:r>
      <w:r>
        <w:t xml:space="preserve"> </w:t>
      </w:r>
      <w:r>
        <w:t xml:space="preserve">2050 relative to the baseline</w:t>
      </w:r>
      <w:r>
        <w:t xml:space="preserve"> </w:t>
      </w:r>
      <w:r>
        <w:t xml:space="preserve">EUR 30.6 million</w:t>
      </w:r>
      <w:r>
        <w:t xml:space="preserve"> </w:t>
      </w:r>
      <w:r>
        <w:t xml:space="preserve">Recurrent administrative costs savings for</w:t>
      </w:r>
      <w:r>
        <w:t xml:space="preserve"> </w:t>
      </w:r>
      <w:r>
        <w:t xml:space="preserve">national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through</w:t>
      </w:r>
      <w:r>
        <w:t xml:space="preserve"> </w:t>
      </w:r>
      <w:r>
        <w:t xml:space="preserve">electronic processing of cargo information</w:t>
      </w:r>
      <w:r>
        <w:t xml:space="preserve"> </w:t>
      </w:r>
      <w:r>
        <w:t xml:space="preserve">(instead of paper cargo reports) and the</w:t>
      </w:r>
      <w:r>
        <w:t xml:space="preserve"> </w:t>
      </w:r>
      <w:r>
        <w:t xml:space="preserve">phase out of national platforms that would</w:t>
      </w:r>
      <w:r>
        <w:t xml:space="preserve"> </w:t>
      </w:r>
      <w:r>
        <w:t xml:space="preserve">be gradually replaced by RIS COMEX.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Reduction in external costs</w:t>
      </w:r>
      <w:r>
        <w:t xml:space="preserve"> </w:t>
      </w:r>
      <w:r>
        <w:t xml:space="preserve">of CO2 emissions, expressed</w:t>
      </w:r>
      <w:r>
        <w:t xml:space="preserve"> </w:t>
      </w:r>
      <w:r>
        <w:t xml:space="preserve">as present value over 2025-</w:t>
      </w:r>
      <w:r>
        <w:t xml:space="preserve"> </w:t>
      </w:r>
      <w:r>
        <w:t xml:space="preserve">2050 relative to the baseline</w:t>
      </w:r>
      <w:r>
        <w:t xml:space="preserve"> </w:t>
      </w:r>
      <w:r>
        <w:t xml:space="preserve">EUR 48.6 million</w:t>
      </w:r>
      <w:r>
        <w:t xml:space="preserve"> </w:t>
      </w:r>
      <w:r>
        <w:t xml:space="preserve">Indirect benefit to society at large, due to</w:t>
      </w:r>
      <w:r>
        <w:t xml:space="preserve"> </w:t>
      </w:r>
      <w:r>
        <w:t xml:space="preserve">the tonnes of CO2 emissions saved, enabled</w:t>
      </w:r>
      <w:r>
        <w:t xml:space="preserve"> </w:t>
      </w:r>
      <w:r>
        <w:t xml:space="preserve">by the higher use of IWT and the shift away</w:t>
      </w:r>
      <w:r>
        <w:t xml:space="preserve"> </w:t>
      </w:r>
      <w:r>
        <w:t xml:space="preserve">from road transport. The reduction in the</w:t>
      </w:r>
      <w:r>
        <w:t xml:space="preserve"> </w:t>
      </w:r>
      <w:r>
        <w:t xml:space="preserve">external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CO2</w:t>
      </w:r>
      <w:r>
        <w:t xml:space="preserve"> </w:t>
      </w:r>
      <w:r>
        <w:t xml:space="preserve">emissions</w:t>
      </w:r>
      <w:r>
        <w:t xml:space="preserve"> </w:t>
      </w:r>
      <w:r>
        <w:t xml:space="preserve">is</w:t>
      </w:r>
      <w:r>
        <w:t xml:space="preserve"> </w:t>
      </w:r>
      <w:r>
        <w:t xml:space="preserve">estimated at EUR 48.6 million, expressed</w:t>
      </w:r>
      <w:r>
        <w:t xml:space="preserve"> </w:t>
      </w:r>
      <w:r>
        <w:t xml:space="preserve">as present value over the 2025-2050</w:t>
      </w:r>
      <w:r>
        <w:t xml:space="preserve"> </w:t>
      </w:r>
      <w:r>
        <w:t xml:space="preserve">horizon relative to the baseline.</w:t>
      </w:r>
      <w:r>
        <w:t xml:space="preserve"> </w:t>
      </w:r>
      <w:r>
        <w:t xml:space="preserve">Reduction in external costs</w:t>
      </w:r>
      <w:r>
        <w:t xml:space="preserve"> </w:t>
      </w:r>
      <w:r>
        <w:t xml:space="preserve">of noise emissions,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EUR 36.6 million</w:t>
      </w:r>
      <w:r>
        <w:t xml:space="preserve"> </w:t>
      </w:r>
      <w:r>
        <w:t xml:space="preserve">Indirect benefit to society at large, enabled</w:t>
      </w:r>
      <w:r>
        <w:t xml:space="preserve"> </w:t>
      </w:r>
      <w:r>
        <w:t xml:space="preserve">by the higher use of IWT and the shift away</w:t>
      </w:r>
      <w:r>
        <w:t xml:space="preserve"> </w:t>
      </w:r>
      <w:r>
        <w:t xml:space="preserve">from road transport. The reduction in the</w:t>
      </w:r>
      <w:r>
        <w:t xml:space="preserve"> </w:t>
      </w:r>
      <w:r>
        <w:t xml:space="preserve">external costs of noise emissions is</w:t>
      </w:r>
      <w:r>
        <w:t xml:space="preserve"> </w:t>
      </w:r>
      <w:r>
        <w:t xml:space="preserve">estimated at EUR 36.6 million, expressed</w:t>
      </w:r>
      <w:r>
        <w:t xml:space="preserve"> </w:t>
      </w:r>
      <w:r>
        <w:t xml:space="preserve">as present value over the 2025-2050</w:t>
      </w:r>
      <w:r>
        <w:t xml:space="preserve"> </w:t>
      </w:r>
      <w:r>
        <w:t xml:space="preserve">horizon relative to the baseline.</w:t>
      </w:r>
      <w:r>
        <w:t xml:space="preserve"> </w:t>
      </w:r>
      <w:r>
        <w:t xml:space="preserve">Reduction in external costs</w:t>
      </w:r>
      <w:r>
        <w:t xml:space="preserve"> </w:t>
      </w:r>
      <w:r>
        <w:t xml:space="preserve">of habitats, expressed as</w:t>
      </w:r>
      <w:r>
        <w:t xml:space="preserve"> </w:t>
      </w:r>
      <w:r>
        <w:t xml:space="preserve">present value over 2025-</w:t>
      </w:r>
      <w:r>
        <w:t xml:space="preserve"> </w:t>
      </w:r>
      <w:r>
        <w:t xml:space="preserve">2050 relative to the baseline</w:t>
      </w:r>
      <w:r>
        <w:t xml:space="preserve"> </w:t>
      </w:r>
      <w:r>
        <w:t xml:space="preserve">EUR 36.2 million</w:t>
      </w:r>
      <w:r>
        <w:t xml:space="preserve"> </w:t>
      </w:r>
      <w:r>
        <w:t xml:space="preserve">Indirect benefit to society at large, enabled</w:t>
      </w:r>
      <w:r>
        <w:t xml:space="preserve"> </w:t>
      </w:r>
      <w:r>
        <w:t xml:space="preserve">by the higher use of IWT and the shift away</w:t>
      </w:r>
      <w:r>
        <w:t xml:space="preserve"> </w:t>
      </w:r>
      <w:r>
        <w:t xml:space="preserve">from road transport. The reduction in the</w:t>
      </w:r>
      <w:r>
        <w:t xml:space="preserve"> </w:t>
      </w:r>
      <w:r>
        <w:t xml:space="preserve">external costs of habitats is estimated at</w:t>
      </w:r>
      <w:r>
        <w:t xml:space="preserve"> </w:t>
      </w:r>
      <w:r>
        <w:t xml:space="preserve">EUR 36.2 million, expressed as present</w:t>
      </w:r>
      <w:r>
        <w:t xml:space="preserve"> </w:t>
      </w:r>
      <w:r>
        <w:t xml:space="preserve">value over the 2025-2050 horizon relative</w:t>
      </w:r>
      <w:r>
        <w:t xml:space="preserve"> </w:t>
      </w:r>
      <w:r>
        <w:t xml:space="preserve">to the baseline.</w:t>
      </w:r>
      <w:r>
        <w:t xml:space="preserve"> </w:t>
      </w:r>
      <w:r>
        <w:t xml:space="preserve">Reduction in external costs</w:t>
      </w:r>
      <w:r>
        <w:t xml:space="preserve"> </w:t>
      </w:r>
      <w:r>
        <w:t xml:space="preserve">of road congestion,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EUR 86.8 million</w:t>
      </w:r>
      <w:r>
        <w:t xml:space="preserve"> </w:t>
      </w:r>
      <w:r>
        <w:t xml:space="preserve">Indirect benefit to society at large, enabled</w:t>
      </w:r>
      <w:r>
        <w:t xml:space="preserve"> </w:t>
      </w:r>
      <w:r>
        <w:t xml:space="preserve">by the higher use of IWT and the shift away</w:t>
      </w:r>
      <w:r>
        <w:t xml:space="preserve"> </w:t>
      </w:r>
      <w:r>
        <w:t xml:space="preserve">from road transport. The reduction in the</w:t>
      </w:r>
      <w:r>
        <w:t xml:space="preserve"> </w:t>
      </w:r>
      <w:r>
        <w:t xml:space="preserve">external costs of road congestion is</w:t>
      </w:r>
      <w:r>
        <w:t xml:space="preserve"> </w:t>
      </w:r>
      <w:r>
        <w:t xml:space="preserve">estimated at EUR 86.8 million, expressed</w:t>
      </w:r>
      <w:r>
        <w:t xml:space="preserve"> </w:t>
      </w:r>
      <w:r>
        <w:t xml:space="preserve">as present value over the 2025-2050</w:t>
      </w:r>
      <w:r>
        <w:t xml:space="preserve"> </w:t>
      </w:r>
      <w:r>
        <w:t xml:space="preserve">horizon relative to the baseline.</w:t>
      </w:r>
      <w:r>
        <w:t xml:space="preserve"> </w:t>
      </w:r>
      <w:r>
        <w:t xml:space="preserve">Reduction in external costs</w:t>
      </w:r>
      <w:r>
        <w:t xml:space="preserve"> </w:t>
      </w:r>
      <w:r>
        <w:t xml:space="preserve">of road accidents (fatalities</w:t>
      </w:r>
      <w:r>
        <w:t xml:space="preserve"> </w:t>
      </w:r>
      <w:r>
        <w:t xml:space="preserve">EUR 115.8 million</w:t>
      </w:r>
      <w:r>
        <w:t xml:space="preserve"> </w:t>
      </w:r>
      <w:r>
        <w:t xml:space="preserve">Indirect benefit to society at large, due to</w:t>
      </w:r>
      <w:r>
        <w:t xml:space="preserve"> </w:t>
      </w:r>
      <w:r>
        <w:t xml:space="preserve">the lives saved and injuries avoided,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I. Overview of Benefits (total for all provisions) – Preferred Option (PO-B)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and injuries), expressed as</w:t>
      </w:r>
      <w:r>
        <w:t xml:space="preserve"> </w:t>
      </w:r>
      <w:r>
        <w:t xml:space="preserve">present value over 2025-</w:t>
      </w:r>
      <w:r>
        <w:t xml:space="preserve"> </w:t>
      </w:r>
      <w:r>
        <w:t xml:space="preserve">2050 relative to the baseline</w:t>
      </w:r>
      <w:r>
        <w:t xml:space="preserve"> </w:t>
      </w:r>
      <w:r>
        <w:t xml:space="preserve">enabled by the higher use of IWT and the</w:t>
      </w:r>
      <w:r>
        <w:t xml:space="preserve"> </w:t>
      </w:r>
      <w:r>
        <w:t xml:space="preserve">shift away from road transport and thus a</w:t>
      </w:r>
      <w:r>
        <w:t xml:space="preserve"> </w:t>
      </w:r>
      <w:r>
        <w:t xml:space="preserve">reduction in the road freight transport</w:t>
      </w:r>
      <w:r>
        <w:t xml:space="preserve"> </w:t>
      </w:r>
      <w:r>
        <w:t xml:space="preserve">activity relative to the baseline. The</w:t>
      </w:r>
      <w:r>
        <w:t xml:space="preserve"> </w:t>
      </w:r>
      <w:r>
        <w:t xml:space="preserve">reduction in the external costs of road</w:t>
      </w:r>
      <w:r>
        <w:t xml:space="preserve"> </w:t>
      </w:r>
      <w:r>
        <w:t xml:space="preserve">accidents is estimated at EUR 115.8</w:t>
      </w:r>
      <w:r>
        <w:t xml:space="preserve"> </w:t>
      </w:r>
      <w:r>
        <w:t xml:space="preserve">million, expressed as present value over the</w:t>
      </w:r>
      <w:r>
        <w:t xml:space="preserve"> </w:t>
      </w:r>
      <w:r>
        <w:t xml:space="preserve">2025-2050 horizon relative to the baseline.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savings for vessel operators</w:t>
      </w:r>
      <w:r>
        <w:t xml:space="preserve"> </w:t>
      </w:r>
      <w:r>
        <w:t xml:space="preserve">- average per year131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EUR 1.6 million on average per year</w:t>
      </w:r>
      <w:r>
        <w:t xml:space="preserve"> </w:t>
      </w:r>
      <w:r>
        <w:t xml:space="preserve">Recurrent administrative costs savings for</w:t>
      </w:r>
      <w:r>
        <w:t xml:space="preserve"> </w:t>
      </w:r>
      <w:r>
        <w:t xml:space="preserve">vessel operators, due to reducing the need</w:t>
      </w:r>
      <w:r>
        <w:t xml:space="preserve"> </w:t>
      </w:r>
      <w:r>
        <w:t xml:space="preserve">for re-registering cargo information and</w:t>
      </w:r>
      <w:r>
        <w:t xml:space="preserve"> </w:t>
      </w:r>
      <w:r>
        <w:t xml:space="preserve">reporting cargo information to ports. They</w:t>
      </w:r>
      <w:r>
        <w:t xml:space="preserve"> </w:t>
      </w:r>
      <w:r>
        <w:t xml:space="preserve">are estimated at EUR 1.6 million per year</w:t>
      </w:r>
      <w:r>
        <w:t xml:space="preserve"> </w:t>
      </w:r>
      <w:r>
        <w:t xml:space="preserve">on average relative to the baseline, and they</w:t>
      </w:r>
      <w:r>
        <w:t xml:space="preserve"> </w:t>
      </w:r>
      <w:r>
        <w:t xml:space="preserve">are driven by: the exchange of cargo-related</w:t>
      </w:r>
      <w:r>
        <w:t xml:space="preserve"> </w:t>
      </w:r>
      <w:r>
        <w:t xml:space="preserve">information through the eFTI mechanism</w:t>
      </w:r>
      <w:r>
        <w:t xml:space="preserve"> </w:t>
      </w:r>
      <w:r>
        <w:t xml:space="preserve">(EUR 0.6 million), the exchange of</w:t>
      </w:r>
      <w:r>
        <w:t xml:space="preserve"> </w:t>
      </w:r>
      <w:r>
        <w:t xml:space="preserve">information through the RIS COMEX</w:t>
      </w:r>
      <w:r>
        <w:t xml:space="preserve"> </w:t>
      </w:r>
      <w:r>
        <w:t xml:space="preserve">platform (EUR 0.2 million), the new</w:t>
      </w:r>
      <w:r>
        <w:t xml:space="preserve"> </w:t>
      </w:r>
      <w:r>
        <w:t xml:space="preserve">standards and technical specifications for</w:t>
      </w:r>
      <w:r>
        <w:t xml:space="preserve"> </w:t>
      </w:r>
      <w:r>
        <w:t xml:space="preserve">the exchange of information with IWT</w:t>
      </w:r>
      <w:r>
        <w:t xml:space="preserve"> </w:t>
      </w:r>
      <w:r>
        <w:t xml:space="preserve">ports (EUR 0.5 million) and legal clarity for</w:t>
      </w:r>
      <w:r>
        <w:t xml:space="preserve"> </w:t>
      </w:r>
      <w:r>
        <w:t xml:space="preserve">personal data (EUR 0.3 million).</w:t>
      </w:r>
    </w:p>
    <w:p>
      <w:pPr>
        <w:pStyle w:val="Compact"/>
        <w:numPr>
          <w:ilvl w:val="0"/>
          <w:numId w:val="1002"/>
        </w:numPr>
      </w:pPr>
      <w:r>
        <w:t xml:space="preserve">Overview of costs – Preferred option (PO-B)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Direct adjustment costs,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national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administrations:</w:t>
      </w:r>
      <w:r>
        <w:t xml:space="preserve"> </w:t>
      </w:r>
      <w:r>
        <w:t xml:space="preserve">EUR 18.3</w:t>
      </w:r>
      <w:r>
        <w:t xml:space="preserve"> </w:t>
      </w:r>
      <w:r>
        <w:t xml:space="preserve">million</w:t>
      </w:r>
      <w:r>
        <w:t xml:space="preserve"> </w:t>
      </w:r>
      <w:r>
        <w:t xml:space="preserve">-</w:t>
      </w:r>
      <w:r>
        <w:t xml:space="preserve"> </w:t>
      </w:r>
      <w:r>
        <w:t xml:space="preserve">Direct administrative costs,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national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administrations:</w:t>
      </w:r>
      <w:r>
        <w:t xml:space="preserve"> </w:t>
      </w:r>
      <w:r>
        <w:t xml:space="preserve">EUR 75.3</w:t>
      </w:r>
      <w:r>
        <w:t xml:space="preserve"> </w:t>
      </w:r>
      <w:r>
        <w:t xml:space="preserve">million</w:t>
      </w:r>
      <w:r>
        <w:t xml:space="preserve"> </w:t>
      </w:r>
      <w:r>
        <w:t xml:space="preserve">Direct regulatory fees and</w:t>
      </w:r>
      <w:r>
        <w:t xml:space="preserve"> </w:t>
      </w:r>
      <w:r>
        <w:t xml:space="preserve">charges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 enforcement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Costs related to the ‘one in, one out’ approach</w:t>
      </w:r>
    </w:p>
    <w:p>
      <w:pPr>
        <w:pStyle w:val="BodyText"/>
      </w:pPr>
      <w:r>
        <w:t xml:space="preserve">131 As explained in section 8.3, this is calculated as simple average over 2026-2035.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II. Overview of costs – Preferred option (PO-B)</w:t>
      </w:r>
      <w:r>
        <w:t xml:space="preserve"> </w:t>
      </w: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1003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04"/>
        </w:numPr>
      </w:pPr>
      <w:r>
        <w:t xml:space="preserve">Overview of relevant Sustainable Development Goals – Preferred Option (PO-B)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13 (“Take urgent</w:t>
      </w:r>
      <w:r>
        <w:t xml:space="preserve"> </w:t>
      </w:r>
      <w:r>
        <w:t xml:space="preserve">action to combat climate</w:t>
      </w:r>
      <w:r>
        <w:t xml:space="preserve"> </w:t>
      </w:r>
      <w:r>
        <w:t xml:space="preserve">change and its impacts”)</w:t>
      </w:r>
      <w:r>
        <w:t xml:space="preserve"> </w:t>
      </w:r>
      <w:r>
        <w:t xml:space="preserve">389.1 thousand tonnes of CO2 emissions saved</w:t>
      </w:r>
      <w:r>
        <w:t xml:space="preserve"> </w:t>
      </w:r>
      <w:r>
        <w:t xml:space="preserve">cumulatively over the period 2025-2050.</w:t>
      </w:r>
      <w:r>
        <w:t xml:space="preserve"> </w:t>
      </w:r>
      <w:r>
        <w:t xml:space="preserve">The decrease in emissions is due to the</w:t>
      </w:r>
      <w:r>
        <w:t xml:space="preserve"> </w:t>
      </w:r>
      <w:r>
        <w:t xml:space="preserve">modal shift of freight from road to inland</w:t>
      </w:r>
      <w:r>
        <w:t xml:space="preserve"> </w:t>
      </w:r>
      <w:r>
        <w:t xml:space="preserve">waterway transport.</w:t>
      </w:r>
      <w:r>
        <w:t xml:space="preserve"> </w:t>
      </w:r>
      <w:r>
        <w:t xml:space="preserve">SDG 9 (“on industry,</w:t>
      </w:r>
      <w:r>
        <w:t xml:space="preserve"> </w:t>
      </w:r>
      <w:r>
        <w:t xml:space="preserve">innovation and</w:t>
      </w:r>
      <w:r>
        <w:t xml:space="preserve"> </w:t>
      </w:r>
      <w:r>
        <w:t xml:space="preserve">infrastructure”), specifically</w:t>
      </w:r>
      <w:r>
        <w:t xml:space="preserve"> </w:t>
      </w:r>
      <w:r>
        <w:t xml:space="preserve">9.1 “Develop quality,</w:t>
      </w:r>
      <w:r>
        <w:t xml:space="preserve"> </w:t>
      </w:r>
      <w:r>
        <w:t xml:space="preserve">reliable, sustainable and</w:t>
      </w:r>
      <w:r>
        <w:t xml:space="preserve"> </w:t>
      </w:r>
      <w:r>
        <w:t xml:space="preserve">resilient infrastructure,</w:t>
      </w:r>
      <w:r>
        <w:t xml:space="preserve"> </w:t>
      </w:r>
      <w:r>
        <w:t xml:space="preserve">including regional and</w:t>
      </w:r>
      <w:r>
        <w:t xml:space="preserve"> </w:t>
      </w:r>
      <w:r>
        <w:t xml:space="preserve">transborder infrastructure, to</w:t>
      </w:r>
      <w:r>
        <w:t xml:space="preserve"> </w:t>
      </w:r>
      <w:r>
        <w:t xml:space="preserve">support economic</w:t>
      </w:r>
      <w:r>
        <w:t xml:space="preserve"> </w:t>
      </w:r>
      <w:r>
        <w:t xml:space="preserve">development and human</w:t>
      </w:r>
      <w:r>
        <w:t xml:space="preserve"> </w:t>
      </w:r>
      <w:r>
        <w:t xml:space="preserve">well-being, with a focus on</w:t>
      </w:r>
      <w:r>
        <w:t xml:space="preserve"> </w:t>
      </w:r>
      <w:r>
        <w:t xml:space="preserve">affordable and equitable</w:t>
      </w:r>
      <w:r>
        <w:t xml:space="preserve"> </w:t>
      </w:r>
      <w:r>
        <w:t xml:space="preserve">access for all”</w:t>
      </w:r>
      <w:r>
        <w:t xml:space="preserve"> </w:t>
      </w:r>
      <w:r>
        <w:t xml:space="preserve">Shift of freight transport from road to inland</w:t>
      </w:r>
      <w:r>
        <w:t xml:space="preserve"> </w:t>
      </w:r>
      <w:r>
        <w:t xml:space="preserve">waterways by 0.38 billion tonnes-kilometres in</w:t>
      </w:r>
      <w:r>
        <w:t xml:space="preserve"> </w:t>
      </w:r>
      <w:r>
        <w:t xml:space="preserve">2030 and 0.45 billion tonnes-kilometres in 2050</w:t>
      </w:r>
      <w:r>
        <w:t xml:space="preserve"> </w:t>
      </w:r>
      <w:r>
        <w:t xml:space="preserve">relative to the baseline.</w:t>
      </w:r>
      <w:r>
        <w:t xml:space="preserve"> </w:t>
      </w:r>
      <w:r>
        <w:t xml:space="preserve">Indicator 9.1.2 “Passenger and freight</w:t>
      </w:r>
      <w:r>
        <w:t xml:space="preserve"> </w:t>
      </w:r>
      <w:r>
        <w:t xml:space="preserve">volumes, by mode of transport” is used.</w:t>
      </w:r>
    </w:p>
    <w:p>
      <w:pPr>
        <w:pStyle w:val="FirstParagraph"/>
      </w:pPr>
      <w:r>
        <w:t xml:space="preserve">96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1. Description of the analytical methods used</w:t>
      </w:r>
      <w:r>
        <w:br/>
      </w:r>
      <w:r>
        <w:t xml:space="preserve">The main model used for developing the baseline scenario for this initiative is the PRIMES-</w:t>
      </w:r>
      <w:r>
        <w:t xml:space="preserve"> </w:t>
      </w:r>
      <w:r>
        <w:t xml:space="preserve">TREMOVE transport model by E3Modelling, a specific module of the PRIMES models. The</w:t>
      </w:r>
      <w:r>
        <w:t xml:space="preserve"> </w:t>
      </w:r>
      <w:r>
        <w:t xml:space="preserve">model has a successful record of use in the Commission’s energy, transport and climate policy</w:t>
      </w:r>
      <w:r>
        <w:t xml:space="preserve"> </w:t>
      </w:r>
      <w:r>
        <w:t xml:space="preserve">assessments. In particular, it has been used for the Staff Working Document accompanying</w:t>
      </w:r>
      <w:r>
        <w:t xml:space="preserve"> </w:t>
      </w:r>
      <w:r>
        <w:t xml:space="preserve">the REPowerEU package132, the impact assessments underpinning the “Fit for 55” package133,</w:t>
      </w:r>
      <w:r>
        <w:t xml:space="preserve"> </w:t>
      </w:r>
      <w:r>
        <w:t xml:space="preserve">the impact assessments accompanying the 2030 Climate Target Plan134 and the Staff Working</w:t>
      </w:r>
      <w:r>
        <w:t xml:space="preserve"> </w:t>
      </w:r>
      <w:r>
        <w:t xml:space="preserve">Document accompanying the Sustainable and Smart Mobility Strategy135, the Commission’s</w:t>
      </w:r>
      <w:r>
        <w:t xml:space="preserve"> </w:t>
      </w:r>
      <w:r>
        <w:t xml:space="preserve">proposal for a Long Term Strategy136 as well as for the 2020 and 2030 EU’s climate and</w:t>
      </w:r>
      <w:r>
        <w:t xml:space="preserve"> </w:t>
      </w:r>
      <w:r>
        <w:t xml:space="preserve">energy policy framework.</w:t>
      </w:r>
      <w:r>
        <w:br/>
      </w:r>
      <w:r>
        <w:t xml:space="preserve">For the assessment of the impacts of the policy options an excel-based tool has been</w:t>
      </w:r>
      <w:r>
        <w:t xml:space="preserve"> </w:t>
      </w:r>
      <w:r>
        <w:t xml:space="preserve">developed by Rambol et al. in the context of the impact assessment support study137. The tool</w:t>
      </w:r>
      <w:r>
        <w:t xml:space="preserve"> </w:t>
      </w:r>
      <w:r>
        <w:t xml:space="preserve">draws on the Standard Cost Model for the assessment of the costs and costs savings and also</w:t>
      </w:r>
      <w:r>
        <w:t xml:space="preserve"> </w:t>
      </w:r>
      <w:r>
        <w:t xml:space="preserve">includes an assessment of the environmental and social impacts. The excel-based tool builds</w:t>
      </w:r>
      <w:r>
        <w:t xml:space="preserve"> </w:t>
      </w:r>
      <w:r>
        <w:t xml:space="preserve">extensively on data from Eurostat, the CCNR, and the analysis of stakeholders’ feedback. The</w:t>
      </w:r>
      <w:r>
        <w:t xml:space="preserve"> </w:t>
      </w:r>
      <w:r>
        <w:t xml:space="preserve">proposed measures which involve the amendment of the Directive are assumed to be</w:t>
      </w:r>
      <w:r>
        <w:t xml:space="preserve"> </w:t>
      </w:r>
      <w:r>
        <w:t xml:space="preserve">implemented from 2025 onwards, so that the assessment has been undertaken for the 2025-</w:t>
      </w:r>
      <w:r>
        <w:t xml:space="preserve"> </w:t>
      </w:r>
      <w:r>
        <w:t xml:space="preserve">2050 period and refers to EU27. Costs and benefits are expressed as present value over the</w:t>
      </w:r>
      <w:r>
        <w:t xml:space="preserve"> </w:t>
      </w:r>
      <w:r>
        <w:t xml:space="preserve">2025-2050 period, using a 3% discount rate.</w:t>
      </w:r>
      <w:r>
        <w:t xml:space="preserve"> </w:t>
      </w:r>
      <w:r>
        <w:t xml:space="preserve">PRIMES-TREMOVE model</w:t>
      </w:r>
      <w:r>
        <w:br/>
      </w:r>
      <w:r>
        <w:t xml:space="preserve">The PRIMES-TREMOVE transport model projects the evolution of demand for passengers</w:t>
      </w:r>
      <w:r>
        <w:t xml:space="preserve"> </w:t>
      </w:r>
      <w:r>
        <w:t xml:space="preserve">and freight transport, by transport mode, and transport vehicle/technology, following a</w:t>
      </w:r>
      <w:r>
        <w:t xml:space="preserve"> </w:t>
      </w:r>
      <w:r>
        <w:t xml:space="preserve">formulation based on microeconomic foundation of decisions of multiple actors. Operation,</w:t>
      </w:r>
      <w:r>
        <w:t xml:space="preserve"> </w:t>
      </w:r>
      <w:r>
        <w:t xml:space="preserve">investment and emission costs, various policy measures, utility factors and congestion are</w:t>
      </w:r>
      <w:r>
        <w:t xml:space="preserve"> </w:t>
      </w:r>
      <w:r>
        <w:t xml:space="preserve">among the drivers that influence the projections of the model. The projections of activity,</w:t>
      </w:r>
      <w:r>
        <w:t xml:space="preserve"> </w:t>
      </w:r>
      <w:r>
        <w:t xml:space="preserve">equipment (fleet), usage of equipment, energy consumption and emissions (and other</w:t>
      </w:r>
      <w:r>
        <w:t xml:space="preserve"> </w:t>
      </w:r>
      <w:r>
        <w:t xml:space="preserve">externalities) constitute the set of model outputs.</w:t>
      </w:r>
      <w:r>
        <w:br/>
      </w:r>
      <w:r>
        <w:t xml:space="preserve">The PRIMES-TREMOVE transport model can therefore provide the quantitative analysis for</w:t>
      </w:r>
      <w:r>
        <w:t xml:space="preserve"> </w:t>
      </w:r>
      <w:r>
        <w:t xml:space="preserve">the transport sector in the EU, candidate and neighbouring countries covering activity,</w:t>
      </w:r>
      <w:r>
        <w:t xml:space="preserve"> </w:t>
      </w:r>
      <w:r>
        <w:t xml:space="preserve">equipment, energy and emissions. The model accounts for each country separately which</w:t>
      </w:r>
      <w:r>
        <w:t xml:space="preserve"> </w:t>
      </w:r>
      <w:r>
        <w:t xml:space="preserve">means that the detailed long-term outlooks are available both for each country and in</w:t>
      </w:r>
      <w:r>
        <w:t xml:space="preserve"> </w:t>
      </w:r>
      <w:r>
        <w:t xml:space="preserve">aggregate forms (e.g. EU level).</w:t>
      </w:r>
      <w:r>
        <w:t xml:space="preserve"> </w:t>
      </w:r>
      <w:r>
        <w:t xml:space="preserve">In the transport field, PRIMES-TREMOVE is suitable for modelling soft measures (e.g. eco-</w:t>
      </w:r>
      <w:r>
        <w:t xml:space="preserve"> </w:t>
      </w:r>
      <w:r>
        <w:t xml:space="preserve">driving, labelling); economic measures (e.g. subsidies and taxes on fuels, vehicles, emissions;</w:t>
      </w:r>
    </w:p>
    <w:p>
      <w:pPr>
        <w:pStyle w:val="BodyText"/>
      </w:pPr>
      <w:r>
        <w:t xml:space="preserve">132 https://ec.europa.eu/commission/presscorner/detail/en/IP_22_3131</w:t>
      </w:r>
      <w:r>
        <w:t xml:space="preserve"> </w:t>
      </w:r>
      <w:r>
        <w:t xml:space="preserve">133 Delivering the European Green Deal | European Commission (europa.eu)</w:t>
      </w:r>
      <w:r>
        <w:t xml:space="preserve"> </w:t>
      </w:r>
      <w:r>
        <w:t xml:space="preserve">134 SWD(2020)176 final.</w:t>
      </w:r>
      <w:r>
        <w:t xml:space="preserve"> </w:t>
      </w:r>
      <w:r>
        <w:t xml:space="preserve">135 EUR-Lex – 52020SC0331 – EN – EUR-Lex (europa.eu)</w:t>
      </w:r>
      <w:r>
        <w:br/>
      </w:r>
      <w:r>
        <w:t xml:space="preserve">136 Source: 2050 long-term strategy (europa.eu)</w:t>
      </w:r>
      <w:r>
        <w:br/>
      </w:r>
      <w:r>
        <w:t xml:space="preserve">137 The analysis in this section is based on the Rambol et al. (2023), Impact Assessment support study for the</w:t>
      </w:r>
      <w:r>
        <w:t xml:space="preserve"> </w:t>
      </w:r>
      <w:r>
        <w:t xml:space="preserve">revision of Directive 2005/44/EC on Harmonised River Information Services (RIS).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ETS for transport when linked with PRIMES; pricing of congestion and other externalities</w:t>
      </w:r>
      <w:r>
        <w:t xml:space="preserve"> </w:t>
      </w:r>
      <w:r>
        <w:t xml:space="preserve">such as air pollution, accidents and noise; measures supporting R&amp;D); regulatory measures</w:t>
      </w:r>
      <w:r>
        <w:t xml:space="preserve"> </w:t>
      </w:r>
      <w:r>
        <w:t xml:space="preserve">(e.g. CO2 emission performance standards for new light duty vehicles and heavy duty</w:t>
      </w:r>
      <w:r>
        <w:t xml:space="preserve"> </w:t>
      </w:r>
      <w:r>
        <w:t xml:space="preserve">vehicles; EURO standards on road transport vehicles; technology standards for non-road</w:t>
      </w:r>
      <w:r>
        <w:t xml:space="preserve"> </w:t>
      </w:r>
      <w:r>
        <w:t xml:space="preserve">transport technologies, deployment of Intelligent Transport Systems) and infrastructure</w:t>
      </w:r>
      <w:r>
        <w:t xml:space="preserve"> </w:t>
      </w:r>
      <w:r>
        <w:t xml:space="preserve">policies for alternative fuels (e.g. deployment of refuelling/recharging infrastructure for</w:t>
      </w:r>
      <w:r>
        <w:t xml:space="preserve"> </w:t>
      </w:r>
      <w:r>
        <w:t xml:space="preserve">electricity, hydrogen, LNG, CNG). Used as a module that contributes to the PRIMES model</w:t>
      </w:r>
      <w:r>
        <w:t xml:space="preserve"> </w:t>
      </w:r>
      <w:r>
        <w:t xml:space="preserve">energy system model, PRIMES-TREMOVE can show how policies and trends in the field of</w:t>
      </w:r>
      <w:r>
        <w:t xml:space="preserve"> </w:t>
      </w:r>
      <w:r>
        <w:t xml:space="preserve">transport contribute to economy-wide trends in energy use and emissions. Using data</w:t>
      </w:r>
      <w:r>
        <w:t xml:space="preserve"> </w:t>
      </w:r>
      <w:r>
        <w:t xml:space="preserve">disaggregated per Member State, the model can show differentiated trends across Member</w:t>
      </w:r>
      <w:r>
        <w:t xml:space="preserve"> </w:t>
      </w:r>
      <w:r>
        <w:t xml:space="preserve">States.</w:t>
      </w:r>
      <w:r>
        <w:br/>
      </w:r>
      <w:r>
        <w:t xml:space="preserve">The PRIMES-TREMOVE has been developed and is maintained by E3Modelling, based on,</w:t>
      </w:r>
      <w:r>
        <w:t xml:space="preserve"> </w:t>
      </w:r>
      <w:r>
        <w:t xml:space="preserve">but extending features of, the open source TREMOVE model developed by the TREMOVE138</w:t>
      </w:r>
      <w:r>
        <w:t xml:space="preserve"> </w:t>
      </w:r>
      <w:r>
        <w:t xml:space="preserve">modelling community. Part of the model (e.g. the utility nested tree) was built following the</w:t>
      </w:r>
      <w:r>
        <w:t xml:space="preserve"> </w:t>
      </w:r>
      <w:r>
        <w:t xml:space="preserve">TREMOVE model.139 Other parts, like the component on fuel consumption and emissions,</w:t>
      </w:r>
      <w:r>
        <w:t xml:space="preserve"> </w:t>
      </w:r>
      <w:r>
        <w:t xml:space="preserve">follow the COPERT model.</w:t>
      </w:r>
      <w:r>
        <w:t xml:space="preserve"> </w:t>
      </w:r>
      <w:r>
        <w:t xml:space="preserve">Data inputs</w:t>
      </w:r>
      <w:r>
        <w:t xml:space="preserve"> </w:t>
      </w:r>
      <w:r>
        <w:t xml:space="preserve">The main inputs to the PRIMES-TREMOVE model, such as for activity and energy</w:t>
      </w:r>
      <w:r>
        <w:t xml:space="preserve"> </w:t>
      </w:r>
      <w:r>
        <w:t xml:space="preserve">consumption, come from the EUROSTAT database and from the Statistical Pocketbook “EU</w:t>
      </w:r>
      <w:r>
        <w:t xml:space="preserve"> </w:t>
      </w:r>
      <w:r>
        <w:t xml:space="preserve">transport in figures”140. Excise taxes are derived from the DG TAXUD excise duty tables.</w:t>
      </w:r>
      <w:r>
        <w:t xml:space="preserve"> </w:t>
      </w:r>
      <w:r>
        <w:t xml:space="preserve">Other data come from different sources such as research projects (e.g. TRACCS project) and</w:t>
      </w:r>
      <w:r>
        <w:t xml:space="preserve"> </w:t>
      </w:r>
      <w:r>
        <w:t xml:space="preserve">reports. In the context of this exercise, the PRIMES-TREMOVE transport model is calibrated</w:t>
      </w:r>
      <w:r>
        <w:t xml:space="preserve"> </w:t>
      </w:r>
      <w:r>
        <w:t xml:space="preserve">to 2005, 2010 and 2015 historical data. Available data on 2020 market shares of different</w:t>
      </w:r>
      <w:r>
        <w:t xml:space="preserve"> </w:t>
      </w:r>
      <w:r>
        <w:t xml:space="preserve">powertrain types have also been taken into account.</w:t>
      </w:r>
      <w:r>
        <w:t xml:space="preserve"> </w:t>
      </w:r>
      <w:r>
        <w:t xml:space="preserve">2. Baseline scenario</w:t>
      </w:r>
      <w:r>
        <w:t xml:space="preserve"> </w:t>
      </w:r>
      <w:r>
        <w:t xml:space="preserve">In order to reflect the fundamental socio-economic, technological and policy developments,</w:t>
      </w:r>
      <w:r>
        <w:t xml:space="preserve"> </w:t>
      </w:r>
      <w:r>
        <w:t xml:space="preserve">the Commission prepares periodically an EU Reference Scenario on energy, transport and</w:t>
      </w:r>
      <w:r>
        <w:t xml:space="preserve"> </w:t>
      </w:r>
      <w:r>
        <w:t xml:space="preserve">GHG emissions. The socio-economic and technological developments used for developing</w:t>
      </w:r>
      <w:r>
        <w:t xml:space="preserve"> </w:t>
      </w:r>
      <w:r>
        <w:t xml:space="preserve">the baseline scenario for this impact assessment build on the latest EU Reference scenario</w:t>
      </w:r>
      <w:r>
        <w:t xml:space="preserve"> </w:t>
      </w:r>
      <w:r>
        <w:t xml:space="preserve">2020 (REF2020)141. The same assumptions have been used in the policy scenarios</w:t>
      </w:r>
    </w:p>
    <w:p>
      <w:pPr>
        <w:pStyle w:val="BodyText"/>
      </w:pPr>
      <w:r>
        <w:t xml:space="preserve">138 Source : https ://www.tmleuven.be/en/navigation/TREMOVE</w:t>
      </w:r>
      <w:r>
        <w:br/>
      </w:r>
      <w:r>
        <w:t xml:space="preserve">139 Several model enhancements were made compared to the standard TREMOVE model, as for example: for the</w:t>
      </w:r>
      <w:r>
        <w:t xml:space="preserve"> </w:t>
      </w:r>
      <w:r>
        <w:t xml:space="preserve">number of vintages (allowing representation of the choice of second-hand cars); for the technology categories</w:t>
      </w:r>
      <w:r>
        <w:t xml:space="preserve"> </w:t>
      </w:r>
      <w:r>
        <w:t xml:space="preserve">which include vehicle types using electricity from the grid and fuel cells. The model also incorporates additional</w:t>
      </w:r>
      <w:r>
        <w:t xml:space="preserve"> </w:t>
      </w:r>
      <w:r>
        <w:t xml:space="preserve">fuel types, such as biofuels (when they differ from standard fossil fuel technologies), LPG, LNG, hydrogen and</w:t>
      </w:r>
      <w:r>
        <w:t xml:space="preserve"> </w:t>
      </w:r>
      <w:r>
        <w:t xml:space="preserve">e-fuels. In addition, representation of infrastructure for refuelling and recharging are among the model</w:t>
      </w:r>
      <w:r>
        <w:t xml:space="preserve"> </w:t>
      </w:r>
      <w:r>
        <w:t xml:space="preserve">refinements, influencing fuel choices. A major model enhancement concerns the inclusion of heterogeneity in</w:t>
      </w:r>
      <w:r>
        <w:t xml:space="preserve"> </w:t>
      </w:r>
      <w:r>
        <w:t xml:space="preserve">the distance of stylised trips; the model considers that the trip distances follow a distribution function with</w:t>
      </w:r>
      <w:r>
        <w:t xml:space="preserve"> </w:t>
      </w:r>
      <w:r>
        <w:t xml:space="preserve">different distances and frequencies. The inclusion of heterogeneity was found to be of significant influence in the</w:t>
      </w:r>
      <w:r>
        <w:t xml:space="preserve"> </w:t>
      </w:r>
      <w:r>
        <w:t xml:space="preserve">choice of vehicle-fuels especially for vehicles-fuels with range limitations.</w:t>
      </w:r>
      <w:r>
        <w:t xml:space="preserve"> </w:t>
      </w:r>
      <w:r>
        <w:t xml:space="preserve">140 Source : https ://ec.europa.eu/transport/facts-fundings/statistics_en</w:t>
      </w:r>
      <w:r>
        <w:t xml:space="preserve"> </w:t>
      </w:r>
      <w:r>
        <w:t xml:space="preserve">141 EU Reference Scenario 2020 (europa.eu)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underpinning the impact assessments accompanying the “Fit for 55” package142 and the Staff</w:t>
      </w:r>
      <w:r>
        <w:t xml:space="preserve"> </w:t>
      </w:r>
      <w:r>
        <w:t xml:space="preserve">Working Document accompanying the REPowerEU package143.</w:t>
      </w:r>
      <w:r>
        <w:t xml:space="preserve"> </w:t>
      </w:r>
      <w:r>
        <w:t xml:space="preserve">2.1. Main assumptions of the Baseline scenario</w:t>
      </w:r>
      <w:r>
        <w:t xml:space="preserve"> </w:t>
      </w:r>
      <w:r>
        <w:t xml:space="preserve">The main assumptions related to economic development, international energy prices and</w:t>
      </w:r>
      <w:r>
        <w:t xml:space="preserve"> </w:t>
      </w:r>
      <w:r>
        <w:t xml:space="preserve">technologies are described below.</w:t>
      </w:r>
      <w:r>
        <w:t xml:space="preserve"> </w:t>
      </w:r>
      <w:r>
        <w:t xml:space="preserve">2.1.1.</w:t>
      </w:r>
      <w:r>
        <w:t xml:space="preserve"> </w:t>
      </w:r>
      <w:r>
        <w:t xml:space="preserve">Economic assumptions</w:t>
      </w:r>
      <w:r>
        <w:t xml:space="preserve"> </w:t>
      </w:r>
      <w:r>
        <w:t xml:space="preserve">The modelling work is based on socio-economic assumptions describing the expected</w:t>
      </w:r>
      <w:r>
        <w:t xml:space="preserve"> </w:t>
      </w:r>
      <w:r>
        <w:t xml:space="preserve">evolution of the European society. Long-term projections on population dynamics and</w:t>
      </w:r>
      <w:r>
        <w:t xml:space="preserve"> </w:t>
      </w:r>
      <w:r>
        <w:t xml:space="preserve">economic activity form part of the input to the model and are used to estimate transport</w:t>
      </w:r>
      <w:r>
        <w:t xml:space="preserve"> </w:t>
      </w:r>
      <w:r>
        <w:t xml:space="preserve">activity, particularly relevant for this impact assessment.</w:t>
      </w:r>
      <w:r>
        <w:br/>
      </w:r>
      <w:r>
        <w:t xml:space="preserve">Population projections from Eurostat144 are used to estimate the evolution of the European</w:t>
      </w:r>
      <w:r>
        <w:t xml:space="preserve"> </w:t>
      </w:r>
      <w:r>
        <w:t xml:space="preserve">population, which is expected to change little in total number in the coming decades. The</w:t>
      </w:r>
      <w:r>
        <w:t xml:space="preserve"> </w:t>
      </w:r>
      <w:r>
        <w:t xml:space="preserve">GDP growth projections are from the Ageing Report 2021145 by the Directorate General for</w:t>
      </w:r>
      <w:r>
        <w:t xml:space="preserve"> </w:t>
      </w:r>
      <w:r>
        <w:t xml:space="preserve">Economic and Financial Affairs, which are based on the same population growth</w:t>
      </w:r>
      <w:r>
        <w:t xml:space="preserve"> </w:t>
      </w:r>
      <w:r>
        <w:t xml:space="preserve">assumptions.</w:t>
      </w:r>
      <w:r>
        <w:t xml:space="preserve"> </w:t>
      </w:r>
      <w:r>
        <w:t xml:space="preserve">Table 17: Projected population and GDP growth per Member State</w:t>
      </w:r>
      <w:r>
        <w:t xml:space="preserve"> </w:t>
      </w:r>
      <w:r>
        <w:t xml:space="preserve">Population</w:t>
      </w:r>
      <w:r>
        <w:t xml:space="preserve"> </w:t>
      </w:r>
      <w:r>
        <w:t xml:space="preserve">GDP growth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2020-‘25</w:t>
      </w:r>
      <w:r>
        <w:t xml:space="preserve"> </w:t>
      </w:r>
      <w:r>
        <w:t xml:space="preserve">2026-‘30</w:t>
      </w:r>
      <w:r>
        <w:t xml:space="preserve"> </w:t>
      </w:r>
      <w:r>
        <w:t xml:space="preserve">EU27</w:t>
      </w:r>
      <w:r>
        <w:t xml:space="preserve"> </w:t>
      </w:r>
      <w:r>
        <w:t xml:space="preserve">447.7</w:t>
      </w:r>
      <w:r>
        <w:t xml:space="preserve"> </w:t>
      </w:r>
      <w:r>
        <w:t xml:space="preserve">449.3</w:t>
      </w:r>
      <w:r>
        <w:t xml:space="preserve"> </w:t>
      </w:r>
      <w:r>
        <w:t xml:space="preserve">449.1</w:t>
      </w:r>
      <w:r>
        <w:t xml:space="preserve"> </w:t>
      </w:r>
      <w:r>
        <w:t xml:space="preserve">0.9%</w:t>
      </w:r>
      <w:r>
        <w:t xml:space="preserve"> </w:t>
      </w:r>
      <w:r>
        <w:t xml:space="preserve">1.1%</w:t>
      </w:r>
      <w:r>
        <w:t xml:space="preserve"> </w:t>
      </w:r>
      <w:r>
        <w:t xml:space="preserve">Austria</w:t>
      </w:r>
      <w:r>
        <w:t xml:space="preserve"> </w:t>
      </w:r>
      <w:r>
        <w:t xml:space="preserve">8.90</w:t>
      </w:r>
      <w:r>
        <w:t xml:space="preserve"> </w:t>
      </w:r>
      <w:r>
        <w:t xml:space="preserve">9.03</w:t>
      </w:r>
      <w:r>
        <w:t xml:space="preserve"> </w:t>
      </w:r>
      <w:r>
        <w:t xml:space="preserve">9.15</w:t>
      </w:r>
      <w:r>
        <w:t xml:space="preserve"> </w:t>
      </w:r>
      <w:r>
        <w:t xml:space="preserve">0.9%</w:t>
      </w:r>
      <w:r>
        <w:t xml:space="preserve"> </w:t>
      </w:r>
      <w:r>
        <w:t xml:space="preserve">1.2%</w:t>
      </w:r>
      <w:r>
        <w:t xml:space="preserve"> </w:t>
      </w:r>
      <w:r>
        <w:t xml:space="preserve">Belgium</w:t>
      </w:r>
      <w:r>
        <w:t xml:space="preserve"> </w:t>
      </w:r>
      <w:r>
        <w:t xml:space="preserve">11.51</w:t>
      </w:r>
      <w:r>
        <w:t xml:space="preserve"> </w:t>
      </w:r>
      <w:r>
        <w:t xml:space="preserve">11.66</w:t>
      </w:r>
      <w:r>
        <w:t xml:space="preserve"> </w:t>
      </w:r>
      <w:r>
        <w:t xml:space="preserve">11.76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Bulgaria</w:t>
      </w:r>
      <w:r>
        <w:t xml:space="preserve"> </w:t>
      </w:r>
      <w:r>
        <w:t xml:space="preserve">6.95</w:t>
      </w:r>
      <w:r>
        <w:t xml:space="preserve"> </w:t>
      </w:r>
      <w:r>
        <w:t xml:space="preserve">6.69</w:t>
      </w:r>
      <w:r>
        <w:t xml:space="preserve"> </w:t>
      </w:r>
      <w:r>
        <w:t xml:space="preserve">6.45</w:t>
      </w:r>
      <w:r>
        <w:t xml:space="preserve"> </w:t>
      </w:r>
      <w:r>
        <w:t xml:space="preserve">0.7%</w:t>
      </w:r>
      <w:r>
        <w:t xml:space="preserve"> </w:t>
      </w:r>
      <w:r>
        <w:t xml:space="preserve">1.3%</w:t>
      </w:r>
      <w:r>
        <w:t xml:space="preserve"> </w:t>
      </w:r>
      <w:r>
        <w:t xml:space="preserve">Croatia</w:t>
      </w:r>
      <w:r>
        <w:t xml:space="preserve"> </w:t>
      </w:r>
      <w:r>
        <w:t xml:space="preserve">4.06</w:t>
      </w:r>
      <w:r>
        <w:t xml:space="preserve"> </w:t>
      </w:r>
      <w:r>
        <w:t xml:space="preserve">3.94</w:t>
      </w:r>
      <w:r>
        <w:t xml:space="preserve"> </w:t>
      </w:r>
      <w:r>
        <w:t xml:space="preserve">3.83</w:t>
      </w:r>
      <w:r>
        <w:t xml:space="preserve"> </w:t>
      </w:r>
      <w:r>
        <w:t xml:space="preserve">0.2%</w:t>
      </w:r>
      <w:r>
        <w:t xml:space="preserve"> </w:t>
      </w:r>
      <w:r>
        <w:t xml:space="preserve">0.6%</w:t>
      </w:r>
      <w:r>
        <w:t xml:space="preserve"> </w:t>
      </w:r>
      <w:r>
        <w:t xml:space="preserve">Cyprus</w:t>
      </w:r>
      <w:r>
        <w:t xml:space="preserve"> </w:t>
      </w:r>
      <w:r>
        <w:t xml:space="preserve">0.89</w:t>
      </w:r>
      <w:r>
        <w:t xml:space="preserve"> </w:t>
      </w:r>
      <w:r>
        <w:t xml:space="preserve">0.93</w:t>
      </w:r>
      <w:r>
        <w:t xml:space="preserve"> </w:t>
      </w:r>
      <w:r>
        <w:t xml:space="preserve">0.96</w:t>
      </w:r>
      <w:r>
        <w:t xml:space="preserve"> </w:t>
      </w:r>
      <w:r>
        <w:t xml:space="preserve">0.7%</w:t>
      </w:r>
      <w:r>
        <w:t xml:space="preserve"> </w:t>
      </w:r>
      <w:r>
        <w:t xml:space="preserve">1.7%</w:t>
      </w:r>
      <w:r>
        <w:t xml:space="preserve"> </w:t>
      </w:r>
      <w:r>
        <w:t xml:space="preserve">Czechia</w:t>
      </w:r>
      <w:r>
        <w:t xml:space="preserve"> </w:t>
      </w:r>
      <w:r>
        <w:t xml:space="preserve">10.69</w:t>
      </w:r>
      <w:r>
        <w:t xml:space="preserve"> </w:t>
      </w:r>
      <w:r>
        <w:t xml:space="preserve">10.79</w:t>
      </w:r>
      <w:r>
        <w:t xml:space="preserve"> </w:t>
      </w:r>
      <w:r>
        <w:t xml:space="preserve">10.76</w:t>
      </w:r>
      <w:r>
        <w:t xml:space="preserve"> </w:t>
      </w:r>
      <w:r>
        <w:t xml:space="preserve">1.6%</w:t>
      </w:r>
      <w:r>
        <w:t xml:space="preserve"> </w:t>
      </w:r>
      <w:r>
        <w:t xml:space="preserve">2.0%</w:t>
      </w:r>
      <w:r>
        <w:t xml:space="preserve"> </w:t>
      </w:r>
      <w:r>
        <w:t xml:space="preserve">Denmark</w:t>
      </w:r>
      <w:r>
        <w:t xml:space="preserve"> </w:t>
      </w:r>
      <w:r>
        <w:t xml:space="preserve">5.81</w:t>
      </w:r>
      <w:r>
        <w:t xml:space="preserve"> </w:t>
      </w:r>
      <w:r>
        <w:t xml:space="preserve">5.88</w:t>
      </w:r>
      <w:r>
        <w:t xml:space="preserve"> </w:t>
      </w:r>
      <w:r>
        <w:t xml:space="preserve">5.96</w:t>
      </w:r>
      <w:r>
        <w:t xml:space="preserve"> </w:t>
      </w:r>
      <w:r>
        <w:t xml:space="preserve">2.0%</w:t>
      </w:r>
      <w:r>
        <w:t xml:space="preserve"> </w:t>
      </w:r>
      <w:r>
        <w:t xml:space="preserve">1.7%</w:t>
      </w:r>
      <w:r>
        <w:t xml:space="preserve"> </w:t>
      </w:r>
      <w:r>
        <w:t xml:space="preserve">Estonia</w:t>
      </w:r>
      <w:r>
        <w:t xml:space="preserve"> </w:t>
      </w:r>
      <w:r>
        <w:t xml:space="preserve">1.33</w:t>
      </w:r>
      <w:r>
        <w:t xml:space="preserve"> </w:t>
      </w:r>
      <w:r>
        <w:t xml:space="preserve">1.32</w:t>
      </w:r>
      <w:r>
        <w:t xml:space="preserve"> </w:t>
      </w:r>
      <w:r>
        <w:t xml:space="preserve">1.31</w:t>
      </w:r>
      <w:r>
        <w:t xml:space="preserve"> </w:t>
      </w:r>
      <w:r>
        <w:t xml:space="preserve">2.2%</w:t>
      </w:r>
      <w:r>
        <w:t xml:space="preserve"> </w:t>
      </w:r>
      <w:r>
        <w:t xml:space="preserve">2.6%</w:t>
      </w:r>
      <w:r>
        <w:t xml:space="preserve"> </w:t>
      </w:r>
      <w:r>
        <w:t xml:space="preserve">Finland</w:t>
      </w:r>
      <w:r>
        <w:t xml:space="preserve"> </w:t>
      </w:r>
      <w:r>
        <w:t xml:space="preserve">5.53</w:t>
      </w:r>
      <w:r>
        <w:t xml:space="preserve"> </w:t>
      </w:r>
      <w:r>
        <w:t xml:space="preserve">5.54</w:t>
      </w:r>
      <w:r>
        <w:t xml:space="preserve"> </w:t>
      </w:r>
      <w:r>
        <w:t xml:space="preserve">5.52</w:t>
      </w:r>
      <w:r>
        <w:t xml:space="preserve"> </w:t>
      </w:r>
      <w:r>
        <w:t xml:space="preserve">0.6%</w:t>
      </w:r>
      <w:r>
        <w:t xml:space="preserve"> </w:t>
      </w:r>
      <w:r>
        <w:t xml:space="preserve">1.2%</w:t>
      </w:r>
      <w:r>
        <w:t xml:space="preserve"> </w:t>
      </w:r>
      <w:r>
        <w:t xml:space="preserve">France</w:t>
      </w:r>
      <w:r>
        <w:t xml:space="preserve"> </w:t>
      </w:r>
      <w:r>
        <w:t xml:space="preserve">67.20</w:t>
      </w:r>
      <w:r>
        <w:t xml:space="preserve"> </w:t>
      </w:r>
      <w:r>
        <w:t xml:space="preserve">68.04</w:t>
      </w:r>
      <w:r>
        <w:t xml:space="preserve"> </w:t>
      </w:r>
      <w:r>
        <w:t xml:space="preserve">68.75</w:t>
      </w:r>
      <w:r>
        <w:t xml:space="preserve"> </w:t>
      </w:r>
      <w:r>
        <w:t xml:space="preserve">0.7%</w:t>
      </w:r>
      <w:r>
        <w:t xml:space="preserve"> </w:t>
      </w:r>
      <w:r>
        <w:t xml:space="preserve">1.0%</w:t>
      </w:r>
      <w:r>
        <w:t xml:space="preserve"> </w:t>
      </w:r>
      <w:r>
        <w:t xml:space="preserve">Germany</w:t>
      </w:r>
      <w:r>
        <w:t xml:space="preserve"> </w:t>
      </w:r>
      <w:r>
        <w:t xml:space="preserve">83.14</w:t>
      </w:r>
      <w:r>
        <w:t xml:space="preserve"> </w:t>
      </w:r>
      <w:r>
        <w:t xml:space="preserve">83.48</w:t>
      </w:r>
      <w:r>
        <w:t xml:space="preserve"> </w:t>
      </w:r>
      <w:r>
        <w:t xml:space="preserve">83.45</w:t>
      </w:r>
      <w:r>
        <w:t xml:space="preserve"> </w:t>
      </w:r>
      <w:r>
        <w:t xml:space="preserve">0.8%</w:t>
      </w:r>
      <w:r>
        <w:t xml:space="preserve"> </w:t>
      </w:r>
      <w:r>
        <w:t xml:space="preserve">0.7%</w:t>
      </w:r>
      <w:r>
        <w:t xml:space="preserve"> </w:t>
      </w:r>
      <w:r>
        <w:t xml:space="preserve">Greece</w:t>
      </w:r>
      <w:r>
        <w:t xml:space="preserve"> </w:t>
      </w:r>
      <w:r>
        <w:t xml:space="preserve">10.70</w:t>
      </w:r>
      <w:r>
        <w:t xml:space="preserve"> </w:t>
      </w:r>
      <w:r>
        <w:t xml:space="preserve">10.51</w:t>
      </w:r>
      <w:r>
        <w:t xml:space="preserve"> </w:t>
      </w:r>
      <w:r>
        <w:t xml:space="preserve">10.30</w:t>
      </w:r>
      <w:r>
        <w:t xml:space="preserve"> </w:t>
      </w:r>
      <w:r>
        <w:t xml:space="preserve">0.7%</w:t>
      </w:r>
      <w:r>
        <w:t xml:space="preserve"> </w:t>
      </w:r>
      <w:r>
        <w:t xml:space="preserve">0.6%</w:t>
      </w:r>
      <w:r>
        <w:t xml:space="preserve"> </w:t>
      </w:r>
      <w:r>
        <w:t xml:space="preserve">Hungary</w:t>
      </w:r>
      <w:r>
        <w:t xml:space="preserve"> </w:t>
      </w:r>
      <w:r>
        <w:t xml:space="preserve">9.77</w:t>
      </w:r>
      <w:r>
        <w:t xml:space="preserve"> </w:t>
      </w:r>
      <w:r>
        <w:t xml:space="preserve">9.70</w:t>
      </w:r>
      <w:r>
        <w:t xml:space="preserve"> </w:t>
      </w:r>
      <w:r>
        <w:t xml:space="preserve">9.62</w:t>
      </w:r>
      <w:r>
        <w:t xml:space="preserve"> </w:t>
      </w:r>
      <w:r>
        <w:t xml:space="preserve">1.8%</w:t>
      </w:r>
      <w:r>
        <w:t xml:space="preserve"> </w:t>
      </w:r>
      <w:r>
        <w:t xml:space="preserve">2.6%</w:t>
      </w:r>
      <w:r>
        <w:t xml:space="preserve"> </w:t>
      </w:r>
      <w:r>
        <w:t xml:space="preserve">Ireland</w:t>
      </w:r>
      <w:r>
        <w:t xml:space="preserve"> </w:t>
      </w:r>
      <w:r>
        <w:t xml:space="preserve">4.97</w:t>
      </w:r>
      <w:r>
        <w:t xml:space="preserve"> </w:t>
      </w:r>
      <w:r>
        <w:t xml:space="preserve">5.27</w:t>
      </w:r>
      <w:r>
        <w:t xml:space="preserve"> </w:t>
      </w:r>
      <w:r>
        <w:t xml:space="preserve">5.50</w:t>
      </w:r>
      <w:r>
        <w:t xml:space="preserve"> </w:t>
      </w:r>
      <w:r>
        <w:t xml:space="preserve">2.0%</w:t>
      </w:r>
      <w:r>
        <w:t xml:space="preserve"> </w:t>
      </w:r>
      <w:r>
        <w:t xml:space="preserve">1.7%</w:t>
      </w:r>
      <w:r>
        <w:t xml:space="preserve"> </w:t>
      </w:r>
      <w:r>
        <w:t xml:space="preserve">Italy</w:t>
      </w:r>
      <w:r>
        <w:t xml:space="preserve"> </w:t>
      </w:r>
      <w:r>
        <w:t xml:space="preserve">60.29</w:t>
      </w:r>
      <w:r>
        <w:t xml:space="preserve"> </w:t>
      </w:r>
      <w:r>
        <w:t xml:space="preserve">60.09</w:t>
      </w:r>
      <w:r>
        <w:t xml:space="preserve"> </w:t>
      </w:r>
      <w:r>
        <w:t xml:space="preserve">59.94</w:t>
      </w:r>
      <w:r>
        <w:t xml:space="preserve"> </w:t>
      </w:r>
      <w:r>
        <w:t xml:space="preserve">0.3%</w:t>
      </w:r>
      <w:r>
        <w:t xml:space="preserve"> </w:t>
      </w:r>
      <w:r>
        <w:t xml:space="preserve">0.3%</w:t>
      </w:r>
      <w:r>
        <w:t xml:space="preserve"> </w:t>
      </w:r>
      <w:r>
        <w:t xml:space="preserve">Latvia</w:t>
      </w:r>
      <w:r>
        <w:t xml:space="preserve"> </w:t>
      </w:r>
      <w:r>
        <w:t xml:space="preserve">1.91</w:t>
      </w:r>
      <w:r>
        <w:t xml:space="preserve"> </w:t>
      </w:r>
      <w:r>
        <w:t xml:space="preserve">1.82</w:t>
      </w:r>
      <w:r>
        <w:t xml:space="preserve"> </w:t>
      </w:r>
      <w:r>
        <w:t xml:space="preserve">1.71</w:t>
      </w:r>
      <w:r>
        <w:t xml:space="preserve"> </w:t>
      </w:r>
      <w:r>
        <w:t xml:space="preserve">1.4%</w:t>
      </w:r>
      <w:r>
        <w:t xml:space="preserve"> </w:t>
      </w:r>
      <w:r>
        <w:t xml:space="preserve">1.9%</w:t>
      </w:r>
      <w:r>
        <w:t xml:space="preserve"> </w:t>
      </w:r>
      <w:r>
        <w:t xml:space="preserve">Lithuania</w:t>
      </w:r>
      <w:r>
        <w:t xml:space="preserve"> </w:t>
      </w:r>
      <w:r>
        <w:t xml:space="preserve">2.79</w:t>
      </w:r>
      <w:r>
        <w:t xml:space="preserve"> </w:t>
      </w:r>
      <w:r>
        <w:t xml:space="preserve">2.71</w:t>
      </w:r>
      <w:r>
        <w:t xml:space="preserve"> </w:t>
      </w:r>
      <w:r>
        <w:t xml:space="preserve">2.58</w:t>
      </w:r>
      <w:r>
        <w:t xml:space="preserve"> </w:t>
      </w:r>
      <w:r>
        <w:t xml:space="preserve">1.7%</w:t>
      </w:r>
      <w:r>
        <w:t xml:space="preserve"> </w:t>
      </w:r>
      <w:r>
        <w:t xml:space="preserve">1.5%</w:t>
      </w:r>
    </w:p>
    <w:p>
      <w:pPr>
        <w:pStyle w:val="BodyText"/>
      </w:pPr>
      <w:r>
        <w:t xml:space="preserve">142 Policy scenarios for delivering the European Green Deal (europa.eu)</w:t>
      </w:r>
      <w:r>
        <w:t xml:space="preserve"> </w:t>
      </w:r>
      <w:r>
        <w:t xml:space="preserve">143 https://ec.europa.eu/commission/presscorner/detail/en/IP_22_3131</w:t>
      </w:r>
      <w:r>
        <w:t xml:space="preserve"> </w:t>
      </w:r>
      <w:r>
        <w:t xml:space="preserve">144 EUROPOP2019 population projections : Eurostat – Data Explorer (europa.eu)</w:t>
      </w:r>
      <w:r>
        <w:br/>
      </w:r>
      <w:r>
        <w:t xml:space="preserve">145 The 2021 Ageing Report : Underlying assumptions and projection methodologies The 2021 Ageing Report:</w:t>
      </w:r>
      <w:r>
        <w:t xml:space="preserve"> </w:t>
      </w:r>
      <w:r>
        <w:t xml:space="preserve">Underlying Assumptions and Projection Methodologies | European Commission (europa.eu)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Population</w:t>
      </w:r>
      <w:r>
        <w:t xml:space="preserve"> </w:t>
      </w:r>
      <w:r>
        <w:t xml:space="preserve">GDP growth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2020-‘25</w:t>
      </w:r>
      <w:r>
        <w:t xml:space="preserve"> </w:t>
      </w:r>
      <w:r>
        <w:t xml:space="preserve">2026-‘30</w:t>
      </w:r>
      <w:r>
        <w:t xml:space="preserve"> </w:t>
      </w:r>
      <w:r>
        <w:t xml:space="preserve">Luxembourg</w:t>
      </w:r>
      <w:r>
        <w:t xml:space="preserve"> </w:t>
      </w:r>
      <w:r>
        <w:t xml:space="preserve">0.63</w:t>
      </w:r>
      <w:r>
        <w:t xml:space="preserve"> </w:t>
      </w:r>
      <w:r>
        <w:t xml:space="preserve">0.66</w:t>
      </w:r>
      <w:r>
        <w:t xml:space="preserve"> </w:t>
      </w:r>
      <w:r>
        <w:t xml:space="preserve">0.69</w:t>
      </w:r>
      <w:r>
        <w:t xml:space="preserve"> </w:t>
      </w:r>
      <w:r>
        <w:t xml:space="preserve">1.7%</w:t>
      </w:r>
      <w:r>
        <w:t xml:space="preserve"> </w:t>
      </w:r>
      <w:r>
        <w:t xml:space="preserve">2.0%</w:t>
      </w:r>
      <w:r>
        <w:t xml:space="preserve"> </w:t>
      </w:r>
      <w:r>
        <w:t xml:space="preserve">Malta</w:t>
      </w:r>
      <w:r>
        <w:t xml:space="preserve"> </w:t>
      </w:r>
      <w:r>
        <w:t xml:space="preserve">0.51</w:t>
      </w:r>
      <w:r>
        <w:t xml:space="preserve"> </w:t>
      </w:r>
      <w:r>
        <w:t xml:space="preserve">0.56</w:t>
      </w:r>
      <w:r>
        <w:t xml:space="preserve"> </w:t>
      </w:r>
      <w:r>
        <w:t xml:space="preserve">0.59</w:t>
      </w:r>
      <w:r>
        <w:t xml:space="preserve"> </w:t>
      </w:r>
      <w:r>
        <w:t xml:space="preserve">2.7%</w:t>
      </w:r>
      <w:r>
        <w:t xml:space="preserve"> </w:t>
      </w:r>
      <w:r>
        <w:t xml:space="preserve">4.1%</w:t>
      </w:r>
      <w:r>
        <w:t xml:space="preserve"> </w:t>
      </w:r>
      <w:r>
        <w:t xml:space="preserve">Netherlands</w:t>
      </w:r>
      <w:r>
        <w:t xml:space="preserve"> </w:t>
      </w:r>
      <w:r>
        <w:t xml:space="preserve">17.40</w:t>
      </w:r>
      <w:r>
        <w:t xml:space="preserve"> </w:t>
      </w:r>
      <w:r>
        <w:t xml:space="preserve">17.75</w:t>
      </w:r>
      <w:r>
        <w:t xml:space="preserve"> </w:t>
      </w:r>
      <w:r>
        <w:t xml:space="preserve">17.97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Poland</w:t>
      </w:r>
      <w:r>
        <w:t xml:space="preserve"> </w:t>
      </w:r>
      <w:r>
        <w:t xml:space="preserve">37.94</w:t>
      </w:r>
      <w:r>
        <w:t xml:space="preserve"> </w:t>
      </w:r>
      <w:r>
        <w:t xml:space="preserve">37.57</w:t>
      </w:r>
      <w:r>
        <w:t xml:space="preserve"> </w:t>
      </w:r>
      <w:r>
        <w:t xml:space="preserve">37.02</w:t>
      </w:r>
      <w:r>
        <w:t xml:space="preserve"> </w:t>
      </w:r>
      <w:r>
        <w:t xml:space="preserve">2.1%</w:t>
      </w:r>
      <w:r>
        <w:t xml:space="preserve"> </w:t>
      </w:r>
      <w:r>
        <w:t xml:space="preserve">2.4%</w:t>
      </w:r>
      <w:r>
        <w:t xml:space="preserve"> </w:t>
      </w:r>
      <w:r>
        <w:t xml:space="preserve">Portugal</w:t>
      </w:r>
      <w:r>
        <w:t xml:space="preserve"> </w:t>
      </w:r>
      <w:r>
        <w:t xml:space="preserve">10.29</w:t>
      </w:r>
      <w:r>
        <w:t xml:space="preserve"> </w:t>
      </w:r>
      <w:r>
        <w:t xml:space="preserve">10.22</w:t>
      </w:r>
      <w:r>
        <w:t xml:space="preserve"> </w:t>
      </w:r>
      <w:r>
        <w:t xml:space="preserve">10.09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Romania</w:t>
      </w:r>
      <w:r>
        <w:t xml:space="preserve"> </w:t>
      </w:r>
      <w:r>
        <w:t xml:space="preserve">19.28</w:t>
      </w:r>
      <w:r>
        <w:t xml:space="preserve"> </w:t>
      </w:r>
      <w:r>
        <w:t xml:space="preserve">18.51</w:t>
      </w:r>
      <w:r>
        <w:t xml:space="preserve"> </w:t>
      </w:r>
      <w:r>
        <w:t xml:space="preserve">17.81</w:t>
      </w:r>
      <w:r>
        <w:t xml:space="preserve"> </w:t>
      </w:r>
      <w:r>
        <w:t xml:space="preserve">2.7%</w:t>
      </w:r>
      <w:r>
        <w:t xml:space="preserve"> </w:t>
      </w:r>
      <w:r>
        <w:t xml:space="preserve">3.0%</w:t>
      </w:r>
      <w:r>
        <w:t xml:space="preserve"> </w:t>
      </w:r>
      <w:r>
        <w:t xml:space="preserve">Slovakia</w:t>
      </w:r>
      <w:r>
        <w:t xml:space="preserve"> </w:t>
      </w:r>
      <w:r>
        <w:t xml:space="preserve">5.46</w:t>
      </w:r>
      <w:r>
        <w:t xml:space="preserve"> </w:t>
      </w:r>
      <w:r>
        <w:t xml:space="preserve">5.47</w:t>
      </w:r>
      <w:r>
        <w:t xml:space="preserve"> </w:t>
      </w:r>
      <w:r>
        <w:t xml:space="preserve">5.44</w:t>
      </w:r>
      <w:r>
        <w:t xml:space="preserve"> </w:t>
      </w:r>
      <w:r>
        <w:t xml:space="preserve">1.1%</w:t>
      </w:r>
      <w:r>
        <w:t xml:space="preserve"> </w:t>
      </w:r>
      <w:r>
        <w:t xml:space="preserve">1.7%</w:t>
      </w:r>
      <w:r>
        <w:t xml:space="preserve"> </w:t>
      </w:r>
      <w:r>
        <w:t xml:space="preserve">Slovenia</w:t>
      </w:r>
      <w:r>
        <w:t xml:space="preserve"> </w:t>
      </w:r>
      <w:r>
        <w:t xml:space="preserve">2.10</w:t>
      </w:r>
      <w:r>
        <w:t xml:space="preserve"> </w:t>
      </w:r>
      <w:r>
        <w:t xml:space="preserve">2.11</w:t>
      </w:r>
      <w:r>
        <w:t xml:space="preserve"> </w:t>
      </w:r>
      <w:r>
        <w:t xml:space="preserve">2.11</w:t>
      </w:r>
      <w:r>
        <w:t xml:space="preserve"> </w:t>
      </w:r>
      <w:r>
        <w:t xml:space="preserve">2.1%</w:t>
      </w:r>
      <w:r>
        <w:t xml:space="preserve"> </w:t>
      </w:r>
      <w:r>
        <w:t xml:space="preserve">2.4%</w:t>
      </w:r>
      <w:r>
        <w:t xml:space="preserve"> </w:t>
      </w:r>
      <w:r>
        <w:t xml:space="preserve">Spain</w:t>
      </w:r>
      <w:r>
        <w:t xml:space="preserve"> </w:t>
      </w:r>
      <w:r>
        <w:t xml:space="preserve">47.32</w:t>
      </w:r>
      <w:r>
        <w:t xml:space="preserve"> </w:t>
      </w:r>
      <w:r>
        <w:t xml:space="preserve">48.31</w:t>
      </w:r>
      <w:r>
        <w:t xml:space="preserve"> </w:t>
      </w:r>
      <w:r>
        <w:t xml:space="preserve">48.75</w:t>
      </w:r>
      <w:r>
        <w:t xml:space="preserve"> </w:t>
      </w:r>
      <w:r>
        <w:t xml:space="preserve">0.9%</w:t>
      </w:r>
      <w:r>
        <w:t xml:space="preserve"> </w:t>
      </w:r>
      <w:r>
        <w:t xml:space="preserve">1.6%</w:t>
      </w:r>
      <w:r>
        <w:t xml:space="preserve"> </w:t>
      </w:r>
      <w:r>
        <w:t xml:space="preserve">Sweden</w:t>
      </w:r>
      <w:r>
        <w:t xml:space="preserve"> </w:t>
      </w:r>
      <w:r>
        <w:t xml:space="preserve">10.32</w:t>
      </w:r>
      <w:r>
        <w:t xml:space="preserve"> </w:t>
      </w:r>
      <w:r>
        <w:t xml:space="preserve">10.75</w:t>
      </w:r>
      <w:r>
        <w:t xml:space="preserve"> </w:t>
      </w:r>
      <w:r>
        <w:t xml:space="preserve">11.10</w:t>
      </w:r>
      <w:r>
        <w:t xml:space="preserve"> </w:t>
      </w:r>
      <w:r>
        <w:t xml:space="preserve">1.4%</w:t>
      </w:r>
      <w:r>
        <w:t xml:space="preserve"> </w:t>
      </w:r>
      <w:r>
        <w:t xml:space="preserve">2.2%</w:t>
      </w:r>
      <w:r>
        <w:t xml:space="preserve"> </w:t>
      </w:r>
      <w:r>
        <w:t xml:space="preserve">Beyond the update of the population and growth assumptions, an update of the projections on</w:t>
      </w:r>
      <w:r>
        <w:t xml:space="preserve"> </w:t>
      </w:r>
      <w:r>
        <w:t xml:space="preserve">the sectoral composition of GDP was also carried out using the GEM-E3 computable general</w:t>
      </w:r>
      <w:r>
        <w:t xml:space="preserve"> </w:t>
      </w:r>
      <w:r>
        <w:t xml:space="preserve">equilibrium model. These projections take into account the potential medium- to long-term</w:t>
      </w:r>
      <w:r>
        <w:t xml:space="preserve"> </w:t>
      </w:r>
      <w:r>
        <w:t xml:space="preserve">impacts of the COVID-19 crisis on the structure of the economy, even though there are</w:t>
      </w:r>
      <w:r>
        <w:t xml:space="preserve"> </w:t>
      </w:r>
      <w:r>
        <w:t xml:space="preserve">inherent uncertainties related to its eventual impacts. Overall, conservative assumptions were</w:t>
      </w:r>
      <w:r>
        <w:t xml:space="preserve"> </w:t>
      </w:r>
      <w:r>
        <w:t xml:space="preserve">made regarding the medium-term impacts of the pandemic on the re-localisation of global</w:t>
      </w:r>
      <w:r>
        <w:t xml:space="preserve"> </w:t>
      </w:r>
      <w:r>
        <w:t xml:space="preserve">value chains, teleworking and teleconferencing and global tourism.</w:t>
      </w:r>
      <w:r>
        <w:t xml:space="preserve"> </w:t>
      </w:r>
      <w:r>
        <w:t xml:space="preserve">2.1.2.</w:t>
      </w:r>
      <w:r>
        <w:t xml:space="preserve"> </w:t>
      </w:r>
      <w:r>
        <w:t xml:space="preserve">International energy prices assumptions</w:t>
      </w:r>
      <w:r>
        <w:br/>
      </w:r>
      <w:r>
        <w:t xml:space="preserve">Alongside socio-economic projections, transport modelling requires projections of</w:t>
      </w:r>
      <w:r>
        <w:t xml:space="preserve"> </w:t>
      </w:r>
      <w:r>
        <w:t xml:space="preserve">international fuel prices. The table below shows the oil prices assumptions of the baseline and</w:t>
      </w:r>
      <w:r>
        <w:t xml:space="preserve"> </w:t>
      </w:r>
      <w:r>
        <w:t xml:space="preserve">policy options of this impact assessment, that draw on the modelling underpinning the</w:t>
      </w:r>
      <w:r>
        <w:t xml:space="preserve"> </w:t>
      </w:r>
      <w:r>
        <w:t xml:space="preserve">REPowerEU package146.</w:t>
      </w:r>
      <w:r>
        <w:br/>
      </w:r>
      <w:r>
        <w:t xml:space="preserve">Table 18: Oil prices assumptions</w:t>
      </w:r>
      <w:r>
        <w:br/>
      </w:r>
      <w:r>
        <w:t xml:space="preserve">Oil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in $’15 per boe</w:t>
      </w:r>
      <w:r>
        <w:t xml:space="preserve"> </w:t>
      </w:r>
      <w:r>
        <w:t xml:space="preserve">52.3</w:t>
      </w:r>
      <w:r>
        <w:t xml:space="preserve"> </w:t>
      </w:r>
      <w:r>
        <w:t xml:space="preserve">39.8</w:t>
      </w:r>
      <w:r>
        <w:t xml:space="preserve"> </w:t>
      </w:r>
      <w:r>
        <w:t xml:space="preserve">92.1</w:t>
      </w:r>
      <w:r>
        <w:t xml:space="preserve"> </w:t>
      </w:r>
      <w:r>
        <w:t xml:space="preserve">97.4</w:t>
      </w:r>
      <w:r>
        <w:t xml:space="preserve"> </w:t>
      </w:r>
      <w:r>
        <w:t xml:space="preserve">117.9</w:t>
      </w:r>
      <w:r>
        <w:t xml:space="preserve"> </w:t>
      </w:r>
      <w:r>
        <w:t xml:space="preserve">in €’15 per boe</w:t>
      </w:r>
      <w:r>
        <w:t xml:space="preserve"> </w:t>
      </w:r>
      <w:r>
        <w:t xml:space="preserve">47.2</w:t>
      </w:r>
      <w:r>
        <w:t xml:space="preserve"> </w:t>
      </w:r>
      <w:r>
        <w:t xml:space="preserve">35.8</w:t>
      </w:r>
      <w:r>
        <w:t xml:space="preserve"> </w:t>
      </w:r>
      <w:r>
        <w:t xml:space="preserve">83.0</w:t>
      </w:r>
      <w:r>
        <w:t xml:space="preserve"> </w:t>
      </w:r>
      <w:r>
        <w:t xml:space="preserve">87.8</w:t>
      </w:r>
      <w:r>
        <w:t xml:space="preserve"> </w:t>
      </w:r>
      <w:r>
        <w:t xml:space="preserve">106.3</w:t>
      </w:r>
      <w:r>
        <w:t xml:space="preserve"> </w:t>
      </w:r>
      <w:r>
        <w:t xml:space="preserve">2.1.3.</w:t>
      </w:r>
      <w:r>
        <w:t xml:space="preserve"> </w:t>
      </w:r>
      <w:r>
        <w:t xml:space="preserve">Technology assumptions</w:t>
      </w:r>
      <w:r>
        <w:t xml:space="preserve"> </w:t>
      </w:r>
      <w:r>
        <w:t xml:space="preserve">Modelling scenarios is highly dependent on the assumptions on the development of</w:t>
      </w:r>
      <w:r>
        <w:t xml:space="preserve"> </w:t>
      </w:r>
      <w:r>
        <w:t xml:space="preserve">technologies, both in terms of performance and costs. For the purpose of the impact</w:t>
      </w:r>
      <w:r>
        <w:t xml:space="preserve"> </w:t>
      </w:r>
      <w:r>
        <w:t xml:space="preserve">assessments related to the “Climate Target Plan” and the “Fit for 55” policy package, these</w:t>
      </w:r>
      <w:r>
        <w:t xml:space="preserve"> </w:t>
      </w:r>
      <w:r>
        <w:t xml:space="preserve">assumptions have been updated based on a rigorous literature review carried out by external</w:t>
      </w:r>
      <w:r>
        <w:t xml:space="preserve"> </w:t>
      </w:r>
      <w:r>
        <w:t xml:space="preserve">consultants in collaboration with the JRC. Continuing the approach adopted in the long-term</w:t>
      </w:r>
      <w:r>
        <w:t xml:space="preserve"> </w:t>
      </w:r>
      <w:r>
        <w:t xml:space="preserve">strategy in 2018, the Commission consulted on the technology assumption with stakeholders</w:t>
      </w:r>
      <w:r>
        <w:t xml:space="preserve"> </w:t>
      </w:r>
      <w:r>
        <w:t xml:space="preserve">in 2019. In particular, the technology database of the PRIMES and PRIMES-TREMOVE</w:t>
      </w:r>
      <w:r>
        <w:t xml:space="preserve"> </w:t>
      </w:r>
      <w:r>
        <w:t xml:space="preserve">models (together with GAINS, GLOBIOM, and CAPRI) benefited from a dedicated</w:t>
      </w:r>
      <w:r>
        <w:t xml:space="preserve"> </w:t>
      </w:r>
      <w:r>
        <w:t xml:space="preserve">consultation workshop held on 11th November 2019. EU Member States representatives also</w:t>
      </w:r>
      <w:r>
        <w:t xml:space="preserve"> </w:t>
      </w:r>
      <w:r>
        <w:t xml:space="preserve">had the opportunity to comment on the costs elements during a workshop held on 25th</w:t>
      </w:r>
      <w:r>
        <w:t xml:space="preserve"> </w:t>
      </w:r>
      <w:r>
        <w:t xml:space="preserve">November 2019. The updated technology assumptions are published together with the EU</w:t>
      </w:r>
    </w:p>
    <w:p>
      <w:pPr>
        <w:pStyle w:val="BodyText"/>
      </w:pPr>
      <w:r>
        <w:t xml:space="preserve">146 SWD(2022)230 final.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Reference Scenario 2020147. The same assumptions have been used in the context of this</w:t>
      </w:r>
      <w:r>
        <w:t xml:space="preserve"> </w:t>
      </w:r>
      <w:r>
        <w:t xml:space="preserve">impact assessment.</w:t>
      </w:r>
      <w:r>
        <w:t xml:space="preserve"> </w:t>
      </w:r>
      <w:r>
        <w:t xml:space="preserve">2.1.4.</w:t>
      </w:r>
      <w:r>
        <w:t xml:space="preserve"> </w:t>
      </w:r>
      <w:r>
        <w:t xml:space="preserve">Policies in the Baseline scenario</w:t>
      </w:r>
      <w:r>
        <w:br/>
      </w:r>
      <w:r>
        <w:t xml:space="preserve">Building on REF2020, the baseline has been designed to include the initiatives of the ‘Fit for</w:t>
      </w:r>
      <w:r>
        <w:t xml:space="preserve"> </w:t>
      </w:r>
      <w:r>
        <w:t xml:space="preserve">55’ package proposed by the Commission on 14 July 2021148 and the initiatives of the</w:t>
      </w:r>
      <w:r>
        <w:t xml:space="preserve"> </w:t>
      </w:r>
      <w:r>
        <w:t xml:space="preserve">RePowerEU package proposed by the Commission on 18 May 2022149. The baseline scenario</w:t>
      </w:r>
      <w:r>
        <w:t xml:space="preserve"> </w:t>
      </w:r>
      <w:r>
        <w:t xml:space="preserve">assumes no further EU level intervention beyond the current RIS Directive. The effects of</w:t>
      </w:r>
      <w:r>
        <w:t xml:space="preserve"> </w:t>
      </w:r>
      <w:r>
        <w:t xml:space="preserve">projects such as RIS COMEX are however expected to continue over time in the baseline</w:t>
      </w:r>
      <w:r>
        <w:t xml:space="preserve"> </w:t>
      </w:r>
      <w:r>
        <w:t xml:space="preserve">scenario, as the continuation of the project RIS COMEX 2 was recently selected for CEF</w:t>
      </w:r>
      <w:r>
        <w:t xml:space="preserve"> </w:t>
      </w:r>
      <w:r>
        <w:t xml:space="preserve">funding. In addition, the baseline scenario accounts for the proposed revision of the TEN-T</w:t>
      </w:r>
      <w:r>
        <w:t xml:space="preserve"> </w:t>
      </w:r>
      <w:r>
        <w:t xml:space="preserve">Regulation150.</w:t>
      </w:r>
      <w:r>
        <w:br/>
      </w:r>
      <w:r>
        <w:t xml:space="preserve">The baseline also incorporates foresight megatrends151 and developments captured in the 2022</w:t>
      </w:r>
      <w:r>
        <w:t xml:space="preserve"> </w:t>
      </w:r>
      <w:r>
        <w:t xml:space="preserve">Strategic Foresight Report152. Among others, it captures the trend of increasing demand for</w:t>
      </w:r>
      <w:r>
        <w:t xml:space="preserve"> </w:t>
      </w:r>
      <w:r>
        <w:t xml:space="preserve">transport as population and living standards grow as well as the links between the digital and</w:t>
      </w:r>
      <w:r>
        <w:t xml:space="preserve"> </w:t>
      </w:r>
      <w:r>
        <w:t xml:space="preserve">green transition. In particular, the projected transport activity draws on the long-term</w:t>
      </w:r>
      <w:r>
        <w:t xml:space="preserve"> </w:t>
      </w:r>
      <w:r>
        <w:t xml:space="preserve">population projections from Eurostat and GDP growth from the Ageing Report 2021153 by the</w:t>
      </w:r>
      <w:r>
        <w:t xml:space="preserve"> </w:t>
      </w:r>
      <w:r>
        <w:t xml:space="preserve">Directorate General for Economic and Financial Affairs.</w:t>
      </w:r>
      <w:r>
        <w:t xml:space="preserve"> </w:t>
      </w:r>
      <w:r>
        <w:t xml:space="preserve">2.2. Baseline scenario results</w:t>
      </w:r>
      <w:r>
        <w:t xml:space="preserve"> </w:t>
      </w:r>
      <w:r>
        <w:t xml:space="preserve">Evolution of transport performance</w:t>
      </w:r>
      <w:r>
        <w:t xml:space="preserve"> </w:t>
      </w:r>
      <w:r>
        <w:t xml:space="preserve">In the Baseline scenario, EU transport activity is projected to grow post-2020, following the</w:t>
      </w:r>
      <w:r>
        <w:t xml:space="preserve"> </w:t>
      </w:r>
      <w:r>
        <w:t xml:space="preserve">recovery from the COVID pandemic. Road transport would maintain its dominant role within</w:t>
      </w:r>
      <w:r>
        <w:t xml:space="preserve"> </w:t>
      </w:r>
      <w:r>
        <w:t xml:space="preserve">the EU by 2050. Rail transport activity is projected to grow significantly faster than for road,</w:t>
      </w:r>
      <w:r>
        <w:t xml:space="preserve"> </w:t>
      </w:r>
      <w:r>
        <w:t xml:space="preserve">driven in particular by the completion of the TEN-T core network by 2030 and of the</w:t>
      </w:r>
      <w:r>
        <w:t xml:space="preserve"> </w:t>
      </w:r>
      <w:r>
        <w:t xml:space="preserve">comprehensive network by 2050, supported by the CEF, Cohesion Fund and ERDF funding,</w:t>
      </w:r>
      <w:r>
        <w:t xml:space="preserve"> </w:t>
      </w:r>
      <w:r>
        <w:t xml:space="preserve">but also by measures of the ‘Fit for 55’ package. Freight rail traffic would increase by 42% by</w:t>
      </w:r>
      <w:r>
        <w:t xml:space="preserve"> </w:t>
      </w:r>
      <w:r>
        <w:t xml:space="preserve">2030 relative to 2015 (96% for 2015-2050). Freight inland waterways activity represented</w:t>
      </w:r>
      <w:r>
        <w:t xml:space="preserve"> </w:t>
      </w:r>
      <w:r>
        <w:t xml:space="preserve">147 billion tonne-kilometres (tkm) in 2015, going down to 132 billion tkm in 2020154.</w:t>
      </w:r>
      <w:r>
        <w:t xml:space="preserve"> </w:t>
      </w:r>
      <w:r>
        <w:t xml:space="preserve">Following the post-COVID recovery, the freight inland waterways activity is projected to</w:t>
      </w:r>
      <w:r>
        <w:t xml:space="preserve"> </w:t>
      </w:r>
      <w:r>
        <w:t xml:space="preserve">increase to 178 billion tkm in 2030 (21% increase relative to 2015) and 212 billion tkm in</w:t>
      </w:r>
      <w:r>
        <w:t xml:space="preserve"> </w:t>
      </w:r>
      <w:r>
        <w:t xml:space="preserve">2050 (44% increase for 2015-2050)155.</w:t>
      </w:r>
    </w:p>
    <w:p>
      <w:pPr>
        <w:pStyle w:val="BodyText"/>
      </w:pPr>
      <w:r>
        <w:t xml:space="preserve">147 EU Reference Scenario 2020 (europa.eu)</w:t>
      </w:r>
      <w:r>
        <w:t xml:space="preserve"> </w:t>
      </w:r>
      <w:r>
        <w:t xml:space="preserve">148 https://ec.europa.eu/info/strategy/priorities-2019-2024/european-green-deal/delivering-european-green-</w:t>
      </w:r>
      <w:r>
        <w:t xml:space="preserve"> </w:t>
      </w:r>
      <w:r>
        <w:t xml:space="preserve">deal_en</w:t>
      </w:r>
      <w:r>
        <w:t xml:space="preserve"> </w:t>
      </w:r>
      <w:r>
        <w:t xml:space="preserve">149 https://ec.europa.eu/commission/presscorner/detail/en/IP_22_3131</w:t>
      </w:r>
      <w:r>
        <w:t xml:space="preserve"> </w:t>
      </w:r>
      <w:r>
        <w:t xml:space="preserve">150 https://eur-lex.europa.eu/legal-content/EN/ALL/?uri=COM%3A2021%3A812%3AFIN</w:t>
      </w:r>
      <w:r>
        <w:t xml:space="preserve"> </w:t>
      </w:r>
      <w:r>
        <w:t xml:space="preserve">151 https://knowledge4policy.ec.europa.eu/foresight/tool/megatrends-hub_en#explore</w:t>
      </w:r>
      <w:r>
        <w:br/>
      </w:r>
      <w:r>
        <w:t xml:space="preserve">152 COM(2022) 289 final of 29 June 2022.</w:t>
      </w:r>
      <w:r>
        <w:t xml:space="preserve"> </w:t>
      </w:r>
      <w:r>
        <w:t xml:space="preserve">153 The 2021 Ageing Report : Underlying assumptions and projection methodologies</w:t>
      </w:r>
      <w:r>
        <w:br/>
      </w:r>
      <w:r>
        <w:t xml:space="preserve">154 Source: EU transport in figures. Statistical pocketbook 2022 (europa.eu)</w:t>
      </w:r>
      <w:r>
        <w:t xml:space="preserve"> </w:t>
      </w:r>
      <w:r>
        <w:t xml:space="preserve">155 PRIMES-TREMOVE model provides the projections for inland waterways and domestic maritime at</w:t>
      </w:r>
      <w:r>
        <w:t xml:space="preserve"> </w:t>
      </w:r>
      <w:r>
        <w:t xml:space="preserve">aggregate level. No split is available between the two. This is due to the fact that energy balances do not</w:t>
      </w:r>
      <w:r>
        <w:t xml:space="preserve"> </w:t>
      </w:r>
      <w:r>
        <w:t xml:space="preserve">distinguish between the two modes (their energy use is provided together). In order to derive the transport</w:t>
      </w:r>
      <w:r>
        <w:t xml:space="preserve"> </w:t>
      </w:r>
      <w:r>
        <w:t xml:space="preserve">activity for freight inland waterways, the share of inland waterways activity in total inland waterways and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Table 19: Projected inland waterways activity at EU level in the baseline scenario (in billion tkm/pkm)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IWT freight (billion tkm)</w:t>
      </w:r>
      <w:r>
        <w:t xml:space="preserve"> </w:t>
      </w:r>
      <w:r>
        <w:t xml:space="preserve">147</w:t>
      </w:r>
      <w:r>
        <w:t xml:space="preserve"> </w:t>
      </w:r>
      <w:r>
        <w:t xml:space="preserve">132</w:t>
      </w:r>
      <w:r>
        <w:t xml:space="preserve"> </w:t>
      </w:r>
      <w:r>
        <w:t xml:space="preserve">173</w:t>
      </w:r>
      <w:r>
        <w:t xml:space="preserve"> </w:t>
      </w:r>
      <w:r>
        <w:t xml:space="preserve">195</w:t>
      </w:r>
      <w:r>
        <w:t xml:space="preserve"> </w:t>
      </w:r>
      <w:r>
        <w:t xml:space="preserve">212</w:t>
      </w:r>
      <w:r>
        <w:t xml:space="preserve"> </w:t>
      </w:r>
      <w:r>
        <w:t xml:space="preserve">IWT passenger (billion pkm)</w:t>
      </w:r>
      <w:r>
        <w:t xml:space="preserve"> </w:t>
      </w:r>
      <w:r>
        <w:t xml:space="preserve">0.5</w:t>
      </w:r>
      <w:r>
        <w:t xml:space="preserve"> </w:t>
      </w:r>
      <w:r>
        <w:t xml:space="preserve">0.04</w:t>
      </w:r>
      <w:r>
        <w:t xml:space="preserve"> </w:t>
      </w:r>
      <w:r>
        <w:t xml:space="preserve">0.6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The projected evolution of freight inland waterways activity by Member State is provided in</w:t>
      </w:r>
      <w:r>
        <w:t xml:space="preserve"> </w:t>
      </w:r>
      <w:r>
        <w:t xml:space="preserve">Table 20. The highest shares of the freight inland waterways activity post-2030 are projected</w:t>
      </w:r>
      <w:r>
        <w:t xml:space="preserve"> </w:t>
      </w:r>
      <w:r>
        <w:t xml:space="preserve">in Germany (around 40% of the total), the Netherlands (around 30%), Romania (around</w:t>
      </w:r>
      <w:r>
        <w:t xml:space="preserve"> </w:t>
      </w:r>
      <w:r>
        <w:t xml:space="preserve">11%), Belgium (around 7%) and France (around 5%). The other Member States would</w:t>
      </w:r>
      <w:r>
        <w:t xml:space="preserve"> </w:t>
      </w:r>
      <w:r>
        <w:t xml:space="preserve">provide less than 5% of the freight inland waterways activity from 2030 onwards.</w:t>
      </w:r>
      <w:r>
        <w:t xml:space="preserve"> </w:t>
      </w:r>
      <w:r>
        <w:t xml:space="preserve">Table 20: Projected inland waterways activity by Member State in the baseline scenario (in billion tkm)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DE</w:t>
      </w:r>
      <w:r>
        <w:t xml:space="preserve"> </w:t>
      </w:r>
      <w:r>
        <w:t xml:space="preserve">55.32</w:t>
      </w:r>
      <w:r>
        <w:t xml:space="preserve"> </w:t>
      </w:r>
      <w:r>
        <w:t xml:space="preserve">46.34</w:t>
      </w:r>
      <w:r>
        <w:t xml:space="preserve"> </w:t>
      </w:r>
      <w:r>
        <w:t xml:space="preserve">69.94</w:t>
      </w:r>
      <w:r>
        <w:t xml:space="preserve"> </w:t>
      </w:r>
      <w:r>
        <w:t xml:space="preserve">76.77</w:t>
      </w:r>
      <w:r>
        <w:t xml:space="preserve"> </w:t>
      </w:r>
      <w:r>
        <w:t xml:space="preserve">85.29</w:t>
      </w:r>
      <w:r>
        <w:t xml:space="preserve"> </w:t>
      </w:r>
      <w:r>
        <w:t xml:space="preserve">NL</w:t>
      </w:r>
      <w:r>
        <w:t xml:space="preserve"> </w:t>
      </w:r>
      <w:r>
        <w:t xml:space="preserve">48.54</w:t>
      </w:r>
      <w:r>
        <w:t xml:space="preserve"> </w:t>
      </w:r>
      <w:r>
        <w:t xml:space="preserve">45.17</w:t>
      </w:r>
      <w:r>
        <w:t xml:space="preserve"> </w:t>
      </w:r>
      <w:r>
        <w:t xml:space="preserve">54.13</w:t>
      </w:r>
      <w:r>
        <w:t xml:space="preserve"> </w:t>
      </w:r>
      <w:r>
        <w:t xml:space="preserve">58.06</w:t>
      </w:r>
      <w:r>
        <w:t xml:space="preserve"> </w:t>
      </w:r>
      <w:r>
        <w:t xml:space="preserve">61.99</w:t>
      </w:r>
      <w:r>
        <w:t xml:space="preserve"> </w:t>
      </w:r>
      <w:r>
        <w:t xml:space="preserve">RO</w:t>
      </w:r>
      <w:r>
        <w:t xml:space="preserve"> </w:t>
      </w:r>
      <w:r>
        <w:t xml:space="preserve">13.17</w:t>
      </w:r>
      <w:r>
        <w:t xml:space="preserve"> </w:t>
      </w:r>
      <w:r>
        <w:t xml:space="preserve">13.64</w:t>
      </w:r>
      <w:r>
        <w:t xml:space="preserve"> </w:t>
      </w:r>
      <w:r>
        <w:t xml:space="preserve">19.32</w:t>
      </w:r>
      <w:r>
        <w:t xml:space="preserve"> </w:t>
      </w:r>
      <w:r>
        <w:t xml:space="preserve">21.26</w:t>
      </w:r>
      <w:r>
        <w:t xml:space="preserve"> </w:t>
      </w:r>
      <w:r>
        <w:t xml:space="preserve">23.57</w:t>
      </w:r>
      <w:r>
        <w:t xml:space="preserve"> </w:t>
      </w:r>
      <w:r>
        <w:t xml:space="preserve">BE</w:t>
      </w:r>
      <w:r>
        <w:t xml:space="preserve"> </w:t>
      </w:r>
      <w:r>
        <w:t xml:space="preserve">10.43</w:t>
      </w:r>
      <w:r>
        <w:t xml:space="preserve"> </w:t>
      </w:r>
      <w:r>
        <w:t xml:space="preserve">7.39</w:t>
      </w:r>
      <w:r>
        <w:t xml:space="preserve"> </w:t>
      </w:r>
      <w:r>
        <w:t xml:space="preserve">12.27</w:t>
      </w:r>
      <w:r>
        <w:t xml:space="preserve"> </w:t>
      </w:r>
      <w:r>
        <w:t xml:space="preserve">13.59</w:t>
      </w:r>
      <w:r>
        <w:t xml:space="preserve"> </w:t>
      </w:r>
      <w:r>
        <w:t xml:space="preserve">14.54</w:t>
      </w:r>
      <w:r>
        <w:t xml:space="preserve"> </w:t>
      </w:r>
      <w:r>
        <w:t xml:space="preserve">FR</w:t>
      </w:r>
      <w:r>
        <w:t xml:space="preserve"> </w:t>
      </w:r>
      <w:r>
        <w:t xml:space="preserve">8.52</w:t>
      </w:r>
      <w:r>
        <w:t xml:space="preserve"> </w:t>
      </w:r>
      <w:r>
        <w:t xml:space="preserve">6.99</w:t>
      </w:r>
      <w:r>
        <w:t xml:space="preserve"> </w:t>
      </w:r>
      <w:r>
        <w:t xml:space="preserve">8.30</w:t>
      </w:r>
      <w:r>
        <w:t xml:space="preserve"> </w:t>
      </w:r>
      <w:r>
        <w:t xml:space="preserve">8.61</w:t>
      </w:r>
      <w:r>
        <w:t xml:space="preserve"> </w:t>
      </w:r>
      <w:r>
        <w:t xml:space="preserve">8.74</w:t>
      </w:r>
      <w:r>
        <w:t xml:space="preserve"> </w:t>
      </w:r>
      <w:r>
        <w:t xml:space="preserve">BG</w:t>
      </w:r>
      <w:r>
        <w:t xml:space="preserve"> </w:t>
      </w:r>
      <w:r>
        <w:t xml:space="preserve">5.60</w:t>
      </w:r>
      <w:r>
        <w:t xml:space="preserve"> </w:t>
      </w:r>
      <w:r>
        <w:t xml:space="preserve">6.26</w:t>
      </w:r>
      <w:r>
        <w:t xml:space="preserve"> </w:t>
      </w:r>
      <w:r>
        <w:t xml:space="preserve">6.33</w:t>
      </w:r>
      <w:r>
        <w:t xml:space="preserve"> </w:t>
      </w:r>
      <w:r>
        <w:t xml:space="preserve">7.29</w:t>
      </w:r>
      <w:r>
        <w:t xml:space="preserve"> </w:t>
      </w:r>
      <w:r>
        <w:t xml:space="preserve">7.95</w:t>
      </w:r>
      <w:r>
        <w:t xml:space="preserve"> </w:t>
      </w:r>
      <w:r>
        <w:t xml:space="preserve">AT</w:t>
      </w:r>
      <w:r>
        <w:t xml:space="preserve"> </w:t>
      </w:r>
      <w:r>
        <w:t xml:space="preserve">1.81</w:t>
      </w:r>
      <w:r>
        <w:t xml:space="preserve"> </w:t>
      </w:r>
      <w:r>
        <w:t xml:space="preserve">1.61</w:t>
      </w:r>
      <w:r>
        <w:t xml:space="preserve"> </w:t>
      </w:r>
      <w:r>
        <w:t xml:space="preserve">2.41</w:t>
      </w:r>
      <w:r>
        <w:t xml:space="preserve"> </w:t>
      </w:r>
      <w:r>
        <w:t xml:space="preserve">2.55</w:t>
      </w:r>
      <w:r>
        <w:t xml:space="preserve"> </w:t>
      </w:r>
      <w:r>
        <w:t xml:space="preserve">2.59</w:t>
      </w:r>
      <w:r>
        <w:t xml:space="preserve"> </w:t>
      </w:r>
      <w:r>
        <w:t xml:space="preserve">HU</w:t>
      </w:r>
      <w:r>
        <w:t xml:space="preserve"> </w:t>
      </w:r>
      <w:r>
        <w:t xml:space="preserve">1.82</w:t>
      </w:r>
      <w:r>
        <w:t xml:space="preserve"> </w:t>
      </w:r>
      <w:r>
        <w:t xml:space="preserve">2.00</w:t>
      </w:r>
      <w:r>
        <w:t xml:space="preserve"> </w:t>
      </w:r>
      <w:r>
        <w:t xml:space="preserve">2.53</w:t>
      </w:r>
      <w:r>
        <w:t xml:space="preserve"> </w:t>
      </w:r>
      <w:r>
        <w:t xml:space="preserve">3.11</w:t>
      </w:r>
      <w:r>
        <w:t xml:space="preserve"> </w:t>
      </w:r>
      <w:r>
        <w:t xml:space="preserve">3.40</w:t>
      </w:r>
      <w:r>
        <w:t xml:space="preserve"> </w:t>
      </w:r>
      <w:r>
        <w:t xml:space="preserve">HR</w:t>
      </w:r>
      <w:r>
        <w:t xml:space="preserve"> </w:t>
      </w:r>
      <w:r>
        <w:t xml:space="preserve">0.88</w:t>
      </w:r>
      <w:r>
        <w:t xml:space="preserve"> </w:t>
      </w:r>
      <w:r>
        <w:t xml:space="preserve">0.90</w:t>
      </w:r>
      <w:r>
        <w:t xml:space="preserve"> </w:t>
      </w:r>
      <w:r>
        <w:t xml:space="preserve">1.12</w:t>
      </w:r>
      <w:r>
        <w:t xml:space="preserve"> </w:t>
      </w:r>
      <w:r>
        <w:t xml:space="preserve">1.33</w:t>
      </w:r>
      <w:r>
        <w:t xml:space="preserve"> </w:t>
      </w:r>
      <w:r>
        <w:t xml:space="preserve">1.46</w:t>
      </w:r>
      <w:r>
        <w:t xml:space="preserve"> </w:t>
      </w:r>
      <w:r>
        <w:t xml:space="preserve">SK</w:t>
      </w:r>
      <w:r>
        <w:t xml:space="preserve"> </w:t>
      </w:r>
      <w:r>
        <w:t xml:space="preserve">0.74</w:t>
      </w:r>
      <w:r>
        <w:t xml:space="preserve"> </w:t>
      </w:r>
      <w:r>
        <w:t xml:space="preserve">0.83</w:t>
      </w:r>
      <w:r>
        <w:t xml:space="preserve"> </w:t>
      </w:r>
      <w:r>
        <w:t xml:space="preserve">1.00</w:t>
      </w:r>
      <w:r>
        <w:t xml:space="preserve"> </w:t>
      </w:r>
      <w:r>
        <w:t xml:space="preserve">1.08</w:t>
      </w:r>
      <w:r>
        <w:t xml:space="preserve"> </w:t>
      </w:r>
      <w:r>
        <w:t xml:space="preserve">1.15</w:t>
      </w:r>
      <w:r>
        <w:t xml:space="preserve"> </w:t>
      </w:r>
      <w:r>
        <w:t xml:space="preserve">LU</w:t>
      </w:r>
      <w:r>
        <w:t xml:space="preserve"> </w:t>
      </w:r>
      <w:r>
        <w:t xml:space="preserve">0.24</w:t>
      </w:r>
      <w:r>
        <w:t xml:space="preserve"> </w:t>
      </w:r>
      <w:r>
        <w:t xml:space="preserve">0.20</w:t>
      </w:r>
      <w:r>
        <w:t xml:space="preserve"> </w:t>
      </w:r>
      <w:r>
        <w:t xml:space="preserve">0.27</w:t>
      </w:r>
      <w:r>
        <w:t xml:space="preserve"> </w:t>
      </w:r>
      <w:r>
        <w:t xml:space="preserve">0.33</w:t>
      </w:r>
      <w:r>
        <w:t xml:space="preserve"> </w:t>
      </w:r>
      <w:r>
        <w:t xml:space="preserve">0.36</w:t>
      </w:r>
      <w:r>
        <w:t xml:space="preserve"> </w:t>
      </w:r>
      <w:r>
        <w:t xml:space="preserve">FI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0.16</w:t>
      </w:r>
      <w:r>
        <w:t xml:space="preserve"> </w:t>
      </w:r>
      <w:r>
        <w:t xml:space="preserve">0.18</w:t>
      </w:r>
      <w:r>
        <w:t xml:space="preserve"> </w:t>
      </w:r>
      <w:r>
        <w:t xml:space="preserve">0.20</w:t>
      </w:r>
      <w:r>
        <w:t xml:space="preserve"> </w:t>
      </w:r>
      <w:r>
        <w:t xml:space="preserve">IT</w:t>
      </w:r>
      <w:r>
        <w:t xml:space="preserve"> </w:t>
      </w:r>
      <w:r>
        <w:t xml:space="preserve">0.06</w:t>
      </w:r>
      <w:r>
        <w:t xml:space="preserve"> </w:t>
      </w:r>
      <w:r>
        <w:t xml:space="preserve">0.12</w:t>
      </w:r>
      <w:r>
        <w:t xml:space="preserve"> </w:t>
      </w:r>
      <w:r>
        <w:t xml:space="preserve">0.15</w:t>
      </w:r>
      <w:r>
        <w:t xml:space="preserve"> </w:t>
      </w:r>
      <w:r>
        <w:t xml:space="preserve">0.16</w:t>
      </w:r>
      <w:r>
        <w:t xml:space="preserve"> </w:t>
      </w:r>
      <w:r>
        <w:t xml:space="preserve">0.16</w:t>
      </w:r>
      <w:r>
        <w:t xml:space="preserve"> </w:t>
      </w:r>
      <w:r>
        <w:t xml:space="preserve">SE</w:t>
      </w:r>
      <w:r>
        <w:t xml:space="preserve"> </w:t>
      </w:r>
      <w:r>
        <w:t xml:space="preserve">0.00</w:t>
      </w:r>
      <w:r>
        <w:t xml:space="preserve"> </w:t>
      </w:r>
      <w:r>
        <w:t xml:space="preserve">0.08</w:t>
      </w:r>
      <w:r>
        <w:t xml:space="preserve"> </w:t>
      </w:r>
      <w:r>
        <w:t xml:space="preserve">0.10</w:t>
      </w:r>
      <w:r>
        <w:t xml:space="preserve"> </w:t>
      </w:r>
      <w:r>
        <w:t xml:space="preserve">0.12</w:t>
      </w:r>
      <w:r>
        <w:t xml:space="preserve"> </w:t>
      </w:r>
      <w:r>
        <w:t xml:space="preserve">0.13</w:t>
      </w:r>
      <w:r>
        <w:t xml:space="preserve"> </w:t>
      </w:r>
      <w:r>
        <w:t xml:space="preserve">PL</w:t>
      </w:r>
      <w:r>
        <w:t xml:space="preserve"> </w:t>
      </w:r>
      <w:r>
        <w:t xml:space="preserve">0.09</w:t>
      </w:r>
      <w:r>
        <w:t xml:space="preserve"> </w:t>
      </w:r>
      <w:r>
        <w:t xml:space="preserve">0.08</w:t>
      </w:r>
      <w:r>
        <w:t xml:space="preserve"> </w:t>
      </w:r>
      <w:r>
        <w:t xml:space="preserve">0.15</w:t>
      </w:r>
      <w:r>
        <w:t xml:space="preserve"> </w:t>
      </w:r>
      <w:r>
        <w:t xml:space="preserve">0.21</w:t>
      </w:r>
      <w:r>
        <w:t xml:space="preserve"> </w:t>
      </w:r>
      <w:r>
        <w:t xml:space="preserve">0.24</w:t>
      </w:r>
      <w:r>
        <w:t xml:space="preserve"> </w:t>
      </w:r>
      <w:r>
        <w:t xml:space="preserve">CZ</w:t>
      </w:r>
      <w:r>
        <w:t xml:space="preserve"> </w:t>
      </w:r>
      <w:r>
        <w:t xml:space="preserve">0.03</w:t>
      </w:r>
      <w:r>
        <w:t xml:space="preserve"> </w:t>
      </w:r>
      <w:r>
        <w:t xml:space="preserve">0.02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0.05</w:t>
      </w:r>
      <w:r>
        <w:t xml:space="preserve"> </w:t>
      </w:r>
      <w:r>
        <w:t xml:space="preserve">EU</w:t>
      </w:r>
      <w:r>
        <w:t xml:space="preserve"> </w:t>
      </w:r>
      <w:r>
        <w:t xml:space="preserve">147.35</w:t>
      </w:r>
      <w:r>
        <w:t xml:space="preserve"> </w:t>
      </w:r>
      <w:r>
        <w:t xml:space="preserve">131.74</w:t>
      </w:r>
      <w:r>
        <w:t xml:space="preserve"> </w:t>
      </w:r>
      <w:r>
        <w:t xml:space="preserve">178.21</w:t>
      </w:r>
      <w:r>
        <w:t xml:space="preserve"> </w:t>
      </w:r>
      <w:r>
        <w:t xml:space="preserve">194.69</w:t>
      </w:r>
      <w:r>
        <w:t xml:space="preserve"> </w:t>
      </w:r>
      <w:r>
        <w:t xml:space="preserve">211.82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The passenger segment of IWTs is expected to increase as well (see Table 19), with the</w:t>
      </w:r>
      <w:r>
        <w:t xml:space="preserve"> </w:t>
      </w:r>
      <w:r>
        <w:t xml:space="preserve">number of passenger-kilometres projected to increase by 36% by 2030 compared to 2015</w:t>
      </w:r>
      <w:r>
        <w:t xml:space="preserve"> </w:t>
      </w:r>
      <w:r>
        <w:t xml:space="preserve">(53% increase for 2015-2050)156. The number of passengers on cruise vessels for the</w:t>
      </w:r>
      <w:r>
        <w:t xml:space="preserve"> </w:t>
      </w:r>
      <w:r>
        <w:t xml:space="preserve">historical period is based on data from CCNR157. The activity in terms of passenger-</w:t>
      </w:r>
      <w:r>
        <w:t xml:space="preserve"> </w:t>
      </w:r>
      <w:r>
        <w:t xml:space="preserve">kilometres has been derived assuming an average sailing distance per passenger in inland</w:t>
      </w:r>
      <w:r>
        <w:t xml:space="preserve"> </w:t>
      </w:r>
      <w:r>
        <w:t xml:space="preserve">navigation of 350 kilometres.</w:t>
      </w:r>
      <w:r>
        <w:t xml:space="preserve"> </w:t>
      </w:r>
      <w:r>
        <w:t xml:space="preserve">Despite the increase in terms of transport volumes, the modal share of freight IWT in land</w:t>
      </w:r>
      <w:r>
        <w:t xml:space="preserve"> </w:t>
      </w:r>
      <w:r>
        <w:t xml:space="preserve">transport158 is projected to decrease from 6.8% in 2015, to 6.5% in 2025 and 6.3% in 2030.</w:t>
      </w:r>
      <w:r>
        <w:t xml:space="preserve"> </w:t>
      </w:r>
      <w:r>
        <w:t xml:space="preserve">Post-2030, the modal share of freight IWT is projected to remain relatively stable over time,</w:t>
      </w:r>
      <w:r>
        <w:t xml:space="preserve"> </w:t>
      </w:r>
      <w:r>
        <w:t xml:space="preserve">at 6.2% of land transport activity. The decrease in the market share of IWT relative to 2015 is</w:t>
      </w:r>
    </w:p>
    <w:p>
      <w:pPr>
        <w:pStyle w:val="BodyText"/>
      </w:pPr>
      <w:r>
        <w:t xml:space="preserve">domestic maritime activity from Eurostat has been used. Post-2020, the share of inland waterways activity is</w:t>
      </w:r>
      <w:r>
        <w:t xml:space="preserve"> </w:t>
      </w:r>
      <w:r>
        <w:t xml:space="preserve">assumed to remain constant over time at its 2020 levels, in line with historical developments.</w:t>
      </w:r>
      <w:r>
        <w:t xml:space="preserve"> </w:t>
      </w:r>
      <w:r>
        <w:t xml:space="preserve">156 For the projection period, the passenger IWT activity is assumed to grow in line with that of inland</w:t>
      </w:r>
      <w:r>
        <w:t xml:space="preserve"> </w:t>
      </w:r>
      <w:r>
        <w:t xml:space="preserve">waterways and domestic maritime activity from the PRIMES-TREMOVE model, while also taking into account</w:t>
      </w:r>
      <w:r>
        <w:t xml:space="preserve"> </w:t>
      </w:r>
      <w:r>
        <w:t xml:space="preserve">the increasing share of passenger IWT between 2015 and 2019.</w:t>
      </w:r>
      <w:r>
        <w:t xml:space="preserve"> </w:t>
      </w:r>
      <w:r>
        <w:t xml:space="preserve">157 Source: https://www.ccr-zkr.org/files/documents/om/om20_II_en.pdf</w:t>
      </w:r>
      <w:r>
        <w:br/>
      </w:r>
      <w:r>
        <w:t xml:space="preserve">158 Excluding pipeline transport.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due to the specific type of goods transported by inland navigation, i.e. petroleum products and</w:t>
      </w:r>
      <w:r>
        <w:t xml:space="preserve"> </w:t>
      </w:r>
      <w:r>
        <w:t xml:space="preserve">coal that are expected to decrease their share over time driven by the energy transition, but</w:t>
      </w:r>
      <w:r>
        <w:t xml:space="preserve"> </w:t>
      </w:r>
      <w:r>
        <w:t xml:space="preserve">also due to the higher growth in the rail transport activity. Although growth is expected in the</w:t>
      </w:r>
      <w:r>
        <w:t xml:space="preserve"> </w:t>
      </w:r>
      <w:r>
        <w:t xml:space="preserve">container segment, this growth is only projected to counterbalance the decrease in fossil fuels</w:t>
      </w:r>
      <w:r>
        <w:t xml:space="preserve"> </w:t>
      </w:r>
      <w:r>
        <w:t xml:space="preserve">trade post-2030. As regards passenger transport, the modal share of IWT only represents</w:t>
      </w:r>
      <w:r>
        <w:t xml:space="preserve"> </w:t>
      </w:r>
      <w:r>
        <w:t xml:space="preserve">around 0.01% of land transport activity and is projected to remain relatively stable over time</w:t>
      </w:r>
      <w:r>
        <w:t xml:space="preserve"> </w:t>
      </w:r>
      <w:r>
        <w:t xml:space="preserve">following the post-COVID recovery.</w:t>
      </w:r>
      <w:r>
        <w:t xml:space="preserve"> </w:t>
      </w:r>
      <w:r>
        <w:t xml:space="preserve">The number of passenger vessel journeys is derived based on the projected evolution of</w:t>
      </w:r>
      <w:r>
        <w:t xml:space="preserve"> </w:t>
      </w:r>
      <w:r>
        <w:t xml:space="preserve">activity in passenger-kilometres, assuming an average sailing distance per passenger in inland</w:t>
      </w:r>
      <w:r>
        <w:t xml:space="preserve"> </w:t>
      </w:r>
      <w:r>
        <w:t xml:space="preserve">navigation of 350 kilometres and an average capacity of vessels of 150 passengers159. In the</w:t>
      </w:r>
      <w:r>
        <w:t xml:space="preserve"> </w:t>
      </w:r>
      <w:r>
        <w:t xml:space="preserve">baseline scenario, the number of passenger vessel journeys is projected to increase from 8,867</w:t>
      </w:r>
      <w:r>
        <w:t xml:space="preserve"> </w:t>
      </w:r>
      <w:r>
        <w:t xml:space="preserve">in 2015 to 12,043 in 2030 and 13,572 in 2050 following the recovery from the COVID-19</w:t>
      </w:r>
      <w:r>
        <w:t xml:space="preserve"> </w:t>
      </w:r>
      <w:r>
        <w:t xml:space="preserve">pandemic (see Table 21).</w:t>
      </w:r>
      <w:r>
        <w:br/>
      </w:r>
      <w:r>
        <w:t xml:space="preserve">The total number of freight vessels journeys is estimated as the total number of tonnes</w:t>
      </w:r>
      <w:r>
        <w:t xml:space="preserve"> </w:t>
      </w:r>
      <w:r>
        <w:t xml:space="preserve">transported by IWT divided by the number of tonnes transported per journey. The total</w:t>
      </w:r>
      <w:r>
        <w:t xml:space="preserve"> </w:t>
      </w:r>
      <w:r>
        <w:t xml:space="preserve">number of tonnes transported is projected to grow roughly in line with the transport activity in</w:t>
      </w:r>
      <w:r>
        <w:t xml:space="preserve"> </w:t>
      </w:r>
      <w:r>
        <w:t xml:space="preserve">tonne kilometres (from 545 million tonnes in 2015 to 690 million tonnes in 2030 and 813</w:t>
      </w:r>
      <w:r>
        <w:t xml:space="preserve"> </w:t>
      </w:r>
      <w:r>
        <w:t xml:space="preserve">million tonnes in 2050), while the number of tonnes per journey would continue to increase</w:t>
      </w:r>
      <w:r>
        <w:t xml:space="preserve"> </w:t>
      </w:r>
      <w:r>
        <w:t xml:space="preserve">but at a slower pace than in the past160. For 2015 the total number of freight vessels journeys</w:t>
      </w:r>
      <w:r>
        <w:t xml:space="preserve"> </w:t>
      </w:r>
      <w:r>
        <w:t xml:space="preserve">was estimated at 682,120, going down to 588,721 in 2020. Around 60% of vessels journeys</w:t>
      </w:r>
      <w:r>
        <w:t xml:space="preserve"> </w:t>
      </w:r>
      <w:r>
        <w:t xml:space="preserve">took place within the Netherlands. Post-2020, the number of freight vessels journeys is</w:t>
      </w:r>
      <w:r>
        <w:t xml:space="preserve"> </w:t>
      </w:r>
      <w:r>
        <w:t xml:space="preserve">projected to go up to 717,838 in 2030 (5% increase for 2015-2030) and 731,234 in 2050 (7%</w:t>
      </w:r>
      <w:r>
        <w:t xml:space="preserve"> </w:t>
      </w:r>
      <w:r>
        <w:t xml:space="preserve">increase for 2015-2050), following the recovery from the COVID-19 pandemic.</w:t>
      </w:r>
      <w:r>
        <w:br/>
      </w:r>
      <w:r>
        <w:t xml:space="preserve">Around 40% of the freight vessels journeys take place within one country, with the rest</w:t>
      </w:r>
      <w:r>
        <w:t xml:space="preserve"> </w:t>
      </w:r>
      <w:r>
        <w:t xml:space="preserve">crossing on average 1.3 borders per journey. This means that in many cases these are journeys</w:t>
      </w:r>
      <w:r>
        <w:t xml:space="preserve"> </w:t>
      </w:r>
      <w:r>
        <w:t xml:space="preserve">between neighbouring countries (e.g. the Netherlands-Belgium or the Netherlands-Germany)</w:t>
      </w:r>
      <w:r>
        <w:t xml:space="preserve"> </w:t>
      </w:r>
      <w:r>
        <w:t xml:space="preserve">and to a much lesser extent journeys that pass through three or more countries (e.g. Belgium-</w:t>
      </w:r>
      <w:r>
        <w:t xml:space="preserve"> </w:t>
      </w:r>
      <w:r>
        <w:t xml:space="preserve">the Netherlands-Germany or Ukraine-Romania-Bulgaria). The share of border crossings in</w:t>
      </w:r>
      <w:r>
        <w:t xml:space="preserve"> </w:t>
      </w:r>
      <w:r>
        <w:t xml:space="preserve">the number of vessel journeys is assumed to remain constant over time (at around 60%), in</w:t>
      </w:r>
      <w:r>
        <w:t xml:space="preserve"> </w:t>
      </w:r>
      <w:r>
        <w:t xml:space="preserve">line with the historical developments. Thus, the total number of freight border crossings is</w:t>
      </w:r>
      <w:r>
        <w:t xml:space="preserve"> </w:t>
      </w:r>
      <w:r>
        <w:t xml:space="preserve">projected to go up from 427,947 in 2015 to 432,442 in 2030 and 440,512 in 2050. For</w:t>
      </w:r>
      <w:r>
        <w:t xml:space="preserve"> </w:t>
      </w:r>
      <w:r>
        <w:t xml:space="preserve">passenger vessels journeys, the share of border crossings is much higher (around 90%) and is</w:t>
      </w:r>
      <w:r>
        <w:t xml:space="preserve"> </w:t>
      </w:r>
      <w:r>
        <w:t xml:space="preserve">assumed to remain constant over time. The total number of border crossings for passenger</w:t>
      </w:r>
      <w:r>
        <w:t xml:space="preserve"> </w:t>
      </w:r>
      <w:r>
        <w:t xml:space="preserve">IWT is projected to increase from 8,344 in 2015 to 10,882 in 2030 and 12,264 in 2050 (see</w:t>
      </w:r>
      <w:r>
        <w:t xml:space="preserve"> </w:t>
      </w:r>
      <w:r>
        <w:t xml:space="preserve">Table 21).</w:t>
      </w:r>
      <w:r>
        <w:t xml:space="preserve"> </w:t>
      </w:r>
      <w:r>
        <w:t xml:space="preserve">Table 21: Projected evolution of vessel journeys and border crossings in the baseline scenario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vessel</w:t>
      </w:r>
      <w:r>
        <w:t xml:space="preserve"> </w:t>
      </w:r>
      <w:r>
        <w:t xml:space="preserve">journeys</w:t>
      </w:r>
    </w:p>
    <w:p>
      <w:pPr>
        <w:pStyle w:val="BodyText"/>
      </w:pPr>
      <w:r>
        <w:t xml:space="preserve">Freight</w:t>
      </w:r>
      <w:r>
        <w:br/>
      </w:r>
      <w:r>
        <w:t xml:space="preserve">682,120</w:t>
      </w:r>
      <w:r>
        <w:t xml:space="preserve"> </w:t>
      </w:r>
      <w:r>
        <w:t xml:space="preserve">588,721</w:t>
      </w:r>
      <w:r>
        <w:t xml:space="preserve"> </w:t>
      </w:r>
      <w:r>
        <w:t xml:space="preserve">717,838</w:t>
      </w:r>
      <w:r>
        <w:t xml:space="preserve"> </w:t>
      </w:r>
      <w:r>
        <w:t xml:space="preserve">721,589</w:t>
      </w:r>
      <w:r>
        <w:t xml:space="preserve"> </w:t>
      </w:r>
      <w:r>
        <w:t xml:space="preserve">731,234</w:t>
      </w:r>
      <w:r>
        <w:t xml:space="preserve"> </w:t>
      </w:r>
      <w:r>
        <w:t xml:space="preserve">Passenger</w:t>
      </w:r>
      <w:r>
        <w:br/>
      </w:r>
      <w:r>
        <w:t xml:space="preserve">8,867</w:t>
      </w:r>
      <w:r>
        <w:t xml:space="preserve"> </w:t>
      </w:r>
      <w:r>
        <w:t xml:space="preserve">827</w:t>
      </w:r>
      <w:r>
        <w:t xml:space="preserve"> </w:t>
      </w:r>
      <w:r>
        <w:t xml:space="preserve">12,043</w:t>
      </w:r>
      <w:r>
        <w:t xml:space="preserve"> </w:t>
      </w:r>
      <w:r>
        <w:t xml:space="preserve">12,940</w:t>
      </w:r>
      <w:r>
        <w:t xml:space="preserve"> </w:t>
      </w:r>
      <w:r>
        <w:t xml:space="preserve">13,572</w:t>
      </w:r>
      <w:r>
        <w:t xml:space="preserve"> </w:t>
      </w:r>
      <w:r>
        <w:t xml:space="preserve">Number of border</w:t>
      </w:r>
    </w:p>
    <w:p>
      <w:pPr>
        <w:pStyle w:val="BodyText"/>
      </w:pPr>
      <w:r>
        <w:t xml:space="preserve">159 Cruise Ship Passenger Capacity | CruiseMapper</w:t>
      </w:r>
      <w:r>
        <w:t xml:space="preserve"> </w:t>
      </w:r>
      <w:r>
        <w:t xml:space="preserve">160 From 799 tonnes per journey in 2015 and 859 tonnes per journey in 2020 to 961 tonnes per journey in 2030</w:t>
      </w:r>
      <w:r>
        <w:t xml:space="preserve"> </w:t>
      </w:r>
      <w:r>
        <w:t xml:space="preserve">and 1,111 tonnes per journey in 2050.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crossings</w:t>
      </w:r>
      <w:r>
        <w:t xml:space="preserve"> </w:t>
      </w:r>
      <w:r>
        <w:t xml:space="preserve">Freight</w:t>
      </w:r>
      <w:r>
        <w:br/>
      </w:r>
      <w:r>
        <w:t xml:space="preserve">427,947</w:t>
      </w:r>
      <w:r>
        <w:t xml:space="preserve"> </w:t>
      </w:r>
      <w:r>
        <w:t xml:space="preserve">354,659</w:t>
      </w:r>
      <w:r>
        <w:t xml:space="preserve"> </w:t>
      </w:r>
      <w:r>
        <w:t xml:space="preserve">432,442</w:t>
      </w:r>
      <w:r>
        <w:t xml:space="preserve"> </w:t>
      </w:r>
      <w:r>
        <w:t xml:space="preserve">434,702</w:t>
      </w:r>
      <w:r>
        <w:t xml:space="preserve"> </w:t>
      </w:r>
      <w:r>
        <w:t xml:space="preserve">440,512</w:t>
      </w:r>
      <w:r>
        <w:t xml:space="preserve"> </w:t>
      </w:r>
      <w:r>
        <w:t xml:space="preserve">Passenger</w:t>
      </w:r>
      <w:r>
        <w:br/>
      </w:r>
      <w:r>
        <w:t xml:space="preserve">8,344</w:t>
      </w:r>
      <w:r>
        <w:t xml:space="preserve"> </w:t>
      </w:r>
      <w:r>
        <w:t xml:space="preserve">747</w:t>
      </w:r>
      <w:r>
        <w:t xml:space="preserve"> </w:t>
      </w:r>
      <w:r>
        <w:t xml:space="preserve">10,882</w:t>
      </w:r>
      <w:r>
        <w:t xml:space="preserve"> </w:t>
      </w:r>
      <w:r>
        <w:t xml:space="preserve">11,693</w:t>
      </w:r>
      <w:r>
        <w:t xml:space="preserve"> </w:t>
      </w:r>
      <w:r>
        <w:t xml:space="preserve">12,264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In terms of vessels-kilometres, the freight inland waterways activity is projected to remain</w:t>
      </w:r>
      <w:r>
        <w:t xml:space="preserve"> </w:t>
      </w:r>
      <w:r>
        <w:t xml:space="preserve">relatively constant over time (from 184 million vessels-kilometres in 2015 to 185 million</w:t>
      </w:r>
      <w:r>
        <w:t xml:space="preserve"> </w:t>
      </w:r>
      <w:r>
        <w:t xml:space="preserve">vessels-kilometres in 2030 and 191 million vessels-kilometres in 2050). This is despite the</w:t>
      </w:r>
      <w:r>
        <w:t xml:space="preserve"> </w:t>
      </w:r>
      <w:r>
        <w:t xml:space="preserve">growing number of tonnes transported, and can be explained by the increase in the number of</w:t>
      </w:r>
      <w:r>
        <w:t xml:space="preserve"> </w:t>
      </w:r>
      <w:r>
        <w:t xml:space="preserve">tonnes per journey, as mentioned above161. For passenger IWT, the activity is projected to</w:t>
      </w:r>
      <w:r>
        <w:t xml:space="preserve"> </w:t>
      </w:r>
      <w:r>
        <w:t xml:space="preserve">increase from 3.1 million vessels-kilometres in 2015 to 4.2 million vessels-kilometres in 2030</w:t>
      </w:r>
      <w:r>
        <w:t xml:space="preserve"> </w:t>
      </w:r>
      <w:r>
        <w:t xml:space="preserve">and 4.8 million vessels-kilometres in 2050.</w:t>
      </w:r>
      <w:r>
        <w:br/>
      </w:r>
      <w:r>
        <w:t xml:space="preserve">Evolution of the fleet</w:t>
      </w:r>
      <w:r>
        <w:t xml:space="preserve"> </w:t>
      </w:r>
      <w:r>
        <w:t xml:space="preserve">The number of cargo vessels has decreased significantly between 2003 and 2020162. In 2003,</w:t>
      </w:r>
      <w:r>
        <w:t xml:space="preserve"> </w:t>
      </w:r>
      <w:r>
        <w:t xml:space="preserve">there were 13,385 ships in the EU, but by 2020 their number has fallen to 10,332, a decline of</w:t>
      </w:r>
      <w:r>
        <w:t xml:space="preserve"> </w:t>
      </w:r>
      <w:r>
        <w:t xml:space="preserve">23%. The number of cargo vessels decreased because of scale enlargement (larger quantities</w:t>
      </w:r>
      <w:r>
        <w:t xml:space="preserve"> </w:t>
      </w:r>
      <w:r>
        <w:t xml:space="preserve">per ship) and better functioning of the transport market (liberalisation). As the same time, the</w:t>
      </w:r>
      <w:r>
        <w:t xml:space="preserve"> </w:t>
      </w:r>
      <w:r>
        <w:t xml:space="preserve">size of vessels is increasing, making up for the reduction in carrying capacity, which</w:t>
      </w:r>
      <w:r>
        <w:t xml:space="preserve"> </w:t>
      </w:r>
      <w:r>
        <w:t xml:space="preserve">according to Eurostat decreases only by 3%. The overall downward trend in the number of</w:t>
      </w:r>
      <w:r>
        <w:t xml:space="preserve"> </w:t>
      </w:r>
      <w:r>
        <w:t xml:space="preserve">cargo vessels is expected to reverse by 2030 (12,371 cargo vessels), driven by the increase in</w:t>
      </w:r>
      <w:r>
        <w:t xml:space="preserve"> </w:t>
      </w:r>
      <w:r>
        <w:t xml:space="preserve">activity and the slower increase in the capacity of ships compared to the past, and it is</w:t>
      </w:r>
      <w:r>
        <w:t xml:space="preserve"> </w:t>
      </w:r>
      <w:r>
        <w:t xml:space="preserve">expected to remain relatively stable until 2050 (12,223 cargo vessels) due to the increase in</w:t>
      </w:r>
      <w:r>
        <w:t xml:space="preserve"> </w:t>
      </w:r>
      <w:r>
        <w:t xml:space="preserve">the productivity per vessel163. On the other hand, the number of passenger vessels had</w:t>
      </w:r>
      <w:r>
        <w:t xml:space="preserve"> </w:t>
      </w:r>
      <w:r>
        <w:t xml:space="preserve">increased from approximately 160 ships in 2004 to 405 ships in 2021. When the day-tour</w:t>
      </w:r>
      <w:r>
        <w:t xml:space="preserve"> </w:t>
      </w:r>
      <w:r>
        <w:t xml:space="preserve">ships and smaller cycle holiday ships are counted, around 2,553 passenger ships were</w:t>
      </w:r>
      <w:r>
        <w:t xml:space="preserve"> </w:t>
      </w:r>
      <w:r>
        <w:t xml:space="preserve">estimated to operate in the EU in 2015164. The number of passenger vessels is projected to</w:t>
      </w:r>
      <w:r>
        <w:t xml:space="preserve"> </w:t>
      </w:r>
      <w:r>
        <w:t xml:space="preserve">follow the increase in the number of passengers (3,467 vessels projected in 2030 and 3,908 in</w:t>
      </w:r>
      <w:r>
        <w:t xml:space="preserve"> </w:t>
      </w:r>
      <w:r>
        <w:t xml:space="preserve">2050). It should however be noted that the majority of these vessels are small or very small.</w:t>
      </w:r>
      <w:r>
        <w:t xml:space="preserve"> </w:t>
      </w:r>
      <w:r>
        <w:t xml:space="preserve">In contrast to cargo vessels, no further growth in scale or productivity is expected for</w:t>
      </w:r>
      <w:r>
        <w:t xml:space="preserve"> </w:t>
      </w:r>
      <w:r>
        <w:t xml:space="preserve">passenger shipping.</w:t>
      </w:r>
      <w:r>
        <w:t xml:space="preserve"> </w:t>
      </w:r>
      <w:r>
        <w:t xml:space="preserve">Table 22: Projected evolution of the fleet in the baseline scenario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Freight</w:t>
      </w:r>
      <w:r>
        <w:br/>
      </w:r>
      <w:r>
        <w:t xml:space="preserve">11,792</w:t>
      </w:r>
      <w:r>
        <w:t xml:space="preserve"> </w:t>
      </w:r>
      <w:r>
        <w:t xml:space="preserve">10,332</w:t>
      </w:r>
      <w:r>
        <w:t xml:space="preserve"> </w:t>
      </w:r>
      <w:r>
        <w:t xml:space="preserve">12,371</w:t>
      </w:r>
      <w:r>
        <w:t xml:space="preserve"> </w:t>
      </w:r>
      <w:r>
        <w:t xml:space="preserve">12,270</w:t>
      </w:r>
      <w:r>
        <w:t xml:space="preserve"> </w:t>
      </w:r>
      <w:r>
        <w:t xml:space="preserve">12,223</w:t>
      </w:r>
      <w:r>
        <w:t xml:space="preserve"> </w:t>
      </w:r>
      <w:r>
        <w:t xml:space="preserve">Passenger</w:t>
      </w:r>
      <w:r>
        <w:br/>
      </w:r>
      <w:r>
        <w:t xml:space="preserve">2,553</w:t>
      </w:r>
      <w:r>
        <w:t xml:space="preserve"> </w:t>
      </w:r>
      <w:r>
        <w:t xml:space="preserve">2,942</w:t>
      </w:r>
      <w:r>
        <w:t xml:space="preserve"> </w:t>
      </w:r>
      <w:r>
        <w:t xml:space="preserve">3,467</w:t>
      </w:r>
      <w:r>
        <w:t xml:space="preserve"> </w:t>
      </w:r>
      <w:r>
        <w:t xml:space="preserve">3,726</w:t>
      </w:r>
      <w:r>
        <w:t xml:space="preserve"> </w:t>
      </w:r>
      <w:r>
        <w:t xml:space="preserve">3,908</w:t>
      </w:r>
      <w:r>
        <w:t xml:space="preserve"> </w:t>
      </w:r>
      <w:r>
        <w:t xml:space="preserve">Total fleet</w:t>
      </w:r>
      <w:r>
        <w:t xml:space="preserve"> </w:t>
      </w:r>
      <w:r>
        <w:t xml:space="preserve">14,345</w:t>
      </w:r>
      <w:r>
        <w:t xml:space="preserve"> </w:t>
      </w:r>
      <w:r>
        <w:t xml:space="preserve">13,274</w:t>
      </w:r>
      <w:r>
        <w:t xml:space="preserve"> </w:t>
      </w:r>
      <w:r>
        <w:t xml:space="preserve">15,838</w:t>
      </w:r>
      <w:r>
        <w:t xml:space="preserve"> </w:t>
      </w:r>
      <w:r>
        <w:t xml:space="preserve">15,996</w:t>
      </w:r>
      <w:r>
        <w:t xml:space="preserve"> </w:t>
      </w:r>
      <w:r>
        <w:t xml:space="preserve">16,131</w:t>
      </w:r>
    </w:p>
    <w:p>
      <w:pPr>
        <w:pStyle w:val="BodyText"/>
      </w:pPr>
      <w:r>
        <w:t xml:space="preserve">161 From 799 tonnes per journey in 2015 and 859 tonnes per journey in 2020 to 961 tonnes per journey in 2030</w:t>
      </w:r>
      <w:r>
        <w:t xml:space="preserve"> </w:t>
      </w:r>
      <w:r>
        <w:t xml:space="preserve">and 1,111 tonnes per journey in 2050.</w:t>
      </w:r>
      <w:r>
        <w:t xml:space="preserve"> </w:t>
      </w:r>
      <w:r>
        <w:t xml:space="preserve">162 The year 2003 was chosen for the comparison because of data availability on the number of ships in both the</w:t>
      </w:r>
      <w:r>
        <w:t xml:space="preserve"> </w:t>
      </w:r>
      <w:r>
        <w:t xml:space="preserve">Rhine, Danube and other river basins.</w:t>
      </w:r>
      <w:r>
        <w:br/>
      </w:r>
      <w:r>
        <w:t xml:space="preserve">163 This is assumed at 1.5% per year per ship/barge. This increase is justified by both technical and operational</w:t>
      </w:r>
      <w:r>
        <w:t xml:space="preserve"> </w:t>
      </w:r>
      <w:r>
        <w:t xml:space="preserve">developments: for instance Smart And Autonomous Shipping which may result into a larger share of the fleet</w:t>
      </w:r>
      <w:r>
        <w:t xml:space="preserve"> </w:t>
      </w:r>
      <w:r>
        <w:t xml:space="preserve">being able to sale 24/7 (in spite of labour shortages in the sector), increased attention to good navigational status</w:t>
      </w:r>
      <w:r>
        <w:t xml:space="preserve"> </w:t>
      </w:r>
      <w:r>
        <w:t xml:space="preserve">of waterways (including 24/7 operation of bridges and locks on the major waterways) and scale enlargement in</w:t>
      </w:r>
      <w:r>
        <w:t xml:space="preserve"> </w:t>
      </w:r>
      <w:r>
        <w:t xml:space="preserve">IWT of both companies (larger number of vessels per company) and vessels (larger load capacities for vessels),</w:t>
      </w:r>
      <w:r>
        <w:t xml:space="preserve"> </w:t>
      </w:r>
      <w:r>
        <w:t xml:space="preserve">although at slower pace than in the past.</w:t>
      </w:r>
      <w:r>
        <w:t xml:space="preserve"> </w:t>
      </w:r>
      <w:r>
        <w:t xml:space="preserve">164 Prominent (2017)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Evolution of energy use, CO2 and air pollutant emissions</w:t>
      </w:r>
      <w:r>
        <w:br/>
      </w:r>
      <w:r>
        <w:t xml:space="preserve">The evolution of energy consumption and emissions draws on the PRIMES-TREMOVE</w:t>
      </w:r>
      <w:r>
        <w:t xml:space="preserve"> </w:t>
      </w:r>
      <w:r>
        <w:t xml:space="preserve">model projections, while accounting for the share of inland waterways transport in inland</w:t>
      </w:r>
      <w:r>
        <w:t xml:space="preserve"> </w:t>
      </w:r>
      <w:r>
        <w:t xml:space="preserve">waterways and domestic maritime activity. Energy use in freight IWT is projected to remain</w:t>
      </w:r>
      <w:r>
        <w:t xml:space="preserve"> </w:t>
      </w:r>
      <w:r>
        <w:t xml:space="preserve">relatively stable by 2030 to its 2015 levels, despite the increase in activity, and to decrease to</w:t>
      </w:r>
      <w:r>
        <w:t xml:space="preserve"> </w:t>
      </w:r>
      <w:r>
        <w:t xml:space="preserve">895 ktoe165 by 2050 (11% decrease for 2015-2050), thanks to the uptake of more fuel-</w:t>
      </w:r>
      <w:r>
        <w:t xml:space="preserve"> </w:t>
      </w:r>
      <w:r>
        <w:t xml:space="preserve">efficient technologies including electrification. For passenger vessels, energy consumption is</w:t>
      </w:r>
      <w:r>
        <w:t xml:space="preserve"> </w:t>
      </w:r>
      <w:r>
        <w:t xml:space="preserve">projected to increase by 11% by 2030 (132 ktoe), driven by the strong growth in activity, and</w:t>
      </w:r>
      <w:r>
        <w:t xml:space="preserve"> </w:t>
      </w:r>
      <w:r>
        <w:t xml:space="preserve">only to slightly decrease by 2050 relative to its 2015 levels (112 ktoe). Overall, considering</w:t>
      </w:r>
      <w:r>
        <w:t xml:space="preserve"> </w:t>
      </w:r>
      <w:r>
        <w:t xml:space="preserve">both passenger and freight, energy use in inland waterways transport is projected to remain</w:t>
      </w:r>
      <w:r>
        <w:t xml:space="preserve"> </w:t>
      </w:r>
      <w:r>
        <w:t xml:space="preserve">relatively stable by 2030 compared to its 2015 levels and to go down by 10% by 2050,</w:t>
      </w:r>
      <w:r>
        <w:t xml:space="preserve"> </w:t>
      </w:r>
      <w:r>
        <w:t xml:space="preserve">relative to 2015.</w:t>
      </w:r>
      <w:r>
        <w:br/>
      </w:r>
      <w:r>
        <w:t xml:space="preserve">In the baseline scenario, CO2 emissions from inland waterways transport are projected to</w:t>
      </w:r>
      <w:r>
        <w:t xml:space="preserve"> </w:t>
      </w:r>
      <w:r>
        <w:t xml:space="preserve">decrease much faster than the energy use (21% decrease for 2015-2030 and 67% decrease for</w:t>
      </w:r>
      <w:r>
        <w:t xml:space="preserve"> </w:t>
      </w:r>
      <w:r>
        <w:t xml:space="preserve">2015-2050). This is because of the large scale uptake of renewable and low carbon fuels,</w:t>
      </w:r>
      <w:r>
        <w:t xml:space="preserve"> </w:t>
      </w:r>
      <w:r>
        <w:t xml:space="preserve">namely e-fuels, biofuels and electricity. In this context, it should be noted that the baseline</w:t>
      </w:r>
      <w:r>
        <w:t xml:space="preserve"> </w:t>
      </w:r>
      <w:r>
        <w:t xml:space="preserve">scenario assumes the implementation of the European Climate Law to which all sectors,</w:t>
      </w:r>
      <w:r>
        <w:t xml:space="preserve"> </w:t>
      </w:r>
      <w:r>
        <w:t xml:space="preserve">including the inland waterways sector, need to contribute.</w:t>
      </w:r>
      <w:r>
        <w:br/>
      </w:r>
      <w:r>
        <w:t xml:space="preserve">In terms of NOx emissions a similar trend is expected. NOx emissions are projected to reduce</w:t>
      </w:r>
      <w:r>
        <w:t xml:space="preserve"> </w:t>
      </w:r>
      <w:r>
        <w:t xml:space="preserve">from 73 ktons in 2015 to just below 20 ktons in 2050. The amount of particulate matter</w:t>
      </w:r>
      <w:r>
        <w:t xml:space="preserve"> </w:t>
      </w:r>
      <w:r>
        <w:t xml:space="preserve">emitted by inland navigation is also expected to reduce, from 3.8 ktons in 2015 to 1 kton in</w:t>
      </w:r>
      <w:r>
        <w:t xml:space="preserve"> </w:t>
      </w:r>
      <w:r>
        <w:t xml:space="preserve">2050. This is due to both electrification and the fact that the ships that continue to operate</w:t>
      </w:r>
      <w:r>
        <w:t xml:space="preserve"> </w:t>
      </w:r>
      <w:r>
        <w:t xml:space="preserve">with internal combustion engines are becoming cleaner. In this context, it should be noted that</w:t>
      </w:r>
      <w:r>
        <w:t xml:space="preserve"> </w:t>
      </w:r>
      <w:r>
        <w:t xml:space="preserve">since 2020 new combustion engines are considerably cleaner, thanks to the implementation of</w:t>
      </w:r>
      <w:r>
        <w:t xml:space="preserve"> </w:t>
      </w:r>
      <w:r>
        <w:t xml:space="preserve">non-road mobile machinery (NRMM) Regulation166 (NRMM Stage 5).</w:t>
      </w:r>
      <w:r>
        <w:t xml:space="preserve"> </w:t>
      </w:r>
      <w:r>
        <w:t xml:space="preserve">Table 23: Projected evolution of energy use, CO2 and air pollutant emissions in the baseline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Energy use (ktoe)</w:t>
      </w:r>
      <w:r>
        <w:t xml:space="preserve"> </w:t>
      </w:r>
      <w:r>
        <w:t xml:space="preserve">1,124</w:t>
      </w:r>
      <w:r>
        <w:t xml:space="preserve"> </w:t>
      </w:r>
      <w:r>
        <w:t xml:space="preserve">828</w:t>
      </w:r>
      <w:r>
        <w:t xml:space="preserve"> </w:t>
      </w:r>
      <w:r>
        <w:t xml:space="preserve">1,129</w:t>
      </w:r>
      <w:r>
        <w:t xml:space="preserve"> </w:t>
      </w:r>
      <w:r>
        <w:t xml:space="preserve">1,060</w:t>
      </w:r>
      <w:r>
        <w:t xml:space="preserve"> </w:t>
      </w:r>
      <w:r>
        <w:t xml:space="preserve">1,007</w:t>
      </w:r>
      <w:r>
        <w:t xml:space="preserve"> </w:t>
      </w:r>
      <w:r>
        <w:t xml:space="preserve">Freight</w:t>
      </w:r>
      <w:r>
        <w:br/>
      </w:r>
      <w:r>
        <w:t xml:space="preserve">1,006</w:t>
      </w:r>
      <w:r>
        <w:t xml:space="preserve"> </w:t>
      </w:r>
      <w:r>
        <w:t xml:space="preserve">818</w:t>
      </w:r>
      <w:r>
        <w:t xml:space="preserve"> </w:t>
      </w:r>
      <w:r>
        <w:t xml:space="preserve">997</w:t>
      </w:r>
      <w:r>
        <w:t xml:space="preserve"> </w:t>
      </w:r>
      <w:r>
        <w:t xml:space="preserve">938</w:t>
      </w:r>
      <w:r>
        <w:t xml:space="preserve"> </w:t>
      </w:r>
      <w:r>
        <w:t xml:space="preserve">895</w:t>
      </w:r>
      <w:r>
        <w:t xml:space="preserve"> </w:t>
      </w:r>
      <w:r>
        <w:t xml:space="preserve">Passenger</w:t>
      </w:r>
      <w:r>
        <w:br/>
      </w:r>
      <w:r>
        <w:t xml:space="preserve">119</w:t>
      </w:r>
      <w:r>
        <w:t xml:space="preserve"> </w:t>
      </w:r>
      <w:r>
        <w:t xml:space="preserve">10</w:t>
      </w:r>
      <w:r>
        <w:t xml:space="preserve"> </w:t>
      </w:r>
      <w:r>
        <w:t xml:space="preserve">132</w:t>
      </w:r>
      <w:r>
        <w:t xml:space="preserve"> </w:t>
      </w:r>
      <w:r>
        <w:t xml:space="preserve">122</w:t>
      </w:r>
      <w:r>
        <w:t xml:space="preserve"> </w:t>
      </w:r>
      <w:r>
        <w:t xml:space="preserve">112</w:t>
      </w:r>
      <w:r>
        <w:t xml:space="preserve"> </w:t>
      </w:r>
      <w:r>
        <w:t xml:space="preserve">CO2 emissions (ktons)</w:t>
      </w:r>
      <w:r>
        <w:t xml:space="preserve"> </w:t>
      </w:r>
      <w:r>
        <w:t xml:space="preserve">3,476</w:t>
      </w:r>
      <w:r>
        <w:t xml:space="preserve"> </w:t>
      </w:r>
      <w:r>
        <w:t xml:space="preserve">2,416</w:t>
      </w:r>
      <w:r>
        <w:t xml:space="preserve"> </w:t>
      </w:r>
      <w:r>
        <w:t xml:space="preserve">2,745</w:t>
      </w:r>
      <w:r>
        <w:t xml:space="preserve"> </w:t>
      </w:r>
      <w:r>
        <w:t xml:space="preserve">2,182</w:t>
      </w:r>
      <w:r>
        <w:t xml:space="preserve"> </w:t>
      </w:r>
      <w:r>
        <w:t xml:space="preserve">1,084</w:t>
      </w:r>
      <w:r>
        <w:t xml:space="preserve"> </w:t>
      </w:r>
      <w:r>
        <w:t xml:space="preserve">Freight</w:t>
      </w:r>
      <w:r>
        <w:br/>
      </w:r>
      <w:r>
        <w:t xml:space="preserve">3,109</w:t>
      </w:r>
      <w:r>
        <w:t xml:space="preserve"> </w:t>
      </w:r>
      <w:r>
        <w:t xml:space="preserve">2,387</w:t>
      </w:r>
      <w:r>
        <w:t xml:space="preserve"> </w:t>
      </w:r>
      <w:r>
        <w:t xml:space="preserve">2,424</w:t>
      </w:r>
      <w:r>
        <w:t xml:space="preserve"> </w:t>
      </w:r>
      <w:r>
        <w:t xml:space="preserve">1,930</w:t>
      </w:r>
      <w:r>
        <w:t xml:space="preserve"> </w:t>
      </w:r>
      <w:r>
        <w:t xml:space="preserve">963</w:t>
      </w:r>
      <w:r>
        <w:t xml:space="preserve"> </w:t>
      </w:r>
      <w:r>
        <w:t xml:space="preserve">Passenger</w:t>
      </w:r>
      <w:r>
        <w:br/>
      </w:r>
      <w:r>
        <w:t xml:space="preserve">366</w:t>
      </w:r>
      <w:r>
        <w:t xml:space="preserve"> </w:t>
      </w:r>
      <w:r>
        <w:t xml:space="preserve">29</w:t>
      </w:r>
      <w:r>
        <w:t xml:space="preserve"> </w:t>
      </w:r>
      <w:r>
        <w:t xml:space="preserve">321</w:t>
      </w:r>
      <w:r>
        <w:t xml:space="preserve"> </w:t>
      </w:r>
      <w:r>
        <w:t xml:space="preserve">251</w:t>
      </w:r>
      <w:r>
        <w:t xml:space="preserve"> </w:t>
      </w:r>
      <w:r>
        <w:t xml:space="preserve">121</w:t>
      </w:r>
      <w:r>
        <w:t xml:space="preserve"> </w:t>
      </w:r>
      <w:r>
        <w:t xml:space="preserve">NOx emissions (ktons)</w:t>
      </w:r>
      <w:r>
        <w:t xml:space="preserve"> </w:t>
      </w:r>
      <w:r>
        <w:t xml:space="preserve">73</w:t>
      </w:r>
      <w:r>
        <w:t xml:space="preserve"> </w:t>
      </w:r>
      <w:r>
        <w:t xml:space="preserve">49</w:t>
      </w:r>
      <w:r>
        <w:t xml:space="preserve"> </w:t>
      </w:r>
      <w:r>
        <w:t xml:space="preserve">47</w:t>
      </w:r>
      <w:r>
        <w:t xml:space="preserve"> </w:t>
      </w:r>
      <w:r>
        <w:t xml:space="preserve">32</w:t>
      </w:r>
      <w:r>
        <w:t xml:space="preserve"> </w:t>
      </w:r>
      <w:r>
        <w:t xml:space="preserve">18</w:t>
      </w:r>
      <w:r>
        <w:t xml:space="preserve"> </w:t>
      </w:r>
      <w:r>
        <w:t xml:space="preserve">Freight</w:t>
      </w:r>
      <w:r>
        <w:br/>
      </w:r>
      <w:r>
        <w:t xml:space="preserve">65</w:t>
      </w:r>
      <w:r>
        <w:t xml:space="preserve"> </w:t>
      </w:r>
      <w:r>
        <w:t xml:space="preserve">49</w:t>
      </w:r>
      <w:r>
        <w:t xml:space="preserve"> </w:t>
      </w:r>
      <w:r>
        <w:t xml:space="preserve">41</w:t>
      </w:r>
      <w:r>
        <w:t xml:space="preserve"> </w:t>
      </w:r>
      <w:r>
        <w:t xml:space="preserve">28</w:t>
      </w:r>
      <w:r>
        <w:t xml:space="preserve"> </w:t>
      </w:r>
      <w:r>
        <w:t xml:space="preserve">16</w:t>
      </w:r>
      <w:r>
        <w:t xml:space="preserve"> </w:t>
      </w:r>
      <w:r>
        <w:t xml:space="preserve">Passenger</w:t>
      </w:r>
      <w:r>
        <w:br/>
      </w:r>
      <w:r>
        <w:t xml:space="preserve">8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PM emissions (ktons PM2.5)</w:t>
      </w:r>
      <w:r>
        <w:t xml:space="preserve"> </w:t>
      </w:r>
      <w:r>
        <w:t xml:space="preserve">3.8</w:t>
      </w:r>
      <w:r>
        <w:t xml:space="preserve"> </w:t>
      </w:r>
      <w:r>
        <w:t xml:space="preserve">2.6</w:t>
      </w:r>
      <w:r>
        <w:t xml:space="preserve"> </w:t>
      </w:r>
      <w:r>
        <w:t xml:space="preserve">2.4</w:t>
      </w:r>
      <w:r>
        <w:t xml:space="preserve"> </w:t>
      </w:r>
      <w:r>
        <w:t xml:space="preserve">1.6</w:t>
      </w:r>
      <w:r>
        <w:t xml:space="preserve"> </w:t>
      </w:r>
      <w:r>
        <w:t xml:space="preserve">1.0</w:t>
      </w:r>
      <w:r>
        <w:t xml:space="preserve"> </w:t>
      </w:r>
      <w:r>
        <w:t xml:space="preserve">Freight</w:t>
      </w:r>
      <w:r>
        <w:br/>
      </w:r>
      <w:r>
        <w:t xml:space="preserve">3.4</w:t>
      </w:r>
      <w:r>
        <w:t xml:space="preserve"> </w:t>
      </w:r>
      <w:r>
        <w:t xml:space="preserve">2.5</w:t>
      </w:r>
      <w:r>
        <w:t xml:space="preserve"> </w:t>
      </w:r>
      <w:r>
        <w:t xml:space="preserve">2.2</w:t>
      </w:r>
      <w:r>
        <w:t xml:space="preserve"> </w:t>
      </w:r>
      <w:r>
        <w:t xml:space="preserve">1.5</w:t>
      </w:r>
      <w:r>
        <w:t xml:space="preserve"> </w:t>
      </w:r>
      <w:r>
        <w:t xml:space="preserve">0.8</w:t>
      </w:r>
      <w:r>
        <w:t xml:space="preserve"> </w:t>
      </w:r>
      <w:r>
        <w:t xml:space="preserve">Passenger</w:t>
      </w:r>
      <w:r>
        <w:br/>
      </w:r>
      <w:r>
        <w:t xml:space="preserve">0.4</w:t>
      </w:r>
      <w:r>
        <w:t xml:space="preserve"> </w:t>
      </w:r>
      <w:r>
        <w:t xml:space="preserve">0.0</w:t>
      </w:r>
      <w:r>
        <w:t xml:space="preserve"> </w:t>
      </w:r>
      <w:r>
        <w:t xml:space="preserve">0.3</w:t>
      </w:r>
      <w:r>
        <w:t xml:space="preserve"> </w:t>
      </w:r>
      <w:r>
        <w:t xml:space="preserve">0.2</w:t>
      </w:r>
      <w:r>
        <w:t xml:space="preserve"> </w:t>
      </w:r>
      <w:r>
        <w:t xml:space="preserve">0.1</w:t>
      </w:r>
    </w:p>
    <w:p>
      <w:pPr>
        <w:pStyle w:val="BodyText"/>
      </w:pPr>
      <w:r>
        <w:t xml:space="preserve">165 The tonne of oil equivalent (toe) is a unit of energy defined as the amount of energy released by burning one</w:t>
      </w:r>
      <w:r>
        <w:t xml:space="preserve"> </w:t>
      </w:r>
      <w:r>
        <w:t xml:space="preserve">tonne of crude oil.</w:t>
      </w:r>
      <w:r>
        <w:t xml:space="preserve"> </w:t>
      </w:r>
      <w:r>
        <w:t xml:space="preserve">166 Regulation (EU) 2016/1628.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Source: Ramboll et al. (2024), impact assessment support study; Note: PM stands for particulate matter</w:t>
      </w:r>
      <w:r>
        <w:t xml:space="preserve"> </w:t>
      </w:r>
      <w:r>
        <w:t xml:space="preserve">emissions.</w:t>
      </w:r>
      <w:r>
        <w:br/>
      </w:r>
      <w:r>
        <w:t xml:space="preserve">Evolution of the number of accidents</w:t>
      </w:r>
      <w:r>
        <w:br/>
      </w:r>
      <w:r>
        <w:t xml:space="preserve">There is little consistent data on safety in the inland navigation sector, with available data</w:t>
      </w:r>
      <w:r>
        <w:t xml:space="preserve"> </w:t>
      </w:r>
      <w:r>
        <w:t xml:space="preserve">coming from Eurostat and national databases for Bulgaria, Czechia, Germany, Croatia,</w:t>
      </w:r>
      <w:r>
        <w:t xml:space="preserve"> </w:t>
      </w:r>
      <w:r>
        <w:t xml:space="preserve">Hungary, the Netherlands, Austria, Poland and Romania. In the baseline scenario, the</w:t>
      </w:r>
      <w:r>
        <w:t xml:space="preserve"> </w:t>
      </w:r>
      <w:r>
        <w:t xml:space="preserve">projected evolution of the number of accidents is linked to the evolution of activity expressed</w:t>
      </w:r>
      <w:r>
        <w:t xml:space="preserve"> </w:t>
      </w:r>
      <w:r>
        <w:t xml:space="preserve">in terms of vessel-kilometres. The number of accidents per vessel-kilometres is assumed to</w:t>
      </w:r>
      <w:r>
        <w:t xml:space="preserve"> </w:t>
      </w:r>
      <w:r>
        <w:t xml:space="preserve">remain constant over time. Thus, the number of accidents is projected to slightly increase to</w:t>
      </w:r>
      <w:r>
        <w:t xml:space="preserve"> </w:t>
      </w:r>
      <w:r>
        <w:t xml:space="preserve">535 in 2030 and 551 in 2050 in the baseline scenario.</w:t>
      </w:r>
      <w:r>
        <w:t xml:space="preserve"> </w:t>
      </w:r>
      <w:r>
        <w:t xml:space="preserve">Table 24: Projected evolution of the number of accidents in the baseline scenario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Freight and passenger</w:t>
      </w:r>
      <w:r>
        <w:t xml:space="preserve"> </w:t>
      </w:r>
      <w:r>
        <w:t xml:space="preserve">529</w:t>
      </w:r>
      <w:r>
        <w:t xml:space="preserve"> </w:t>
      </w:r>
      <w:r>
        <w:t xml:space="preserve">433</w:t>
      </w:r>
      <w:r>
        <w:t xml:space="preserve"> </w:t>
      </w:r>
      <w:r>
        <w:t xml:space="preserve">535</w:t>
      </w:r>
      <w:r>
        <w:t xml:space="preserve"> </w:t>
      </w:r>
      <w:r>
        <w:t xml:space="preserve">539</w:t>
      </w:r>
      <w:r>
        <w:t xml:space="preserve"> </w:t>
      </w:r>
      <w:r>
        <w:t xml:space="preserve">551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3. Impacts of policy measure in terms of costs and cost savings</w:t>
      </w:r>
      <w:r>
        <w:t xml:space="preserve"> </w:t>
      </w:r>
      <w:r>
        <w:t xml:space="preserve">This section explains the inputs used and provides the assessment of costs of the policy</w:t>
      </w:r>
      <w:r>
        <w:t xml:space="preserve"> </w:t>
      </w:r>
      <w:r>
        <w:t xml:space="preserve">measures included in the policy options. The estimates take into account the synergies</w:t>
      </w:r>
      <w:r>
        <w:t xml:space="preserve"> </w:t>
      </w:r>
      <w:r>
        <w:t xml:space="preserve">between the policy measures included in the policy options. The estimation of the costs draws</w:t>
      </w:r>
      <w:r>
        <w:t xml:space="preserve"> </w:t>
      </w:r>
      <w:r>
        <w:t xml:space="preserve">on the impact assessment support study167, including input collected through desk research</w:t>
      </w:r>
      <w:r>
        <w:t xml:space="preserve"> </w:t>
      </w:r>
      <w:r>
        <w:t xml:space="preserve">and stakeholder interviews during the impact assessment process.</w:t>
      </w:r>
      <w:r>
        <w:t xml:space="preserve"> </w:t>
      </w:r>
      <w:r>
        <w:t xml:space="preserve">PM1: Increase the harmonisation of RIS through guidelines</w:t>
      </w:r>
      <w:r>
        <w:br/>
      </w:r>
      <w:r>
        <w:t xml:space="preserve">Under this measure, the European Commission, supported by CESNI (European Committee</w:t>
      </w:r>
      <w:r>
        <w:t xml:space="preserve"> </w:t>
      </w:r>
      <w:r>
        <w:t xml:space="preserve">for drawing up standards in the field of inland navigation), would develop a set of guidelines</w:t>
      </w:r>
      <w:r>
        <w:t xml:space="preserve"> </w:t>
      </w:r>
      <w:r>
        <w:t xml:space="preserve">that will support Member States and stakeholders in better interpreting and applying the</w:t>
      </w:r>
      <w:r>
        <w:t xml:space="preserve"> </w:t>
      </w:r>
      <w:r>
        <w:t xml:space="preserve">existing technical specifications168. This would increase the level of harmonisation of RIS by</w:t>
      </w:r>
      <w:r>
        <w:t xml:space="preserve"> </w:t>
      </w:r>
      <w:r>
        <w:t xml:space="preserve">removing different interpretations or incomplete application of the technical specifications</w:t>
      </w:r>
      <w:r>
        <w:t xml:space="preserve"> </w:t>
      </w:r>
      <w:r>
        <w:t xml:space="preserve">and will help to improve the quality of the information provided to the users through RIS, and</w:t>
      </w:r>
      <w:r>
        <w:t xml:space="preserve"> </w:t>
      </w:r>
      <w:r>
        <w:t xml:space="preserve">help the sector to identify required information more easily.</w:t>
      </w:r>
    </w:p>
    <w:p>
      <w:pPr>
        <w:pStyle w:val="BodyText"/>
      </w:pPr>
      <w:r>
        <w:t xml:space="preserve">167 Ramboll et al. (2024), Impact assessment support study.</w:t>
      </w:r>
      <w:r>
        <w:t xml:space="preserve"> </w:t>
      </w:r>
      <w:r>
        <w:t xml:space="preserve">168 These guidelines are not the same with the “RIS Guidelines” as mentioned in Annex II of the Directive, and</w:t>
      </w:r>
      <w:r>
        <w:t xml:space="preserve"> </w:t>
      </w:r>
      <w:r>
        <w:t xml:space="preserve">which form an integral part of the standards, originating from the work of PIANC, and which are in force</w:t>
      </w:r>
      <w:r>
        <w:t xml:space="preserve"> </w:t>
      </w:r>
      <w:r>
        <w:t xml:space="preserve">through Commission Regulation (EC) No 414/2007.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Adjustment costs for the European Commission</w:t>
      </w:r>
      <w:r>
        <w:br/>
      </w:r>
      <w:r>
        <w:t xml:space="preserve">The development of the guidelines will proceed in two steps169. A study will be carried out to</w:t>
      </w:r>
      <w:r>
        <w:t xml:space="preserve"> </w:t>
      </w:r>
      <w:r>
        <w:t xml:space="preserve">compile the required elements and propose several options for the establishment of the</w:t>
      </w:r>
      <w:r>
        <w:t xml:space="preserve"> </w:t>
      </w:r>
      <w:r>
        <w:t xml:space="preserve">technical specifications. In a second stage, an expert group will use the findings of the study</w:t>
      </w:r>
      <w:r>
        <w:t xml:space="preserve"> </w:t>
      </w:r>
      <w:r>
        <w:t xml:space="preserve">to draft the guidelines.</w:t>
      </w:r>
      <w:r>
        <w:t xml:space="preserve"> </w:t>
      </w:r>
      <w:r>
        <w:t xml:space="preserve">The one-off costs of the study are estimated at EUR 400,000. The average cost for a two-day</w:t>
      </w:r>
      <w:r>
        <w:t xml:space="preserve"> </w:t>
      </w:r>
      <w:r>
        <w:t xml:space="preserve">workshop hosted by European Commission (EC), where participants are reimbursed by the</w:t>
      </w:r>
      <w:r>
        <w:t xml:space="preserve"> </w:t>
      </w:r>
      <w:r>
        <w:t xml:space="preserve">EC, is around EUR 30,000. Two of such in-person workshops may be required as well as two</w:t>
      </w:r>
      <w:r>
        <w:t xml:space="preserve"> </w:t>
      </w:r>
      <w:r>
        <w:t xml:space="preserve">online meetings. Compensation for the experts contributing to the online meetings is</w:t>
      </w:r>
      <w:r>
        <w:t xml:space="preserve"> </w:t>
      </w:r>
      <w:r>
        <w:t xml:space="preserve">estimated at EUR 5,000 for each meeting. Therefore, the one-off adjustment costs for the</w:t>
      </w:r>
      <w:r>
        <w:t xml:space="preserve"> </w:t>
      </w:r>
      <w:r>
        <w:t xml:space="preserve">European Commission are estimated at EUR 0.47 million.</w:t>
      </w:r>
      <w:r>
        <w:t xml:space="preserve"> </w:t>
      </w:r>
      <w:r>
        <w:t xml:space="preserve">Adjustment costs savings for navigation software service providers</w:t>
      </w:r>
      <w:r>
        <w:br/>
      </w:r>
      <w:r>
        <w:t xml:space="preserve">The guidelines are expected to facilitate the work of navigation software service providers by</w:t>
      </w:r>
      <w:r>
        <w:t xml:space="preserve"> </w:t>
      </w:r>
      <w:r>
        <w:t xml:space="preserve">reducing current inefficiencies, such as the ones caused by data inconsistencies between</w:t>
      </w:r>
      <w:r>
        <w:t xml:space="preserve"> </w:t>
      </w:r>
      <w:r>
        <w:t xml:space="preserve">Member States. The improvement in the quality of the information provided through RIS</w:t>
      </w:r>
      <w:r>
        <w:t xml:space="preserve"> </w:t>
      </w:r>
      <w:r>
        <w:t xml:space="preserve">under this measure is expected to lead to time savings for software service providers for</w:t>
      </w:r>
      <w:r>
        <w:t xml:space="preserve"> </w:t>
      </w:r>
      <w:r>
        <w:t xml:space="preserve">introducing the data into their systems and thus to a reduction in their operation costs. In the</w:t>
      </w:r>
      <w:r>
        <w:t xml:space="preserve"> </w:t>
      </w:r>
      <w:r>
        <w:t xml:space="preserve">baseline scenario, the average cost for software service providers for introducing the data into</w:t>
      </w:r>
      <w:r>
        <w:t xml:space="preserve"> </w:t>
      </w:r>
      <w:r>
        <w:t xml:space="preserve">their systems is estimated at EUR 452 per year, per vessel (in 2022 prices)170. Considering the</w:t>
      </w:r>
      <w:r>
        <w:t xml:space="preserve"> </w:t>
      </w:r>
      <w:r>
        <w:t xml:space="preserve">evolution of the fleet provided in section 2.2 of Annex 4, in the baseline scenario the total</w:t>
      </w:r>
      <w:r>
        <w:t xml:space="preserve"> </w:t>
      </w:r>
      <w:r>
        <w:t xml:space="preserve">costs for navigation software service providers for introducing the data into their systems are</w:t>
      </w:r>
      <w:r>
        <w:t xml:space="preserve"> </w:t>
      </w:r>
      <w:r>
        <w:t xml:space="preserve">estimated at EUR 6.9 million in 2025, EUR 7.2 million in 2030 and EUR 7.3 million in 2050.</w:t>
      </w:r>
      <w:r>
        <w:t xml:space="preserve"> </w:t>
      </w:r>
      <w:r>
        <w:t xml:space="preserve">According to feedback provided by the RIS software service providers during the second</w:t>
      </w:r>
      <w:r>
        <w:t xml:space="preserve"> </w:t>
      </w:r>
      <w:r>
        <w:t xml:space="preserve">stakeholder survey171, PM1 would allow to reduce the average cost per vessel by 1% relative</w:t>
      </w:r>
      <w:r>
        <w:t xml:space="preserve"> </w:t>
      </w:r>
      <w:r>
        <w:t xml:space="preserve">to the baseline (i.e. EUR 4.52 saved per vessel) from 2026 onwards. The recurrent adjustment</w:t>
      </w:r>
      <w:r>
        <w:t xml:space="preserve"> </w:t>
      </w:r>
      <w:r>
        <w:t xml:space="preserve">costs savings for navigation software service providers for 2030, 2040 and 2050, relative to</w:t>
      </w:r>
      <w:r>
        <w:t xml:space="preserve"> </w:t>
      </w:r>
      <w:r>
        <w:t xml:space="preserve">the baseline, are provided in Table 25. Expressed as present value over 2025-2050, they are</w:t>
      </w:r>
      <w:r>
        <w:t xml:space="preserve"> </w:t>
      </w:r>
      <w:r>
        <w:t xml:space="preserve">estimated at EUR 1.25 million relative to the baseline (in 2022 prices)172.</w:t>
      </w:r>
      <w:r>
        <w:t xml:space="preserve"> </w:t>
      </w:r>
      <w:r>
        <w:t xml:space="preserve">Table 25: Recurrent adjustment costs savings for navigation software service providers due to PM1</w:t>
      </w:r>
      <w:r>
        <w:t xml:space="preserve"> </w:t>
      </w:r>
      <w:r>
        <w:t xml:space="preserve">relative to the baseline (in EUR, in 2022 prices)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vessels</w:t>
      </w:r>
      <w:r>
        <w:t xml:space="preserve"> </w:t>
      </w:r>
      <w:r>
        <w:t xml:space="preserve">15,838</w:t>
      </w:r>
      <w:r>
        <w:t xml:space="preserve"> </w:t>
      </w:r>
      <w:r>
        <w:t xml:space="preserve">15,996</w:t>
      </w:r>
      <w:r>
        <w:t xml:space="preserve"> </w:t>
      </w:r>
      <w:r>
        <w:t xml:space="preserve">16,131</w:t>
      </w:r>
      <w:r>
        <w:t xml:space="preserve"> </w:t>
      </w:r>
      <w:r>
        <w:t xml:space="preserve">Average costs savings for navigation software service</w:t>
      </w:r>
      <w:r>
        <w:t xml:space="preserve"> </w:t>
      </w:r>
      <w:r>
        <w:t xml:space="preserve">providers per vessel (in EUR)</w:t>
      </w:r>
      <w:r>
        <w:t xml:space="preserve"> </w:t>
      </w:r>
      <w:r>
        <w:t xml:space="preserve">4.52</w:t>
      </w:r>
      <w:r>
        <w:t xml:space="preserve"> </w:t>
      </w:r>
      <w:r>
        <w:t xml:space="preserve">4.52</w:t>
      </w:r>
      <w:r>
        <w:t xml:space="preserve"> </w:t>
      </w:r>
      <w:r>
        <w:t xml:space="preserve">4.52</w:t>
      </w:r>
    </w:p>
    <w:p>
      <w:pPr>
        <w:pStyle w:val="BodyText"/>
      </w:pPr>
      <w:r>
        <w:t xml:space="preserve">169 Note that CESNI is financed by the Commission through a grant agreement. Therefore, these funds would be</w:t>
      </w:r>
      <w:r>
        <w:t xml:space="preserve"> </w:t>
      </w:r>
      <w:r>
        <w:t xml:space="preserve">transferred from the Commission to CESNI, which would be in charge of the actual development of the</w:t>
      </w:r>
      <w:r>
        <w:t xml:space="preserve"> </w:t>
      </w:r>
      <w:r>
        <w:t xml:space="preserve">guidelines.</w:t>
      </w:r>
      <w:r>
        <w:br/>
      </w:r>
      <w:r>
        <w:t xml:space="preserve">170 Ludden, V. et al., (2020): Study supporting the evaluation of Directive 2005/44/EC on Harmonised River</w:t>
      </w:r>
      <w:r>
        <w:t xml:space="preserve"> </w:t>
      </w:r>
      <w:r>
        <w:t xml:space="preserve">Information Services (RIS). Ramboll, University of Antwerp and DLA Piper. The average cost in the study is</w:t>
      </w:r>
      <w:r>
        <w:t xml:space="preserve"> </w:t>
      </w:r>
      <w:r>
        <w:t xml:space="preserve">expressed in 2019 prices. For the purpose of this impact assessment, it has been transformed in 2022 prices using</w:t>
      </w:r>
      <w:r>
        <w:t xml:space="preserve"> </w:t>
      </w:r>
      <w:r>
        <w:t xml:space="preserve">the harmonised consumer price index for Belgium from Eurostat because the two navigation software service</w:t>
      </w:r>
      <w:r>
        <w:t xml:space="preserve"> </w:t>
      </w:r>
      <w:r>
        <w:t xml:space="preserve">providers that serve around 90% of the market are based in Belgium.</w:t>
      </w:r>
      <w:r>
        <w:br/>
      </w:r>
      <w:r>
        <w:t xml:space="preserve">171 The feedback has been provided by the two navigation software service providers, based in Belgium, that</w:t>
      </w:r>
      <w:r>
        <w:t xml:space="preserve"> </w:t>
      </w:r>
      <w:r>
        <w:t xml:space="preserve">serve around 90% of the market.</w:t>
      </w:r>
      <w:r>
        <w:t xml:space="preserve"> </w:t>
      </w:r>
      <w:r>
        <w:t xml:space="preserve">172 Part of these costs savings benefiting software provides may be passed through to the vessel operators,</w:t>
      </w:r>
      <w:r>
        <w:t xml:space="preserve"> </w:t>
      </w:r>
      <w:r>
        <w:t xml:space="preserve">although it is not possible to assess the share of the costs savings passed through.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 savings for navigation software service</w:t>
      </w:r>
      <w:r>
        <w:t xml:space="preserve"> </w:t>
      </w:r>
      <w:r>
        <w:t xml:space="preserve">providers (in EUR)</w:t>
      </w:r>
      <w:r>
        <w:t xml:space="preserve"> </w:t>
      </w:r>
      <w:r>
        <w:t xml:space="preserve">71,552</w:t>
      </w:r>
      <w:r>
        <w:t xml:space="preserve"> </w:t>
      </w:r>
      <w:r>
        <w:t xml:space="preserve">72,266</w:t>
      </w:r>
      <w:r>
        <w:t xml:space="preserve"> </w:t>
      </w:r>
      <w:r>
        <w:t xml:space="preserve">72,876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Adjustment costs savings for vessel operators</w:t>
      </w:r>
      <w:r>
        <w:br/>
      </w:r>
      <w:r>
        <w:t xml:space="preserve">The guidelines are also expected to benefit vessel operators by facilitating their trip planning.</w:t>
      </w:r>
      <w:r>
        <w:t xml:space="preserve"> </w:t>
      </w:r>
      <w:r>
        <w:t xml:space="preserve">When travelling across the management areas of several RIS authorities, it will be easier to</w:t>
      </w:r>
      <w:r>
        <w:t xml:space="preserve"> </w:t>
      </w:r>
      <w:r>
        <w:t xml:space="preserve">compare and interpret the data. In the baseline scenario, the time required for preparing an</w:t>
      </w:r>
      <w:r>
        <w:t xml:space="preserve"> </w:t>
      </w:r>
      <w:r>
        <w:t xml:space="preserve">international trip is estimated at 15 minutes, according to the survey undertaken in the context</w:t>
      </w:r>
      <w:r>
        <w:t xml:space="preserve"> </w:t>
      </w:r>
      <w:r>
        <w:t xml:space="preserve">of this impact assessment. Based on discussions with training institutes in inland navigation</w:t>
      </w:r>
      <w:r>
        <w:t xml:space="preserve"> </w:t>
      </w:r>
      <w:r>
        <w:t xml:space="preserve">(and validated by the sector in the targeted workshop), trip preparation time is expected to</w:t>
      </w:r>
      <w:r>
        <w:t xml:space="preserve"> </w:t>
      </w:r>
      <w:r>
        <w:t xml:space="preserve">decrease by 2.5 minutes relative to the baseline from 2026 onwards thanks to PM1. The</w:t>
      </w:r>
      <w:r>
        <w:t xml:space="preserve"> </w:t>
      </w:r>
      <w:r>
        <w:t xml:space="preserve">recurrent adjustment costs savings for vessel operators are derived based on the time saved for</w:t>
      </w:r>
      <w:r>
        <w:t xml:space="preserve"> </w:t>
      </w:r>
      <w:r>
        <w:t xml:space="preserve">the preparation of a trip, the labour cost per hour (EUR 26.7 per hour173) and the projected</w:t>
      </w:r>
      <w:r>
        <w:t xml:space="preserve"> </w:t>
      </w:r>
      <w:r>
        <w:t xml:space="preserve">number of border crossings, and are provided in Table 26. Expressed as present value over</w:t>
      </w:r>
      <w:r>
        <w:t xml:space="preserve"> </w:t>
      </w:r>
      <w:r>
        <w:t xml:space="preserve">2025-2050, they are estimated at EUR 8.61 million relative to the baseline (in 2022 prices).</w:t>
      </w:r>
      <w:r>
        <w:t xml:space="preserve"> </w:t>
      </w:r>
      <w:r>
        <w:t xml:space="preserve">Table 26: Recurrent adjustment costs savings for vessels operators due to PM1 relative to the baseline (in</w:t>
      </w:r>
      <w:r>
        <w:t xml:space="preserve"> </w:t>
      </w:r>
      <w:r>
        <w:t xml:space="preserve">EUR, in 2022 prices)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border crossings per year</w:t>
      </w:r>
      <w:r>
        <w:t xml:space="preserve"> </w:t>
      </w:r>
      <w:r>
        <w:t xml:space="preserve">443,324</w:t>
      </w:r>
      <w:r>
        <w:t xml:space="preserve"> </w:t>
      </w:r>
      <w:r>
        <w:t xml:space="preserve">446,395</w:t>
      </w:r>
      <w:r>
        <w:t xml:space="preserve"> </w:t>
      </w:r>
      <w:r>
        <w:t xml:space="preserve">452,776</w:t>
      </w:r>
      <w:r>
        <w:t xml:space="preserve"> </w:t>
      </w:r>
      <w:r>
        <w:t xml:space="preserve">Adjustment costs savings for vessel operators (in EUR)</w:t>
      </w:r>
      <w:r>
        <w:t xml:space="preserve"> </w:t>
      </w:r>
      <w:r>
        <w:t xml:space="preserve">493,057</w:t>
      </w:r>
      <w:r>
        <w:t xml:space="preserve"> </w:t>
      </w:r>
      <w:r>
        <w:t xml:space="preserve">496,472</w:t>
      </w:r>
      <w:r>
        <w:t xml:space="preserve"> </w:t>
      </w:r>
      <w:r>
        <w:t xml:space="preserve">503,570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PM2: Introduce a harmonised complaint mechanism (in Member States)</w:t>
      </w:r>
      <w:r>
        <w:br/>
      </w:r>
      <w:r>
        <w:t xml:space="preserve">Under this measure, Member States would need to designate a (existing or new) competent</w:t>
      </w:r>
      <w:r>
        <w:t xml:space="preserve"> </w:t>
      </w:r>
      <w:r>
        <w:t xml:space="preserve">governmental body to directly handle complaints filed by RIS users. This body should be</w:t>
      </w:r>
      <w:r>
        <w:t xml:space="preserve"> </w:t>
      </w:r>
      <w:r>
        <w:t xml:space="preserve">independent from RIS related authorities and would have the role to verify the complaints and</w:t>
      </w:r>
      <w:r>
        <w:t xml:space="preserve"> </w:t>
      </w:r>
      <w:r>
        <w:t xml:space="preserve">request corrective action (e.g. correct wrong, outdated or non-standardised data). This would</w:t>
      </w:r>
      <w:r>
        <w:t xml:space="preserve"> </w:t>
      </w:r>
      <w:r>
        <w:t xml:space="preserve">improve the overall quality of data (by identifying for example mistakes in the databases), and</w:t>
      </w:r>
      <w:r>
        <w:t xml:space="preserve"> </w:t>
      </w:r>
      <w:r>
        <w:t xml:space="preserve">point to areas and instances where RIS users believe that the Directive is not properly</w:t>
      </w:r>
      <w:r>
        <w:t xml:space="preserve"> </w:t>
      </w:r>
      <w:r>
        <w:t xml:space="preserve">implemented. Each Member State will be responsible for addressing problems in their</w:t>
      </w:r>
      <w:r>
        <w:t xml:space="preserve"> </w:t>
      </w:r>
      <w:r>
        <w:t xml:space="preserve">waterways, and a specific provision will be included that collaboration with neighbouring</w:t>
      </w:r>
      <w:r>
        <w:t xml:space="preserve"> </w:t>
      </w:r>
      <w:r>
        <w:t xml:space="preserve">Member States should be undertaken if the complaint has a cross-border element. The</w:t>
      </w:r>
      <w:r>
        <w:t xml:space="preserve"> </w:t>
      </w:r>
      <w:r>
        <w:t xml:space="preserve">functioning of this mechanism requires that each Member State will assign appropriate</w:t>
      </w:r>
      <w:r>
        <w:t xml:space="preserve"> </w:t>
      </w:r>
      <w:r>
        <w:t xml:space="preserve">resources depending on the expected number of complaints.</w:t>
      </w:r>
      <w:r>
        <w:t xml:space="preserve"> </w:t>
      </w:r>
      <w:r>
        <w:t xml:space="preserve">Administrative costs for national public authorities</w:t>
      </w:r>
      <w:r>
        <w:t xml:space="preserve"> </w:t>
      </w:r>
      <w:r>
        <w:t xml:space="preserve">Recurrent administrative costs are expected due to PM2, related to staff for managing the</w:t>
      </w:r>
      <w:r>
        <w:t xml:space="preserve"> </w:t>
      </w:r>
      <w:r>
        <w:t xml:space="preserve">complaints (e.g. sending them to the right person and coordinating the whole process). Based</w:t>
      </w:r>
      <w:r>
        <w:t xml:space="preserve"> </w:t>
      </w:r>
      <w:r>
        <w:t xml:space="preserve">on the network usage (expressed in tonne-kilometres) and the size of the network (i.e. the</w:t>
      </w:r>
      <w:r>
        <w:t xml:space="preserve"> </w:t>
      </w:r>
      <w:r>
        <w:t xml:space="preserve">number of entries in RIS index from EU-RIS portal is used as a proxy) in each Member State,</w:t>
      </w:r>
      <w:r>
        <w:t xml:space="preserve"> </w:t>
      </w:r>
      <w:r>
        <w:t xml:space="preserve">and using as reference value the costs for the Netherlands (EUR 150,000) provided by the</w:t>
      </w:r>
    </w:p>
    <w:p>
      <w:pPr>
        <w:pStyle w:val="BodyText"/>
      </w:pPr>
      <w:r>
        <w:t xml:space="preserve">173 Weighted average of the tariff per hour for non-manual workers (ISCO 8 - Plant and machine operators and</w:t>
      </w:r>
      <w:r>
        <w:t xml:space="preserve"> </w:t>
      </w:r>
      <w:r>
        <w:t xml:space="preserve">assemblers) in the 13 Member State in the scope of RIS. It is based on Eurostat Structure of earnings survey and</w:t>
      </w:r>
      <w:r>
        <w:t xml:space="preserve"> </w:t>
      </w:r>
      <w:r>
        <w:t xml:space="preserve">expressed in 2022 prices.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Dutch Ministry of Infrastructure and Water Management (Rijkswaterstaat), the recurrent</w:t>
      </w:r>
      <w:r>
        <w:t xml:space="preserve"> </w:t>
      </w:r>
      <w:r>
        <w:t xml:space="preserve">administrative costs to run the complaint mechanisms for all 13 European RIS-authorities are</w:t>
      </w:r>
      <w:r>
        <w:t xml:space="preserve"> </w:t>
      </w:r>
      <w:r>
        <w:t xml:space="preserve">estimated at EUR 0.92 million per year from 2026 onwards relative to the baseline (in 2022</w:t>
      </w:r>
      <w:r>
        <w:t xml:space="preserve"> </w:t>
      </w:r>
      <w:r>
        <w:t xml:space="preserve">prices). Expressed as present value over 2025-2050, they are estimated at EUR 16.02 million</w:t>
      </w:r>
      <w:r>
        <w:t xml:space="preserve"> </w:t>
      </w:r>
      <w:r>
        <w:t xml:space="preserve">relative to the baseline (in 2022 prices).</w:t>
      </w:r>
      <w:r>
        <w:t xml:space="preserve"> </w:t>
      </w:r>
      <w:r>
        <w:t xml:space="preserve">Table 27: Recurrent administrative costs for national public authorities due to PM2 relative to the</w:t>
      </w:r>
      <w:r>
        <w:t xml:space="preserve"> </w:t>
      </w:r>
      <w:r>
        <w:t xml:space="preserve">baseline (in EUR, in 2022 prices)</w:t>
      </w:r>
      <w:r>
        <w:t xml:space="preserve"> </w:t>
      </w:r>
      <w:r>
        <w:t xml:space="preserve">Usage (projected billion tkm</w:t>
      </w:r>
      <w:r>
        <w:t xml:space="preserve"> </w:t>
      </w:r>
      <w:r>
        <w:t xml:space="preserve">in 2025)</w:t>
      </w:r>
      <w:r>
        <w:t xml:space="preserve"> </w:t>
      </w:r>
      <w:r>
        <w:t xml:space="preserve">Number of entries in RIS</w:t>
      </w:r>
      <w:r>
        <w:t xml:space="preserve"> </w:t>
      </w:r>
      <w:r>
        <w:t xml:space="preserve">index from EU-RIS portal</w:t>
      </w:r>
      <w:r>
        <w:t xml:space="preserve"> </w:t>
      </w:r>
      <w:r>
        <w:t xml:space="preserve">Administrative costs (in EUR)</w:t>
      </w:r>
      <w:r>
        <w:t xml:space="preserve"> </w:t>
      </w:r>
      <w:r>
        <w:t xml:space="preserve">BE</w:t>
      </w:r>
      <w:r>
        <w:t xml:space="preserve"> </w:t>
      </w:r>
      <w:r>
        <w:t xml:space="preserve">11.5</w:t>
      </w:r>
      <w:r>
        <w:t xml:space="preserve"> </w:t>
      </w:r>
      <w:r>
        <w:t xml:space="preserve">18,279</w:t>
      </w:r>
      <w:r>
        <w:t xml:space="preserve"> </w:t>
      </w:r>
      <w:r>
        <w:t xml:space="preserve">63,624</w:t>
      </w:r>
      <w:r>
        <w:br/>
      </w:r>
      <w:r>
        <w:t xml:space="preserve">BG</w:t>
      </w:r>
      <w:r>
        <w:t xml:space="preserve"> </w:t>
      </w:r>
      <w:r>
        <w:t xml:space="preserve">5.8</w:t>
      </w:r>
      <w:r>
        <w:t xml:space="preserve"> </w:t>
      </w:r>
      <w:r>
        <w:t xml:space="preserve">5,082</w:t>
      </w:r>
      <w:r>
        <w:t xml:space="preserve"> </w:t>
      </w:r>
      <w:r>
        <w:t xml:space="preserve">21,370</w:t>
      </w:r>
      <w:r>
        <w:br/>
      </w:r>
      <w:r>
        <w:t xml:space="preserve">CZ</w:t>
      </w:r>
      <w:r>
        <w:t xml:space="preserve"> </w:t>
      </w:r>
      <w:r>
        <w:t xml:space="preserve">0.0</w:t>
      </w:r>
      <w:r>
        <w:t xml:space="preserve"> </w:t>
      </w:r>
      <w:r>
        <w:t xml:space="preserve">4,704</w:t>
      </w:r>
      <w:r>
        <w:t xml:space="preserve"> </w:t>
      </w:r>
      <w:r>
        <w:t xml:space="preserve">12,135</w:t>
      </w:r>
      <w:r>
        <w:br/>
      </w:r>
      <w:r>
        <w:t xml:space="preserve">DE</w:t>
      </w:r>
      <w:r>
        <w:t xml:space="preserve"> </w:t>
      </w:r>
      <w:r>
        <w:t xml:space="preserve">63.2</w:t>
      </w:r>
      <w:r>
        <w:t xml:space="preserve"> </w:t>
      </w:r>
      <w:r>
        <w:t xml:space="preserve">65,760</w:t>
      </w:r>
      <w:r>
        <w:t xml:space="preserve"> </w:t>
      </w:r>
      <w:r>
        <w:t xml:space="preserve">260,217</w:t>
      </w:r>
      <w:r>
        <w:br/>
      </w:r>
      <w:r>
        <w:t xml:space="preserve">FR</w:t>
      </w:r>
      <w:r>
        <w:t xml:space="preserve"> </w:t>
      </w:r>
      <w:r>
        <w:t xml:space="preserve">7.9</w:t>
      </w:r>
      <w:r>
        <w:t xml:space="preserve"> </w:t>
      </w:r>
      <w:r>
        <w:t xml:space="preserve">120,623</w:t>
      </w:r>
      <w:r>
        <w:t xml:space="preserve"> </w:t>
      </w:r>
      <w:r>
        <w:t xml:space="preserve">321,363</w:t>
      </w:r>
      <w:r>
        <w:br/>
      </w:r>
      <w:r>
        <w:t xml:space="preserve">HR</w:t>
      </w:r>
      <w:r>
        <w:t xml:space="preserve"> </w:t>
      </w:r>
      <w:r>
        <w:t xml:space="preserve">1.0</w:t>
      </w:r>
      <w:r>
        <w:t xml:space="preserve"> </w:t>
      </w:r>
      <w:r>
        <w:t xml:space="preserve">5,634</w:t>
      </w:r>
      <w:r>
        <w:t xml:space="preserve"> </w:t>
      </w:r>
      <w:r>
        <w:t xml:space="preserve">15,969</w:t>
      </w:r>
      <w:r>
        <w:br/>
      </w:r>
      <w:r>
        <w:t xml:space="preserve">LU</w:t>
      </w:r>
      <w:r>
        <w:t xml:space="preserve"> </w:t>
      </w:r>
      <w:r>
        <w:t xml:space="preserve">0.3</w:t>
      </w:r>
      <w:r>
        <w:t xml:space="preserve"> </w:t>
      </w:r>
      <w:r>
        <w:t xml:space="preserve">412</w:t>
      </w:r>
      <w:r>
        <w:t xml:space="preserve"> </w:t>
      </w:r>
      <w:r>
        <w:t xml:space="preserve">1,437</w:t>
      </w:r>
      <w:r>
        <w:br/>
      </w:r>
      <w:r>
        <w:t xml:space="preserve">HU</w:t>
      </w:r>
      <w:r>
        <w:t xml:space="preserve"> </w:t>
      </w:r>
      <w:r>
        <w:t xml:space="preserve">2.3</w:t>
      </w:r>
      <w:r>
        <w:t xml:space="preserve"> </w:t>
      </w:r>
      <w:r>
        <w:t xml:space="preserve">4,531</w:t>
      </w:r>
      <w:r>
        <w:t xml:space="preserve"> </w:t>
      </w:r>
      <w:r>
        <w:t xml:space="preserve">14,958</w:t>
      </w:r>
      <w:r>
        <w:br/>
      </w:r>
      <w:r>
        <w:t xml:space="preserve">NL</w:t>
      </w:r>
      <w:r>
        <w:t xml:space="preserve"> </w:t>
      </w:r>
      <w:r>
        <w:t xml:space="preserve">51.9</w:t>
      </w:r>
      <w:r>
        <w:t xml:space="preserve"> </w:t>
      </w:r>
      <w:r>
        <w:t xml:space="preserve">29,184</w:t>
      </w:r>
      <w:r>
        <w:t xml:space="preserve"> </w:t>
      </w:r>
      <w:r>
        <w:t xml:space="preserve">150,000</w:t>
      </w:r>
      <w:r>
        <w:br/>
      </w:r>
      <w:r>
        <w:t xml:space="preserve">AT</w:t>
      </w:r>
      <w:r>
        <w:t xml:space="preserve"> </w:t>
      </w:r>
      <w:r>
        <w:t xml:space="preserve">2.2</w:t>
      </w:r>
      <w:r>
        <w:t xml:space="preserve"> </w:t>
      </w:r>
      <w:r>
        <w:t xml:space="preserve">4,705</w:t>
      </w:r>
      <w:r>
        <w:t xml:space="preserve"> </w:t>
      </w:r>
      <w:r>
        <w:t xml:space="preserve">15,215</w:t>
      </w:r>
      <w:r>
        <w:br/>
      </w:r>
      <w:r>
        <w:t xml:space="preserve">PL*</w:t>
      </w:r>
      <w:r>
        <w:t xml:space="preserve"> </w:t>
      </w:r>
      <w:r>
        <w:t xml:space="preserve">0.1</w:t>
      </w:r>
      <w:r>
        <w:t xml:space="preserve"> </w:t>
      </w:r>
      <w:r>
        <w:t xml:space="preserve">2,235</w:t>
      </w:r>
      <w:r>
        <w:t xml:space="preserve"> </w:t>
      </w:r>
      <w:r>
        <w:t xml:space="preserve">5,896</w:t>
      </w:r>
      <w:r>
        <w:br/>
      </w:r>
      <w:r>
        <w:t xml:space="preserve">RO</w:t>
      </w:r>
      <w:r>
        <w:t xml:space="preserve"> </w:t>
      </w:r>
      <w:r>
        <w:t xml:space="preserve">17.3</w:t>
      </w:r>
      <w:r>
        <w:t xml:space="preserve"> </w:t>
      </w:r>
      <w:r>
        <w:t xml:space="preserve">2,414</w:t>
      </w:r>
      <w:r>
        <w:t xml:space="preserve"> </w:t>
      </w:r>
      <w:r>
        <w:t xml:space="preserve">31,126</w:t>
      </w:r>
      <w:r>
        <w:br/>
      </w:r>
      <w:r>
        <w:t xml:space="preserve">SK</w:t>
      </w:r>
      <w:r>
        <w:t xml:space="preserve"> </w:t>
      </w:r>
      <w:r>
        <w:t xml:space="preserve">1.0</w:t>
      </w:r>
      <w:r>
        <w:t xml:space="preserve"> </w:t>
      </w:r>
      <w:r>
        <w:t xml:space="preserve">2,056</w:t>
      </w:r>
      <w:r>
        <w:t xml:space="preserve"> </w:t>
      </w:r>
      <w:r>
        <w:t xml:space="preserve">6,672</w:t>
      </w:r>
      <w:r>
        <w:br/>
      </w:r>
      <w:r>
        <w:t xml:space="preserve">Total</w:t>
      </w:r>
      <w:r>
        <w:t xml:space="preserve"> </w:t>
      </w:r>
      <w:r>
        <w:t xml:space="preserve">164</w:t>
      </w:r>
      <w:r>
        <w:br/>
      </w:r>
      <w:r>
        <w:t xml:space="preserve">265,619</w:t>
      </w:r>
      <w:r>
        <w:t xml:space="preserve"> </w:t>
      </w:r>
      <w:r>
        <w:t xml:space="preserve">919,984</w:t>
      </w:r>
      <w:r>
        <w:t xml:space="preserve"> </w:t>
      </w:r>
      <w:r>
        <w:t xml:space="preserve">Source: Ramboll et al. (2024), impact assessment support study; Note: * estimated RIS index.</w:t>
      </w:r>
      <w:r>
        <w:br/>
      </w:r>
      <w:r>
        <w:t xml:space="preserve">Adjustment costs for national public authorities</w:t>
      </w:r>
      <w:r>
        <w:t xml:space="preserve"> </w:t>
      </w:r>
      <w:r>
        <w:t xml:space="preserve">In addition, introducing a complaints procedure would involve one-off investment costs to set</w:t>
      </w:r>
      <w:r>
        <w:t xml:space="preserve"> </w:t>
      </w:r>
      <w:r>
        <w:t xml:space="preserve">the system. Based on the experience of EMSA when setting up the e-certificate registry174,</w:t>
      </w:r>
      <w:r>
        <w:t xml:space="preserve"> </w:t>
      </w:r>
      <w:r>
        <w:t xml:space="preserve">these costs are estimated to be three times the recurrent annual costs for running the complaint</w:t>
      </w:r>
      <w:r>
        <w:t xml:space="preserve"> </w:t>
      </w:r>
      <w:r>
        <w:t xml:space="preserve">mechanism or EUR 2.76 million in 2025.</w:t>
      </w:r>
      <w:r>
        <w:t xml:space="preserve"> </w:t>
      </w:r>
      <w:r>
        <w:t xml:space="preserve">Adjustment cost savings for navigation software service providers</w:t>
      </w:r>
      <w:r>
        <w:t xml:space="preserve"> </w:t>
      </w:r>
      <w:r>
        <w:t xml:space="preserve">The introduction of a complaints mechanism per country will facilitate the communication</w:t>
      </w:r>
      <w:r>
        <w:t xml:space="preserve"> </w:t>
      </w:r>
      <w:r>
        <w:t xml:space="preserve">between navigation software service providers and authorities and lead to time savings for</w:t>
      </w:r>
      <w:r>
        <w:t xml:space="preserve"> </w:t>
      </w:r>
      <w:r>
        <w:t xml:space="preserve">navigation software service providers. For instance, navigation software service providers</w:t>
      </w:r>
      <w:r>
        <w:t xml:space="preserve"> </w:t>
      </w:r>
      <w:r>
        <w:t xml:space="preserve">often struggle to find the appropriate contact within RIS authorities, preventing an efficient</w:t>
      </w:r>
      <w:r>
        <w:t xml:space="preserve"> </w:t>
      </w:r>
      <w:r>
        <w:t xml:space="preserve">exchange of information when they identify incorrect data. The complaints procedure will</w:t>
      </w:r>
      <w:r>
        <w:t xml:space="preserve"> </w:t>
      </w:r>
      <w:r>
        <w:t xml:space="preserve">lead to easier contacts with authorities, enabling a faster (bottom up) handling of technical</w:t>
      </w:r>
      <w:r>
        <w:t xml:space="preserve"> </w:t>
      </w:r>
      <w:r>
        <w:t xml:space="preserve">issues in the provision of RIS services and compliance with technical specifications. As</w:t>
      </w:r>
      <w:r>
        <w:t xml:space="preserve"> </w:t>
      </w:r>
      <w:r>
        <w:t xml:space="preserve">explained under PM1, in the baseline scenario, the average cost for software service providers</w:t>
      </w:r>
      <w:r>
        <w:t xml:space="preserve"> </w:t>
      </w:r>
      <w:r>
        <w:t xml:space="preserve">for introducing the data into their systems is estimated at EUR 452 per year, per vessel (in</w:t>
      </w:r>
      <w:r>
        <w:t xml:space="preserve"> </w:t>
      </w:r>
      <w:r>
        <w:t xml:space="preserve">2022 prices)175. According to feedback provided by the RIS software service providers during</w:t>
      </w:r>
    </w:p>
    <w:p>
      <w:pPr>
        <w:pStyle w:val="BodyText"/>
      </w:pPr>
      <w:r>
        <w:t xml:space="preserve">174 European Maritime Safety Agency (EMSA). European Union. Available at: https://european-</w:t>
      </w:r>
      <w:r>
        <w:t xml:space="preserve"> </w:t>
      </w:r>
      <w:r>
        <w:t xml:space="preserve">union.europa.eu/institutions-law-budget/institutions-and-bodies/institutions-and-bodies-profiles/emsa_en</w:t>
      </w:r>
      <w:r>
        <w:br/>
      </w:r>
      <w:r>
        <w:t xml:space="preserve">175 Ludden, V. et al., (2020): Study supporting the evaluation of Directive 2005/44/EC on Harmonised River</w:t>
      </w:r>
      <w:r>
        <w:t xml:space="preserve"> </w:t>
      </w:r>
      <w:r>
        <w:t xml:space="preserve">Information Services (RIS). Ramboll, University of Antwerp and DLA Piper. The average cost in the study is</w:t>
      </w:r>
      <w:r>
        <w:t xml:space="preserve"> </w:t>
      </w:r>
      <w:r>
        <w:t xml:space="preserve">expressed in 2019 prices. For the purpose of this impact assessment, it has been transformed in 2022 prices using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the second stakeholder survey176, PM2 would allow to reduce the average cost per vessel by</w:t>
      </w:r>
      <w:r>
        <w:t xml:space="preserve"> </w:t>
      </w:r>
      <w:r>
        <w:t xml:space="preserve">0.5% relative to the baseline (i.e. EUR 2.26 saved per vessel) from 2026 onwards. The</w:t>
      </w:r>
      <w:r>
        <w:t xml:space="preserve"> </w:t>
      </w:r>
      <w:r>
        <w:t xml:space="preserve">recurrent adjustment costs savings for navigation software service providers for 2030, 2040</w:t>
      </w:r>
      <w:r>
        <w:t xml:space="preserve"> </w:t>
      </w:r>
      <w:r>
        <w:t xml:space="preserve">and 2050, relative to the baseline, are provided in Table 28. Expressed as present value over</w:t>
      </w:r>
      <w:r>
        <w:t xml:space="preserve"> </w:t>
      </w:r>
      <w:r>
        <w:t xml:space="preserve">2025-2050, they are estimated at EUR 0.63 million relative to the baseline (in 2022 prices)177.</w:t>
      </w:r>
      <w:r>
        <w:t xml:space="preserve"> </w:t>
      </w:r>
      <w:r>
        <w:t xml:space="preserve">Table 28: Recurrent adjustment costs savings for navigation software service providers due to PM2</w:t>
      </w:r>
      <w:r>
        <w:t xml:space="preserve"> </w:t>
      </w:r>
      <w:r>
        <w:t xml:space="preserve">relative to the baseline (in EUR, in 2022 prices)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vessels</w:t>
      </w:r>
      <w:r>
        <w:t xml:space="preserve"> </w:t>
      </w:r>
      <w:r>
        <w:t xml:space="preserve">15,838</w:t>
      </w:r>
      <w:r>
        <w:t xml:space="preserve"> </w:t>
      </w:r>
      <w:r>
        <w:t xml:space="preserve">15,996</w:t>
      </w:r>
      <w:r>
        <w:t xml:space="preserve"> </w:t>
      </w:r>
      <w:r>
        <w:t xml:space="preserve">16,131</w:t>
      </w:r>
      <w:r>
        <w:t xml:space="preserve"> </w:t>
      </w:r>
      <w:r>
        <w:t xml:space="preserve">Average costs savings for navigation software service</w:t>
      </w:r>
      <w:r>
        <w:t xml:space="preserve"> </w:t>
      </w:r>
      <w:r>
        <w:t xml:space="preserve">providers per vessel (in EUR)</w:t>
      </w:r>
      <w:r>
        <w:t xml:space="preserve"> </w:t>
      </w:r>
      <w:r>
        <w:t xml:space="preserve">2.26</w:t>
      </w:r>
      <w:r>
        <w:t xml:space="preserve"> </w:t>
      </w:r>
      <w:r>
        <w:t xml:space="preserve">2.26</w:t>
      </w:r>
      <w:r>
        <w:t xml:space="preserve"> </w:t>
      </w:r>
      <w:r>
        <w:t xml:space="preserve">2.26</w:t>
      </w:r>
      <w:r>
        <w:t xml:space="preserve"> </w:t>
      </w:r>
      <w:r>
        <w:t xml:space="preserve">Adjustment costs savings for navigation software service</w:t>
      </w:r>
      <w:r>
        <w:t xml:space="preserve"> </w:t>
      </w:r>
      <w:r>
        <w:t xml:space="preserve">providers (in EUR)</w:t>
      </w:r>
      <w:r>
        <w:t xml:space="preserve"> </w:t>
      </w:r>
      <w:r>
        <w:t xml:space="preserve">35,776</w:t>
      </w:r>
      <w:r>
        <w:t xml:space="preserve"> </w:t>
      </w:r>
      <w:r>
        <w:t xml:space="preserve">36,133</w:t>
      </w:r>
      <w:r>
        <w:t xml:space="preserve"> </w:t>
      </w:r>
      <w:r>
        <w:t xml:space="preserve">36,438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Adjustment cost savings for vessel operators</w:t>
      </w:r>
      <w:r>
        <w:t xml:space="preserve"> </w:t>
      </w:r>
      <w:r>
        <w:t xml:space="preserve">In addition, the filing of complaints by vessel operators is expected to lead to improvements</w:t>
      </w:r>
      <w:r>
        <w:t xml:space="preserve"> </w:t>
      </w:r>
      <w:r>
        <w:t xml:space="preserve">in RIS data. In the baseline scenario the time required for preparing an international trip is</w:t>
      </w:r>
      <w:r>
        <w:t xml:space="preserve"> </w:t>
      </w:r>
      <w:r>
        <w:t xml:space="preserve">estimated at 15 minutes and that for a domestic trip at 10 minutes, according to the survey</w:t>
      </w:r>
      <w:r>
        <w:t xml:space="preserve"> </w:t>
      </w:r>
      <w:r>
        <w:t xml:space="preserve">undertaken in the context of this impact assessment. Based on discussions with training</w:t>
      </w:r>
      <w:r>
        <w:t xml:space="preserve"> </w:t>
      </w:r>
      <w:r>
        <w:t xml:space="preserve">institutes in inland navigation (and validated by the sector in the targeted workshop), trip</w:t>
      </w:r>
      <w:r>
        <w:t xml:space="preserve"> </w:t>
      </w:r>
      <w:r>
        <w:t xml:space="preserve">preparation time is expected to decrease by 8% due to PM2 (1.2 minutes for international trips</w:t>
      </w:r>
      <w:r>
        <w:t xml:space="preserve"> </w:t>
      </w:r>
      <w:r>
        <w:t xml:space="preserve">and 0.8 minutes for domestic trips) relative to the baseline from 2026 onwards. The recurrent</w:t>
      </w:r>
      <w:r>
        <w:t xml:space="preserve"> </w:t>
      </w:r>
      <w:r>
        <w:t xml:space="preserve">adjustment costs savings for vessel operators are derived based on the time saved for the</w:t>
      </w:r>
      <w:r>
        <w:t xml:space="preserve"> </w:t>
      </w:r>
      <w:r>
        <w:t xml:space="preserve">preparation of a trip, the labour cost per hour (EUR 26.7 per hour178) and the projected</w:t>
      </w:r>
      <w:r>
        <w:t xml:space="preserve"> </w:t>
      </w:r>
      <w:r>
        <w:t xml:space="preserve">number of domestic trips and border crossings, and are provided in Table 29. Expressed as</w:t>
      </w:r>
      <w:r>
        <w:t xml:space="preserve"> </w:t>
      </w:r>
      <w:r>
        <w:t xml:space="preserve">present value over 2025-2050, they are estimated at EUR 6.16 million relative to the baseline</w:t>
      </w:r>
      <w:r>
        <w:t xml:space="preserve"> </w:t>
      </w:r>
      <w:r>
        <w:t xml:space="preserve">(in 2022 prices).</w:t>
      </w:r>
      <w:r>
        <w:br/>
      </w:r>
      <w:r>
        <w:t xml:space="preserve">Table 29: Recurrent adjustment costs savings for vessels operators due to PM2 relative to the baseline (in</w:t>
      </w:r>
      <w:r>
        <w:t xml:space="preserve"> </w:t>
      </w:r>
      <w:r>
        <w:t xml:space="preserve">EUR, in 2022 prices)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domestic trips per year</w:t>
      </w:r>
      <w:r>
        <w:t xml:space="preserve"> </w:t>
      </w:r>
      <w:r>
        <w:t xml:space="preserve">286,557</w:t>
      </w:r>
      <w:r>
        <w:t xml:space="preserve"> </w:t>
      </w:r>
      <w:r>
        <w:t xml:space="preserve">288,134</w:t>
      </w:r>
      <w:r>
        <w:t xml:space="preserve"> </w:t>
      </w:r>
      <w:r>
        <w:t xml:space="preserve">292,030</w:t>
      </w:r>
      <w:r>
        <w:t xml:space="preserve"> </w:t>
      </w:r>
      <w:r>
        <w:t xml:space="preserve">Number of border crossings per year</w:t>
      </w:r>
      <w:r>
        <w:t xml:space="preserve"> </w:t>
      </w:r>
      <w:r>
        <w:t xml:space="preserve">443,324</w:t>
      </w:r>
      <w:r>
        <w:t xml:space="preserve"> </w:t>
      </w:r>
      <w:r>
        <w:t xml:space="preserve">446,395</w:t>
      </w:r>
      <w:r>
        <w:t xml:space="preserve"> </w:t>
      </w:r>
      <w:r>
        <w:t xml:space="preserve">452,776</w:t>
      </w:r>
      <w:r>
        <w:t xml:space="preserve"> </w:t>
      </w:r>
      <w:r>
        <w:t xml:space="preserve">Adjustment costs savings for vessel operators (in EUR)</w:t>
      </w:r>
      <w:r>
        <w:t xml:space="preserve"> </w:t>
      </w:r>
      <w:r>
        <w:t xml:space="preserve">352,763</w:t>
      </w:r>
      <w:r>
        <w:t xml:space="preserve"> </w:t>
      </w:r>
      <w:r>
        <w:t xml:space="preserve">355,056</w:t>
      </w:r>
      <w:r>
        <w:t xml:space="preserve"> </w:t>
      </w:r>
      <w:r>
        <w:t xml:space="preserve">360,048</w:t>
      </w:r>
      <w:r>
        <w:t xml:space="preserve"> </w:t>
      </w:r>
      <w:r>
        <w:t xml:space="preserve">Source: Ramboll et al. (2024), impact assessment support study</w:t>
      </w:r>
    </w:p>
    <w:p>
      <w:pPr>
        <w:pStyle w:val="BodyText"/>
      </w:pPr>
      <w:r>
        <w:t xml:space="preserve">the harmonised consumer price index for Belgium from Eurostat because the two navigation software service</w:t>
      </w:r>
      <w:r>
        <w:t xml:space="preserve"> </w:t>
      </w:r>
      <w:r>
        <w:t xml:space="preserve">providers that serve around 90% of the market are based in Belgium.</w:t>
      </w:r>
      <w:r>
        <w:br/>
      </w:r>
      <w:r>
        <w:t xml:space="preserve">176 The feedback has been provided by the two navigation software service providers, based in Belgium, that</w:t>
      </w:r>
      <w:r>
        <w:t xml:space="preserve"> </w:t>
      </w:r>
      <w:r>
        <w:t xml:space="preserve">serve around 90% of the market.</w:t>
      </w:r>
      <w:r>
        <w:t xml:space="preserve"> </w:t>
      </w:r>
      <w:r>
        <w:t xml:space="preserve">177 Part of these costs savings benefiting software provides may be passed through to the vessel operators,</w:t>
      </w:r>
      <w:r>
        <w:t xml:space="preserve"> </w:t>
      </w:r>
      <w:r>
        <w:t xml:space="preserve">although it is not possible to assess the share of the costs savings passed through.</w:t>
      </w:r>
      <w:r>
        <w:t xml:space="preserve"> </w:t>
      </w:r>
      <w:r>
        <w:t xml:space="preserve">178 Weighted average of the tariff per hour for non-manual workers (ISCO 8 - Plant and machine operators and</w:t>
      </w:r>
      <w:r>
        <w:t xml:space="preserve"> </w:t>
      </w:r>
      <w:r>
        <w:t xml:space="preserve">assemblers) in the 13 Member State in the scope of RIS. It is based on Eurostat Structure of earnings survey and</w:t>
      </w:r>
      <w:r>
        <w:t xml:space="preserve"> </w:t>
      </w:r>
      <w:r>
        <w:t xml:space="preserve">expressed in 2022 prices.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Administrative cost savings for vessel operators</w:t>
      </w:r>
      <w:r>
        <w:t xml:space="preserve"> </w:t>
      </w:r>
      <w:r>
        <w:t xml:space="preserve">Vessel operators that may lodge a complaint would benefit of administrative costs savings</w:t>
      </w:r>
      <w:r>
        <w:t xml:space="preserve"> </w:t>
      </w:r>
      <w:r>
        <w:t xml:space="preserve">relative to the baseline due to the use of a structured mechanism. However, these costs</w:t>
      </w:r>
      <w:r>
        <w:t xml:space="preserve"> </w:t>
      </w:r>
      <w:r>
        <w:t xml:space="preserve">savings are expected to be limited and are not further estimated.</w:t>
      </w:r>
      <w:r>
        <w:t xml:space="preserve"> </w:t>
      </w:r>
      <w:r>
        <w:t xml:space="preserve">PM3: Introduce a new Performance Measurement Framework </w:t>
      </w:r>
      <w:r>
        <w:t xml:space="preserve"> </w:t>
      </w:r>
      <w:r>
        <w:t xml:space="preserve">This measure aims to improve the monitoring of the implementation of the RIS Directive, by</w:t>
      </w:r>
      <w:r>
        <w:t xml:space="preserve"> </w:t>
      </w:r>
      <w:r>
        <w:t xml:space="preserve">requiring Members States and relevant authorities to report to the Commission, on a regular</w:t>
      </w:r>
      <w:r>
        <w:t xml:space="preserve"> </w:t>
      </w:r>
      <w:r>
        <w:t xml:space="preserve">basis, on key performance indicators (e.g. the number of shipping messages issued in</w:t>
      </w:r>
      <w:r>
        <w:t xml:space="preserve"> </w:t>
      </w:r>
      <w:r>
        <w:t xml:space="preserve">accordance with standards and interpretations from the most recent RIS encoding guide, and</w:t>
      </w:r>
      <w:r>
        <w:t xml:space="preserve"> </w:t>
      </w:r>
      <w:r>
        <w:t xml:space="preserve">the number of electronic cargo reports received in relation to the number of voyages). This</w:t>
      </w:r>
      <w:r>
        <w:t xml:space="preserve"> </w:t>
      </w:r>
      <w:r>
        <w:t xml:space="preserve">should partly address the issue of lack of available data identified by the evaluation. The key</w:t>
      </w:r>
      <w:r>
        <w:t xml:space="preserve"> </w:t>
      </w:r>
      <w:r>
        <w:t xml:space="preserve">performance indicators will be developed by the European Commission with the assistance of</w:t>
      </w:r>
      <w:r>
        <w:t xml:space="preserve"> </w:t>
      </w:r>
      <w:r>
        <w:t xml:space="preserve">CESNI. Member States will have to undertake the collection of the required data. Having</w:t>
      </w:r>
      <w:r>
        <w:t xml:space="preserve"> </w:t>
      </w:r>
      <w:r>
        <w:t xml:space="preserve">better information, the European Commission will be able to follow more closely the</w:t>
      </w:r>
      <w:r>
        <w:t xml:space="preserve"> </w:t>
      </w:r>
      <w:r>
        <w:t xml:space="preserve">provision of RIS and identify cases where RIS implementation is fragmented. Based on this it</w:t>
      </w:r>
      <w:r>
        <w:t xml:space="preserve"> </w:t>
      </w:r>
      <w:r>
        <w:t xml:space="preserve">will be requesting the responsible Member State to undertake corrective action. As a result,</w:t>
      </w:r>
      <w:r>
        <w:t xml:space="preserve"> </w:t>
      </w:r>
      <w:r>
        <w:t xml:space="preserve">RIS users are expected benefit from improved harmonised RIS services.</w:t>
      </w:r>
      <w:r>
        <w:br/>
      </w:r>
      <w:r>
        <w:t xml:space="preserve">Adjustment costs for the European Commission</w:t>
      </w:r>
      <w:r>
        <w:br/>
      </w:r>
      <w:r>
        <w:t xml:space="preserve">Setting up the structure of the new performance measurement framework will be done in the</w:t>
      </w:r>
      <w:r>
        <w:t xml:space="preserve"> </w:t>
      </w:r>
      <w:r>
        <w:t xml:space="preserve">context of the existing working groups, for example CESNI and PIANC. They will identify</w:t>
      </w:r>
      <w:r>
        <w:t xml:space="preserve"> </w:t>
      </w:r>
      <w:r>
        <w:t xml:space="preserve">the data necessary for the new framework and set up the terms of reference. This task can be</w:t>
      </w:r>
      <w:r>
        <w:t xml:space="preserve"> </w:t>
      </w:r>
      <w:r>
        <w:t xml:space="preserve">considered within the mandate of those working groups and, therefore will not lead to</w:t>
      </w:r>
      <w:r>
        <w:t xml:space="preserve"> </w:t>
      </w:r>
      <w:r>
        <w:t xml:space="preserve">additional costs relative to the baseline.</w:t>
      </w:r>
      <w:r>
        <w:br/>
      </w:r>
      <w:r>
        <w:t xml:space="preserve">Administrative costs for national public authorities</w:t>
      </w:r>
      <w:r>
        <w:t xml:space="preserve"> </w:t>
      </w:r>
      <w:r>
        <w:t xml:space="preserve">National public authorities will face recurrent administrative costs to collect and process the</w:t>
      </w:r>
      <w:r>
        <w:t xml:space="preserve"> </w:t>
      </w:r>
      <w:r>
        <w:t xml:space="preserve">data and report it to the Commission on an annual basis. Based on two interviews with</w:t>
      </w:r>
      <w:r>
        <w:t xml:space="preserve"> </w:t>
      </w:r>
      <w:r>
        <w:t xml:space="preserve">national authorities, it is estimated that each of the 13 Member States using inland waterways</w:t>
      </w:r>
      <w:r>
        <w:t xml:space="preserve"> </w:t>
      </w:r>
      <w:r>
        <w:t xml:space="preserve">for commercial purposes would spend EUR 50,000 per year. Thus, total administrative costs</w:t>
      </w:r>
      <w:r>
        <w:t xml:space="preserve"> </w:t>
      </w:r>
      <w:r>
        <w:t xml:space="preserve">for national public authorities are estimated at EUR 650,000 per year from 2025 onwards.</w:t>
      </w:r>
      <w:r>
        <w:t xml:space="preserve"> </w:t>
      </w:r>
      <w:r>
        <w:t xml:space="preserve">Expressed as present value over 2025-2050, they are estimated at EUR 11.97 million relative</w:t>
      </w:r>
      <w:r>
        <w:t xml:space="preserve"> </w:t>
      </w:r>
      <w:r>
        <w:t xml:space="preserve">to the baseline.</w:t>
      </w:r>
      <w:r>
        <w:br/>
      </w:r>
      <w:r>
        <w:t xml:space="preserve">Adjustment cost savings for navigation software service providers</w:t>
      </w:r>
      <w:r>
        <w:t xml:space="preserve"> </w:t>
      </w:r>
      <w:r>
        <w:t xml:space="preserve">The new Performance Measurement Framework will allow to monitor the implementation of</w:t>
      </w:r>
      <w:r>
        <w:t xml:space="preserve"> </w:t>
      </w:r>
      <w:r>
        <w:t xml:space="preserve">the Directive and, ultimately, collect more accurate information. As explained above, in the</w:t>
      </w:r>
      <w:r>
        <w:t xml:space="preserve"> </w:t>
      </w:r>
      <w:r>
        <w:t xml:space="preserve">baseline scenario, the average cost for software service providers for introducing the data into</w:t>
      </w:r>
      <w:r>
        <w:t xml:space="preserve"> </w:t>
      </w:r>
      <w:r>
        <w:t xml:space="preserve">their systems is estimated at EUR 452 per year, per vessel (in 2022 prices)179. According to</w:t>
      </w:r>
    </w:p>
    <w:p>
      <w:pPr>
        <w:pStyle w:val="BodyText"/>
      </w:pPr>
      <w:r>
        <w:t xml:space="preserve">179 Ludden, V. et al., (2020): Study supporting the evaluation of Directive 2005/44/EC on Harmonised River</w:t>
      </w:r>
      <w:r>
        <w:t xml:space="preserve"> </w:t>
      </w:r>
      <w:r>
        <w:t xml:space="preserve">Information Services (RIS). Ramboll, University of Antwerp and DLA Piper. The average cost in the study is</w:t>
      </w:r>
      <w:r>
        <w:t xml:space="preserve"> </w:t>
      </w:r>
      <w:r>
        <w:t xml:space="preserve">expressed in 2019 prices. For the purpose of this impact assessment, it has been transformed in 2022 prices using</w:t>
      </w:r>
      <w:r>
        <w:t xml:space="preserve"> </w:t>
      </w:r>
      <w:r>
        <w:t xml:space="preserve">the harmonised consumer price index for Belgium from Eurostat because the two navigation software service</w:t>
      </w:r>
      <w:r>
        <w:t xml:space="preserve"> </w:t>
      </w:r>
      <w:r>
        <w:t xml:space="preserve">providers that serve around 90% of the market are based in Belgium.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feedback provided by the RIS software service providers during the second stakeholder</w:t>
      </w:r>
      <w:r>
        <w:t xml:space="preserve"> </w:t>
      </w:r>
      <w:r>
        <w:t xml:space="preserve">survey180, PM3 would allow to reduce the average cost per vessel by 0.25% relative to the</w:t>
      </w:r>
      <w:r>
        <w:t xml:space="preserve"> </w:t>
      </w:r>
      <w:r>
        <w:t xml:space="preserve">baseline (i.e. EUR 1.13 saved per vessel) from 2026 onwards. The recurrent adjustment costs</w:t>
      </w:r>
      <w:r>
        <w:t xml:space="preserve"> </w:t>
      </w:r>
      <w:r>
        <w:t xml:space="preserve">savings for navigation software service providers for 2030, 2040 and 2050, relative to the</w:t>
      </w:r>
      <w:r>
        <w:t xml:space="preserve"> </w:t>
      </w:r>
      <w:r>
        <w:t xml:space="preserve">baseline, are provided in Table 30. Expressed as present value over 2025-2050, they are</w:t>
      </w:r>
      <w:r>
        <w:t xml:space="preserve"> </w:t>
      </w:r>
      <w:r>
        <w:t xml:space="preserve">estimated at EUR 0.31 million relative to the baseline (in 2022 prices)181.</w:t>
      </w:r>
      <w:r>
        <w:t xml:space="preserve"> </w:t>
      </w:r>
      <w:r>
        <w:t xml:space="preserve">Table 30: Recurrent adjustment costs savings for navigation software service providers due to PM3</w:t>
      </w:r>
      <w:r>
        <w:t xml:space="preserve"> </w:t>
      </w:r>
      <w:r>
        <w:t xml:space="preserve">relative to the baseline (in EUR, in 2022 prices)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vessels</w:t>
      </w:r>
      <w:r>
        <w:t xml:space="preserve"> </w:t>
      </w:r>
      <w:r>
        <w:t xml:space="preserve">15,838</w:t>
      </w:r>
      <w:r>
        <w:t xml:space="preserve"> </w:t>
      </w:r>
      <w:r>
        <w:t xml:space="preserve">15,996</w:t>
      </w:r>
      <w:r>
        <w:t xml:space="preserve"> </w:t>
      </w:r>
      <w:r>
        <w:t xml:space="preserve">16,131</w:t>
      </w:r>
      <w:r>
        <w:t xml:space="preserve"> </w:t>
      </w:r>
      <w:r>
        <w:t xml:space="preserve">Average costs savings for navigation software service</w:t>
      </w:r>
      <w:r>
        <w:t xml:space="preserve"> </w:t>
      </w:r>
      <w:r>
        <w:t xml:space="preserve">providers per vessel (in EUR)</w:t>
      </w:r>
      <w:r>
        <w:t xml:space="preserve"> </w:t>
      </w:r>
      <w:r>
        <w:t xml:space="preserve">1.13</w:t>
      </w:r>
      <w:r>
        <w:t xml:space="preserve"> </w:t>
      </w:r>
      <w:r>
        <w:t xml:space="preserve">1.13</w:t>
      </w:r>
      <w:r>
        <w:t xml:space="preserve"> </w:t>
      </w:r>
      <w:r>
        <w:t xml:space="preserve">1.13</w:t>
      </w:r>
      <w:r>
        <w:t xml:space="preserve"> </w:t>
      </w:r>
      <w:r>
        <w:t xml:space="preserve">Adjustment costs savings for navigation software service</w:t>
      </w:r>
      <w:r>
        <w:t xml:space="preserve"> </w:t>
      </w:r>
      <w:r>
        <w:t xml:space="preserve">providers (in EUR)</w:t>
      </w:r>
      <w:r>
        <w:t xml:space="preserve"> </w:t>
      </w:r>
      <w:r>
        <w:t xml:space="preserve">17,888</w:t>
      </w:r>
      <w:r>
        <w:t xml:space="preserve"> </w:t>
      </w:r>
      <w:r>
        <w:t xml:space="preserve">18,066</w:t>
      </w:r>
      <w:r>
        <w:t xml:space="preserve"> </w:t>
      </w:r>
      <w:r>
        <w:t xml:space="preserve">18,219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Adjustment cost savings for vessel operators</w:t>
      </w:r>
      <w:r>
        <w:t xml:space="preserve"> </w:t>
      </w:r>
      <w:r>
        <w:t xml:space="preserve">The new Performance Measurement Framework will allow to monitor the implementation of</w:t>
      </w:r>
      <w:r>
        <w:t xml:space="preserve"> </w:t>
      </w:r>
      <w:r>
        <w:t xml:space="preserve">the Directive and, ultimately, collect more accurate information. Consequently, vessel</w:t>
      </w:r>
      <w:r>
        <w:t xml:space="preserve"> </w:t>
      </w:r>
      <w:r>
        <w:t xml:space="preserve">operators will save resources when preparing their journeys. As explained above, in the</w:t>
      </w:r>
      <w:r>
        <w:t xml:space="preserve"> </w:t>
      </w:r>
      <w:r>
        <w:t xml:space="preserve">baseline scenario, the time required for preparing an international trip is estimated at 15</w:t>
      </w:r>
      <w:r>
        <w:t xml:space="preserve"> </w:t>
      </w:r>
      <w:r>
        <w:t xml:space="preserve">minutes and that for a domestic trip at 10 minutes, according to the survey undertaken in the</w:t>
      </w:r>
      <w:r>
        <w:t xml:space="preserve"> </w:t>
      </w:r>
      <w:r>
        <w:t xml:space="preserve">context of this impact assessment. The vessel operators that responded to the survey estimated</w:t>
      </w:r>
      <w:r>
        <w:t xml:space="preserve"> </w:t>
      </w:r>
      <w:r>
        <w:t xml:space="preserve">that the time spent on planning trips will decrease by 4% on average due to PM3 relative to</w:t>
      </w:r>
      <w:r>
        <w:t xml:space="preserve"> </w:t>
      </w:r>
      <w:r>
        <w:t xml:space="preserve">the baseline (approximately 0.6 minutes for each international trip and 0.4 minutes for each</w:t>
      </w:r>
      <w:r>
        <w:t xml:space="preserve"> </w:t>
      </w:r>
      <w:r>
        <w:t xml:space="preserve">domestic trip) from 2026 onwards. The recurrent adjustment costs savings for vessel</w:t>
      </w:r>
      <w:r>
        <w:t xml:space="preserve"> </w:t>
      </w:r>
      <w:r>
        <w:t xml:space="preserve">operators are derived based on the time saved for the preparation of a trip, the labour cost per</w:t>
      </w:r>
      <w:r>
        <w:t xml:space="preserve"> </w:t>
      </w:r>
      <w:r>
        <w:t xml:space="preserve">hour (EUR 26.7 per hour182) and the projected number of domestic trips and border crossings</w:t>
      </w:r>
      <w:r>
        <w:t xml:space="preserve"> </w:t>
      </w:r>
      <w:r>
        <w:t xml:space="preserve">and are provided in Table 31. Expressed as present value over 2025-2050, they are estimated</w:t>
      </w:r>
      <w:r>
        <w:t xml:space="preserve"> </w:t>
      </w:r>
      <w:r>
        <w:t xml:space="preserve">at EUR 3.08 million relative to the baseline (in 2022 prices).</w:t>
      </w:r>
      <w:r>
        <w:t xml:space="preserve"> </w:t>
      </w:r>
      <w:r>
        <w:t xml:space="preserve">Table 31: Recurrent adjustment costs savings for vessels operators due to PM3 relative to the baseline (in</w:t>
      </w:r>
      <w:r>
        <w:t xml:space="preserve"> </w:t>
      </w:r>
      <w:r>
        <w:t xml:space="preserve">EUR, in 2022 prices)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domestic trips per year</w:t>
      </w:r>
      <w:r>
        <w:t xml:space="preserve"> </w:t>
      </w:r>
      <w:r>
        <w:t xml:space="preserve">286,557</w:t>
      </w:r>
      <w:r>
        <w:t xml:space="preserve"> </w:t>
      </w:r>
      <w:r>
        <w:t xml:space="preserve">288,134</w:t>
      </w:r>
      <w:r>
        <w:t xml:space="preserve"> </w:t>
      </w:r>
      <w:r>
        <w:t xml:space="preserve">292,030</w:t>
      </w:r>
      <w:r>
        <w:t xml:space="preserve"> </w:t>
      </w:r>
      <w:r>
        <w:t xml:space="preserve">Number of border crossings per year</w:t>
      </w:r>
      <w:r>
        <w:t xml:space="preserve"> </w:t>
      </w:r>
      <w:r>
        <w:t xml:space="preserve">443,324</w:t>
      </w:r>
      <w:r>
        <w:t xml:space="preserve"> </w:t>
      </w:r>
      <w:r>
        <w:t xml:space="preserve">446,395</w:t>
      </w:r>
      <w:r>
        <w:t xml:space="preserve"> </w:t>
      </w:r>
      <w:r>
        <w:t xml:space="preserve">452,776</w:t>
      </w:r>
      <w:r>
        <w:t xml:space="preserve"> </w:t>
      </w:r>
      <w:r>
        <w:t xml:space="preserve">Adjustment costs savings for vessel operators (in EUR)</w:t>
      </w:r>
      <w:r>
        <w:t xml:space="preserve"> </w:t>
      </w:r>
      <w:r>
        <w:t xml:space="preserve">176,381</w:t>
      </w:r>
      <w:r>
        <w:t xml:space="preserve"> </w:t>
      </w:r>
      <w:r>
        <w:t xml:space="preserve">177,528</w:t>
      </w:r>
      <w:r>
        <w:t xml:space="preserve"> </w:t>
      </w:r>
      <w:r>
        <w:t xml:space="preserve">180,024</w:t>
      </w:r>
      <w:r>
        <w:t xml:space="preserve"> </w:t>
      </w:r>
      <w:r>
        <w:t xml:space="preserve">Source: Ramboll et al. (2024), impact assessment support study</w:t>
      </w:r>
    </w:p>
    <w:p>
      <w:pPr>
        <w:pStyle w:val="BodyText"/>
      </w:pPr>
      <w:r>
        <w:t xml:space="preserve">180 The feedback has been provided by the two navigation software service providers, based in Belgium, that</w:t>
      </w:r>
      <w:r>
        <w:t xml:space="preserve"> </w:t>
      </w:r>
      <w:r>
        <w:t xml:space="preserve">serve around 90% of the market.</w:t>
      </w:r>
      <w:r>
        <w:t xml:space="preserve"> </w:t>
      </w:r>
      <w:r>
        <w:t xml:space="preserve">181 Part of these costs savings benefiting software provides may be passed through to the vessel operators,</w:t>
      </w:r>
      <w:r>
        <w:t xml:space="preserve"> </w:t>
      </w:r>
      <w:r>
        <w:t xml:space="preserve">although it is not possible to assess the share of the costs savings passed through.</w:t>
      </w:r>
      <w:r>
        <w:t xml:space="preserve"> </w:t>
      </w:r>
      <w:r>
        <w:t xml:space="preserve">182 Weighted average of the tariff per hour for non-manual workers (ISCO 8 - Plant and machine operators and</w:t>
      </w:r>
      <w:r>
        <w:t xml:space="preserve"> </w:t>
      </w:r>
      <w:r>
        <w:t xml:space="preserve">assemblers) in the 13 Member State in the scope of RIS. It is based on Eurostat Structure of earnings survey and</w:t>
      </w:r>
      <w:r>
        <w:t xml:space="preserve"> </w:t>
      </w:r>
      <w:r>
        <w:t xml:space="preserve">expressed in 2022 prices.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PM4: Strengthen requirements for RIS technical specifications by adding new</w:t>
      </w:r>
      <w:r>
        <w:t xml:space="preserve"> </w:t>
      </w:r>
      <w:r>
        <w:t xml:space="preserve">specifications on data for navigation and voyage planning (RIS Index)</w:t>
      </w:r>
      <w:r>
        <w:br/>
      </w:r>
      <w:r>
        <w:t xml:space="preserve">This measure aims to strengthen the requirements of Annex I of the current RIS Directive by</w:t>
      </w:r>
      <w:r>
        <w:t xml:space="preserve"> </w:t>
      </w:r>
      <w:r>
        <w:t xml:space="preserve">introducing new technical specifications (‘standards’) on data for navigation and voyage</w:t>
      </w:r>
      <w:r>
        <w:t xml:space="preserve"> </w:t>
      </w:r>
      <w:r>
        <w:t xml:space="preserve">planning (‘RIS Index’), and strengthen provisions under Article 4, paragraph 3, for the supply</w:t>
      </w:r>
      <w:r>
        <w:t xml:space="preserve"> </w:t>
      </w:r>
      <w:r>
        <w:t xml:space="preserve">of such data by the Member States. This will improve the quality of the basic data provided in</w:t>
      </w:r>
      <w:r>
        <w:t xml:space="preserve"> </w:t>
      </w:r>
      <w:r>
        <w:t xml:space="preserve">RIS and will benefit in particular skippers who will have better and up-to-date information,</w:t>
      </w:r>
      <w:r>
        <w:t xml:space="preserve"> </w:t>
      </w:r>
      <w:r>
        <w:t xml:space="preserve">reducing the time needed to plan their voyage. This measure also introduces new additional</w:t>
      </w:r>
      <w:r>
        <w:t xml:space="preserve"> </w:t>
      </w:r>
      <w:r>
        <w:t xml:space="preserve">requirements into the RIS Directive that require Member States to ensure that information</w:t>
      </w:r>
      <w:r>
        <w:t xml:space="preserve"> </w:t>
      </w:r>
      <w:r>
        <w:t xml:space="preserve">relating to the efficiency of navigation (e.g. current and expected waiting times at bridges and</w:t>
      </w:r>
      <w:r>
        <w:t xml:space="preserve"> </w:t>
      </w:r>
      <w:r>
        <w:t xml:space="preserve">locks) is shared. This information will assist vessel operators during navigation. Member</w:t>
      </w:r>
      <w:r>
        <w:t xml:space="preserve"> </w:t>
      </w:r>
      <w:r>
        <w:t xml:space="preserve">States will need to undertake digital hardware and software updates in order to provide the</w:t>
      </w:r>
      <w:r>
        <w:t xml:space="preserve"> </w:t>
      </w:r>
      <w:r>
        <w:t xml:space="preserve">required information. The detailed technical specifications that will be required will be</w:t>
      </w:r>
      <w:r>
        <w:t xml:space="preserve"> </w:t>
      </w:r>
      <w:r>
        <w:t xml:space="preserve">adopted at a later stage, through secondary legislation. This measure will also facilitate the</w:t>
      </w:r>
      <w:r>
        <w:t xml:space="preserve"> </w:t>
      </w:r>
      <w:r>
        <w:t xml:space="preserve">adoption of ‘smart shipping’183 systems for the automation of navigation.</w:t>
      </w:r>
      <w:r>
        <w:t xml:space="preserve"> </w:t>
      </w:r>
      <w:r>
        <w:t xml:space="preserve">Adjustment costs for national public authorities</w:t>
      </w:r>
      <w:r>
        <w:t xml:space="preserve"> </w:t>
      </w:r>
      <w:r>
        <w:t xml:space="preserve">To enable more efficient navigation a series of data including for instance clearance heights at</w:t>
      </w:r>
      <w:r>
        <w:t xml:space="preserve"> </w:t>
      </w:r>
      <w:r>
        <w:t xml:space="preserve">bridges, information on fairway profiles and digitisation of vessel traffic signs will have to be</w:t>
      </w:r>
      <w:r>
        <w:t xml:space="preserve"> </w:t>
      </w:r>
      <w:r>
        <w:t xml:space="preserve">collected. Moreover, the system should also include information on the real-time traffic</w:t>
      </w:r>
      <w:r>
        <w:t xml:space="preserve"> </w:t>
      </w:r>
      <w:r>
        <w:t xml:space="preserve">situation, such as current and expected waiting times at locks. Obtaining and sharing these</w:t>
      </w:r>
      <w:r>
        <w:t xml:space="preserve"> </w:t>
      </w:r>
      <w:r>
        <w:t xml:space="preserve">data requires investment in both digital hardware and software (to monitor and report on the</w:t>
      </w:r>
      <w:r>
        <w:t xml:space="preserve"> </w:t>
      </w:r>
      <w:r>
        <w:t xml:space="preserve">information mentioned above). Based on interviews with Rijkswaterstaat this measure is</w:t>
      </w:r>
      <w:r>
        <w:t xml:space="preserve"> </w:t>
      </w:r>
      <w:r>
        <w:t xml:space="preserve">estimated to lead to one-off adjustment costs of EUR 500,000 in the Netherlands alone.</w:t>
      </w:r>
      <w:r>
        <w:t xml:space="preserve"> </w:t>
      </w:r>
      <w:r>
        <w:t xml:space="preserve">Considering each country’s share of the network in terms of length and infrastructure</w:t>
      </w:r>
      <w:r>
        <w:t xml:space="preserve"> </w:t>
      </w:r>
      <w:r>
        <w:t xml:space="preserve">elements such as locks and bridges (i.e. using as proxy the number of entries in RIS index</w:t>
      </w:r>
      <w:r>
        <w:t xml:space="preserve"> </w:t>
      </w:r>
      <w:r>
        <w:t xml:space="preserve">from EU-RIS portal), these costs have been extrapolated for the other twelve Member States.</w:t>
      </w:r>
      <w:r>
        <w:t xml:space="preserve"> </w:t>
      </w:r>
      <w:r>
        <w:t xml:space="preserve">For the 13 Member States, total one-off adjustment costs are estimated at EUR 4.55 million.</w:t>
      </w:r>
      <w:r>
        <w:t xml:space="preserve"> </w:t>
      </w:r>
      <w:r>
        <w:t xml:space="preserve">The breakdown by Member State is provided in Table 32.</w:t>
      </w:r>
      <w:r>
        <w:br/>
      </w:r>
      <w:r>
        <w:t xml:space="preserve">Table 32: One-off adjustment costs for national public authorities due to PM4 relative to the baseline (in</w:t>
      </w:r>
      <w:r>
        <w:t xml:space="preserve"> </w:t>
      </w:r>
      <w:r>
        <w:t xml:space="preserve">EUR, in 2022 prices)</w:t>
      </w:r>
      <w:r>
        <w:t xml:space="preserve"> </w:t>
      </w:r>
      <w:r>
        <w:t xml:space="preserve">Number of entries in RIS index from EU-</w:t>
      </w:r>
      <w:r>
        <w:t xml:space="preserve"> </w:t>
      </w:r>
      <w:r>
        <w:t xml:space="preserve">RIS portal</w:t>
      </w:r>
      <w:r>
        <w:t xml:space="preserve"> </w:t>
      </w:r>
      <w:r>
        <w:t xml:space="preserve">One-off adjustment costs (in EUR)</w:t>
      </w:r>
      <w:r>
        <w:t xml:space="preserve"> </w:t>
      </w:r>
      <w:r>
        <w:t xml:space="preserve">BE</w:t>
      </w:r>
      <w:r>
        <w:t xml:space="preserve"> </w:t>
      </w:r>
      <w:r>
        <w:t xml:space="preserve">18,279</w:t>
      </w:r>
      <w:r>
        <w:t xml:space="preserve"> </w:t>
      </w:r>
      <w:r>
        <w:t xml:space="preserve">313,168</w:t>
      </w:r>
      <w:r>
        <w:t xml:space="preserve"> </w:t>
      </w:r>
      <w:r>
        <w:t xml:space="preserve">BG</w:t>
      </w:r>
      <w:r>
        <w:t xml:space="preserve"> </w:t>
      </w:r>
      <w:r>
        <w:t xml:space="preserve">5,082</w:t>
      </w:r>
      <w:r>
        <w:t xml:space="preserve"> </w:t>
      </w:r>
      <w:r>
        <w:t xml:space="preserve">87,068</w:t>
      </w:r>
      <w:r>
        <w:t xml:space="preserve"> </w:t>
      </w:r>
      <w:r>
        <w:t xml:space="preserve">CZ</w:t>
      </w:r>
      <w:r>
        <w:t xml:space="preserve"> </w:t>
      </w:r>
      <w:r>
        <w:t xml:space="preserve">4,704</w:t>
      </w:r>
      <w:r>
        <w:t xml:space="preserve"> </w:t>
      </w:r>
      <w:r>
        <w:t xml:space="preserve">80,592</w:t>
      </w:r>
      <w:r>
        <w:t xml:space="preserve"> </w:t>
      </w:r>
      <w:r>
        <w:t xml:space="preserve">DE</w:t>
      </w:r>
      <w:r>
        <w:t xml:space="preserve"> </w:t>
      </w:r>
      <w:r>
        <w:t xml:space="preserve">65,760</w:t>
      </w:r>
      <w:r>
        <w:t xml:space="preserve"> </w:t>
      </w:r>
      <w:r>
        <w:t xml:space="preserve">1,126,645</w:t>
      </w:r>
      <w:r>
        <w:t xml:space="preserve"> </w:t>
      </w:r>
      <w:r>
        <w:t xml:space="preserve">FR</w:t>
      </w:r>
      <w:r>
        <w:t xml:space="preserve"> </w:t>
      </w:r>
      <w:r>
        <w:t xml:space="preserve">120,623</w:t>
      </w:r>
      <w:r>
        <w:t xml:space="preserve"> </w:t>
      </w:r>
      <w:r>
        <w:t xml:space="preserve">2,066,595</w:t>
      </w:r>
      <w:r>
        <w:t xml:space="preserve"> </w:t>
      </w:r>
      <w:r>
        <w:t xml:space="preserve">HR</w:t>
      </w:r>
      <w:r>
        <w:t xml:space="preserve"> </w:t>
      </w:r>
      <w:r>
        <w:t xml:space="preserve">5,634</w:t>
      </w:r>
      <w:r>
        <w:t xml:space="preserve"> </w:t>
      </w:r>
      <w:r>
        <w:t xml:space="preserve">96,525</w:t>
      </w:r>
      <w:r>
        <w:t xml:space="preserve"> </w:t>
      </w:r>
      <w:r>
        <w:t xml:space="preserve">LU</w:t>
      </w:r>
      <w:r>
        <w:t xml:space="preserve"> </w:t>
      </w:r>
      <w:r>
        <w:t xml:space="preserve">412</w:t>
      </w:r>
      <w:r>
        <w:t xml:space="preserve"> </w:t>
      </w:r>
      <w:r>
        <w:t xml:space="preserve">7,059</w:t>
      </w:r>
      <w:r>
        <w:t xml:space="preserve"> </w:t>
      </w:r>
      <w:r>
        <w:t xml:space="preserve">HU</w:t>
      </w:r>
      <w:r>
        <w:t xml:space="preserve"> </w:t>
      </w:r>
      <w:r>
        <w:t xml:space="preserve">4,531</w:t>
      </w:r>
      <w:r>
        <w:t xml:space="preserve"> </w:t>
      </w:r>
      <w:r>
        <w:t xml:space="preserve">77,628</w:t>
      </w:r>
    </w:p>
    <w:p>
      <w:pPr>
        <w:pStyle w:val="BodyText"/>
      </w:pPr>
      <w:r>
        <w:t xml:space="preserve">183 ‘Smart shipping’ is a general term referring to different technologies to facilitate navigation. CCNR has</w:t>
      </w:r>
      <w:r>
        <w:t xml:space="preserve"> </w:t>
      </w:r>
      <w:r>
        <w:t xml:space="preserve">classify them in five levels: Level 1.Steering assistance, Level 2.Partial automation (steering and propulsion,</w:t>
      </w:r>
      <w:r>
        <w:t xml:space="preserve"> </w:t>
      </w:r>
      <w:r>
        <w:t xml:space="preserve">designed to reduce fuel consumption), Level 3.Conditional automation (including collision avoidance), Level</w:t>
      </w:r>
      <w:r>
        <w:t xml:space="preserve"> </w:t>
      </w:r>
      <w:r>
        <w:t xml:space="preserve">4.High automation (context-specific automation of all dynamic navigation tasks), Level 5.Full automation</w:t>
      </w:r>
      <w:r>
        <w:t xml:space="preserve"> </w:t>
      </w:r>
      <w:r>
        <w:t xml:space="preserve">(unconditional automation of all dynamic navigation tasks). In addition, Level 0 refers to no automation even</w:t>
      </w:r>
      <w:r>
        <w:t xml:space="preserve"> </w:t>
      </w:r>
      <w:r>
        <w:t xml:space="preserve">when warning and intervention systems such as radars assist the helmsman.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Number of entries in RIS index from EU-</w:t>
      </w:r>
      <w:r>
        <w:t xml:space="preserve"> </w:t>
      </w:r>
      <w:r>
        <w:t xml:space="preserve">RIS portal</w:t>
      </w:r>
      <w:r>
        <w:t xml:space="preserve"> </w:t>
      </w:r>
      <w:r>
        <w:t xml:space="preserve">One-off adjustment costs (in EUR)</w:t>
      </w:r>
      <w:r>
        <w:t xml:space="preserve"> </w:t>
      </w:r>
      <w:r>
        <w:t xml:space="preserve">NL</w:t>
      </w:r>
      <w:r>
        <w:t xml:space="preserve"> </w:t>
      </w:r>
      <w:r>
        <w:t xml:space="preserve">29,184</w:t>
      </w:r>
      <w:r>
        <w:t xml:space="preserve"> </w:t>
      </w:r>
      <w:r>
        <w:t xml:space="preserve">500,000</w:t>
      </w:r>
      <w:r>
        <w:t xml:space="preserve"> </w:t>
      </w:r>
      <w:r>
        <w:t xml:space="preserve">AT</w:t>
      </w:r>
      <w:r>
        <w:t xml:space="preserve"> </w:t>
      </w:r>
      <w:r>
        <w:t xml:space="preserve">4,705</w:t>
      </w:r>
      <w:r>
        <w:t xml:space="preserve"> </w:t>
      </w:r>
      <w:r>
        <w:t xml:space="preserve">80,609</w:t>
      </w:r>
      <w:r>
        <w:t xml:space="preserve"> </w:t>
      </w:r>
      <w:r>
        <w:t xml:space="preserve">PL*</w:t>
      </w:r>
      <w:r>
        <w:t xml:space="preserve"> </w:t>
      </w:r>
      <w:r>
        <w:t xml:space="preserve">2,235</w:t>
      </w:r>
      <w:r>
        <w:t xml:space="preserve"> </w:t>
      </w:r>
      <w:r>
        <w:t xml:space="preserve">38,292</w:t>
      </w:r>
      <w:r>
        <w:t xml:space="preserve"> </w:t>
      </w:r>
      <w:r>
        <w:t xml:space="preserve">RO</w:t>
      </w:r>
      <w:r>
        <w:t xml:space="preserve"> </w:t>
      </w:r>
      <w:r>
        <w:t xml:space="preserve">2,414</w:t>
      </w:r>
      <w:r>
        <w:t xml:space="preserve"> </w:t>
      </w:r>
      <w:r>
        <w:t xml:space="preserve">41,358</w:t>
      </w:r>
      <w:r>
        <w:t xml:space="preserve"> </w:t>
      </w:r>
      <w:r>
        <w:t xml:space="preserve">SK</w:t>
      </w:r>
      <w:r>
        <w:t xml:space="preserve"> </w:t>
      </w:r>
      <w:r>
        <w:t xml:space="preserve">2,056</w:t>
      </w:r>
      <w:r>
        <w:t xml:space="preserve"> </w:t>
      </w:r>
      <w:r>
        <w:t xml:space="preserve">35,225</w:t>
      </w:r>
      <w:r>
        <w:t xml:space="preserve"> </w:t>
      </w:r>
      <w:r>
        <w:t xml:space="preserve">Total</w:t>
      </w:r>
      <w:r>
        <w:t xml:space="preserve"> </w:t>
      </w:r>
      <w:r>
        <w:t xml:space="preserve">265,619</w:t>
      </w:r>
      <w:r>
        <w:t xml:space="preserve"> </w:t>
      </w:r>
      <w:r>
        <w:t xml:space="preserve">4,550,764</w:t>
      </w:r>
      <w:r>
        <w:t xml:space="preserve"> </w:t>
      </w:r>
      <w:r>
        <w:t xml:space="preserve">Source: Ramboll et al. (2024), impact assessment support study; Note: * estimated RIS index.</w:t>
      </w:r>
      <w:r>
        <w:br/>
      </w:r>
      <w:r>
        <w:t xml:space="preserve">Administrative costs for national public authorities</w:t>
      </w:r>
      <w:r>
        <w:t xml:space="preserve"> </w:t>
      </w:r>
      <w:r>
        <w:t xml:space="preserve">Both the hardware and software used for the exchange of the collected data will need to be</w:t>
      </w:r>
      <w:r>
        <w:t xml:space="preserve"> </w:t>
      </w:r>
      <w:r>
        <w:t xml:space="preserve">updated and maintained on a regular basis. The annual maintenance costs are assumed to be</w:t>
      </w:r>
      <w:r>
        <w:t xml:space="preserve"> </w:t>
      </w:r>
      <w:r>
        <w:t xml:space="preserve">25% of the investment costs, based on the DINA study184. Thus, the recurrent administrative</w:t>
      </w:r>
      <w:r>
        <w:t xml:space="preserve"> </w:t>
      </w:r>
      <w:r>
        <w:t xml:space="preserve">costs for national public authorities are estimated at EUR 1.14 million per year from 2026</w:t>
      </w:r>
      <w:r>
        <w:t xml:space="preserve"> </w:t>
      </w:r>
      <w:r>
        <w:t xml:space="preserve">onwards. The breakdown by Member State is provided in Table 33. Expressed as present</w:t>
      </w:r>
      <w:r>
        <w:t xml:space="preserve"> </w:t>
      </w:r>
      <w:r>
        <w:t xml:space="preserve">value over 2025-2050, they are estimated at EUR 19.81 million relative to the baseline (in</w:t>
      </w:r>
      <w:r>
        <w:t xml:space="preserve"> </w:t>
      </w:r>
      <w:r>
        <w:t xml:space="preserve">2022 prices).</w:t>
      </w:r>
      <w:r>
        <w:br/>
      </w:r>
      <w:r>
        <w:t xml:space="preserve">Table 33: Recurrent administrative costs for national public authorities due to PM4 relative to the</w:t>
      </w:r>
      <w:r>
        <w:t xml:space="preserve"> </w:t>
      </w:r>
      <w:r>
        <w:t xml:space="preserve">baseline (in EUR, in 2022 prices)</w:t>
      </w:r>
      <w:r>
        <w:t xml:space="preserve"> </w:t>
      </w:r>
      <w:r>
        <w:t xml:space="preserve">Administrative costs (in EUR)</w:t>
      </w:r>
      <w:r>
        <w:t xml:space="preserve"> </w:t>
      </w:r>
      <w:r>
        <w:t xml:space="preserve">BE</w:t>
      </w:r>
      <w:r>
        <w:t xml:space="preserve"> </w:t>
      </w:r>
      <w:r>
        <w:t xml:space="preserve">78,292</w:t>
      </w:r>
      <w:r>
        <w:t xml:space="preserve"> </w:t>
      </w:r>
      <w:r>
        <w:t xml:space="preserve">BG</w:t>
      </w:r>
      <w:r>
        <w:t xml:space="preserve"> </w:t>
      </w:r>
      <w:r>
        <w:t xml:space="preserve">21,767</w:t>
      </w:r>
      <w:r>
        <w:t xml:space="preserve"> </w:t>
      </w:r>
      <w:r>
        <w:t xml:space="preserve">CZ</w:t>
      </w:r>
      <w:r>
        <w:t xml:space="preserve"> </w:t>
      </w:r>
      <w:r>
        <w:t xml:space="preserve">20,148</w:t>
      </w:r>
      <w:r>
        <w:t xml:space="preserve"> </w:t>
      </w:r>
      <w:r>
        <w:t xml:space="preserve">DE</w:t>
      </w:r>
      <w:r>
        <w:t xml:space="preserve"> </w:t>
      </w:r>
      <w:r>
        <w:t xml:space="preserve">281,661</w:t>
      </w:r>
      <w:r>
        <w:t xml:space="preserve"> </w:t>
      </w:r>
      <w:r>
        <w:t xml:space="preserve">FR</w:t>
      </w:r>
      <w:r>
        <w:t xml:space="preserve"> </w:t>
      </w:r>
      <w:r>
        <w:t xml:space="preserve">516,649</w:t>
      </w:r>
      <w:r>
        <w:t xml:space="preserve"> </w:t>
      </w:r>
      <w:r>
        <w:t xml:space="preserve">HR</w:t>
      </w:r>
      <w:r>
        <w:t xml:space="preserve"> </w:t>
      </w:r>
      <w:r>
        <w:t xml:space="preserve">24,131</w:t>
      </w:r>
      <w:r>
        <w:t xml:space="preserve"> </w:t>
      </w:r>
      <w:r>
        <w:t xml:space="preserve">LU</w:t>
      </w:r>
      <w:r>
        <w:t xml:space="preserve"> </w:t>
      </w:r>
      <w:r>
        <w:t xml:space="preserve">1,765</w:t>
      </w:r>
      <w:r>
        <w:t xml:space="preserve"> </w:t>
      </w:r>
      <w:r>
        <w:t xml:space="preserve">HU</w:t>
      </w:r>
      <w:r>
        <w:t xml:space="preserve"> </w:t>
      </w:r>
      <w:r>
        <w:t xml:space="preserve">19,407</w:t>
      </w:r>
      <w:r>
        <w:t xml:space="preserve"> </w:t>
      </w:r>
      <w:r>
        <w:t xml:space="preserve">NL</w:t>
      </w:r>
      <w:r>
        <w:t xml:space="preserve"> </w:t>
      </w:r>
      <w:r>
        <w:t xml:space="preserve">125,000</w:t>
      </w:r>
      <w:r>
        <w:t xml:space="preserve"> </w:t>
      </w:r>
      <w:r>
        <w:t xml:space="preserve">AT</w:t>
      </w:r>
      <w:r>
        <w:t xml:space="preserve"> </w:t>
      </w:r>
      <w:r>
        <w:t xml:space="preserve">20,152</w:t>
      </w:r>
      <w:r>
        <w:t xml:space="preserve"> </w:t>
      </w:r>
      <w:r>
        <w:t xml:space="preserve">PL</w:t>
      </w:r>
      <w:r>
        <w:t xml:space="preserve"> </w:t>
      </w:r>
      <w:r>
        <w:t xml:space="preserve">9,573</w:t>
      </w:r>
      <w:r>
        <w:t xml:space="preserve"> </w:t>
      </w:r>
      <w:r>
        <w:t xml:space="preserve">RO</w:t>
      </w:r>
      <w:r>
        <w:t xml:space="preserve"> </w:t>
      </w:r>
      <w:r>
        <w:t xml:space="preserve">10,340</w:t>
      </w:r>
      <w:r>
        <w:t xml:space="preserve"> </w:t>
      </w:r>
      <w:r>
        <w:t xml:space="preserve">SK</w:t>
      </w:r>
      <w:r>
        <w:t xml:space="preserve"> </w:t>
      </w:r>
      <w:r>
        <w:t xml:space="preserve">8,806</w:t>
      </w:r>
      <w:r>
        <w:t xml:space="preserve"> </w:t>
      </w:r>
      <w:r>
        <w:t xml:space="preserve">Total</w:t>
      </w:r>
      <w:r>
        <w:t xml:space="preserve"> </w:t>
      </w:r>
      <w:r>
        <w:t xml:space="preserve">1,137,691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Adjustment cost savings for navigation software service providers</w:t>
      </w:r>
      <w:r>
        <w:t xml:space="preserve"> </w:t>
      </w:r>
      <w:r>
        <w:t xml:space="preserve">Navigation software service providers are currently building their own smart software to offer</w:t>
      </w:r>
      <w:r>
        <w:t xml:space="preserve"> </w:t>
      </w:r>
      <w:r>
        <w:t xml:space="preserve">added value to their customers. For instance, including more data via AIS stations at bridges</w:t>
      </w:r>
      <w:r>
        <w:t xml:space="preserve"> </w:t>
      </w:r>
      <w:r>
        <w:t xml:space="preserve">on waterways with variable water levels (free flowing rivers) can improve the service. As</w:t>
      </w:r>
      <w:r>
        <w:t xml:space="preserve"> </w:t>
      </w:r>
      <w:r>
        <w:t xml:space="preserve">explained above, in the baseline scenario, the average cost for software service providers for</w:t>
      </w:r>
      <w:r>
        <w:t xml:space="preserve"> </w:t>
      </w:r>
      <w:r>
        <w:t xml:space="preserve">introducing the data into their systems is estimated at EUR 452 per year, per vessel (in 2022</w:t>
      </w:r>
      <w:r>
        <w:t xml:space="preserve"> </w:t>
      </w:r>
      <w:r>
        <w:t xml:space="preserve">prices)185. Based on feedback from software services providers in the context of stakeholders’</w:t>
      </w:r>
    </w:p>
    <w:p>
      <w:pPr>
        <w:pStyle w:val="BodyText"/>
      </w:pPr>
      <w:r>
        <w:t xml:space="preserve">184 European Commission (2017): Digital inland waterway areas. Towards a digital inland waterway area and</w:t>
      </w:r>
      <w:r>
        <w:t xml:space="preserve"> </w:t>
      </w:r>
      <w:r>
        <w:t xml:space="preserve">digital multimodal nodes. Final report. According to the study, the maintenance of digital tools e.g. as a result of</w:t>
      </w:r>
      <w:r>
        <w:t xml:space="preserve"> </w:t>
      </w:r>
      <w:r>
        <w:t xml:space="preserve">service level agreements and license fees, represents approximately 20% of the initial technology investment.</w:t>
      </w:r>
      <w:r>
        <w:t xml:space="preserve"> </w:t>
      </w:r>
      <w:r>
        <w:t xml:space="preserve">Another 5% is attributed to the governance of the required standards and the coordination of the implementation.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consultation, PM4 would allow to reduce the average cost per vessel by 2% relative to the</w:t>
      </w:r>
      <w:r>
        <w:t xml:space="preserve"> </w:t>
      </w:r>
      <w:r>
        <w:t xml:space="preserve">baseline (i.e. EUR 9.04 saved per vessel) from 2026 onwards. The recurrent adjustment costs</w:t>
      </w:r>
      <w:r>
        <w:t xml:space="preserve"> </w:t>
      </w:r>
      <w:r>
        <w:t xml:space="preserve">savings for navigation software service providers for 2030, 2040 and 2050, relative to the</w:t>
      </w:r>
      <w:r>
        <w:t xml:space="preserve"> </w:t>
      </w:r>
      <w:r>
        <w:t xml:space="preserve">baseline, are provided in Table 34. Expressed as present value over 2025-2050, they are</w:t>
      </w:r>
      <w:r>
        <w:t xml:space="preserve"> </w:t>
      </w:r>
      <w:r>
        <w:t xml:space="preserve">estimated at EUR 2.5 million relative to the baseline (in 2022 prices)186.</w:t>
      </w:r>
      <w:r>
        <w:br/>
      </w:r>
      <w:r>
        <w:t xml:space="preserve">Table 34: Recurrent adjustment costs savings for navigation software service providers due to PM4</w:t>
      </w:r>
      <w:r>
        <w:t xml:space="preserve"> </w:t>
      </w:r>
      <w:r>
        <w:t xml:space="preserve">relative to the baseline (in EUR, in 2022 prices)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vessels</w:t>
      </w:r>
      <w:r>
        <w:t xml:space="preserve"> </w:t>
      </w:r>
      <w:r>
        <w:t xml:space="preserve">15,838</w:t>
      </w:r>
      <w:r>
        <w:t xml:space="preserve"> </w:t>
      </w:r>
      <w:r>
        <w:t xml:space="preserve">15,996</w:t>
      </w:r>
      <w:r>
        <w:t xml:space="preserve"> </w:t>
      </w:r>
      <w:r>
        <w:t xml:space="preserve">16,131</w:t>
      </w:r>
      <w:r>
        <w:t xml:space="preserve"> </w:t>
      </w:r>
      <w:r>
        <w:t xml:space="preserve">Average costs savings for navigation software service</w:t>
      </w:r>
      <w:r>
        <w:t xml:space="preserve"> </w:t>
      </w:r>
      <w:r>
        <w:t xml:space="preserve">providers per vessel (in EUR)</w:t>
      </w:r>
      <w:r>
        <w:t xml:space="preserve"> </w:t>
      </w:r>
      <w:r>
        <w:t xml:space="preserve">9.04</w:t>
      </w:r>
      <w:r>
        <w:t xml:space="preserve"> </w:t>
      </w:r>
      <w:r>
        <w:t xml:space="preserve">9.04</w:t>
      </w:r>
      <w:r>
        <w:t xml:space="preserve"> </w:t>
      </w:r>
      <w:r>
        <w:t xml:space="preserve">9.04</w:t>
      </w:r>
      <w:r>
        <w:t xml:space="preserve"> </w:t>
      </w:r>
      <w:r>
        <w:t xml:space="preserve">Adjustment costs savings for navigation software service</w:t>
      </w:r>
      <w:r>
        <w:t xml:space="preserve"> </w:t>
      </w:r>
      <w:r>
        <w:t xml:space="preserve">providers (in EUR)</w:t>
      </w:r>
      <w:r>
        <w:t xml:space="preserve"> </w:t>
      </w:r>
      <w:r>
        <w:t xml:space="preserve">143,104</w:t>
      </w:r>
      <w:r>
        <w:t xml:space="preserve"> </w:t>
      </w:r>
      <w:r>
        <w:t xml:space="preserve">144,532</w:t>
      </w:r>
      <w:r>
        <w:t xml:space="preserve"> </w:t>
      </w:r>
      <w:r>
        <w:t xml:space="preserve">145,751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Adjustment cost savings for vessel operators</w:t>
      </w:r>
      <w:r>
        <w:br/>
      </w:r>
      <w:r>
        <w:t xml:space="preserve">PM4 would make new data available for vessel operators including longer and more accurate</w:t>
      </w:r>
      <w:r>
        <w:t xml:space="preserve"> </w:t>
      </w:r>
      <w:r>
        <w:t xml:space="preserve">water level predictions, current and predicted underpass heights at bridges and current and</w:t>
      </w:r>
      <w:r>
        <w:t xml:space="preserve"> </w:t>
      </w:r>
      <w:r>
        <w:t xml:space="preserve">predicted waiting times at locks. Based on feedback from vessel operators in the context of</w:t>
      </w:r>
      <w:r>
        <w:t xml:space="preserve"> </w:t>
      </w:r>
      <w:r>
        <w:t xml:space="preserve">the stakeholders’ consultation, the time needed for voyage planning can be reduced by 15%</w:t>
      </w:r>
      <w:r>
        <w:t xml:space="preserve"> </w:t>
      </w:r>
      <w:r>
        <w:t xml:space="preserve">due to PM4 relative to the baseline. This corresponds to 1.5 minutes saved for each domestic</w:t>
      </w:r>
      <w:r>
        <w:t xml:space="preserve"> </w:t>
      </w:r>
      <w:r>
        <w:t xml:space="preserve">voyage and 2.25 minutes saved for each international trip from 2026 onwards. The recurrent</w:t>
      </w:r>
      <w:r>
        <w:t xml:space="preserve"> </w:t>
      </w:r>
      <w:r>
        <w:t xml:space="preserve">adjustment costs savings for vessel operators are derived based on the time saved for the</w:t>
      </w:r>
      <w:r>
        <w:t xml:space="preserve"> </w:t>
      </w:r>
      <w:r>
        <w:t xml:space="preserve">preparation of a trip, the labour cost per hour (EUR 26.7 per hour187) and the projected</w:t>
      </w:r>
      <w:r>
        <w:t xml:space="preserve"> </w:t>
      </w:r>
      <w:r>
        <w:t xml:space="preserve">number of domestic voyages and border crossings and are provided in Table 35. Expressed as</w:t>
      </w:r>
      <w:r>
        <w:t xml:space="preserve"> </w:t>
      </w:r>
      <w:r>
        <w:t xml:space="preserve">present value over 2025-2050, they are estimated at EUR 11.09 million relative to the</w:t>
      </w:r>
      <w:r>
        <w:t xml:space="preserve"> </w:t>
      </w:r>
      <w:r>
        <w:t xml:space="preserve">baseline (in 2022 prices).</w:t>
      </w:r>
      <w:r>
        <w:t xml:space="preserve"> </w:t>
      </w:r>
      <w:r>
        <w:t xml:space="preserve">Table 35: Recurrent adjustment costs savings for vessels operators due to PM4 relative to the baseline (in</w:t>
      </w:r>
      <w:r>
        <w:t xml:space="preserve"> </w:t>
      </w:r>
      <w:r>
        <w:t xml:space="preserve">EUR, in 2022 prices)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domestic voyages</w:t>
      </w:r>
      <w:r>
        <w:t xml:space="preserve"> </w:t>
      </w:r>
      <w:r>
        <w:t xml:space="preserve">286,557</w:t>
      </w:r>
      <w:r>
        <w:t xml:space="preserve"> </w:t>
      </w:r>
      <w:r>
        <w:t xml:space="preserve">288,134</w:t>
      </w:r>
      <w:r>
        <w:t xml:space="preserve"> </w:t>
      </w:r>
      <w:r>
        <w:t xml:space="preserve">292,030</w:t>
      </w:r>
      <w:r>
        <w:t xml:space="preserve"> </w:t>
      </w:r>
      <w:r>
        <w:t xml:space="preserve">Number of border crossings per year</w:t>
      </w:r>
      <w:r>
        <w:t xml:space="preserve"> </w:t>
      </w:r>
      <w:r>
        <w:t xml:space="preserve">443,324</w:t>
      </w:r>
      <w:r>
        <w:t xml:space="preserve"> </w:t>
      </w:r>
      <w:r>
        <w:t xml:space="preserve">446,395</w:t>
      </w:r>
      <w:r>
        <w:t xml:space="preserve"> </w:t>
      </w:r>
      <w:r>
        <w:t xml:space="preserve">452,776</w:t>
      </w:r>
      <w:r>
        <w:t xml:space="preserve"> </w:t>
      </w:r>
      <w:r>
        <w:t xml:space="preserve">Adjustment costs savings for vessel operators (in EUR)</w:t>
      </w:r>
      <w:r>
        <w:t xml:space="preserve"> </w:t>
      </w:r>
      <w:r>
        <w:t xml:space="preserve">634,973</w:t>
      </w:r>
      <w:r>
        <w:t xml:space="preserve"> </w:t>
      </w:r>
      <w:r>
        <w:t xml:space="preserve">639,100</w:t>
      </w:r>
      <w:r>
        <w:t xml:space="preserve"> </w:t>
      </w:r>
      <w:r>
        <w:t xml:space="preserve">648,087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PM5: Require electronic voyage plan reporting</w:t>
      </w:r>
      <w:r>
        <w:t xml:space="preserve"> </w:t>
      </w:r>
      <w:r>
        <w:t xml:space="preserve">While PM4 deals with information provided by the Member States to vessel operators, PM5</w:t>
      </w:r>
      <w:r>
        <w:t xml:space="preserve"> </w:t>
      </w:r>
      <w:r>
        <w:t xml:space="preserve">focuses on requiring vessel operators and skippers to report their voyage plan (ERIVOY) to</w:t>
      </w:r>
    </w:p>
    <w:p>
      <w:pPr>
        <w:pStyle w:val="BodyText"/>
      </w:pPr>
      <w:r>
        <w:t xml:space="preserve">185 Ludden, V. et al., (2020): Study supporting the evaluation of Directive 2005/44/EC on Harmonised River</w:t>
      </w:r>
      <w:r>
        <w:t xml:space="preserve"> </w:t>
      </w:r>
      <w:r>
        <w:t xml:space="preserve">Information Services (RIS). Ramboll, University of Antwerp and DLA Piper. The average cost in the study is</w:t>
      </w:r>
      <w:r>
        <w:t xml:space="preserve"> </w:t>
      </w:r>
      <w:r>
        <w:t xml:space="preserve">expressed in 2019 prices. For the purpose of this impact assessment, it has been transformed in 2022 prices using</w:t>
      </w:r>
      <w:r>
        <w:t xml:space="preserve"> </w:t>
      </w:r>
      <w:r>
        <w:t xml:space="preserve">the harmonised consumer price index for Belgium from Eurostat because the two navigation software service</w:t>
      </w:r>
      <w:r>
        <w:t xml:space="preserve"> </w:t>
      </w:r>
      <w:r>
        <w:t xml:space="preserve">providers that serve around 90% of the market are based in Belgium.</w:t>
      </w:r>
      <w:r>
        <w:br/>
      </w:r>
      <w:r>
        <w:t xml:space="preserve">186 Part of these costs savings benefiting software provides may be passed through to the vessel operators,</w:t>
      </w:r>
      <w:r>
        <w:t xml:space="preserve"> </w:t>
      </w:r>
      <w:r>
        <w:t xml:space="preserve">although it is not possible to assess the share of the costs savings passed through.</w:t>
      </w:r>
      <w:r>
        <w:t xml:space="preserve"> </w:t>
      </w:r>
      <w:r>
        <w:t xml:space="preserve">187 Weighted average of the tariff per hour for non-manual workers (ISCO 8 - Plant and machine operators and</w:t>
      </w:r>
      <w:r>
        <w:t xml:space="preserve"> </w:t>
      </w:r>
      <w:r>
        <w:t xml:space="preserve">assemblers) in the 13 Member State in the scope of RIS. It is based on Eurostat Structure of earnings survey and</w:t>
      </w:r>
      <w:r>
        <w:t xml:space="preserve"> </w:t>
      </w:r>
      <w:r>
        <w:t xml:space="preserve">expressed in 2022 prices.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competent authorities at the start of their journey and update this with any further changes to</w:t>
      </w:r>
      <w:r>
        <w:t xml:space="preserve"> </w:t>
      </w:r>
      <w:r>
        <w:t xml:space="preserve">their estimated time of arrival. This would allow authorities to provide (more accurate)</w:t>
      </w:r>
      <w:r>
        <w:t xml:space="preserve"> </w:t>
      </w:r>
      <w:r>
        <w:t xml:space="preserve">feedback on estimated waiting times at locks and advised navigation speeds. Optimising</w:t>
      </w:r>
      <w:r>
        <w:t xml:space="preserve"> </w:t>
      </w:r>
      <w:r>
        <w:t xml:space="preserve">vessel speed would lead to fuel savings and thus lower emissions and operation costs. In</w:t>
      </w:r>
      <w:r>
        <w:t xml:space="preserve"> </w:t>
      </w:r>
      <w:r>
        <w:t xml:space="preserve">addition, inland ports and traffic managers at locks and bridges can better channel traffic,</w:t>
      </w:r>
      <w:r>
        <w:t xml:space="preserve"> </w:t>
      </w:r>
      <w:r>
        <w:t xml:space="preserve">reducing delays and increasing efficiency.</w:t>
      </w:r>
      <w:r>
        <w:br/>
      </w:r>
      <w:r>
        <w:t xml:space="preserve">Adjustment costs for national public authorities</w:t>
      </w:r>
      <w:r>
        <w:t xml:space="preserve"> </w:t>
      </w:r>
      <w:r>
        <w:t xml:space="preserve">The standards for ERIVOY messages have already been implemented by the software service</w:t>
      </w:r>
      <w:r>
        <w:t xml:space="preserve"> </w:t>
      </w:r>
      <w:r>
        <w:t xml:space="preserve">providers. National public authorities would need to develop a software that can process and</w:t>
      </w:r>
      <w:r>
        <w:t xml:space="preserve"> </w:t>
      </w:r>
      <w:r>
        <w:t xml:space="preserve">convert the voyage plan notification message (ERIVOY) from inland waterway operators into</w:t>
      </w:r>
      <w:r>
        <w:t xml:space="preserve"> </w:t>
      </w:r>
      <w:r>
        <w:t xml:space="preserve">accurate lock predictions. The Dutch Directorate General for Public Works and Water</w:t>
      </w:r>
      <w:r>
        <w:t xml:space="preserve"> </w:t>
      </w:r>
      <w:r>
        <w:t xml:space="preserve">Management (Rijkswaterstaat) estimated the one-off investment costs for the development of</w:t>
      </w:r>
      <w:r>
        <w:t xml:space="preserve"> </w:t>
      </w:r>
      <w:r>
        <w:t xml:space="preserve">such software at EUR 500,000. Based on the network usage (expressed in tonne-kilometres)</w:t>
      </w:r>
      <w:r>
        <w:t xml:space="preserve"> </w:t>
      </w:r>
      <w:r>
        <w:t xml:space="preserve">and the size of the network (i.e. the number of entries in RIS index from EU-RIS portal is</w:t>
      </w:r>
      <w:r>
        <w:t xml:space="preserve"> </w:t>
      </w:r>
      <w:r>
        <w:t xml:space="preserve">used as a proxy) in each Member State, and using as reference value the investment costs for</w:t>
      </w:r>
      <w:r>
        <w:t xml:space="preserve"> </w:t>
      </w:r>
      <w:r>
        <w:t xml:space="preserve">the Netherlands (EUR 500,000), the one-off adjustment costs for all 13 European RIS-</w:t>
      </w:r>
      <w:r>
        <w:t xml:space="preserve"> </w:t>
      </w:r>
      <w:r>
        <w:t xml:space="preserve">authorities are estimated at EUR 3.07 million in 2025 relative to the baseline (in 2022 prices).</w:t>
      </w:r>
      <w:r>
        <w:t xml:space="preserve"> </w:t>
      </w:r>
      <w:r>
        <w:t xml:space="preserve">Table 36: One-off adjustment costs for national public authorities due to PM5 relative to the baseline (in</w:t>
      </w:r>
      <w:r>
        <w:t xml:space="preserve"> </w:t>
      </w:r>
      <w:r>
        <w:t xml:space="preserve">EUR, in 2022 prices)</w:t>
      </w:r>
    </w:p>
    <w:p>
      <w:pPr>
        <w:pStyle w:val="BodyText"/>
      </w:pPr>
      <w:r>
        <w:t xml:space="preserve">Usage (projected billion tkm</w:t>
      </w:r>
      <w:r>
        <w:t xml:space="preserve"> </w:t>
      </w:r>
      <w:r>
        <w:t xml:space="preserve">in 2025)</w:t>
      </w:r>
      <w:r>
        <w:t xml:space="preserve"> </w:t>
      </w:r>
      <w:r>
        <w:t xml:space="preserve">Number of entries in RIS</w:t>
      </w:r>
      <w:r>
        <w:t xml:space="preserve"> </w:t>
      </w:r>
      <w:r>
        <w:t xml:space="preserve">index from EU-RIS portal</w:t>
      </w:r>
      <w:r>
        <w:t xml:space="preserve"> </w:t>
      </w:r>
      <w:r>
        <w:t xml:space="preserve">One-off adjustment costs (in</w:t>
      </w:r>
      <w:r>
        <w:t xml:space="preserve"> </w:t>
      </w:r>
      <w:r>
        <w:t xml:space="preserve">EUR)</w:t>
      </w:r>
      <w:r>
        <w:t xml:space="preserve"> </w:t>
      </w:r>
      <w:r>
        <w:t xml:space="preserve">BE</w:t>
      </w:r>
      <w:r>
        <w:t xml:space="preserve"> </w:t>
      </w:r>
      <w:r>
        <w:t xml:space="preserve">11.5</w:t>
      </w:r>
      <w:r>
        <w:t xml:space="preserve"> </w:t>
      </w:r>
      <w:r>
        <w:t xml:space="preserve">18,279</w:t>
      </w:r>
      <w:r>
        <w:t xml:space="preserve"> </w:t>
      </w:r>
      <w:r>
        <w:t xml:space="preserve">212,080</w:t>
      </w:r>
      <w:r>
        <w:t xml:space="preserve"> </w:t>
      </w:r>
      <w:r>
        <w:t xml:space="preserve">BG</w:t>
      </w:r>
      <w:r>
        <w:t xml:space="preserve"> </w:t>
      </w:r>
      <w:r>
        <w:t xml:space="preserve">5.8</w:t>
      </w:r>
      <w:r>
        <w:t xml:space="preserve"> </w:t>
      </w:r>
      <w:r>
        <w:t xml:space="preserve">5,082</w:t>
      </w:r>
      <w:r>
        <w:t xml:space="preserve"> </w:t>
      </w:r>
      <w:r>
        <w:t xml:space="preserve">71,235</w:t>
      </w:r>
      <w:r>
        <w:t xml:space="preserve"> </w:t>
      </w:r>
      <w:r>
        <w:t xml:space="preserve">CZ</w:t>
      </w:r>
      <w:r>
        <w:t xml:space="preserve"> </w:t>
      </w:r>
      <w:r>
        <w:t xml:space="preserve">0.0</w:t>
      </w:r>
      <w:r>
        <w:t xml:space="preserve"> </w:t>
      </w:r>
      <w:r>
        <w:t xml:space="preserve">4,704</w:t>
      </w:r>
      <w:r>
        <w:t xml:space="preserve"> </w:t>
      </w:r>
      <w:r>
        <w:t xml:space="preserve">40,449</w:t>
      </w:r>
      <w:r>
        <w:t xml:space="preserve"> </w:t>
      </w:r>
      <w:r>
        <w:t xml:space="preserve">DE</w:t>
      </w:r>
      <w:r>
        <w:t xml:space="preserve"> </w:t>
      </w:r>
      <w:r>
        <w:t xml:space="preserve">63.2</w:t>
      </w:r>
      <w:r>
        <w:t xml:space="preserve"> </w:t>
      </w:r>
      <w:r>
        <w:t xml:space="preserve">65,760</w:t>
      </w:r>
      <w:r>
        <w:t xml:space="preserve"> </w:t>
      </w:r>
      <w:r>
        <w:t xml:space="preserve">867,391</w:t>
      </w:r>
      <w:r>
        <w:t xml:space="preserve"> </w:t>
      </w:r>
      <w:r>
        <w:t xml:space="preserve">FR</w:t>
      </w:r>
      <w:r>
        <w:t xml:space="preserve"> </w:t>
      </w:r>
      <w:r>
        <w:t xml:space="preserve">7.9</w:t>
      </w:r>
      <w:r>
        <w:t xml:space="preserve"> </w:t>
      </w:r>
      <w:r>
        <w:t xml:space="preserve">120,623</w:t>
      </w:r>
      <w:r>
        <w:t xml:space="preserve"> </w:t>
      </w:r>
      <w:r>
        <w:t xml:space="preserve">1,071,211</w:t>
      </w:r>
      <w:r>
        <w:t xml:space="preserve"> </w:t>
      </w:r>
      <w:r>
        <w:t xml:space="preserve">HR</w:t>
      </w:r>
      <w:r>
        <w:t xml:space="preserve"> </w:t>
      </w:r>
      <w:r>
        <w:t xml:space="preserve">1.0</w:t>
      </w:r>
      <w:r>
        <w:t xml:space="preserve"> </w:t>
      </w:r>
      <w:r>
        <w:t xml:space="preserve">5,634</w:t>
      </w:r>
      <w:r>
        <w:t xml:space="preserve"> </w:t>
      </w:r>
      <w:r>
        <w:t xml:space="preserve">53,230</w:t>
      </w:r>
      <w:r>
        <w:t xml:space="preserve"> </w:t>
      </w:r>
      <w:r>
        <w:t xml:space="preserve">LU</w:t>
      </w:r>
      <w:r>
        <w:t xml:space="preserve"> </w:t>
      </w:r>
      <w:r>
        <w:t xml:space="preserve">0.3</w:t>
      </w:r>
      <w:r>
        <w:t xml:space="preserve"> </w:t>
      </w:r>
      <w:r>
        <w:t xml:space="preserve">412</w:t>
      </w:r>
      <w:r>
        <w:t xml:space="preserve"> </w:t>
      </w:r>
      <w:r>
        <w:t xml:space="preserve">4,791</w:t>
      </w:r>
      <w:r>
        <w:t xml:space="preserve"> </w:t>
      </w:r>
      <w:r>
        <w:t xml:space="preserve">HU</w:t>
      </w:r>
      <w:r>
        <w:t xml:space="preserve"> </w:t>
      </w:r>
      <w:r>
        <w:t xml:space="preserve">2.3</w:t>
      </w:r>
      <w:r>
        <w:t xml:space="preserve"> </w:t>
      </w:r>
      <w:r>
        <w:t xml:space="preserve">4,531</w:t>
      </w:r>
      <w:r>
        <w:t xml:space="preserve"> </w:t>
      </w:r>
      <w:r>
        <w:t xml:space="preserve">49,860</w:t>
      </w:r>
      <w:r>
        <w:t xml:space="preserve"> </w:t>
      </w:r>
      <w:r>
        <w:t xml:space="preserve">NL</w:t>
      </w:r>
      <w:r>
        <w:t xml:space="preserve"> </w:t>
      </w:r>
      <w:r>
        <w:t xml:space="preserve">51.9</w:t>
      </w:r>
      <w:r>
        <w:t xml:space="preserve"> </w:t>
      </w:r>
      <w:r>
        <w:t xml:space="preserve">29,184</w:t>
      </w:r>
      <w:r>
        <w:t xml:space="preserve"> </w:t>
      </w:r>
      <w:r>
        <w:t xml:space="preserve">500,000</w:t>
      </w:r>
      <w:r>
        <w:t xml:space="preserve"> </w:t>
      </w:r>
      <w:r>
        <w:t xml:space="preserve">AT</w:t>
      </w:r>
      <w:r>
        <w:t xml:space="preserve"> </w:t>
      </w:r>
      <w:r>
        <w:t xml:space="preserve">2.2</w:t>
      </w:r>
      <w:r>
        <w:t xml:space="preserve"> </w:t>
      </w:r>
      <w:r>
        <w:t xml:space="preserve">4,705</w:t>
      </w:r>
      <w:r>
        <w:t xml:space="preserve"> </w:t>
      </w:r>
      <w:r>
        <w:t xml:space="preserve">50,717</w:t>
      </w:r>
      <w:r>
        <w:t xml:space="preserve"> </w:t>
      </w:r>
      <w:r>
        <w:t xml:space="preserve">PL*</w:t>
      </w:r>
      <w:r>
        <w:t xml:space="preserve"> </w:t>
      </w:r>
      <w:r>
        <w:t xml:space="preserve">0.1</w:t>
      </w:r>
      <w:r>
        <w:t xml:space="preserve"> </w:t>
      </w:r>
      <w:r>
        <w:t xml:space="preserve">2,235</w:t>
      </w:r>
      <w:r>
        <w:t xml:space="preserve"> </w:t>
      </w:r>
      <w:r>
        <w:t xml:space="preserve">19,655</w:t>
      </w:r>
      <w:r>
        <w:t xml:space="preserve"> </w:t>
      </w:r>
      <w:r>
        <w:t xml:space="preserve">RO</w:t>
      </w:r>
      <w:r>
        <w:t xml:space="preserve"> </w:t>
      </w:r>
      <w:r>
        <w:t xml:space="preserve">17.3</w:t>
      </w:r>
      <w:r>
        <w:t xml:space="preserve"> </w:t>
      </w:r>
      <w:r>
        <w:t xml:space="preserve">2,414</w:t>
      </w:r>
      <w:r>
        <w:t xml:space="preserve"> </w:t>
      </w:r>
      <w:r>
        <w:t xml:space="preserve">103,755</w:t>
      </w:r>
      <w:r>
        <w:t xml:space="preserve"> </w:t>
      </w:r>
      <w:r>
        <w:t xml:space="preserve">SK</w:t>
      </w:r>
      <w:r>
        <w:t xml:space="preserve"> </w:t>
      </w:r>
      <w:r>
        <w:t xml:space="preserve">1.0</w:t>
      </w:r>
      <w:r>
        <w:t xml:space="preserve"> </w:t>
      </w:r>
      <w:r>
        <w:t xml:space="preserve">2,056</w:t>
      </w:r>
      <w:r>
        <w:t xml:space="preserve"> </w:t>
      </w:r>
      <w:r>
        <w:t xml:space="preserve">22,239</w:t>
      </w:r>
      <w:r>
        <w:t xml:space="preserve"> </w:t>
      </w:r>
      <w:r>
        <w:t xml:space="preserve">Total</w:t>
      </w:r>
      <w:r>
        <w:t xml:space="preserve"> </w:t>
      </w:r>
      <w:r>
        <w:t xml:space="preserve">164</w:t>
      </w:r>
      <w:r>
        <w:br/>
      </w:r>
      <w:r>
        <w:t xml:space="preserve">265,619</w:t>
      </w:r>
      <w:r>
        <w:t xml:space="preserve"> </w:t>
      </w:r>
      <w:r>
        <w:t xml:space="preserve">3,066,613</w:t>
      </w:r>
      <w:r>
        <w:t xml:space="preserve"> </w:t>
      </w:r>
      <w:r>
        <w:t xml:space="preserve">Source: Ramboll et al. (2024), impact assessment support study; Note: * estimated RIS index.</w:t>
      </w:r>
      <w:r>
        <w:br/>
      </w:r>
      <w:r>
        <w:t xml:space="preserve">Administrative costs for national public authorities</w:t>
      </w:r>
      <w:r>
        <w:t xml:space="preserve"> </w:t>
      </w:r>
      <w:r>
        <w:t xml:space="preserve">The implementation of a new software implies maintenance costs for software and hardware.</w:t>
      </w:r>
      <w:r>
        <w:t xml:space="preserve"> </w:t>
      </w:r>
      <w:r>
        <w:t xml:space="preserve">The annual maintenance costs are assumed to be 25% of the investment costs, based on the</w:t>
      </w:r>
      <w:r>
        <w:t xml:space="preserve"> </w:t>
      </w:r>
      <w:r>
        <w:t xml:space="preserve">DINA study188. Thus, the recurrent administrative costs for national public authorities are</w:t>
      </w:r>
      <w:r>
        <w:t xml:space="preserve"> </w:t>
      </w:r>
      <w:r>
        <w:t xml:space="preserve">estimated at EUR 0.77 million per year from 2026 onwards. The breakdown by Member State</w:t>
      </w:r>
    </w:p>
    <w:p>
      <w:pPr>
        <w:pStyle w:val="BodyText"/>
      </w:pPr>
      <w:r>
        <w:t xml:space="preserve">188 European Commission (2017): Digital inland waterway areas. Towards a digital inland waterway area and</w:t>
      </w:r>
      <w:r>
        <w:t xml:space="preserve"> </w:t>
      </w:r>
      <w:r>
        <w:t xml:space="preserve">digital multimodal nodes. Final report. According to the study, the maintenance of digital tools e.g. as a result of</w:t>
      </w:r>
      <w:r>
        <w:t xml:space="preserve"> </w:t>
      </w:r>
      <w:r>
        <w:t xml:space="preserve">service level agreements and license fees, represents approximately 20% of the initial technology investment.</w:t>
      </w:r>
      <w:r>
        <w:t xml:space="preserve"> </w:t>
      </w:r>
      <w:r>
        <w:t xml:space="preserve">Another 5% is attributed to the governance of the required standards and the coordination of the implementation.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is provided in Table 37. Expressed as present value over 2025-2050, they are estimated at</w:t>
      </w:r>
      <w:r>
        <w:t xml:space="preserve"> </w:t>
      </w:r>
      <w:r>
        <w:t xml:space="preserve">EUR 13.35 million relative to the baseline (in 2022 prices).</w:t>
      </w:r>
      <w:r>
        <w:br/>
      </w:r>
      <w:r>
        <w:t xml:space="preserve">Table 37: Recurrent administrative costs for national public authorities due to PM5 relative to the</w:t>
      </w:r>
      <w:r>
        <w:t xml:space="preserve"> </w:t>
      </w:r>
      <w:r>
        <w:t xml:space="preserve">baseline (in EUR, in 2022 prices)</w:t>
      </w:r>
      <w:r>
        <w:t xml:space="preserve"> </w:t>
      </w:r>
      <w:r>
        <w:t xml:space="preserve">Administrative costs (in EUR)</w:t>
      </w:r>
      <w:r>
        <w:t xml:space="preserve"> </w:t>
      </w:r>
      <w:r>
        <w:t xml:space="preserve">BE</w:t>
      </w:r>
      <w:r>
        <w:t xml:space="preserve"> </w:t>
      </w:r>
      <w:r>
        <w:t xml:space="preserve">53,020</w:t>
      </w:r>
      <w:r>
        <w:t xml:space="preserve"> </w:t>
      </w:r>
      <w:r>
        <w:t xml:space="preserve">BG</w:t>
      </w:r>
      <w:r>
        <w:t xml:space="preserve"> </w:t>
      </w:r>
      <w:r>
        <w:t xml:space="preserve">17,809</w:t>
      </w:r>
      <w:r>
        <w:t xml:space="preserve"> </w:t>
      </w:r>
      <w:r>
        <w:t xml:space="preserve">CZ</w:t>
      </w:r>
      <w:r>
        <w:t xml:space="preserve"> </w:t>
      </w:r>
      <w:r>
        <w:t xml:space="preserve">10,112</w:t>
      </w:r>
      <w:r>
        <w:t xml:space="preserve"> </w:t>
      </w:r>
      <w:r>
        <w:t xml:space="preserve">DE</w:t>
      </w:r>
      <w:r>
        <w:t xml:space="preserve"> </w:t>
      </w:r>
      <w:r>
        <w:t xml:space="preserve">216,848</w:t>
      </w:r>
      <w:r>
        <w:t xml:space="preserve"> </w:t>
      </w:r>
      <w:r>
        <w:t xml:space="preserve">FR</w:t>
      </w:r>
      <w:r>
        <w:t xml:space="preserve"> </w:t>
      </w:r>
      <w:r>
        <w:t xml:space="preserve">267,803</w:t>
      </w:r>
      <w:r>
        <w:t xml:space="preserve"> </w:t>
      </w:r>
      <w:r>
        <w:t xml:space="preserve">HR</w:t>
      </w:r>
      <w:r>
        <w:t xml:space="preserve"> </w:t>
      </w:r>
      <w:r>
        <w:t xml:space="preserve">13,308</w:t>
      </w:r>
      <w:r>
        <w:t xml:space="preserve"> </w:t>
      </w:r>
      <w:r>
        <w:t xml:space="preserve">LU</w:t>
      </w:r>
      <w:r>
        <w:t xml:space="preserve"> </w:t>
      </w:r>
      <w:r>
        <w:t xml:space="preserve">1,198</w:t>
      </w:r>
      <w:r>
        <w:t xml:space="preserve"> </w:t>
      </w:r>
      <w:r>
        <w:t xml:space="preserve">HU</w:t>
      </w:r>
      <w:r>
        <w:t xml:space="preserve"> </w:t>
      </w:r>
      <w:r>
        <w:t xml:space="preserve">12,465</w:t>
      </w:r>
      <w:r>
        <w:t xml:space="preserve"> </w:t>
      </w:r>
      <w:r>
        <w:t xml:space="preserve">NL</w:t>
      </w:r>
      <w:r>
        <w:t xml:space="preserve"> </w:t>
      </w:r>
      <w:r>
        <w:t xml:space="preserve">125,000</w:t>
      </w:r>
      <w:r>
        <w:t xml:space="preserve"> </w:t>
      </w:r>
      <w:r>
        <w:t xml:space="preserve">AT</w:t>
      </w:r>
      <w:r>
        <w:t xml:space="preserve"> </w:t>
      </w:r>
      <w:r>
        <w:t xml:space="preserve">12,679</w:t>
      </w:r>
      <w:r>
        <w:t xml:space="preserve"> </w:t>
      </w:r>
      <w:r>
        <w:t xml:space="preserve">PL</w:t>
      </w:r>
      <w:r>
        <w:t xml:space="preserve"> </w:t>
      </w:r>
      <w:r>
        <w:t xml:space="preserve">4,914</w:t>
      </w:r>
      <w:r>
        <w:t xml:space="preserve"> </w:t>
      </w:r>
      <w:r>
        <w:t xml:space="preserve">RO</w:t>
      </w:r>
      <w:r>
        <w:t xml:space="preserve"> </w:t>
      </w:r>
      <w:r>
        <w:t xml:space="preserve">25,939</w:t>
      </w:r>
      <w:r>
        <w:t xml:space="preserve"> </w:t>
      </w:r>
      <w:r>
        <w:t xml:space="preserve">SK</w:t>
      </w:r>
      <w:r>
        <w:t xml:space="preserve"> </w:t>
      </w:r>
      <w:r>
        <w:t xml:space="preserve">5,560</w:t>
      </w:r>
      <w:r>
        <w:t xml:space="preserve"> </w:t>
      </w:r>
      <w:r>
        <w:t xml:space="preserve">Total</w:t>
      </w:r>
      <w:r>
        <w:t xml:space="preserve"> </w:t>
      </w:r>
      <w:r>
        <w:t xml:space="preserve">766,653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Administrative costs for vessel operators</w:t>
      </w:r>
      <w:r>
        <w:t xml:space="preserve"> </w:t>
      </w:r>
      <w:r>
        <w:t xml:space="preserve">The mandatory voyage plan reporting for inland navigation would lead to recurrent</w:t>
      </w:r>
      <w:r>
        <w:t xml:space="preserve"> </w:t>
      </w:r>
      <w:r>
        <w:t xml:space="preserve">administrative costs for vessel operators. The analysis assumes that the ERIVOY messages</w:t>
      </w:r>
      <w:r>
        <w:t xml:space="preserve"> </w:t>
      </w:r>
      <w:r>
        <w:t xml:space="preserve">would be added to the ERINOT messages189.</w:t>
      </w:r>
      <w:r>
        <w:br/>
      </w:r>
      <w:r>
        <w:t xml:space="preserve">Based on replies by inland skippers in the context of stakeholders’ consultation, preparing and</w:t>
      </w:r>
      <w:r>
        <w:t xml:space="preserve"> </w:t>
      </w:r>
      <w:r>
        <w:t xml:space="preserve">communicating a voyage plan will take 34 minutes for the first notification and 14 minutes</w:t>
      </w:r>
      <w:r>
        <w:t xml:space="preserve"> </w:t>
      </w:r>
      <w:r>
        <w:t xml:space="preserve">for follow-up notifications. For freight IWT, the number of first notifications per year is equal</w:t>
      </w:r>
      <w:r>
        <w:t xml:space="preserve"> </w:t>
      </w:r>
      <w:r>
        <w:t xml:space="preserve">to the projected number of voyages. For deriving the number of follow-up notifications, it is</w:t>
      </w:r>
      <w:r>
        <w:t xml:space="preserve"> </w:t>
      </w:r>
      <w:r>
        <w:t xml:space="preserve">assumed that barges are deployed an average of 5.5 days per week and the average voyage</w:t>
      </w:r>
      <w:r>
        <w:t xml:space="preserve"> </w:t>
      </w:r>
      <w:r>
        <w:t xml:space="preserve">duration is 5 days. Hence, each voyage includes one loading day, three sailing days and one</w:t>
      </w:r>
      <w:r>
        <w:t xml:space="preserve"> </w:t>
      </w:r>
      <w:r>
        <w:t xml:space="preserve">unloading day. This means that each voyage entails one initial notification and two follow-up</w:t>
      </w:r>
      <w:r>
        <w:t xml:space="preserve"> </w:t>
      </w:r>
      <w:r>
        <w:t xml:space="preserve">notifications. For passenger IWT, similarly to freight, the number of first notifications per</w:t>
      </w:r>
      <w:r>
        <w:t xml:space="preserve"> </w:t>
      </w:r>
      <w:r>
        <w:t xml:space="preserve">year is equal to the projected number of voyages. For calculating the number of follow-up</w:t>
      </w:r>
      <w:r>
        <w:t xml:space="preserve"> </w:t>
      </w:r>
      <w:r>
        <w:t xml:space="preserve">notifications for passenger IWT, 214 sailing days per year have been assumed (April-October</w:t>
      </w:r>
      <w:r>
        <w:t xml:space="preserve"> </w:t>
      </w:r>
      <w:r>
        <w:t xml:space="preserve">period). The number of initial and follow-up notifications for freight and passenger IWT is</w:t>
      </w:r>
      <w:r>
        <w:t xml:space="preserve"> </w:t>
      </w:r>
      <w:r>
        <w:t xml:space="preserve">provided in Table 38. The total recurrent administrative costs for vessel operators have been</w:t>
      </w:r>
      <w:r>
        <w:t xml:space="preserve"> </w:t>
      </w:r>
      <w:r>
        <w:t xml:space="preserve">derived considering the labour cost per hour (EUR 26.7 per hour190), the number of initial and</w:t>
      </w:r>
      <w:r>
        <w:t xml:space="preserve"> </w:t>
      </w:r>
      <w:r>
        <w:t xml:space="preserve">follow-up notifications and the time for preparing the first and follow-up notifications and are</w:t>
      </w:r>
      <w:r>
        <w:t xml:space="preserve"> </w:t>
      </w:r>
      <w:r>
        <w:t xml:space="preserve">provided in Table 38. Expressed as present value over 2025-2050, they are estimated at EUR</w:t>
      </w:r>
    </w:p>
    <w:p>
      <w:pPr>
        <w:pStyle w:val="BodyText"/>
      </w:pPr>
      <w:r>
        <w:t xml:space="preserve">189 The electronic cargo report (ERINOT) report contains information on origin and destination of the voyage,</w:t>
      </w:r>
      <w:r>
        <w:t xml:space="preserve"> </w:t>
      </w:r>
      <w:r>
        <w:t xml:space="preserve">the amount and type of cargo and the number of persons on board. This can optionally include an ETA at</w:t>
      </w:r>
      <w:r>
        <w:t xml:space="preserve"> </w:t>
      </w:r>
      <w:r>
        <w:t xml:space="preserve">destination. An ERIVOY message is much more comprehensive.</w:t>
      </w:r>
      <w:r>
        <w:t xml:space="preserve"> </w:t>
      </w:r>
      <w:r>
        <w:t xml:space="preserve">190 Weighted average of the tariff per hour for non-manual workers (ISCO 8 - Plant and machine operators and</w:t>
      </w:r>
      <w:r>
        <w:t xml:space="preserve"> </w:t>
      </w:r>
      <w:r>
        <w:t xml:space="preserve">assemblers) in the 13 Member State in the scope of RIS. It is based on Eurostat Structure of earnings survey and</w:t>
      </w:r>
      <w:r>
        <w:t xml:space="preserve"> </w:t>
      </w:r>
      <w:r>
        <w:t xml:space="preserve">expressed in 2022 prices.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367.5 million (EUR 86.26 million for passenger IWT and EUR 281.25 million for freight</w:t>
      </w:r>
      <w:r>
        <w:t xml:space="preserve"> </w:t>
      </w:r>
      <w:r>
        <w:t xml:space="preserve">IWT).</w:t>
      </w:r>
      <w:r>
        <w:t xml:space="preserve"> </w:t>
      </w:r>
      <w:r>
        <w:t xml:space="preserve">Table 38: Recurrent administrative costs for vessels operators due to PM5 relative to the baseline (in</w:t>
      </w:r>
      <w:r>
        <w:t xml:space="preserve"> </w:t>
      </w:r>
      <w:r>
        <w:t xml:space="preserve">EUR, in 2022 prices)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first notifications</w:t>
      </w:r>
      <w:r>
        <w:t xml:space="preserve"> </w:t>
      </w:r>
      <w:r>
        <w:t xml:space="preserve">718,186</w:t>
      </w:r>
      <w:r>
        <w:t xml:space="preserve"> </w:t>
      </w:r>
      <w:r>
        <w:t xml:space="preserve">729,880</w:t>
      </w:r>
      <w:r>
        <w:t xml:space="preserve"> </w:t>
      </w:r>
      <w:r>
        <w:t xml:space="preserve">734,529</w:t>
      </w:r>
      <w:r>
        <w:t xml:space="preserve"> </w:t>
      </w:r>
      <w:r>
        <w:t xml:space="preserve">744,806</w:t>
      </w:r>
      <w:r>
        <w:t xml:space="preserve"> </w:t>
      </w:r>
      <w:r>
        <w:t xml:space="preserve">Passenger</w:t>
      </w:r>
      <w:r>
        <w:t xml:space="preserve"> </w:t>
      </w:r>
      <w:r>
        <w:t xml:space="preserve">11,567</w:t>
      </w:r>
      <w:r>
        <w:t xml:space="preserve"> </w:t>
      </w:r>
      <w:r>
        <w:t xml:space="preserve">12,043</w:t>
      </w:r>
      <w:r>
        <w:t xml:space="preserve"> </w:t>
      </w:r>
      <w:r>
        <w:t xml:space="preserve">12,940</w:t>
      </w:r>
      <w:r>
        <w:t xml:space="preserve"> </w:t>
      </w:r>
      <w:r>
        <w:t xml:space="preserve">13,572</w:t>
      </w:r>
      <w:r>
        <w:t xml:space="preserve"> </w:t>
      </w:r>
      <w:r>
        <w:t xml:space="preserve">Freight</w:t>
      </w:r>
      <w:r>
        <w:t xml:space="preserve"> </w:t>
      </w:r>
      <w:r>
        <w:t xml:space="preserve">706,619</w:t>
      </w:r>
      <w:r>
        <w:t xml:space="preserve"> </w:t>
      </w:r>
      <w:r>
        <w:t xml:space="preserve">717,838</w:t>
      </w:r>
      <w:r>
        <w:t xml:space="preserve"> </w:t>
      </w:r>
      <w:r>
        <w:t xml:space="preserve">721,589</w:t>
      </w:r>
      <w:r>
        <w:t xml:space="preserve"> </w:t>
      </w:r>
      <w:r>
        <w:t xml:space="preserve">731,234</w:t>
      </w:r>
      <w:r>
        <w:t xml:space="preserve"> </w:t>
      </w:r>
      <w:r>
        <w:t xml:space="preserve">Number of follow-up notifications</w:t>
      </w:r>
      <w:r>
        <w:t xml:space="preserve"> </w:t>
      </w:r>
      <w:r>
        <w:t xml:space="preserve">1,377,507</w:t>
      </w:r>
      <w:r>
        <w:t xml:space="preserve"> </w:t>
      </w:r>
      <w:r>
        <w:t xml:space="preserve">1,416,312</w:t>
      </w:r>
      <w:r>
        <w:t xml:space="preserve"> </w:t>
      </w:r>
      <w:r>
        <w:t xml:space="preserve">1,472,098</w:t>
      </w:r>
      <w:r>
        <w:t xml:space="preserve"> </w:t>
      </w:r>
      <w:r>
        <w:t xml:space="preserve">1,518,409</w:t>
      </w:r>
      <w:r>
        <w:t xml:space="preserve"> </w:t>
      </w:r>
      <w:r>
        <w:t xml:space="preserve">Passenger</w:t>
      </w:r>
      <w:r>
        <w:t xml:space="preserve"> </w:t>
      </w:r>
      <w:r>
        <w:t xml:space="preserve">670,888</w:t>
      </w:r>
      <w:r>
        <w:t xml:space="preserve"> </w:t>
      </w:r>
      <w:r>
        <w:t xml:space="preserve">698,475</w:t>
      </w:r>
      <w:r>
        <w:t xml:space="preserve"> </w:t>
      </w:r>
      <w:r>
        <w:t xml:space="preserve">750,508</w:t>
      </w:r>
      <w:r>
        <w:t xml:space="preserve"> </w:t>
      </w:r>
      <w:r>
        <w:t xml:space="preserve">787,175</w:t>
      </w:r>
      <w:r>
        <w:t xml:space="preserve"> </w:t>
      </w:r>
      <w:r>
        <w:t xml:space="preserve">Freight</w:t>
      </w:r>
      <w:r>
        <w:t xml:space="preserve"> </w:t>
      </w:r>
      <w:r>
        <w:t xml:space="preserve">706,619</w:t>
      </w:r>
      <w:r>
        <w:t xml:space="preserve"> </w:t>
      </w:r>
      <w:r>
        <w:t xml:space="preserve">717,838</w:t>
      </w:r>
      <w:r>
        <w:t xml:space="preserve"> </w:t>
      </w:r>
      <w:r>
        <w:t xml:space="preserve">721,589</w:t>
      </w:r>
      <w:r>
        <w:t xml:space="preserve"> </w:t>
      </w:r>
      <w:r>
        <w:t xml:space="preserve">731,234</w:t>
      </w:r>
      <w:r>
        <w:t xml:space="preserve"> </w:t>
      </w:r>
      <w:r>
        <w:t xml:space="preserve">Recurrent administrative costs (in million</w:t>
      </w:r>
      <w:r>
        <w:t xml:space="preserve"> </w:t>
      </w:r>
      <w:r>
        <w:t xml:space="preserve">EUR)</w:t>
      </w:r>
      <w:r>
        <w:t xml:space="preserve"> </w:t>
      </w:r>
      <w:r>
        <w:t xml:space="preserve">19.3</w:t>
      </w:r>
      <w:r>
        <w:t xml:space="preserve"> </w:t>
      </w:r>
      <w:r>
        <w:t xml:space="preserve">19.7</w:t>
      </w:r>
      <w:r>
        <w:t xml:space="preserve"> </w:t>
      </w:r>
      <w:r>
        <w:t xml:space="preserve">20.2</w:t>
      </w:r>
      <w:r>
        <w:t xml:space="preserve"> </w:t>
      </w:r>
      <w:r>
        <w:t xml:space="preserve">20.6</w:t>
      </w:r>
      <w:r>
        <w:t xml:space="preserve"> </w:t>
      </w:r>
      <w:r>
        <w:t xml:space="preserve">Passenger</w:t>
      </w:r>
      <w:r>
        <w:t xml:space="preserve"> </w:t>
      </w:r>
      <w:r>
        <w:t xml:space="preserve">4.3</w:t>
      </w:r>
      <w:r>
        <w:t xml:space="preserve"> </w:t>
      </w:r>
      <w:r>
        <w:t xml:space="preserve">4.5</w:t>
      </w:r>
      <w:r>
        <w:t xml:space="preserve"> </w:t>
      </w:r>
      <w:r>
        <w:t xml:space="preserve">4.8</w:t>
      </w:r>
      <w:r>
        <w:t xml:space="preserve"> </w:t>
      </w:r>
      <w:r>
        <w:t xml:space="preserve">5.1</w:t>
      </w:r>
      <w:r>
        <w:t xml:space="preserve"> </w:t>
      </w:r>
      <w:r>
        <w:t xml:space="preserve">Freight</w:t>
      </w:r>
      <w:r>
        <w:t xml:space="preserve"> </w:t>
      </w:r>
      <w:r>
        <w:t xml:space="preserve">15.0</w:t>
      </w:r>
      <w:r>
        <w:t xml:space="preserve"> </w:t>
      </w:r>
      <w:r>
        <w:t xml:space="preserve">15.3</w:t>
      </w:r>
      <w:r>
        <w:t xml:space="preserve"> </w:t>
      </w:r>
      <w:r>
        <w:t xml:space="preserve">15.3</w:t>
      </w:r>
      <w:r>
        <w:t xml:space="preserve"> </w:t>
      </w:r>
      <w:r>
        <w:t xml:space="preserve">15.5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Adjustment costs savings for vessel operators</w:t>
      </w:r>
      <w:r>
        <w:t xml:space="preserve"> </w:t>
      </w:r>
      <w:r>
        <w:t xml:space="preserve">Operation costs savings for vessel operators are expected due to PM5 through reduced speed</w:t>
      </w:r>
      <w:r>
        <w:t xml:space="preserve"> </w:t>
      </w:r>
      <w:r>
        <w:t xml:space="preserve">of ships and less manoeuvring movements (e.g. braking the ship, mooring at waiting jetties,</w:t>
      </w:r>
      <w:r>
        <w:t xml:space="preserve"> </w:t>
      </w:r>
      <w:r>
        <w:t xml:space="preserve">leaving and entering the lock). These savings are mainly related to the crossing of locks and</w:t>
      </w:r>
      <w:r>
        <w:t xml:space="preserve"> </w:t>
      </w:r>
      <w:r>
        <w:t xml:space="preserve">adaptation of the speed in the proximity of a lock (i.e. the last hour). The adjustment of speed</w:t>
      </w:r>
      <w:r>
        <w:t xml:space="preserve"> </w:t>
      </w:r>
      <w:r>
        <w:t xml:space="preserve">in the proximity of a lock (i.e. during the last hour) is estimated to lead to 5% savings in fuel</w:t>
      </w:r>
      <w:r>
        <w:t xml:space="preserve"> </w:t>
      </w:r>
      <w:r>
        <w:t xml:space="preserve">consumption relative to the baseline from 2026 onwards. Based on statistics for the</w:t>
      </w:r>
      <w:r>
        <w:t xml:space="preserve"> </w:t>
      </w:r>
      <w:r>
        <w:t xml:space="preserve">Netherlands, vessels cross on average 4 locks per trip. Also considering the total number of</w:t>
      </w:r>
      <w:r>
        <w:t xml:space="preserve"> </w:t>
      </w:r>
      <w:r>
        <w:t xml:space="preserve">voyages and a consumption of 60 litres per hour of sailing, savings are estimated at around</w:t>
      </w:r>
      <w:r>
        <w:t xml:space="preserve"> </w:t>
      </w:r>
      <w:r>
        <w:t xml:space="preserve">0.89% of total energy consumption. The energy savings in ktoe and the recurrent adjustment</w:t>
      </w:r>
      <w:r>
        <w:t xml:space="preserve"> </w:t>
      </w:r>
      <w:r>
        <w:t xml:space="preserve">costs savings (fuel savings) relative to the baseline for 2030, 2040 and 2050 are provided in</w:t>
      </w:r>
      <w:r>
        <w:t xml:space="preserve"> </w:t>
      </w:r>
      <w:r>
        <w:t xml:space="preserve">Table 39191. Expressed as present value over 2025-2050 they are estimated at EUR 248.72</w:t>
      </w:r>
      <w:r>
        <w:t xml:space="preserve"> </w:t>
      </w:r>
      <w:r>
        <w:t xml:space="preserve">million.</w:t>
      </w:r>
      <w:r>
        <w:br/>
      </w:r>
      <w:r>
        <w:t xml:space="preserve">Table 39: Recurrent adjustment costs savings for vessels operators due to PM5 relative to the baseline (in</w:t>
      </w:r>
      <w:r>
        <w:t xml:space="preserve"> </w:t>
      </w:r>
      <w:r>
        <w:t xml:space="preserve">EUR, in 2022 prices)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Energy savings (ktoe)</w:t>
      </w:r>
      <w:r>
        <w:t xml:space="preserve"> </w:t>
      </w:r>
      <w:r>
        <w:t xml:space="preserve">9.3</w:t>
      </w:r>
      <w:r>
        <w:t xml:space="preserve"> </w:t>
      </w:r>
      <w:r>
        <w:t xml:space="preserve">8.8</w:t>
      </w:r>
      <w:r>
        <w:t xml:space="preserve"> </w:t>
      </w:r>
      <w:r>
        <w:t xml:space="preserve">8.3</w:t>
      </w:r>
      <w:r>
        <w:t xml:space="preserve"> </w:t>
      </w:r>
      <w:r>
        <w:t xml:space="preserve">Adjustment costs savings (million EUR)</w:t>
      </w:r>
      <w:r>
        <w:t xml:space="preserve"> </w:t>
      </w:r>
      <w:r>
        <w:t xml:space="preserve">15.0</w:t>
      </w:r>
      <w:r>
        <w:t xml:space="preserve"> </w:t>
      </w:r>
      <w:r>
        <w:t xml:space="preserve">14.4</w:t>
      </w:r>
      <w:r>
        <w:t xml:space="preserve"> </w:t>
      </w:r>
      <w:r>
        <w:t xml:space="preserve">15.2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PM6: Introduce provisions for supplying data to the ERDMS and its operation</w:t>
      </w:r>
      <w:r>
        <w:t xml:space="preserve"> </w:t>
      </w:r>
      <w:r>
        <w:t xml:space="preserve">Under this measure, Member States would need to provide information required by the RIS</w:t>
      </w:r>
      <w:r>
        <w:t xml:space="preserve"> </w:t>
      </w:r>
      <w:r>
        <w:t xml:space="preserve">Directive to the European Reference Data Management System (ERDMS), which contains</w:t>
      </w:r>
      <w:r>
        <w:t xml:space="preserve"> </w:t>
      </w:r>
      <w:r>
        <w:t xml:space="preserve">regularly updated data necessary for the provision of RIS, and is owned and operated by the</w:t>
      </w:r>
      <w:r>
        <w:t xml:space="preserve"> </w:t>
      </w:r>
      <w:r>
        <w:t xml:space="preserve">European Commission (DG MOVE). Integration of the RIS-data in ERDMS with RIS</w:t>
      </w:r>
      <w:r>
        <w:t xml:space="preserve"> </w:t>
      </w:r>
      <w:r>
        <w:t xml:space="preserve">COMEX is foreseen, and data should be aligned. This measure mostly affects RIS users and</w:t>
      </w:r>
      <w:r>
        <w:t xml:space="preserve"> </w:t>
      </w:r>
      <w:r>
        <w:t xml:space="preserve">navigation software service providers and would make it easier for navigation software</w:t>
      </w:r>
    </w:p>
    <w:p>
      <w:pPr>
        <w:pStyle w:val="BodyText"/>
      </w:pPr>
      <w:r>
        <w:t xml:space="preserve">191 The projected average energy prices per toe from the baseline scenario developed with the PRIMES-</w:t>
      </w:r>
      <w:r>
        <w:t xml:space="preserve"> </w:t>
      </w:r>
      <w:r>
        <w:t xml:space="preserve">TREMOVE model have been used to estimate the adjustment costs savings. These average prices per toe take</w:t>
      </w:r>
      <w:r>
        <w:t xml:space="preserve"> </w:t>
      </w:r>
      <w:r>
        <w:t xml:space="preserve">into account the projected development of the fuel mix, including biofuels, electricity and e-fuels.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service providers to collect the right data and pass it on to the industry. Member States will</w:t>
      </w:r>
      <w:r>
        <w:t xml:space="preserve"> </w:t>
      </w:r>
      <w:r>
        <w:t xml:space="preserve">have to undertake efforts to ensure that the required information is provided and up-to-date.</w:t>
      </w:r>
      <w:r>
        <w:br/>
      </w:r>
      <w:r>
        <w:t xml:space="preserve">Administrative costs for national public authorities</w:t>
      </w:r>
      <w:r>
        <w:t xml:space="preserve"> </w:t>
      </w:r>
      <w:r>
        <w:t xml:space="preserve">No additional investment costs are expected due to PM6 relative to the baseline. Member</w:t>
      </w:r>
      <w:r>
        <w:t xml:space="preserve"> </w:t>
      </w:r>
      <w:r>
        <w:t xml:space="preserve">States already have access to a reference database containing all RIS objects. However, the</w:t>
      </w:r>
      <w:r>
        <w:t xml:space="preserve"> </w:t>
      </w:r>
      <w:r>
        <w:t xml:space="preserve">level of accuracy of this data vary across Member States.</w:t>
      </w:r>
      <w:r>
        <w:br/>
      </w:r>
      <w:r>
        <w:t xml:space="preserve">At present, there are no obligations regarding reference data. Some RIS authorities still</w:t>
      </w:r>
      <w:r>
        <w:t xml:space="preserve"> </w:t>
      </w:r>
      <w:r>
        <w:t xml:space="preserve">provide outdated or even incorrect data about objects on the European waterways network.</w:t>
      </w:r>
      <w:r>
        <w:t xml:space="preserve"> </w:t>
      </w:r>
      <w:r>
        <w:t xml:space="preserve">PM6 would require Member States to periodically update their data. Thus, PM6 is expected to</w:t>
      </w:r>
      <w:r>
        <w:t xml:space="preserve"> </w:t>
      </w:r>
      <w:r>
        <w:t xml:space="preserve">lead to recurrent administrative costs for national public authorities relative to the baseline.</w:t>
      </w:r>
      <w:r>
        <w:t xml:space="preserve"> </w:t>
      </w:r>
      <w:r>
        <w:t xml:space="preserve">Based on the feedback received during the stakeholders’ consultation, for the Netherlands</w:t>
      </w:r>
      <w:r>
        <w:t xml:space="preserve"> </w:t>
      </w:r>
      <w:r>
        <w:t xml:space="preserve">PM6 is estimated to require additional 1.5 full time equivalents (FTE) relative to the baseline.</w:t>
      </w:r>
      <w:r>
        <w:t xml:space="preserve"> </w:t>
      </w:r>
      <w:r>
        <w:t xml:space="preserve">This has been extrapolated to the other Member States based on the size of their network (i.e. </w:t>
      </w:r>
      <w:r>
        <w:t xml:space="preserve"> </w:t>
      </w:r>
      <w:r>
        <w:t xml:space="preserve">the number of entries in RIS index from EU-RIS portal is used as a proxy) in relation to that</w:t>
      </w:r>
      <w:r>
        <w:t xml:space="preserve"> </w:t>
      </w:r>
      <w:r>
        <w:t xml:space="preserve">of the Netherlands. Assuming 240 working days per year and 7.3 hours of work per day on</w:t>
      </w:r>
      <w:r>
        <w:t xml:space="preserve"> </w:t>
      </w:r>
      <w:r>
        <w:t xml:space="preserve">average192, and using the tariff per hour for non-manual workers (ISCO 8 - Plant and machine</w:t>
      </w:r>
      <w:r>
        <w:t xml:space="preserve"> </w:t>
      </w:r>
      <w:r>
        <w:t xml:space="preserve">operators and assemblers) from Eurostat Structure of earnings survey, the recurrent</w:t>
      </w:r>
      <w:r>
        <w:t xml:space="preserve"> </w:t>
      </w:r>
      <w:r>
        <w:t xml:space="preserve">administrative costs for national public authorities are estimated at EUR 0.66 million per year</w:t>
      </w:r>
      <w:r>
        <w:t xml:space="preserve"> </w:t>
      </w:r>
      <w:r>
        <w:t xml:space="preserve">relative to the baseline from 2025 onwards. Expressed as present value over 2025-2050, they</w:t>
      </w:r>
      <w:r>
        <w:t xml:space="preserve"> </w:t>
      </w:r>
      <w:r>
        <w:t xml:space="preserve">are estimated at EUR 12.18 million.</w:t>
      </w:r>
      <w:r>
        <w:t xml:space="preserve"> </w:t>
      </w:r>
      <w:r>
        <w:t xml:space="preserve">Table 40: Recurrent administrative costs for national public authorities due to PM6 relative to the</w:t>
      </w:r>
      <w:r>
        <w:t xml:space="preserve"> </w:t>
      </w:r>
      <w:r>
        <w:t xml:space="preserve">baseline (in EUR, in 2022 prices)</w:t>
      </w:r>
      <w:r>
        <w:t xml:space="preserve"> </w:t>
      </w:r>
      <w:r>
        <w:t xml:space="preserve">Number of entries in</w:t>
      </w:r>
      <w:r>
        <w:t xml:space="preserve"> </w:t>
      </w:r>
      <w:r>
        <w:t xml:space="preserve">RIS index from EU-RIS</w:t>
      </w:r>
      <w:r>
        <w:t xml:space="preserve"> </w:t>
      </w:r>
      <w:r>
        <w:t xml:space="preserve">portal</w:t>
      </w:r>
      <w:r>
        <w:t xml:space="preserve"> </w:t>
      </w:r>
      <w:r>
        <w:t xml:space="preserve">Additional number of FTEs</w:t>
      </w:r>
      <w:r>
        <w:br/>
      </w:r>
      <w:r>
        <w:t xml:space="preserve">Administrative costs (in EUR)</w:t>
      </w:r>
      <w:r>
        <w:t xml:space="preserve"> </w:t>
      </w:r>
      <w:r>
        <w:t xml:space="preserve">BE</w:t>
      </w:r>
      <w:r>
        <w:t xml:space="preserve"> </w:t>
      </w:r>
      <w:r>
        <w:t xml:space="preserve">18,279</w:t>
      </w:r>
      <w:r>
        <w:t xml:space="preserve"> </w:t>
      </w:r>
      <w:r>
        <w:t xml:space="preserve">0.94</w:t>
      </w:r>
      <w:r>
        <w:t xml:space="preserve"> </w:t>
      </w:r>
      <w:r>
        <w:t xml:space="preserve">51,390</w:t>
      </w:r>
      <w:r>
        <w:t xml:space="preserve"> </w:t>
      </w:r>
      <w:r>
        <w:t xml:space="preserve">BG</w:t>
      </w:r>
      <w:r>
        <w:t xml:space="preserve"> </w:t>
      </w:r>
      <w:r>
        <w:t xml:space="preserve">5,082</w:t>
      </w:r>
      <w:r>
        <w:t xml:space="preserve"> </w:t>
      </w:r>
      <w:r>
        <w:t xml:space="preserve">0.26</w:t>
      </w:r>
      <w:r>
        <w:t xml:space="preserve"> </w:t>
      </w:r>
      <w:r>
        <w:t xml:space="preserve">2,123</w:t>
      </w:r>
      <w:r>
        <w:t xml:space="preserve"> </w:t>
      </w:r>
      <w:r>
        <w:t xml:space="preserve">CZ</w:t>
      </w:r>
      <w:r>
        <w:t xml:space="preserve"> </w:t>
      </w:r>
      <w:r>
        <w:t xml:space="preserve">4,704</w:t>
      </w:r>
      <w:r>
        <w:t xml:space="preserve"> </w:t>
      </w:r>
      <w:r>
        <w:t xml:space="preserve">0.24</w:t>
      </w:r>
      <w:r>
        <w:t xml:space="preserve"> </w:t>
      </w:r>
      <w:r>
        <w:t xml:space="preserve">5,326</w:t>
      </w:r>
      <w:r>
        <w:t xml:space="preserve"> </w:t>
      </w:r>
      <w:r>
        <w:t xml:space="preserve">DE</w:t>
      </w:r>
      <w:r>
        <w:t xml:space="preserve"> </w:t>
      </w:r>
      <w:r>
        <w:t xml:space="preserve">65,760</w:t>
      </w:r>
      <w:r>
        <w:t xml:space="preserve"> </w:t>
      </w:r>
      <w:r>
        <w:t xml:space="preserve">3.38</w:t>
      </w:r>
      <w:r>
        <w:t xml:space="preserve"> </w:t>
      </w:r>
      <w:r>
        <w:t xml:space="preserve">175,907</w:t>
      </w:r>
      <w:r>
        <w:t xml:space="preserve"> </w:t>
      </w:r>
      <w:r>
        <w:t xml:space="preserve">FR</w:t>
      </w:r>
      <w:r>
        <w:t xml:space="preserve"> </w:t>
      </w:r>
      <w:r>
        <w:t xml:space="preserve">120,623</w:t>
      </w:r>
      <w:r>
        <w:t xml:space="preserve"> </w:t>
      </w:r>
      <w:r>
        <w:t xml:space="preserve">6.20</w:t>
      </w:r>
      <w:r>
        <w:t xml:space="preserve"> </w:t>
      </w:r>
      <w:r>
        <w:t xml:space="preserve">318,739</w:t>
      </w:r>
      <w:r>
        <w:t xml:space="preserve"> </w:t>
      </w:r>
      <w:r>
        <w:t xml:space="preserve">HR</w:t>
      </w:r>
      <w:r>
        <w:t xml:space="preserve"> </w:t>
      </w:r>
      <w:r>
        <w:t xml:space="preserve">5,634</w:t>
      </w:r>
      <w:r>
        <w:t xml:space="preserve"> </w:t>
      </w:r>
      <w:r>
        <w:t xml:space="preserve">0.29</w:t>
      </w:r>
      <w:r>
        <w:t xml:space="preserve"> </w:t>
      </w:r>
      <w:r>
        <w:t xml:space="preserve">4,537</w:t>
      </w:r>
      <w:r>
        <w:t xml:space="preserve"> </w:t>
      </w:r>
      <w:r>
        <w:t xml:space="preserve">LU</w:t>
      </w:r>
      <w:r>
        <w:t xml:space="preserve"> </w:t>
      </w:r>
      <w:r>
        <w:t xml:space="preserve">412</w:t>
      </w:r>
      <w:r>
        <w:t xml:space="preserve"> </w:t>
      </w:r>
      <w:r>
        <w:t xml:space="preserve">0.02</w:t>
      </w:r>
      <w:r>
        <w:t xml:space="preserve"> </w:t>
      </w:r>
      <w:r>
        <w:t xml:space="preserve">1,013</w:t>
      </w:r>
      <w:r>
        <w:t xml:space="preserve"> </w:t>
      </w:r>
      <w:r>
        <w:t xml:space="preserve">HU</w:t>
      </w:r>
      <w:r>
        <w:t xml:space="preserve"> </w:t>
      </w:r>
      <w:r>
        <w:t xml:space="preserve">4,531</w:t>
      </w:r>
      <w:r>
        <w:t xml:space="preserve"> </w:t>
      </w:r>
      <w:r>
        <w:t xml:space="preserve">0.23</w:t>
      </w:r>
      <w:r>
        <w:t xml:space="preserve"> </w:t>
      </w:r>
      <w:r>
        <w:t xml:space="preserve">3,578</w:t>
      </w:r>
      <w:r>
        <w:t xml:space="preserve"> </w:t>
      </w:r>
      <w:r>
        <w:t xml:space="preserve">NL</w:t>
      </w:r>
      <w:r>
        <w:t xml:space="preserve"> </w:t>
      </w:r>
      <w:r>
        <w:t xml:space="preserve">29,184</w:t>
      </w:r>
      <w:r>
        <w:t xml:space="preserve"> </w:t>
      </w:r>
      <w:r>
        <w:t xml:space="preserve">1.50</w:t>
      </w:r>
      <w:r>
        <w:t xml:space="preserve"> </w:t>
      </w:r>
      <w:r>
        <w:t xml:space="preserve">80,758</w:t>
      </w:r>
      <w:r>
        <w:t xml:space="preserve"> </w:t>
      </w:r>
      <w:r>
        <w:t xml:space="preserve">AT</w:t>
      </w:r>
      <w:r>
        <w:t xml:space="preserve"> </w:t>
      </w:r>
      <w:r>
        <w:t xml:space="preserve">4,705</w:t>
      </w:r>
      <w:r>
        <w:t xml:space="preserve"> </w:t>
      </w:r>
      <w:r>
        <w:t xml:space="preserve">0.24</w:t>
      </w:r>
      <w:r>
        <w:t xml:space="preserve"> </w:t>
      </w:r>
      <w:r>
        <w:t xml:space="preserve">12,505</w:t>
      </w:r>
      <w:r>
        <w:t xml:space="preserve"> </w:t>
      </w:r>
      <w:r>
        <w:t xml:space="preserve">PL*</w:t>
      </w:r>
      <w:r>
        <w:t xml:space="preserve"> </w:t>
      </w:r>
      <w:r>
        <w:t xml:space="preserve">2,235</w:t>
      </w:r>
      <w:r>
        <w:t xml:space="preserve"> </w:t>
      </w:r>
      <w:r>
        <w:t xml:space="preserve">0.11</w:t>
      </w:r>
      <w:r>
        <w:t xml:space="preserve"> </w:t>
      </w:r>
      <w:r>
        <w:t xml:space="preserve">1,859</w:t>
      </w:r>
      <w:r>
        <w:t xml:space="preserve"> </w:t>
      </w:r>
      <w:r>
        <w:t xml:space="preserve">RO</w:t>
      </w:r>
      <w:r>
        <w:t xml:space="preserve"> </w:t>
      </w:r>
      <w:r>
        <w:t xml:space="preserve">2,414</w:t>
      </w:r>
      <w:r>
        <w:t xml:space="preserve"> </w:t>
      </w:r>
      <w:r>
        <w:t xml:space="preserve">0.12</w:t>
      </w:r>
      <w:r>
        <w:t xml:space="preserve"> </w:t>
      </w:r>
      <w:r>
        <w:t xml:space="preserve">1,574</w:t>
      </w:r>
      <w:r>
        <w:t xml:space="preserve"> </w:t>
      </w:r>
      <w:r>
        <w:t xml:space="preserve">SK</w:t>
      </w:r>
      <w:r>
        <w:t xml:space="preserve"> </w:t>
      </w:r>
      <w:r>
        <w:t xml:space="preserve">2,056</w:t>
      </w:r>
      <w:r>
        <w:t xml:space="preserve"> </w:t>
      </w:r>
      <w:r>
        <w:t xml:space="preserve">0.11</w:t>
      </w:r>
      <w:r>
        <w:t xml:space="preserve"> </w:t>
      </w:r>
      <w:r>
        <w:t xml:space="preserve">2,198</w:t>
      </w:r>
      <w:r>
        <w:t xml:space="preserve"> </w:t>
      </w:r>
      <w:r>
        <w:t xml:space="preserve">Total</w:t>
      </w:r>
      <w:r>
        <w:t xml:space="preserve"> </w:t>
      </w:r>
      <w:r>
        <w:t xml:space="preserve">265,619</w:t>
      </w:r>
    </w:p>
    <w:p>
      <w:pPr>
        <w:pStyle w:val="BodyText"/>
      </w:pPr>
      <w:r>
        <w:t xml:space="preserve">661,507</w:t>
      </w:r>
      <w:r>
        <w:t xml:space="preserve"> </w:t>
      </w:r>
      <w:r>
        <w:t xml:space="preserve">Source: Ramboll et al. (2024), impact assessment support study; Note: * estimated RIS index.</w:t>
      </w:r>
      <w:r>
        <w:br/>
      </w:r>
      <w:r>
        <w:t xml:space="preserve">Adjustment cost savings for navigation software service providers</w:t>
      </w:r>
      <w:r>
        <w:t xml:space="preserve"> </w:t>
      </w:r>
      <w:r>
        <w:t xml:space="preserve">Software service providers carry out quality checks on the data and correct erroneous data if</w:t>
      </w:r>
      <w:r>
        <w:t xml:space="preserve"> </w:t>
      </w:r>
      <w:r>
        <w:t xml:space="preserve">necessary, when receiving complaints. Obliging RIS authorities to periodically update the</w:t>
      </w:r>
    </w:p>
    <w:p>
      <w:pPr>
        <w:pStyle w:val="BodyText"/>
      </w:pPr>
      <w:r>
        <w:t xml:space="preserve">192 Hours of work - annual statistics - Statistics Explained (europa.eu)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data, the number of errors is expected to decrease. This would also reduce the efforts required</w:t>
      </w:r>
      <w:r>
        <w:t xml:space="preserve"> </w:t>
      </w:r>
      <w:r>
        <w:t xml:space="preserve">for navigation software service providers to obtain correct data. As explained above, in the</w:t>
      </w:r>
      <w:r>
        <w:t xml:space="preserve"> </w:t>
      </w:r>
      <w:r>
        <w:t xml:space="preserve">baseline scenario, the average cost for software service providers for introducing the data into</w:t>
      </w:r>
      <w:r>
        <w:t xml:space="preserve"> </w:t>
      </w:r>
      <w:r>
        <w:t xml:space="preserve">their systems is estimated at EUR 452 per year, per vessel (in 2022 prices)193. Based on</w:t>
      </w:r>
      <w:r>
        <w:t xml:space="preserve"> </w:t>
      </w:r>
      <w:r>
        <w:t xml:space="preserve">feedback from software services providers in the context of stakeholders’ consultation, PM6</w:t>
      </w:r>
      <w:r>
        <w:t xml:space="preserve"> </w:t>
      </w:r>
      <w:r>
        <w:t xml:space="preserve">would allow to reduce the average cost per vessel by 2% relative to the baseline (i.e. EUR</w:t>
      </w:r>
      <w:r>
        <w:t xml:space="preserve"> </w:t>
      </w:r>
      <w:r>
        <w:t xml:space="preserve">9.04 saved per vessel) from 2026 onwards. The recurrent adjustment costs savings for</w:t>
      </w:r>
      <w:r>
        <w:t xml:space="preserve"> </w:t>
      </w:r>
      <w:r>
        <w:t xml:space="preserve">navigation software service providers for 2030, 2040 and 2050, relative to the baseline, are</w:t>
      </w:r>
      <w:r>
        <w:t xml:space="preserve"> </w:t>
      </w:r>
      <w:r>
        <w:t xml:space="preserve">provided in Table 41. Expressed as present value over 2025-2050, they are estimated at EUR</w:t>
      </w:r>
      <w:r>
        <w:t xml:space="preserve"> </w:t>
      </w:r>
      <w:r>
        <w:t xml:space="preserve">2.5 million relative to the baseline (in 2022 prices)194.</w:t>
      </w:r>
      <w:r>
        <w:br/>
      </w:r>
      <w:r>
        <w:t xml:space="preserve">Table 41: Recurrent adjustment costs savings for navigation software service providers due to PM6</w:t>
      </w:r>
      <w:r>
        <w:t xml:space="preserve"> </w:t>
      </w:r>
      <w:r>
        <w:t xml:space="preserve">relative to the baseline (in EUR, in 2022 prices)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vessels</w:t>
      </w:r>
      <w:r>
        <w:t xml:space="preserve"> </w:t>
      </w:r>
      <w:r>
        <w:t xml:space="preserve">15,838</w:t>
      </w:r>
      <w:r>
        <w:t xml:space="preserve"> </w:t>
      </w:r>
      <w:r>
        <w:t xml:space="preserve">15,996</w:t>
      </w:r>
      <w:r>
        <w:t xml:space="preserve"> </w:t>
      </w:r>
      <w:r>
        <w:t xml:space="preserve">16,131</w:t>
      </w:r>
      <w:r>
        <w:t xml:space="preserve"> </w:t>
      </w:r>
      <w:r>
        <w:t xml:space="preserve">Average costs savings for navigation software service</w:t>
      </w:r>
      <w:r>
        <w:t xml:space="preserve"> </w:t>
      </w:r>
      <w:r>
        <w:t xml:space="preserve">providers per vessel (in EUR)</w:t>
      </w:r>
      <w:r>
        <w:t xml:space="preserve"> </w:t>
      </w:r>
      <w:r>
        <w:t xml:space="preserve">9.04</w:t>
      </w:r>
      <w:r>
        <w:t xml:space="preserve"> </w:t>
      </w:r>
      <w:r>
        <w:t xml:space="preserve">9.04</w:t>
      </w:r>
      <w:r>
        <w:t xml:space="preserve"> </w:t>
      </w:r>
      <w:r>
        <w:t xml:space="preserve">9.04</w:t>
      </w:r>
      <w:r>
        <w:t xml:space="preserve"> </w:t>
      </w:r>
      <w:r>
        <w:t xml:space="preserve">Adjustment costs savings for navigation software service</w:t>
      </w:r>
      <w:r>
        <w:t xml:space="preserve"> </w:t>
      </w:r>
      <w:r>
        <w:t xml:space="preserve">providers (in EUR)</w:t>
      </w:r>
      <w:r>
        <w:t xml:space="preserve"> </w:t>
      </w:r>
      <w:r>
        <w:t xml:space="preserve">143,104</w:t>
      </w:r>
      <w:r>
        <w:t xml:space="preserve"> </w:t>
      </w:r>
      <w:r>
        <w:t xml:space="preserve">144,532</w:t>
      </w:r>
      <w:r>
        <w:t xml:space="preserve"> </w:t>
      </w:r>
      <w:r>
        <w:t xml:space="preserve">145,751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Adjustment cost savings for vessel operators</w:t>
      </w:r>
      <w:r>
        <w:br/>
      </w:r>
      <w:r>
        <w:t xml:space="preserve">Based on feedback from vessel operators in the context of the stakeholders’ consultation, the</w:t>
      </w:r>
      <w:r>
        <w:t xml:space="preserve"> </w:t>
      </w:r>
      <w:r>
        <w:t xml:space="preserve">time needed for voyage planning can be reduced by 20% due to PM6 relative to the baseline.</w:t>
      </w:r>
      <w:r>
        <w:t xml:space="preserve"> </w:t>
      </w:r>
      <w:r>
        <w:t xml:space="preserve">This corresponds to 2 minutes saved for each domestic voyage and 3 minutes saved for each</w:t>
      </w:r>
      <w:r>
        <w:t xml:space="preserve"> </w:t>
      </w:r>
      <w:r>
        <w:t xml:space="preserve">international trip from 2026 onwards. The recurrent adjustment costs savings for vessel</w:t>
      </w:r>
      <w:r>
        <w:t xml:space="preserve"> </w:t>
      </w:r>
      <w:r>
        <w:t xml:space="preserve">operators are derived based on the time saved for the preparation of a trip, the labour cost per</w:t>
      </w:r>
      <w:r>
        <w:t xml:space="preserve"> </w:t>
      </w:r>
      <w:r>
        <w:t xml:space="preserve">hour (EUR 26.7 per hour195) and the projected number of domestic trips and border crossings,</w:t>
      </w:r>
      <w:r>
        <w:t xml:space="preserve"> </w:t>
      </w:r>
      <w:r>
        <w:t xml:space="preserve">and are provided in Table 42. Expressed as present value over 2025-2050, they are estimated</w:t>
      </w:r>
      <w:r>
        <w:t xml:space="preserve"> </w:t>
      </w:r>
      <w:r>
        <w:t xml:space="preserve">at EUR 14.79 million relative to the baseline (in 2022 prices).</w:t>
      </w:r>
      <w:r>
        <w:t xml:space="preserve"> </w:t>
      </w:r>
      <w:r>
        <w:t xml:space="preserve">Table 42: Recurrent adjustment costs savings for vessels operators due to PM6 relative to the baseline (in</w:t>
      </w:r>
      <w:r>
        <w:t xml:space="preserve"> </w:t>
      </w:r>
      <w:r>
        <w:t xml:space="preserve">EUR, in 2022 prices)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domestic voyages</w:t>
      </w:r>
      <w:r>
        <w:t xml:space="preserve"> </w:t>
      </w:r>
      <w:r>
        <w:t xml:space="preserve">286,557</w:t>
      </w:r>
      <w:r>
        <w:t xml:space="preserve"> </w:t>
      </w:r>
      <w:r>
        <w:t xml:space="preserve">288,134</w:t>
      </w:r>
      <w:r>
        <w:t xml:space="preserve"> </w:t>
      </w:r>
      <w:r>
        <w:t xml:space="preserve">292,030</w:t>
      </w:r>
      <w:r>
        <w:t xml:space="preserve"> </w:t>
      </w:r>
      <w:r>
        <w:t xml:space="preserve">Number of border crossings per year</w:t>
      </w:r>
      <w:r>
        <w:t xml:space="preserve"> </w:t>
      </w:r>
      <w:r>
        <w:t xml:space="preserve">443,324</w:t>
      </w:r>
      <w:r>
        <w:t xml:space="preserve"> </w:t>
      </w:r>
      <w:r>
        <w:t xml:space="preserve">446,395</w:t>
      </w:r>
      <w:r>
        <w:t xml:space="preserve"> </w:t>
      </w:r>
      <w:r>
        <w:t xml:space="preserve">452,776</w:t>
      </w:r>
      <w:r>
        <w:t xml:space="preserve"> </w:t>
      </w:r>
      <w:r>
        <w:t xml:space="preserve">Adjustment costs savings for vessel operators (in EUR)</w:t>
      </w:r>
      <w:r>
        <w:t xml:space="preserve"> </w:t>
      </w:r>
      <w:r>
        <w:t xml:space="preserve">846,631</w:t>
      </w:r>
      <w:r>
        <w:t xml:space="preserve"> </w:t>
      </w:r>
      <w:r>
        <w:t xml:space="preserve">852,133</w:t>
      </w:r>
      <w:r>
        <w:t xml:space="preserve"> </w:t>
      </w:r>
      <w:r>
        <w:t xml:space="preserve">864,116</w:t>
      </w:r>
      <w:r>
        <w:t xml:space="preserve"> </w:t>
      </w:r>
      <w:r>
        <w:t xml:space="preserve">Source: Ramboll et al. (2024), impact assessment support study</w:t>
      </w:r>
    </w:p>
    <w:p>
      <w:pPr>
        <w:pStyle w:val="BodyText"/>
      </w:pPr>
      <w:r>
        <w:t xml:space="preserve">193 Ludden, V. et al., (2020): Study supporting the evaluation of Directive 2005/44/EC on Harmonised River</w:t>
      </w:r>
      <w:r>
        <w:t xml:space="preserve"> </w:t>
      </w:r>
      <w:r>
        <w:t xml:space="preserve">Information Services (RIS). Ramboll, University of Antwerp and DLA Piper. The average cost in the study is</w:t>
      </w:r>
      <w:r>
        <w:t xml:space="preserve"> </w:t>
      </w:r>
      <w:r>
        <w:t xml:space="preserve">expressed in 2019 prices. For the purpose of this impact assessment, it has been transformed in 2022 prices using</w:t>
      </w:r>
      <w:r>
        <w:t xml:space="preserve"> </w:t>
      </w:r>
      <w:r>
        <w:t xml:space="preserve">the harmonised consumer price index for Belgium from Eurostat because the two navigation software service</w:t>
      </w:r>
      <w:r>
        <w:t xml:space="preserve"> </w:t>
      </w:r>
      <w:r>
        <w:t xml:space="preserve">providers that serve around 90% of the market are based in Belgium.</w:t>
      </w:r>
      <w:r>
        <w:br/>
      </w:r>
      <w:r>
        <w:t xml:space="preserve">194 Part of these costs savings benefiting software provides may be passed through to the vessel operators,</w:t>
      </w:r>
      <w:r>
        <w:t xml:space="preserve"> </w:t>
      </w:r>
      <w:r>
        <w:t xml:space="preserve">although it is not possible to assess the share of the costs savings passed through.</w:t>
      </w:r>
      <w:r>
        <w:t xml:space="preserve"> </w:t>
      </w:r>
      <w:r>
        <w:t xml:space="preserve">195 Weighted average of the tariff per hour for non-manual workers (ISCO 8 - Plant and machine operators and</w:t>
      </w:r>
      <w:r>
        <w:t xml:space="preserve"> </w:t>
      </w:r>
      <w:r>
        <w:t xml:space="preserve">assemblers) in the 13 Member State in the scope of RIS. It is based on Eurostat Structure of earnings survey and</w:t>
      </w:r>
      <w:r>
        <w:t xml:space="preserve"> </w:t>
      </w:r>
      <w:r>
        <w:t xml:space="preserve">expressed in 2022 prices.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PM7: Encourage cargo-related information exchange through the eFTI mechanism</w:t>
      </w:r>
      <w:r>
        <w:br/>
      </w:r>
      <w:r>
        <w:t xml:space="preserve">This measure will require that technical specifications are developed so that RIS cargo related</w:t>
      </w:r>
      <w:r>
        <w:t xml:space="preserve"> </w:t>
      </w:r>
      <w:r>
        <w:t xml:space="preserve">information (i.e. electronic ship reports ) can be shared on a voluntary basis through the</w:t>
      </w:r>
      <w:r>
        <w:t xml:space="preserve"> </w:t>
      </w:r>
      <w:r>
        <w:t xml:space="preserve">electronic freight transport information (eFTI) platforms. This includes both authority to ship</w:t>
      </w:r>
      <w:r>
        <w:t xml:space="preserve"> </w:t>
      </w:r>
      <w:r>
        <w:t xml:space="preserve">and authority to authority information. The standards will be developed but not made</w:t>
      </w:r>
      <w:r>
        <w:t xml:space="preserve"> </w:t>
      </w:r>
      <w:r>
        <w:t xml:space="preserve">obligatory for use. The mandatory reporting requirements for specific ships would still apply</w:t>
      </w:r>
      <w:r>
        <w:t xml:space="preserve"> </w:t>
      </w:r>
      <w:r>
        <w:t xml:space="preserve">(i.e. ships transporting dangerous goods). The Member States will need to develop the</w:t>
      </w:r>
      <w:r>
        <w:t xml:space="preserve"> </w:t>
      </w:r>
      <w:r>
        <w:t xml:space="preserve">capacity to receive and process information through eFTI.</w:t>
      </w:r>
      <w:r>
        <w:t xml:space="preserve"> </w:t>
      </w:r>
      <w:r>
        <w:t xml:space="preserve">Adjustment costs for national public authorities</w:t>
      </w:r>
      <w:r>
        <w:t xml:space="preserve"> </w:t>
      </w:r>
      <w:r>
        <w:t xml:space="preserve">PM7 will require national public authorities to adapt existing data flows so that RIS cargo-</w:t>
      </w:r>
      <w:r>
        <w:t xml:space="preserve"> </w:t>
      </w:r>
      <w:r>
        <w:t xml:space="preserve">related information is linked with eFTI. There are currently five systems in place: BICS</w:t>
      </w:r>
      <w:r>
        <w:t xml:space="preserve"> </w:t>
      </w:r>
      <w:r>
        <w:t xml:space="preserve">(Netherlands), eRIBa (Belgium), VELI (France), NAMIB (Germany), and CEERIS (Rest of</w:t>
      </w:r>
      <w:r>
        <w:t xml:space="preserve"> </w:t>
      </w:r>
      <w:r>
        <w:t xml:space="preserve">Europe). Based on feedback from RIS authorities, the investment costs for adjusting each of</w:t>
      </w:r>
      <w:r>
        <w:t xml:space="preserve"> </w:t>
      </w:r>
      <w:r>
        <w:t xml:space="preserve">these systems are estimated at EUR 250,000 per system. Thus, the total one-off adjustment</w:t>
      </w:r>
      <w:r>
        <w:t xml:space="preserve"> </w:t>
      </w:r>
      <w:r>
        <w:t xml:space="preserve">costs are estimated at EUR 1.25 million in 2025 relative to the baseline.</w:t>
      </w:r>
      <w:r>
        <w:br/>
      </w:r>
      <w:r>
        <w:t xml:space="preserve">Administrative cost savings for vessel operators</w:t>
      </w:r>
      <w:r>
        <w:t xml:space="preserve"> </w:t>
      </w:r>
      <w:r>
        <w:t xml:space="preserve">PM7 would lead to recurrent administrative costs savings for inland shipping skippers.</w:t>
      </w:r>
      <w:r>
        <w:t xml:space="preserve"> </w:t>
      </w:r>
      <w:r>
        <w:t xml:space="preserve">Interviews with waterway managers during the stakeholders’ consultation have revealed that</w:t>
      </w:r>
      <w:r>
        <w:t xml:space="preserve"> </w:t>
      </w:r>
      <w:r>
        <w:t xml:space="preserve">incorrect reference information, such as regarding the loading/unloading location, coding of</w:t>
      </w:r>
      <w:r>
        <w:t xml:space="preserve"> </w:t>
      </w:r>
      <w:r>
        <w:t xml:space="preserve">the cargo or hull information, is the cause of errors in data exchange. These errors force the</w:t>
      </w:r>
      <w:r>
        <w:t xml:space="preserve"> </w:t>
      </w:r>
      <w:r>
        <w:t xml:space="preserve">skippers to re-register upon a border crossing. Repeated notifications are estimated to occur in</w:t>
      </w:r>
      <w:r>
        <w:t xml:space="preserve"> </w:t>
      </w:r>
      <w:r>
        <w:t xml:space="preserve">20% of international trips in the Rhine catchment area and in all international trips (100%) in</w:t>
      </w:r>
      <w:r>
        <w:t xml:space="preserve"> </w:t>
      </w:r>
      <w:r>
        <w:t xml:space="preserve">the Danube catchment area. Taking into account the number of trips in both catchment areas,</w:t>
      </w:r>
      <w:r>
        <w:t xml:space="preserve"> </w:t>
      </w:r>
      <w:r>
        <w:t xml:space="preserve">it is estimated that 30% of all cross-border trips require repeated notifications. Based on the</w:t>
      </w:r>
      <w:r>
        <w:t xml:space="preserve"> </w:t>
      </w:r>
      <w:r>
        <w:t xml:space="preserve">interviews and stakeholders’ survey, repeated notifications take around 15 minutes per vessel</w:t>
      </w:r>
      <w:r>
        <w:t xml:space="preserve"> </w:t>
      </w:r>
      <w:r>
        <w:t xml:space="preserve">operator. PM7 is expected to reduce the share of repeated notifications by 10 percentage</w:t>
      </w:r>
      <w:r>
        <w:t xml:space="preserve"> </w:t>
      </w:r>
      <w:r>
        <w:t xml:space="preserve">points relative to the baseline from 2026 onwards. Considering the labour cost per hour (EUR</w:t>
      </w:r>
      <w:r>
        <w:t xml:space="preserve"> </w:t>
      </w:r>
      <w:r>
        <w:t xml:space="preserve">26.7 per hour196), the administrative cost savings for vessels operators due to PM7 relative to</w:t>
      </w:r>
      <w:r>
        <w:t xml:space="preserve"> </w:t>
      </w:r>
      <w:r>
        <w:t xml:space="preserve">the baseline are provided in Table 43. Expressed as present value over 2025-2050, they are</w:t>
      </w:r>
      <w:r>
        <w:t xml:space="preserve"> </w:t>
      </w:r>
      <w:r>
        <w:t xml:space="preserve">estimated at EUR 5.01 million relative to the baseline.</w:t>
      </w:r>
      <w:r>
        <w:t xml:space="preserve"> </w:t>
      </w:r>
      <w:r>
        <w:t xml:space="preserve">Table 43: Recurrent administrative costs savings for vessels operators due to PM7 relative to the baseline</w:t>
      </w:r>
      <w:r>
        <w:t xml:space="preserve"> </w:t>
      </w:r>
      <w:r>
        <w:t xml:space="preserve">(in EUR, in 2022 prices)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border crossings requiring repeated notifications in the</w:t>
      </w:r>
      <w:r>
        <w:t xml:space="preserve"> </w:t>
      </w:r>
      <w:r>
        <w:t xml:space="preserve">baseline</w:t>
      </w:r>
      <w:r>
        <w:t xml:space="preserve"> </w:t>
      </w:r>
      <w:r>
        <w:t xml:space="preserve">132,997</w:t>
      </w:r>
      <w:r>
        <w:t xml:space="preserve"> </w:t>
      </w:r>
      <w:r>
        <w:t xml:space="preserve">133,918</w:t>
      </w:r>
      <w:r>
        <w:t xml:space="preserve"> </w:t>
      </w:r>
      <w:r>
        <w:t xml:space="preserve">135,833</w:t>
      </w:r>
      <w:r>
        <w:t xml:space="preserve"> </w:t>
      </w:r>
      <w:r>
        <w:t xml:space="preserve">Reduction in the number of repeated notifications due to PM7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44,332</w:t>
      </w:r>
      <w:r>
        <w:t xml:space="preserve"> </w:t>
      </w:r>
      <w:r>
        <w:t xml:space="preserve">44,639</w:t>
      </w:r>
      <w:r>
        <w:t xml:space="preserve"> </w:t>
      </w:r>
      <w:r>
        <w:t xml:space="preserve">45,278</w:t>
      </w:r>
      <w:r>
        <w:t xml:space="preserve"> </w:t>
      </w:r>
      <w:r>
        <w:t xml:space="preserve">Administrative costs savings for vessel operators due to PM7 (in</w:t>
      </w:r>
      <w:r>
        <w:t xml:space="preserve"> </w:t>
      </w:r>
      <w:r>
        <w:t xml:space="preserve">EUR)</w:t>
      </w:r>
      <w:r>
        <w:t xml:space="preserve"> </w:t>
      </w:r>
      <w:r>
        <w:t xml:space="preserve">286,792</w:t>
      </w:r>
      <w:r>
        <w:t xml:space="preserve"> </w:t>
      </w:r>
      <w:r>
        <w:t xml:space="preserve">288,778</w:t>
      </w:r>
      <w:r>
        <w:t xml:space="preserve"> </w:t>
      </w:r>
      <w:r>
        <w:t xml:space="preserve">292,912</w:t>
      </w:r>
      <w:r>
        <w:t xml:space="preserve"> </w:t>
      </w:r>
      <w:r>
        <w:t xml:space="preserve">Source: Ramboll et al. (2024), impact assessment support study</w:t>
      </w:r>
    </w:p>
    <w:p>
      <w:pPr>
        <w:pStyle w:val="BodyText"/>
      </w:pPr>
      <w:r>
        <w:t xml:space="preserve">196 Weighted average of the tariff per hour for non-manual workers (ISCO 8 - Plant and machine operators and</w:t>
      </w:r>
      <w:r>
        <w:t xml:space="preserve"> </w:t>
      </w:r>
      <w:r>
        <w:t xml:space="preserve">assemblers) in the 13 Member State in the scope of RIS. It is based on Eurostat Structure of earnings survey and</w:t>
      </w:r>
      <w:r>
        <w:t xml:space="preserve"> </w:t>
      </w:r>
      <w:r>
        <w:t xml:space="preserve">expressed in 2022 prices.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Administrative cost savings for national public authorities</w:t>
      </w:r>
      <w:r>
        <w:t xml:space="preserve"> </w:t>
      </w:r>
      <w:r>
        <w:t xml:space="preserve">The information exchange through the eFTI mechanism leads to the replacement of the paper</w:t>
      </w:r>
      <w:r>
        <w:t xml:space="preserve"> </w:t>
      </w:r>
      <w:r>
        <w:t xml:space="preserve">cargo reports with the electronic reports. The number of paper cargo reports is assumed to</w:t>
      </w:r>
      <w:r>
        <w:t xml:space="preserve"> </w:t>
      </w:r>
      <w:r>
        <w:t xml:space="preserve">grow in line with the transport activity in the baseline scenario. According to the estimates</w:t>
      </w:r>
      <w:r>
        <w:t xml:space="preserve"> </w:t>
      </w:r>
      <w:r>
        <w:t xml:space="preserve">provided by the Dutch authorities during the interviews, a total elimination of the paper</w:t>
      </w:r>
      <w:r>
        <w:t xml:space="preserve"> </w:t>
      </w:r>
      <w:r>
        <w:t xml:space="preserve">reports would lead to a reduction in the effort required equivalent to 8 full time equivalents</w:t>
      </w:r>
      <w:r>
        <w:t xml:space="preserve"> </w:t>
      </w:r>
      <w:r>
        <w:t xml:space="preserve">(FTE) relative to the baseline. Considering the voluntary system in PM7, a 50% reduction in</w:t>
      </w:r>
      <w:r>
        <w:t xml:space="preserve"> </w:t>
      </w:r>
      <w:r>
        <w:t xml:space="preserve">the paper cargo reports is assumed, equivalent to 4 FTEs saved relative to the baseline in</w:t>
      </w:r>
      <w:r>
        <w:t xml:space="preserve"> </w:t>
      </w:r>
      <w:r>
        <w:t xml:space="preserve">2026. This is extrapolated to the other Member States based on their respective transport</w:t>
      </w:r>
      <w:r>
        <w:t xml:space="preserve"> </w:t>
      </w:r>
      <w:r>
        <w:t xml:space="preserve">activity (expressed in tkm) relative to that of the Netherlands. In addition, the growth in the</w:t>
      </w:r>
      <w:r>
        <w:t xml:space="preserve"> </w:t>
      </w:r>
      <w:r>
        <w:t xml:space="preserve">number of paper cargo reports over time is also taken into account. Assuming 240 working</w:t>
      </w:r>
      <w:r>
        <w:t xml:space="preserve"> </w:t>
      </w:r>
      <w:r>
        <w:t xml:space="preserve">days per year and 7.3 hours of work per day on average197, and using the tariff per hour for</w:t>
      </w:r>
      <w:r>
        <w:t xml:space="preserve"> </w:t>
      </w:r>
      <w:r>
        <w:t xml:space="preserve">non-manual workers (ISCO 8 - Plant and machine operators and assemblers) from Eurostat</w:t>
      </w:r>
      <w:r>
        <w:t xml:space="preserve"> </w:t>
      </w:r>
      <w:r>
        <w:t xml:space="preserve">Structure of earnings survey, the recurrent administrative costs savings for national public</w:t>
      </w:r>
      <w:r>
        <w:t xml:space="preserve"> </w:t>
      </w:r>
      <w:r>
        <w:t xml:space="preserve">authorities are provided in Table 44. Expressed as present value over 2025-2050, they are</w:t>
      </w:r>
      <w:r>
        <w:t xml:space="preserve"> </w:t>
      </w:r>
      <w:r>
        <w:t xml:space="preserve">estimated at EUR 11.45 million relative to the baseline.</w:t>
      </w:r>
      <w:r>
        <w:br/>
      </w:r>
      <w:r>
        <w:t xml:space="preserve">Table 44: Recurrent administrative costs savings for national public authorities due to PM7 relative to the</w:t>
      </w:r>
      <w:r>
        <w:t xml:space="preserve"> </w:t>
      </w:r>
      <w:r>
        <w:t xml:space="preserve">baseline (in EUR, in 2022 prices)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BE</w:t>
      </w:r>
      <w:r>
        <w:t xml:space="preserve"> </w:t>
      </w:r>
      <w:r>
        <w:t xml:space="preserve">51,247</w:t>
      </w:r>
      <w:r>
        <w:t xml:space="preserve"> </w:t>
      </w:r>
      <w:r>
        <w:t xml:space="preserve">56,765</w:t>
      </w:r>
      <w:r>
        <w:t xml:space="preserve"> </w:t>
      </w:r>
      <w:r>
        <w:t xml:space="preserve">60,735</w:t>
      </w:r>
      <w:r>
        <w:t xml:space="preserve"> </w:t>
      </w:r>
      <w:r>
        <w:t xml:space="preserve">BG</w:t>
      </w:r>
      <w:r>
        <w:t xml:space="preserve"> </w:t>
      </w:r>
      <w:r>
        <w:t xml:space="preserve">3,926</w:t>
      </w:r>
      <w:r>
        <w:t xml:space="preserve"> </w:t>
      </w:r>
      <w:r>
        <w:t xml:space="preserve">4,522</w:t>
      </w:r>
      <w:r>
        <w:t xml:space="preserve"> </w:t>
      </w:r>
      <w:r>
        <w:t xml:space="preserve">4,933</w:t>
      </w:r>
      <w:r>
        <w:t xml:space="preserve"> </w:t>
      </w:r>
      <w:r>
        <w:t xml:space="preserve">CZ</w:t>
      </w:r>
      <w:r>
        <w:t xml:space="preserve"> </w:t>
      </w:r>
      <w:r>
        <w:t xml:space="preserve">60</w:t>
      </w:r>
      <w:r>
        <w:t xml:space="preserve"> </w:t>
      </w:r>
      <w:r>
        <w:t xml:space="preserve">72</w:t>
      </w:r>
      <w:r>
        <w:t xml:space="preserve"> </w:t>
      </w:r>
      <w:r>
        <w:t xml:space="preserve">82</w:t>
      </w:r>
      <w:r>
        <w:t xml:space="preserve"> </w:t>
      </w:r>
      <w:r>
        <w:t xml:space="preserve">DE</w:t>
      </w:r>
      <w:r>
        <w:t xml:space="preserve"> </w:t>
      </w:r>
      <w:r>
        <w:t xml:space="preserve">277,928</w:t>
      </w:r>
      <w:r>
        <w:t xml:space="preserve"> </w:t>
      </w:r>
      <w:r>
        <w:t xml:space="preserve">305,078</w:t>
      </w:r>
      <w:r>
        <w:t xml:space="preserve"> </w:t>
      </w:r>
      <w:r>
        <w:t xml:space="preserve">338,957</w:t>
      </w:r>
      <w:r>
        <w:t xml:space="preserve"> </w:t>
      </w:r>
      <w:r>
        <w:t xml:space="preserve">FR</w:t>
      </w:r>
      <w:r>
        <w:t xml:space="preserve"> </w:t>
      </w:r>
      <w:r>
        <w:t xml:space="preserve">32,572</w:t>
      </w:r>
      <w:r>
        <w:t xml:space="preserve"> </w:t>
      </w:r>
      <w:r>
        <w:t xml:space="preserve">33,811</w:t>
      </w:r>
      <w:r>
        <w:t xml:space="preserve"> </w:t>
      </w:r>
      <w:r>
        <w:t xml:space="preserve">34,329</w:t>
      </w:r>
      <w:r>
        <w:t xml:space="preserve"> </w:t>
      </w:r>
      <w:r>
        <w:t xml:space="preserve">HR</w:t>
      </w:r>
      <w:r>
        <w:t xml:space="preserve"> </w:t>
      </w:r>
      <w:r>
        <w:t xml:space="preserve">1,341</w:t>
      </w:r>
      <w:r>
        <w:t xml:space="preserve"> </w:t>
      </w:r>
      <w:r>
        <w:t xml:space="preserve">1,590</w:t>
      </w:r>
      <w:r>
        <w:t xml:space="preserve"> </w:t>
      </w:r>
      <w:r>
        <w:t xml:space="preserve">1,751</w:t>
      </w:r>
      <w:r>
        <w:t xml:space="preserve"> </w:t>
      </w:r>
      <w:r>
        <w:t xml:space="preserve">LU</w:t>
      </w:r>
      <w:r>
        <w:t xml:space="preserve"> </w:t>
      </w:r>
      <w:r>
        <w:t xml:space="preserve">997</w:t>
      </w:r>
      <w:r>
        <w:t xml:space="preserve"> </w:t>
      </w:r>
      <w:r>
        <w:t xml:space="preserve">1,214</w:t>
      </w:r>
      <w:r>
        <w:t xml:space="preserve"> </w:t>
      </w:r>
      <w:r>
        <w:t xml:space="preserve">1,315</w:t>
      </w:r>
      <w:r>
        <w:t xml:space="preserve"> </w:t>
      </w:r>
      <w:r>
        <w:t xml:space="preserve">HU</w:t>
      </w:r>
      <w:r>
        <w:t xml:space="preserve"> </w:t>
      </w:r>
      <w:r>
        <w:t xml:space="preserve">2,965</w:t>
      </w:r>
      <w:r>
        <w:t xml:space="preserve"> </w:t>
      </w:r>
      <w:r>
        <w:t xml:space="preserve">3,655</w:t>
      </w:r>
      <w:r>
        <w:t xml:space="preserve"> </w:t>
      </w:r>
      <w:r>
        <w:t xml:space="preserve">3,988</w:t>
      </w:r>
      <w:r>
        <w:t xml:space="preserve"> </w:t>
      </w:r>
      <w:r>
        <w:t xml:space="preserve">NL</w:t>
      </w:r>
      <w:r>
        <w:t xml:space="preserve"> </w:t>
      </w:r>
      <w:r>
        <w:t xml:space="preserve">222,516</w:t>
      </w:r>
      <w:r>
        <w:t xml:space="preserve"> </w:t>
      </w:r>
      <w:r>
        <w:t xml:space="preserve">238,676</w:t>
      </w:r>
      <w:r>
        <w:t xml:space="preserve"> </w:t>
      </w:r>
      <w:r>
        <w:t xml:space="preserve">254,861</w:t>
      </w:r>
      <w:r>
        <w:t xml:space="preserve"> </w:t>
      </w:r>
      <w:r>
        <w:t xml:space="preserve">AT</w:t>
      </w:r>
      <w:r>
        <w:t xml:space="preserve"> </w:t>
      </w:r>
      <w:r>
        <w:t xml:space="preserve">9,523</w:t>
      </w:r>
      <w:r>
        <w:t xml:space="preserve"> </w:t>
      </w:r>
      <w:r>
        <w:t xml:space="preserve">10,068</w:t>
      </w:r>
      <w:r>
        <w:t xml:space="preserve"> </w:t>
      </w:r>
      <w:r>
        <w:t xml:space="preserve">10,229</w:t>
      </w:r>
      <w:r>
        <w:t xml:space="preserve"> </w:t>
      </w:r>
      <w:r>
        <w:t xml:space="preserve">PL</w:t>
      </w:r>
      <w:r>
        <w:t xml:space="preserve"> </w:t>
      </w:r>
      <w:r>
        <w:t xml:space="preserve">183</w:t>
      </w:r>
      <w:r>
        <w:t xml:space="preserve"> </w:t>
      </w:r>
      <w:r>
        <w:t xml:space="preserve">261</w:t>
      </w:r>
      <w:r>
        <w:t xml:space="preserve"> </w:t>
      </w:r>
      <w:r>
        <w:t xml:space="preserve">293</w:t>
      </w:r>
      <w:r>
        <w:t xml:space="preserve"> </w:t>
      </w:r>
      <w:r>
        <w:t xml:space="preserve">RO</w:t>
      </w:r>
      <w:r>
        <w:t xml:space="preserve"> </w:t>
      </w:r>
      <w:r>
        <w:t xml:space="preserve">18,712</w:t>
      </w:r>
      <w:r>
        <w:t xml:space="preserve"> </w:t>
      </w:r>
      <w:r>
        <w:t xml:space="preserve">20,591</w:t>
      </w:r>
      <w:r>
        <w:t xml:space="preserve"> </w:t>
      </w:r>
      <w:r>
        <w:t xml:space="preserve">22,821</w:t>
      </w:r>
      <w:r>
        <w:t xml:space="preserve"> </w:t>
      </w:r>
      <w:r>
        <w:t xml:space="preserve">SK</w:t>
      </w:r>
      <w:r>
        <w:t xml:space="preserve"> </w:t>
      </w:r>
      <w:r>
        <w:t xml:space="preserve">1,596</w:t>
      </w:r>
      <w:r>
        <w:t xml:space="preserve"> </w:t>
      </w:r>
      <w:r>
        <w:t xml:space="preserve">1,716</w:t>
      </w:r>
      <w:r>
        <w:t xml:space="preserve"> </w:t>
      </w:r>
      <w:r>
        <w:t xml:space="preserve">1,825</w:t>
      </w:r>
      <w:r>
        <w:t xml:space="preserve"> </w:t>
      </w:r>
      <w:r>
        <w:t xml:space="preserve">Total</w:t>
      </w:r>
      <w:r>
        <w:t xml:space="preserve"> </w:t>
      </w:r>
      <w:r>
        <w:t xml:space="preserve">623,566</w:t>
      </w:r>
      <w:r>
        <w:t xml:space="preserve"> </w:t>
      </w:r>
      <w:r>
        <w:t xml:space="preserve">678,018</w:t>
      </w:r>
      <w:r>
        <w:t xml:space="preserve"> </w:t>
      </w:r>
      <w:r>
        <w:t xml:space="preserve">736,120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PM8: Mandate cargo-related information to be exchange through the eFTI mechanism</w:t>
      </w:r>
      <w:r>
        <w:br/>
      </w:r>
      <w:r>
        <w:t xml:space="preserve">This measure goes beyond PM7 in that it will mandate that all RIS cargo related information</w:t>
      </w:r>
      <w:r>
        <w:t xml:space="preserve"> </w:t>
      </w:r>
      <w:r>
        <w:t xml:space="preserve">(i.e. electronic ship reports ) are shared through the electronic freight transport information</w:t>
      </w:r>
      <w:r>
        <w:t xml:space="preserve"> </w:t>
      </w:r>
      <w:r>
        <w:t xml:space="preserve">(eFTI) platforms, for exchanges between authority / authority and authority / ship. This</w:t>
      </w:r>
      <w:r>
        <w:t xml:space="preserve"> </w:t>
      </w:r>
      <w:r>
        <w:t xml:space="preserve">should lead to higher benefits than PM7 as more vessel operators will report cargo</w:t>
      </w:r>
      <w:r>
        <w:t xml:space="preserve"> </w:t>
      </w:r>
      <w:r>
        <w:t xml:space="preserve">information in this way.</w:t>
      </w:r>
      <w:r>
        <w:t xml:space="preserve"> </w:t>
      </w:r>
      <w:r>
        <w:t xml:space="preserve">Adjustment costs for national public authorities</w:t>
      </w:r>
      <w:r>
        <w:t xml:space="preserve"> </w:t>
      </w:r>
      <w:r>
        <w:t xml:space="preserve">PM8 will require national public authorities to adapt existing data flows so that RIS cargo-</w:t>
      </w:r>
      <w:r>
        <w:t xml:space="preserve"> </w:t>
      </w:r>
      <w:r>
        <w:t xml:space="preserve">related information is linked with eFTI. There are currently five systems in place: BICS</w:t>
      </w:r>
    </w:p>
    <w:p>
      <w:pPr>
        <w:pStyle w:val="BodyText"/>
      </w:pPr>
      <w:r>
        <w:t xml:space="preserve">197 Hours of work - annual statistics - Statistics Explained (europa.eu)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(Netherlands), eRIBa (Belgium), VELI (France), NAMIB (Germany), and CEERIS (Rest of</w:t>
      </w:r>
      <w:r>
        <w:t xml:space="preserve"> </w:t>
      </w:r>
      <w:r>
        <w:t xml:space="preserve">Europe). Based on feedback from RIS authorities, the investment costs for adjusting each of</w:t>
      </w:r>
      <w:r>
        <w:t xml:space="preserve"> </w:t>
      </w:r>
      <w:r>
        <w:t xml:space="preserve">these systems are estimated at EUR 250,000 per system. Thus, the total one-off adjustment</w:t>
      </w:r>
      <w:r>
        <w:t xml:space="preserve"> </w:t>
      </w:r>
      <w:r>
        <w:t xml:space="preserve">costs are estimated at EUR 1.25 million in 2025 relative to the baseline.</w:t>
      </w:r>
      <w:r>
        <w:br/>
      </w:r>
      <w:r>
        <w:t xml:space="preserve">Administrative cost savings for vessel operators</w:t>
      </w:r>
      <w:r>
        <w:t xml:space="preserve"> </w:t>
      </w:r>
      <w:r>
        <w:t xml:space="preserve">Similarly, to PM7, PM8 would lead to recurrent administrative costs savings for inland</w:t>
      </w:r>
      <w:r>
        <w:t xml:space="preserve"> </w:t>
      </w:r>
      <w:r>
        <w:t xml:space="preserve">shipping skippers. Interviews with waterway managers during the stakeholders’ consultation</w:t>
      </w:r>
      <w:r>
        <w:t xml:space="preserve"> </w:t>
      </w:r>
      <w:r>
        <w:t xml:space="preserve">have revealed that incorrect reference information, such as regarding the loading/unloading</w:t>
      </w:r>
      <w:r>
        <w:t xml:space="preserve"> </w:t>
      </w:r>
      <w:r>
        <w:t xml:space="preserve">location, coding of the cargo or hull information, is the cause of errors in data exchange.</w:t>
      </w:r>
      <w:r>
        <w:t xml:space="preserve"> </w:t>
      </w:r>
      <w:r>
        <w:t xml:space="preserve">These errors force the skippers to re-register upon a border crossing. Repeated notifications</w:t>
      </w:r>
      <w:r>
        <w:t xml:space="preserve"> </w:t>
      </w:r>
      <w:r>
        <w:t xml:space="preserve">are estimated to occur in 20% of international trips in the Rhine catchment area and in all</w:t>
      </w:r>
      <w:r>
        <w:t xml:space="preserve"> </w:t>
      </w:r>
      <w:r>
        <w:t xml:space="preserve">international trips (100%) in the Danube catchment area. Taking into account the number of</w:t>
      </w:r>
      <w:r>
        <w:t xml:space="preserve"> </w:t>
      </w:r>
      <w:r>
        <w:t xml:space="preserve">trips in both catchment areas, it is estimated that 30% of all cross-border trips require repeated</w:t>
      </w:r>
      <w:r>
        <w:t xml:space="preserve"> </w:t>
      </w:r>
      <w:r>
        <w:t xml:space="preserve">notifications. Based on the interviews and stakeholders’ survey, repeated notifications take</w:t>
      </w:r>
      <w:r>
        <w:t xml:space="preserve"> </w:t>
      </w:r>
      <w:r>
        <w:t xml:space="preserve">around 15 minutes per vessel operator. PM8 is expected to reduce the share of repeated</w:t>
      </w:r>
      <w:r>
        <w:t xml:space="preserve"> </w:t>
      </w:r>
      <w:r>
        <w:t xml:space="preserve">notifications by 20 percentage points relative to the baseline from 2026 onwards. Considering</w:t>
      </w:r>
      <w:r>
        <w:t xml:space="preserve"> </w:t>
      </w:r>
      <w:r>
        <w:t xml:space="preserve">the labour cost per hour (EUR 26.7 per hour198), the administrative cost savings for vessels</w:t>
      </w:r>
      <w:r>
        <w:t xml:space="preserve"> </w:t>
      </w:r>
      <w:r>
        <w:t xml:space="preserve">operators due to PM8 relative to the baseline are provided in Table 45. Expressed as present</w:t>
      </w:r>
      <w:r>
        <w:t xml:space="preserve"> </w:t>
      </w:r>
      <w:r>
        <w:t xml:space="preserve">value over 2025-2050, they are estimated at EUR 10.01 million relative to the baseline.</w:t>
      </w:r>
      <w:r>
        <w:br/>
      </w:r>
      <w:r>
        <w:t xml:space="preserve">Table 45: Recurrent administrative costs savings for vessels operators due to PM8 relative to the baseline</w:t>
      </w:r>
      <w:r>
        <w:t xml:space="preserve"> </w:t>
      </w:r>
      <w:r>
        <w:t xml:space="preserve">(in EUR, in 2022 prices)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border crossings requiring repeated notifications in the</w:t>
      </w:r>
      <w:r>
        <w:t xml:space="preserve"> </w:t>
      </w:r>
      <w:r>
        <w:t xml:space="preserve">baseline</w:t>
      </w:r>
      <w:r>
        <w:t xml:space="preserve"> </w:t>
      </w:r>
      <w:r>
        <w:t xml:space="preserve">132,997</w:t>
      </w:r>
      <w:r>
        <w:t xml:space="preserve"> </w:t>
      </w:r>
      <w:r>
        <w:t xml:space="preserve">133,918</w:t>
      </w:r>
      <w:r>
        <w:t xml:space="preserve"> </w:t>
      </w:r>
      <w:r>
        <w:t xml:space="preserve">135,833</w:t>
      </w:r>
      <w:r>
        <w:t xml:space="preserve"> </w:t>
      </w:r>
      <w:r>
        <w:t xml:space="preserve">Reduction in the number of repeated notifications due to PM8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88,617</w:t>
      </w:r>
      <w:r>
        <w:t xml:space="preserve"> </w:t>
      </w:r>
      <w:r>
        <w:t xml:space="preserve">89,230</w:t>
      </w:r>
      <w:r>
        <w:t xml:space="preserve"> </w:t>
      </w:r>
      <w:r>
        <w:t xml:space="preserve">90,506</w:t>
      </w:r>
      <w:r>
        <w:t xml:space="preserve"> </w:t>
      </w:r>
      <w:r>
        <w:t xml:space="preserve">Administrative costs savings for vessel operators due to PM8 (in</w:t>
      </w:r>
      <w:r>
        <w:t xml:space="preserve"> </w:t>
      </w:r>
      <w:r>
        <w:t xml:space="preserve">EUR)</w:t>
      </w:r>
      <w:r>
        <w:t xml:space="preserve"> </w:t>
      </w:r>
      <w:r>
        <w:t xml:space="preserve">573,281</w:t>
      </w:r>
      <w:r>
        <w:t xml:space="preserve"> </w:t>
      </w:r>
      <w:r>
        <w:t xml:space="preserve">577,246</w:t>
      </w:r>
      <w:r>
        <w:t xml:space="preserve"> </w:t>
      </w:r>
      <w:r>
        <w:t xml:space="preserve">585,501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For the purpose of the application of the ‘one in, one out’ approach, the average reduction in</w:t>
      </w:r>
      <w:r>
        <w:t xml:space="preserve"> </w:t>
      </w:r>
      <w:r>
        <w:t xml:space="preserve">the number of repeated notifications over 2026-2035 has been estimated at 88,397 per year</w:t>
      </w:r>
      <w:r>
        <w:t xml:space="preserve"> </w:t>
      </w:r>
      <w:r>
        <w:t xml:space="preserve">relative to the baseline and the average costs saved per repeated notification at EUR 6.5.</w:t>
      </w:r>
      <w:r>
        <w:t xml:space="preserve"> </w:t>
      </w:r>
      <w:r>
        <w:t xml:space="preserve">Thus, the average annual administrative costs savings for vessel operators are estimated at</w:t>
      </w:r>
      <w:r>
        <w:t xml:space="preserve"> </w:t>
      </w:r>
      <w:r>
        <w:t xml:space="preserve">EUR 0.57 million relative to the baseline.</w:t>
      </w:r>
      <w:r>
        <w:br/>
      </w:r>
      <w:r>
        <w:t xml:space="preserve">Administrative cost savings for national public authorities</w:t>
      </w:r>
      <w:r>
        <w:t xml:space="preserve"> </w:t>
      </w:r>
      <w:r>
        <w:t xml:space="preserve">As explained for PM7, the introduction of the exchange of information will reduce the need to</w:t>
      </w:r>
      <w:r>
        <w:t xml:space="preserve"> </w:t>
      </w:r>
      <w:r>
        <w:t xml:space="preserve">handle paper cargo reports. Making it compulsory will fully eliminate the paper reports.</w:t>
      </w:r>
      <w:r>
        <w:t xml:space="preserve"> </w:t>
      </w:r>
      <w:r>
        <w:t xml:space="preserve">According to the estimates provided by the Dutch authorities during the interviews, a total</w:t>
      </w:r>
      <w:r>
        <w:t xml:space="preserve"> </w:t>
      </w:r>
      <w:r>
        <w:t xml:space="preserve">elimination of the paper reports would lead to a reduction in the effort equivalent to 8 full</w:t>
      </w:r>
      <w:r>
        <w:t xml:space="preserve"> </w:t>
      </w:r>
      <w:r>
        <w:t xml:space="preserve">time equivalents (FTE) relative to the baseline in 2026. This is extrapolated to the other</w:t>
      </w:r>
      <w:r>
        <w:t xml:space="preserve"> </w:t>
      </w:r>
      <w:r>
        <w:t xml:space="preserve">Member States based on their respective transport activity (expressed in tkm) relative to that</w:t>
      </w:r>
    </w:p>
    <w:p>
      <w:pPr>
        <w:pStyle w:val="BodyText"/>
      </w:pPr>
      <w:r>
        <w:t xml:space="preserve">198 Weighted average of the tariff per hour for non-manual workers (ISCO 8 - Plant and machine operators and</w:t>
      </w:r>
      <w:r>
        <w:t xml:space="preserve"> </w:t>
      </w:r>
      <w:r>
        <w:t xml:space="preserve">assemblers) in the 13 Member State in the scope of RIS. It is based on Eurostat Structure of earnings survey and</w:t>
      </w:r>
      <w:r>
        <w:t xml:space="preserve"> </w:t>
      </w:r>
      <w:r>
        <w:t xml:space="preserve">expressed in 2022 prices.</w:t>
      </w:r>
    </w:p>
    <w:p>
      <w:pPr>
        <w:pStyle w:val="BodyText"/>
      </w:pPr>
      <w:r>
        <w:t xml:space="preserve">123</w:t>
      </w:r>
      <w:r>
        <w:t xml:space="preserve"> </w:t>
      </w:r>
      <w:r>
        <w:t xml:space="preserve">of the Netherlands. In addition, the growth in the number of paper cargo reports over time is</w:t>
      </w:r>
      <w:r>
        <w:t xml:space="preserve"> </w:t>
      </w:r>
      <w:r>
        <w:t xml:space="preserve">also taken into account. Assuming 240 working days per year and 7.3 hours of work per day</w:t>
      </w:r>
      <w:r>
        <w:t xml:space="preserve"> </w:t>
      </w:r>
      <w:r>
        <w:t xml:space="preserve">on average199, and using the tariff per hour for non-manual workers (ISCO 8 - Plant and</w:t>
      </w:r>
      <w:r>
        <w:t xml:space="preserve"> </w:t>
      </w:r>
      <w:r>
        <w:t xml:space="preserve">machine operators and assemblers) from Eurostat Structure of earnings survey, the recurrent</w:t>
      </w:r>
      <w:r>
        <w:t xml:space="preserve"> </w:t>
      </w:r>
      <w:r>
        <w:t xml:space="preserve">administrative costs savings for national public authorities are provided in Table 46.</w:t>
      </w:r>
      <w:r>
        <w:t xml:space="preserve"> </w:t>
      </w:r>
      <w:r>
        <w:t xml:space="preserve">Expressed as present value over 2025-2050, they are estimated at EUR 22.89 million relative</w:t>
      </w:r>
      <w:r>
        <w:t xml:space="preserve"> </w:t>
      </w:r>
      <w:r>
        <w:t xml:space="preserve">to the baseline.</w:t>
      </w:r>
      <w:r>
        <w:br/>
      </w:r>
      <w:r>
        <w:t xml:space="preserve">Table 46: Recurrent administrative costs savings for national public authorities due to PM8 relative to the</w:t>
      </w:r>
      <w:r>
        <w:t xml:space="preserve"> </w:t>
      </w:r>
      <w:r>
        <w:t xml:space="preserve">baseline (in EUR, in 2022 prices)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BE</w:t>
      </w:r>
      <w:r>
        <w:t xml:space="preserve"> </w:t>
      </w:r>
      <w:r>
        <w:t xml:space="preserve">102,495</w:t>
      </w:r>
      <w:r>
        <w:t xml:space="preserve"> </w:t>
      </w:r>
      <w:r>
        <w:t xml:space="preserve">113,529</w:t>
      </w:r>
      <w:r>
        <w:t xml:space="preserve"> </w:t>
      </w:r>
      <w:r>
        <w:t xml:space="preserve">121,470</w:t>
      </w:r>
      <w:r>
        <w:t xml:space="preserve"> </w:t>
      </w:r>
      <w:r>
        <w:t xml:space="preserve">BG</w:t>
      </w:r>
      <w:r>
        <w:t xml:space="preserve"> </w:t>
      </w:r>
      <w:r>
        <w:t xml:space="preserve">7,852</w:t>
      </w:r>
      <w:r>
        <w:t xml:space="preserve"> </w:t>
      </w:r>
      <w:r>
        <w:t xml:space="preserve">9,043</w:t>
      </w:r>
      <w:r>
        <w:t xml:space="preserve"> </w:t>
      </w:r>
      <w:r>
        <w:t xml:space="preserve">9,866</w:t>
      </w:r>
      <w:r>
        <w:t xml:space="preserve"> </w:t>
      </w:r>
      <w:r>
        <w:t xml:space="preserve">CZ</w:t>
      </w:r>
      <w:r>
        <w:t xml:space="preserve"> </w:t>
      </w:r>
      <w:r>
        <w:t xml:space="preserve">121</w:t>
      </w:r>
      <w:r>
        <w:t xml:space="preserve"> </w:t>
      </w:r>
      <w:r>
        <w:t xml:space="preserve">144</w:t>
      </w:r>
      <w:r>
        <w:t xml:space="preserve"> </w:t>
      </w:r>
      <w:r>
        <w:t xml:space="preserve">165</w:t>
      </w:r>
      <w:r>
        <w:t xml:space="preserve"> </w:t>
      </w:r>
      <w:r>
        <w:t xml:space="preserve">DE</w:t>
      </w:r>
      <w:r>
        <w:t xml:space="preserve"> </w:t>
      </w:r>
      <w:r>
        <w:t xml:space="preserve">555,856</w:t>
      </w:r>
      <w:r>
        <w:t xml:space="preserve"> </w:t>
      </w:r>
      <w:r>
        <w:t xml:space="preserve">610,155</w:t>
      </w:r>
      <w:r>
        <w:t xml:space="preserve"> </w:t>
      </w:r>
      <w:r>
        <w:t xml:space="preserve">677,913</w:t>
      </w:r>
      <w:r>
        <w:t xml:space="preserve"> </w:t>
      </w:r>
      <w:r>
        <w:t xml:space="preserve">FR</w:t>
      </w:r>
      <w:r>
        <w:t xml:space="preserve"> </w:t>
      </w:r>
      <w:r>
        <w:t xml:space="preserve">65,143</w:t>
      </w:r>
      <w:r>
        <w:t xml:space="preserve"> </w:t>
      </w:r>
      <w:r>
        <w:t xml:space="preserve">67,622</w:t>
      </w:r>
      <w:r>
        <w:t xml:space="preserve"> </w:t>
      </w:r>
      <w:r>
        <w:t xml:space="preserve">68,658</w:t>
      </w:r>
      <w:r>
        <w:t xml:space="preserve"> </w:t>
      </w:r>
      <w:r>
        <w:t xml:space="preserve">HR</w:t>
      </w:r>
      <w:r>
        <w:t xml:space="preserve"> </w:t>
      </w:r>
      <w:r>
        <w:t xml:space="preserve">2,683</w:t>
      </w:r>
      <w:r>
        <w:t xml:space="preserve"> </w:t>
      </w:r>
      <w:r>
        <w:t xml:space="preserve">3,181</w:t>
      </w:r>
      <w:r>
        <w:t xml:space="preserve"> </w:t>
      </w:r>
      <w:r>
        <w:t xml:space="preserve">3,503</w:t>
      </w:r>
      <w:r>
        <w:t xml:space="preserve"> </w:t>
      </w:r>
      <w:r>
        <w:t xml:space="preserve">LU</w:t>
      </w:r>
      <w:r>
        <w:t xml:space="preserve"> </w:t>
      </w:r>
      <w:r>
        <w:t xml:space="preserve">1,994</w:t>
      </w:r>
      <w:r>
        <w:t xml:space="preserve"> </w:t>
      </w:r>
      <w:r>
        <w:t xml:space="preserve">2,428</w:t>
      </w:r>
      <w:r>
        <w:t xml:space="preserve"> </w:t>
      </w:r>
      <w:r>
        <w:t xml:space="preserve">2,630</w:t>
      </w:r>
      <w:r>
        <w:t xml:space="preserve"> </w:t>
      </w:r>
      <w:r>
        <w:t xml:space="preserve">HU</w:t>
      </w:r>
      <w:r>
        <w:t xml:space="preserve"> </w:t>
      </w:r>
      <w:r>
        <w:t xml:space="preserve">5,929</w:t>
      </w:r>
      <w:r>
        <w:t xml:space="preserve"> </w:t>
      </w:r>
      <w:r>
        <w:t xml:space="preserve">7,309</w:t>
      </w:r>
      <w:r>
        <w:t xml:space="preserve"> </w:t>
      </w:r>
      <w:r>
        <w:t xml:space="preserve">7,976</w:t>
      </w:r>
      <w:r>
        <w:t xml:space="preserve"> </w:t>
      </w:r>
      <w:r>
        <w:t xml:space="preserve">NL</w:t>
      </w:r>
      <w:r>
        <w:t xml:space="preserve"> </w:t>
      </w:r>
      <w:r>
        <w:t xml:space="preserve">445,031</w:t>
      </w:r>
      <w:r>
        <w:t xml:space="preserve"> </w:t>
      </w:r>
      <w:r>
        <w:t xml:space="preserve">477,352</w:t>
      </w:r>
      <w:r>
        <w:t xml:space="preserve"> </w:t>
      </w:r>
      <w:r>
        <w:t xml:space="preserve">509,722</w:t>
      </w:r>
      <w:r>
        <w:t xml:space="preserve"> </w:t>
      </w:r>
      <w:r>
        <w:t xml:space="preserve">AT</w:t>
      </w:r>
      <w:r>
        <w:t xml:space="preserve"> </w:t>
      </w:r>
      <w:r>
        <w:t xml:space="preserve">19,046</w:t>
      </w:r>
      <w:r>
        <w:t xml:space="preserve"> </w:t>
      </w:r>
      <w:r>
        <w:t xml:space="preserve">20,137</w:t>
      </w:r>
      <w:r>
        <w:t xml:space="preserve"> </w:t>
      </w:r>
      <w:r>
        <w:t xml:space="preserve">20,458</w:t>
      </w:r>
      <w:r>
        <w:t xml:space="preserve"> </w:t>
      </w:r>
      <w:r>
        <w:t xml:space="preserve">PL</w:t>
      </w:r>
      <w:r>
        <w:t xml:space="preserve"> </w:t>
      </w:r>
      <w:r>
        <w:t xml:space="preserve">366</w:t>
      </w:r>
      <w:r>
        <w:t xml:space="preserve"> </w:t>
      </w:r>
      <w:r>
        <w:t xml:space="preserve">522</w:t>
      </w:r>
      <w:r>
        <w:t xml:space="preserve"> </w:t>
      </w:r>
      <w:r>
        <w:t xml:space="preserve">587</w:t>
      </w:r>
      <w:r>
        <w:t xml:space="preserve"> </w:t>
      </w:r>
      <w:r>
        <w:t xml:space="preserve">RO</w:t>
      </w:r>
      <w:r>
        <w:t xml:space="preserve"> </w:t>
      </w:r>
      <w:r>
        <w:t xml:space="preserve">37,424</w:t>
      </w:r>
      <w:r>
        <w:t xml:space="preserve"> </w:t>
      </w:r>
      <w:r>
        <w:t xml:space="preserve">41,182</w:t>
      </w:r>
      <w:r>
        <w:t xml:space="preserve"> </w:t>
      </w:r>
      <w:r>
        <w:t xml:space="preserve">45,643</w:t>
      </w:r>
      <w:r>
        <w:t xml:space="preserve"> </w:t>
      </w:r>
      <w:r>
        <w:t xml:space="preserve">SK</w:t>
      </w:r>
      <w:r>
        <w:t xml:space="preserve"> </w:t>
      </w:r>
      <w:r>
        <w:t xml:space="preserve">3,192</w:t>
      </w:r>
      <w:r>
        <w:t xml:space="preserve"> </w:t>
      </w:r>
      <w:r>
        <w:t xml:space="preserve">3,431</w:t>
      </w:r>
      <w:r>
        <w:t xml:space="preserve"> </w:t>
      </w:r>
      <w:r>
        <w:t xml:space="preserve">3,650</w:t>
      </w:r>
      <w:r>
        <w:t xml:space="preserve"> </w:t>
      </w:r>
      <w:r>
        <w:t xml:space="preserve">Total</w:t>
      </w:r>
      <w:r>
        <w:t xml:space="preserve"> </w:t>
      </w:r>
      <w:r>
        <w:t xml:space="preserve">1,247,133</w:t>
      </w:r>
      <w:r>
        <w:t xml:space="preserve"> </w:t>
      </w:r>
      <w:r>
        <w:t xml:space="preserve">1,356,036</w:t>
      </w:r>
      <w:r>
        <w:t xml:space="preserve"> </w:t>
      </w:r>
      <w:r>
        <w:t xml:space="preserve">1,472,240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PM9: Require information exchange through a RIS platform</w:t>
      </w:r>
      <w:r>
        <w:br/>
      </w:r>
      <w:r>
        <w:t xml:space="preserve">This measure envisages the use of a single digital platform for the exchange of RIS</w:t>
      </w:r>
      <w:r>
        <w:t xml:space="preserve"> </w:t>
      </w:r>
      <w:r>
        <w:t xml:space="preserve">information. Given the existence of RIS COMEX and to avoid duplication of efforts, this</w:t>
      </w:r>
      <w:r>
        <w:t xml:space="preserve"> </w:t>
      </w:r>
      <w:r>
        <w:t xml:space="preserve">measure would require Member States to exchange information through the RIS COMEX</w:t>
      </w:r>
      <w:r>
        <w:t xml:space="preserve"> </w:t>
      </w:r>
      <w:r>
        <w:t xml:space="preserve">platform. RIS COMEX was a CEF funded multi-beneficiary project aiming at the definition,</w:t>
      </w:r>
      <w:r>
        <w:t xml:space="preserve"> </w:t>
      </w:r>
      <w:r>
        <w:t xml:space="preserve">specification, implementation and sustainable operation of Corridor RIS Services. Following</w:t>
      </w:r>
      <w:r>
        <w:t xml:space="preserve"> </w:t>
      </w:r>
      <w:r>
        <w:t xml:space="preserve">the project conclusion in 2022, the 13 participating Member States200 of the connected</w:t>
      </w:r>
      <w:r>
        <w:t xml:space="preserve"> </w:t>
      </w:r>
      <w:r>
        <w:t xml:space="preserve">European Inland Waterway Network and their authorities continue the use of the system</w:t>
      </w:r>
      <w:r>
        <w:t xml:space="preserve"> </w:t>
      </w:r>
      <w:r>
        <w:t xml:space="preserve">under a separate European Corridor Management Agreement201. The result of the RIS</w:t>
      </w:r>
      <w:r>
        <w:t xml:space="preserve"> </w:t>
      </w:r>
      <w:r>
        <w:t xml:space="preserve">COMEX project is thus currently used on a voluntary basis by the Member States that apply</w:t>
      </w:r>
      <w:r>
        <w:t xml:space="preserve"> </w:t>
      </w:r>
      <w:r>
        <w:t xml:space="preserve">RIS, as a one stop shop of exchange of data. For example, through the EuRIS - European</w:t>
      </w:r>
      <w:r>
        <w:t xml:space="preserve"> </w:t>
      </w:r>
      <w:r>
        <w:t xml:space="preserve">River Information Services platform (www.eurisportal.eu) waterway users can plan their</w:t>
      </w:r>
      <w:r>
        <w:t xml:space="preserve"> </w:t>
      </w:r>
      <w:r>
        <w:t xml:space="preserve">travel and arrival times across Europe in one environment, without the need to consult</w:t>
      </w:r>
      <w:r>
        <w:t xml:space="preserve"> </w:t>
      </w:r>
      <w:r>
        <w:t xml:space="preserve">numerous websites and information sources (especially when crossing borders). The project is</w:t>
      </w:r>
      <w:r>
        <w:t xml:space="preserve"> </w:t>
      </w:r>
      <w:r>
        <w:t xml:space="preserve">entering a second phase (RIS COMEX 2) as in June 2023 it was selected for CEF funding</w:t>
      </w:r>
      <w:r>
        <w:t xml:space="preserve"> </w:t>
      </w:r>
      <w:r>
        <w:t xml:space="preserve">with Poland joining as a partner. This indicates the interest of the Member States to continue</w:t>
      </w:r>
      <w:r>
        <w:t xml:space="preserve"> </w:t>
      </w:r>
      <w:r>
        <w:t xml:space="preserve">with this platform as a basis for RIS. RIS COMEX 2 shall continue the work of the first stage</w:t>
      </w:r>
    </w:p>
    <w:p>
      <w:pPr>
        <w:pStyle w:val="BodyText"/>
      </w:pPr>
      <w:r>
        <w:t xml:space="preserve">199 Hours of work - annual statistics - Statistics Explained (europa.eu)</w:t>
      </w:r>
      <w:r>
        <w:t xml:space="preserve"> </w:t>
      </w:r>
      <w:r>
        <w:t xml:space="preserve">200 The current partnership consists of the following countries: Austria, Belgium, Bulgaria, Croatia, Czechia</w:t>
      </w:r>
      <w:r>
        <w:t xml:space="preserve"> </w:t>
      </w:r>
      <w:r>
        <w:t xml:space="preserve">France, Germany, Hungary, Luxembourg, the Netherlands, Romania, Serbia and Slovakia.</w:t>
      </w:r>
      <w:r>
        <w:t xml:space="preserve"> </w:t>
      </w:r>
      <w:r>
        <w:t xml:space="preserve">201 The agreement defines the governance structure, financing, sharing of costs, and other elements such as the</w:t>
      </w:r>
      <w:r>
        <w:t xml:space="preserve"> </w:t>
      </w:r>
      <w:r>
        <w:t xml:space="preserve">“Partnership Coordinator”</w:t>
      </w:r>
      <w:r>
        <w:t xml:space="preserve"> </w:t>
      </w:r>
      <w:r>
        <w:t xml:space="preserve">who manages the platform.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(RIS COMEX) by extending the quantity and quality of the related services and provided</w:t>
      </w:r>
      <w:r>
        <w:t xml:space="preserve"> </w:t>
      </w:r>
      <w:r>
        <w:t xml:space="preserve">data, by extending the geographical scope to additional waterways and even to additional</w:t>
      </w:r>
      <w:r>
        <w:t xml:space="preserve"> </w:t>
      </w:r>
      <w:r>
        <w:t xml:space="preserve">countries (Poland), as well as by focusing on interconnections and integrations of existing</w:t>
      </w:r>
      <w:r>
        <w:t xml:space="preserve"> </w:t>
      </w:r>
      <w:r>
        <w:t xml:space="preserve">systems and services.</w:t>
      </w:r>
      <w:r>
        <w:br/>
      </w:r>
      <w:r>
        <w:t xml:space="preserve">PM9 will mandate the use of RIS COMEX202, ensuring that a common structure is in place -</w:t>
      </w:r>
      <w:r>
        <w:t xml:space="preserve"> </w:t>
      </w:r>
      <w:r>
        <w:t xml:space="preserve">one where all additional functionalities will be built upon. In this respect, PM9 will be the</w:t>
      </w:r>
      <w:r>
        <w:t xml:space="preserve"> </w:t>
      </w:r>
      <w:r>
        <w:t xml:space="preserve">basic element for implementing the exchange of RIS information and works in combination</w:t>
      </w:r>
      <w:r>
        <w:t xml:space="preserve"> </w:t>
      </w:r>
      <w:r>
        <w:t xml:space="preserve">with other measures of this initiative (e.g. PM4, PM6, PM8, PM12, PM14). By mandating the</w:t>
      </w:r>
      <w:r>
        <w:t xml:space="preserve"> </w:t>
      </w:r>
      <w:r>
        <w:t xml:space="preserve">use of RIS COMEX, efficient use of EU funds is ensured, as the development was already</w:t>
      </w:r>
      <w:r>
        <w:t xml:space="preserve"> </w:t>
      </w:r>
      <w:r>
        <w:t xml:space="preserve">supported under CEF, and duplication of efforts (e.g. by developing another system) is</w:t>
      </w:r>
      <w:r>
        <w:t xml:space="preserve"> </w:t>
      </w:r>
      <w:r>
        <w:t xml:space="preserve">avoided.</w:t>
      </w:r>
      <w:r>
        <w:br/>
      </w:r>
      <w:r>
        <w:t xml:space="preserve">Adjustment costs for national public authorities</w:t>
      </w:r>
      <w:r>
        <w:t xml:space="preserve"> </w:t>
      </w:r>
      <w:r>
        <w:t xml:space="preserve">One-off investment costs for national public authorities are expected due to PM9. They cover</w:t>
      </w:r>
      <w:r>
        <w:t xml:space="preserve"> </w:t>
      </w:r>
      <w:r>
        <w:t xml:space="preserve">those countries that were not part of the initial RIS COMEX project (e.g. Italy, Spain,</w:t>
      </w:r>
      <w:r>
        <w:t xml:space="preserve"> </w:t>
      </w:r>
      <w:r>
        <w:t xml:space="preserve">Portugal) and who will need to develop the necessary digital applications. They also cover</w:t>
      </w:r>
      <w:r>
        <w:t xml:space="preserve"> </w:t>
      </w:r>
      <w:r>
        <w:t xml:space="preserve">elements in RIS COMEX that will need to be updated/completed (for example, the inland</w:t>
      </w:r>
      <w:r>
        <w:t xml:space="preserve"> </w:t>
      </w:r>
      <w:r>
        <w:t xml:space="preserve">waters of a maritime character in Germany are missing). The one-off adjustment costs for</w:t>
      </w:r>
      <w:r>
        <w:t xml:space="preserve"> </w:t>
      </w:r>
      <w:r>
        <w:t xml:space="preserve">national public authorities are estimated at EUR 3.5 million in 2025 relative to the baseline.</w:t>
      </w:r>
      <w:r>
        <w:t xml:space="preserve"> </w:t>
      </w:r>
      <w:r>
        <w:t xml:space="preserve">Administrative costs savings for national public authorities</w:t>
      </w:r>
      <w:r>
        <w:t xml:space="preserve"> </w:t>
      </w:r>
      <w:r>
        <w:t xml:space="preserve">The ultimate aim of PM9 is to replace the national platforms that currently coexist. This can</w:t>
      </w:r>
      <w:r>
        <w:t xml:space="preserve"> </w:t>
      </w:r>
      <w:r>
        <w:t xml:space="preserve">only happen if the functionality of RIS COMEX is equivalent to that of the national platforms</w:t>
      </w:r>
      <w:r>
        <w:t xml:space="preserve"> </w:t>
      </w:r>
      <w:r>
        <w:t xml:space="preserve">and can also serve a broader purpose, such as providing information on waterways</w:t>
      </w:r>
      <w:r>
        <w:t xml:space="preserve"> </w:t>
      </w:r>
      <w:r>
        <w:t xml:space="preserve">exclusively navigable for recreational navigation. When this is achieved, it is expected that</w:t>
      </w:r>
      <w:r>
        <w:t xml:space="preserve"> </w:t>
      </w:r>
      <w:r>
        <w:t xml:space="preserve">the existing national platforms would be phased out. PM9 would thus lead to recurrent</w:t>
      </w:r>
      <w:r>
        <w:t xml:space="preserve"> </w:t>
      </w:r>
      <w:r>
        <w:t xml:space="preserve">administrative costs savings estimated at EUR 500,000 per year from 2030 onwards.</w:t>
      </w:r>
      <w:r>
        <w:t xml:space="preserve"> </w:t>
      </w:r>
      <w:r>
        <w:t xml:space="preserve">Expressed as present value over 2025-2050, they are estimated at EUR 7.71 million relative to</w:t>
      </w:r>
      <w:r>
        <w:t xml:space="preserve"> </w:t>
      </w:r>
      <w:r>
        <w:t xml:space="preserve">the baseline.</w:t>
      </w:r>
      <w:r>
        <w:br/>
      </w:r>
      <w:r>
        <w:t xml:space="preserve">Adjustment cost savings for navigation software service providers</w:t>
      </w:r>
      <w:r>
        <w:t xml:space="preserve"> </w:t>
      </w:r>
      <w:r>
        <w:t xml:space="preserve">Using RIS COMEX as a central platform will benefit navigation software providers, as they</w:t>
      </w:r>
      <w:r>
        <w:t xml:space="preserve"> </w:t>
      </w:r>
      <w:r>
        <w:t xml:space="preserve">can obtain information from a central place, instead of referring to various individual</w:t>
      </w:r>
      <w:r>
        <w:t xml:space="preserve"> </w:t>
      </w:r>
      <w:r>
        <w:t xml:space="preserve">platforms of the European RIS authorities. As explained above, in the baseline scenario, the</w:t>
      </w:r>
      <w:r>
        <w:t xml:space="preserve"> </w:t>
      </w:r>
      <w:r>
        <w:t xml:space="preserve">average cost for software service providers for introducing the data into their systems is</w:t>
      </w:r>
      <w:r>
        <w:t xml:space="preserve"> </w:t>
      </w:r>
      <w:r>
        <w:t xml:space="preserve">estimated at EUR 452 per year, per vessel (in 2022 prices)203. Based on feedback from</w:t>
      </w:r>
      <w:r>
        <w:t xml:space="preserve"> </w:t>
      </w:r>
      <w:r>
        <w:t xml:space="preserve">software services providers in the context of stakeholders’ consultation, PM9 would allow to</w:t>
      </w:r>
      <w:r>
        <w:t xml:space="preserve"> </w:t>
      </w:r>
      <w:r>
        <w:t xml:space="preserve">reduce the average cost per vessel by 1% relative to the baseline (i.e. EUR 4.52 saved per</w:t>
      </w:r>
      <w:r>
        <w:t xml:space="preserve"> </w:t>
      </w:r>
      <w:r>
        <w:t xml:space="preserve">vessel) from 2026 onwards. The recurrent adjustment costs savings for navigation software</w:t>
      </w:r>
    </w:p>
    <w:p>
      <w:pPr>
        <w:pStyle w:val="BodyText"/>
      </w:pPr>
      <w:r>
        <w:t xml:space="preserve">202 While RIS COMEX has resulted in different applications, this measure uses the term RIS COMEX to refer to</w:t>
      </w:r>
      <w:r>
        <w:t xml:space="preserve"> </w:t>
      </w:r>
      <w:r>
        <w:t xml:space="preserve">the overall results of the project as applied by the EU Member States.</w:t>
      </w:r>
      <w:r>
        <w:t xml:space="preserve"> </w:t>
      </w:r>
      <w:r>
        <w:t xml:space="preserve">203 Ludden, V. et al., (2020): Study supporting the evaluation of Directive 2005/44/EC on Harmonised River</w:t>
      </w:r>
      <w:r>
        <w:t xml:space="preserve"> </w:t>
      </w:r>
      <w:r>
        <w:t xml:space="preserve">Information Services (RIS). Ramboll, University of Antwerp and DLA Piper. The average cost in the study is</w:t>
      </w:r>
      <w:r>
        <w:t xml:space="preserve"> </w:t>
      </w:r>
      <w:r>
        <w:t xml:space="preserve">expressed in 2019 prices. For the purpose of this impact assessment, it has been transformed in 2022 prices using</w:t>
      </w:r>
      <w:r>
        <w:t xml:space="preserve"> </w:t>
      </w:r>
      <w:r>
        <w:t xml:space="preserve">the harmonised consumer price index for Belgium from Eurostat because the two navigation software service</w:t>
      </w:r>
      <w:r>
        <w:t xml:space="preserve"> </w:t>
      </w:r>
      <w:r>
        <w:t xml:space="preserve">providers that serve around 90% of the market are based in Belgium.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service providers for 2030, 2040 and 2050, relative to the baseline, are provided in Table 47.</w:t>
      </w:r>
      <w:r>
        <w:t xml:space="preserve"> </w:t>
      </w:r>
      <w:r>
        <w:t xml:space="preserve">Expressed as present value over 2025-2050, they are estimated at EUR 1.25 million relative to</w:t>
      </w:r>
      <w:r>
        <w:t xml:space="preserve"> </w:t>
      </w:r>
      <w:r>
        <w:t xml:space="preserve">the baseline (in 2022 prices)204.</w:t>
      </w:r>
      <w:r>
        <w:br/>
      </w:r>
      <w:r>
        <w:t xml:space="preserve">Table 47: Recurrent adjustment costs savings for navigation software service providers due to PM9</w:t>
      </w:r>
      <w:r>
        <w:t xml:space="preserve"> </w:t>
      </w:r>
      <w:r>
        <w:t xml:space="preserve">relative to the baseline (in EUR, in 2022 prices)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vessels</w:t>
      </w:r>
      <w:r>
        <w:t xml:space="preserve"> </w:t>
      </w:r>
      <w:r>
        <w:t xml:space="preserve">15,838</w:t>
      </w:r>
      <w:r>
        <w:t xml:space="preserve"> </w:t>
      </w:r>
      <w:r>
        <w:t xml:space="preserve">15,996</w:t>
      </w:r>
      <w:r>
        <w:t xml:space="preserve"> </w:t>
      </w:r>
      <w:r>
        <w:t xml:space="preserve">16,131</w:t>
      </w:r>
      <w:r>
        <w:t xml:space="preserve"> </w:t>
      </w:r>
      <w:r>
        <w:t xml:space="preserve">Average costs savings for navigation software service</w:t>
      </w:r>
      <w:r>
        <w:t xml:space="preserve"> </w:t>
      </w:r>
      <w:r>
        <w:t xml:space="preserve">providers per vessel (in EUR)</w:t>
      </w:r>
      <w:r>
        <w:t xml:space="preserve"> </w:t>
      </w:r>
      <w:r>
        <w:t xml:space="preserve">4.52</w:t>
      </w:r>
      <w:r>
        <w:t xml:space="preserve"> </w:t>
      </w:r>
      <w:r>
        <w:t xml:space="preserve">4.52</w:t>
      </w:r>
      <w:r>
        <w:t xml:space="preserve"> </w:t>
      </w:r>
      <w:r>
        <w:t xml:space="preserve">4.52</w:t>
      </w:r>
      <w:r>
        <w:t xml:space="preserve"> </w:t>
      </w:r>
      <w:r>
        <w:t xml:space="preserve">Adjustment costs savings for navigation software service</w:t>
      </w:r>
      <w:r>
        <w:t xml:space="preserve"> </w:t>
      </w:r>
      <w:r>
        <w:t xml:space="preserve">providers (in EUR)</w:t>
      </w:r>
      <w:r>
        <w:t xml:space="preserve"> </w:t>
      </w:r>
      <w:r>
        <w:t xml:space="preserve">71,552</w:t>
      </w:r>
      <w:r>
        <w:t xml:space="preserve"> </w:t>
      </w:r>
      <w:r>
        <w:t xml:space="preserve">72,266</w:t>
      </w:r>
      <w:r>
        <w:t xml:space="preserve"> </w:t>
      </w:r>
      <w:r>
        <w:t xml:space="preserve">72,876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Adjustment cost savings for vessel operators</w:t>
      </w:r>
      <w:r>
        <w:t xml:space="preserve"> </w:t>
      </w:r>
      <w:r>
        <w:t xml:space="preserve">PM9 is expected to lead to significant recurrent adjustment costs savings for vessel operators</w:t>
      </w:r>
      <w:r>
        <w:t xml:space="preserve"> </w:t>
      </w:r>
      <w:r>
        <w:t xml:space="preserve">for voyage planning. While several national RIS portals had to be consulted by a vessel</w:t>
      </w:r>
      <w:r>
        <w:t xml:space="preserve"> </w:t>
      </w:r>
      <w:r>
        <w:t xml:space="preserve">operator for voyage planning in the baseline, all relevant information is now offered by a</w:t>
      </w:r>
      <w:r>
        <w:t xml:space="preserve"> </w:t>
      </w:r>
      <w:r>
        <w:t xml:space="preserve">single portal within RIS COMEX (EuRIS portal). In the baseline scenario the time required</w:t>
      </w:r>
      <w:r>
        <w:t xml:space="preserve"> </w:t>
      </w:r>
      <w:r>
        <w:t xml:space="preserve">for preparing an international trip is estimated at 15 minutes. In PM9, a 50% reduction in the</w:t>
      </w:r>
      <w:r>
        <w:t xml:space="preserve"> </w:t>
      </w:r>
      <w:r>
        <w:t xml:space="preserve">time required for preparing an international voyage is assumed (7.5 minutes) from 2026</w:t>
      </w:r>
      <w:r>
        <w:t xml:space="preserve"> </w:t>
      </w:r>
      <w:r>
        <w:t xml:space="preserve">onwards relative to the baseline, based on stakeholders’ feedback. The recurrent adjustment</w:t>
      </w:r>
      <w:r>
        <w:t xml:space="preserve"> </w:t>
      </w:r>
      <w:r>
        <w:t xml:space="preserve">costs savings for vessel operators are derived based on the time saved for the preparation of a</w:t>
      </w:r>
      <w:r>
        <w:t xml:space="preserve"> </w:t>
      </w:r>
      <w:r>
        <w:t xml:space="preserve">trip, the labour cost per hour (EUR 26.7 per hour205) and the projected number of border</w:t>
      </w:r>
      <w:r>
        <w:t xml:space="preserve"> </w:t>
      </w:r>
      <w:r>
        <w:t xml:space="preserve">crossings and are provided in Table 48. Expressed as present value over 2025-2050, they are</w:t>
      </w:r>
      <w:r>
        <w:t xml:space="preserve"> </w:t>
      </w:r>
      <w:r>
        <w:t xml:space="preserve">estimated at EUR 37.16 million relative to the baseline (in 2022 prices).</w:t>
      </w:r>
      <w:r>
        <w:br/>
      </w:r>
      <w:r>
        <w:t xml:space="preserve">Table 48: Recurrent adjustment costs savings for vessels operators due to PM9 relative to the baseline (in</w:t>
      </w:r>
      <w:r>
        <w:t xml:space="preserve"> </w:t>
      </w:r>
      <w:r>
        <w:t xml:space="preserve">million EUR, in 2022 prices)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border crossings per year</w:t>
      </w:r>
      <w:r>
        <w:t xml:space="preserve"> </w:t>
      </w:r>
      <w:r>
        <w:t xml:space="preserve">443,324</w:t>
      </w:r>
      <w:r>
        <w:t xml:space="preserve"> </w:t>
      </w:r>
      <w:r>
        <w:t xml:space="preserve">446,395</w:t>
      </w:r>
      <w:r>
        <w:t xml:space="preserve"> </w:t>
      </w:r>
      <w:r>
        <w:t xml:space="preserve">452,776</w:t>
      </w:r>
      <w:r>
        <w:t xml:space="preserve"> </w:t>
      </w:r>
      <w:r>
        <w:t xml:space="preserve">Adjustment costs savings for vessel operators (in million</w:t>
      </w:r>
      <w:r>
        <w:t xml:space="preserve"> </w:t>
      </w:r>
      <w:r>
        <w:t xml:space="preserve">EUR)</w:t>
      </w:r>
      <w:r>
        <w:t xml:space="preserve"> </w:t>
      </w:r>
      <w:r>
        <w:t xml:space="preserve">1.48</w:t>
      </w:r>
      <w:r>
        <w:t xml:space="preserve"> </w:t>
      </w:r>
      <w:r>
        <w:t xml:space="preserve">1.49</w:t>
      </w:r>
      <w:r>
        <w:t xml:space="preserve"> </w:t>
      </w:r>
      <w:r>
        <w:t xml:space="preserve">1.51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Administrative cost savings for vessel operators</w:t>
      </w:r>
      <w:r>
        <w:t xml:space="preserve"> </w:t>
      </w:r>
      <w:r>
        <w:t xml:space="preserve">CEERIS was developed under the RIS COMEX banner. This tool should enable vessel</w:t>
      </w:r>
      <w:r>
        <w:t xml:space="preserve"> </w:t>
      </w:r>
      <w:r>
        <w:t xml:space="preserve">operators on the Danube to benefit of a one-stop-shop application for electronic reporting of</w:t>
      </w:r>
      <w:r>
        <w:t xml:space="preserve"> </w:t>
      </w:r>
      <w:r>
        <w:t xml:space="preserve">cargo and voyage data. When the use of RIS COMEX, including thus the CEERIS tool,</w:t>
      </w:r>
      <w:r>
        <w:t xml:space="preserve"> </w:t>
      </w:r>
      <w:r>
        <w:t xml:space="preserve">becomes mandatory, vessel operators on the Danube will benefit from a single electronic</w:t>
      </w:r>
      <w:r>
        <w:t xml:space="preserve"> </w:t>
      </w:r>
      <w:r>
        <w:t xml:space="preserve">notification of cargo data. Based on the interviews and stakeholders’ survey, repeated</w:t>
      </w:r>
      <w:r>
        <w:t xml:space="preserve"> </w:t>
      </w:r>
      <w:r>
        <w:t xml:space="preserve">notifications take around 15 minutes per vessel operator. PM9 is expected to reduce the share</w:t>
      </w:r>
      <w:r>
        <w:t xml:space="preserve"> </w:t>
      </w:r>
      <w:r>
        <w:t xml:space="preserve">of repeated notifications by 8 percentage points relative to the baseline from 2026 onwards.</w:t>
      </w:r>
    </w:p>
    <w:p>
      <w:pPr>
        <w:pStyle w:val="BodyText"/>
      </w:pPr>
      <w:r>
        <w:t xml:space="preserve">204 Part of these costs savings benefiting software provides may be passed through to the vessel operators,</w:t>
      </w:r>
      <w:r>
        <w:t xml:space="preserve"> </w:t>
      </w:r>
      <w:r>
        <w:t xml:space="preserve">although it is not possible to assess the share of the costs savings passed through.</w:t>
      </w:r>
      <w:r>
        <w:t xml:space="preserve"> </w:t>
      </w:r>
      <w:r>
        <w:t xml:space="preserve">205 Weighted average of the tariff per hour for non-manual workers (ISCO 8 - Plant and machine operators and</w:t>
      </w:r>
      <w:r>
        <w:t xml:space="preserve"> </w:t>
      </w:r>
      <w:r>
        <w:t xml:space="preserve">assemblers) in the 13 Member State in the scope of RIS. It is based on Eurostat Structure of earnings survey and</w:t>
      </w:r>
      <w:r>
        <w:t xml:space="preserve"> </w:t>
      </w:r>
      <w:r>
        <w:t xml:space="preserve">expressed in 2022 prices.</w:t>
      </w:r>
    </w:p>
    <w:p>
      <w:pPr>
        <w:pStyle w:val="BodyText"/>
      </w:pPr>
      <w:r>
        <w:t xml:space="preserve">126</w:t>
      </w:r>
      <w:r>
        <w:t xml:space="preserve"> </w:t>
      </w:r>
      <w:r>
        <w:t xml:space="preserve">Considering the labour cost per hour (EUR 26.7 per hour206), the administrative cost savings</w:t>
      </w:r>
      <w:r>
        <w:t xml:space="preserve"> </w:t>
      </w:r>
      <w:r>
        <w:t xml:space="preserve">for vessels operators due to PM9 relative to the baseline are provided in Table 49. Expressed</w:t>
      </w:r>
      <w:r>
        <w:t xml:space="preserve"> </w:t>
      </w:r>
      <w:r>
        <w:t xml:space="preserve">as present value over 2025-2050, they are estimated at EUR 3.9 million relative to the</w:t>
      </w:r>
      <w:r>
        <w:t xml:space="preserve"> </w:t>
      </w:r>
      <w:r>
        <w:t xml:space="preserve">baseline.</w:t>
      </w:r>
      <w:r>
        <w:br/>
      </w:r>
      <w:r>
        <w:t xml:space="preserve">Table 49: Recurrent administrative costs savings for vessels operators due to PM9 relative to the baseline</w:t>
      </w:r>
      <w:r>
        <w:t xml:space="preserve"> </w:t>
      </w:r>
      <w:r>
        <w:t xml:space="preserve">(in EUR, in 2022 prices)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border crossings requiring repeated notifications in the</w:t>
      </w:r>
      <w:r>
        <w:t xml:space="preserve"> </w:t>
      </w:r>
      <w:r>
        <w:t xml:space="preserve">baseline</w:t>
      </w:r>
      <w:r>
        <w:t xml:space="preserve"> </w:t>
      </w:r>
      <w:r>
        <w:t xml:space="preserve">132,997</w:t>
      </w:r>
      <w:r>
        <w:t xml:space="preserve"> </w:t>
      </w:r>
      <w:r>
        <w:t xml:space="preserve">133,918</w:t>
      </w:r>
      <w:r>
        <w:t xml:space="preserve"> </w:t>
      </w:r>
      <w:r>
        <w:t xml:space="preserve">135,833</w:t>
      </w:r>
      <w:r>
        <w:t xml:space="preserve"> </w:t>
      </w:r>
      <w:r>
        <w:t xml:space="preserve">Reduction in the number of repeated notifications due to PM9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34,534</w:t>
      </w:r>
      <w:r>
        <w:t xml:space="preserve"> </w:t>
      </w:r>
      <w:r>
        <w:t xml:space="preserve">34,773</w:t>
      </w:r>
      <w:r>
        <w:t xml:space="preserve"> </w:t>
      </w:r>
      <w:r>
        <w:t xml:space="preserve">35,271</w:t>
      </w:r>
      <w:r>
        <w:t xml:space="preserve"> </w:t>
      </w:r>
      <w:r>
        <w:t xml:space="preserve">Administrative costs savings for vessel operators due to PM9 (in</w:t>
      </w:r>
      <w:r>
        <w:t xml:space="preserve"> </w:t>
      </w:r>
      <w:r>
        <w:t xml:space="preserve">EUR)</w:t>
      </w:r>
      <w:r>
        <w:t xml:space="preserve"> </w:t>
      </w:r>
      <w:r>
        <w:t xml:space="preserve">223,407</w:t>
      </w:r>
      <w:r>
        <w:t xml:space="preserve"> </w:t>
      </w:r>
      <w:r>
        <w:t xml:space="preserve">224,953</w:t>
      </w:r>
      <w:r>
        <w:t xml:space="preserve"> </w:t>
      </w:r>
      <w:r>
        <w:t xml:space="preserve">228,175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For the purpose of the application of the ‘one in, one out’ approach, the average reduction in</w:t>
      </w:r>
      <w:r>
        <w:t xml:space="preserve"> </w:t>
      </w:r>
      <w:r>
        <w:t xml:space="preserve">the number of repeated notifications over 2026-2035 has been estimated at 34,448 per year</w:t>
      </w:r>
      <w:r>
        <w:t xml:space="preserve"> </w:t>
      </w:r>
      <w:r>
        <w:t xml:space="preserve">relative to the baseline and the average costs saved per repeated notification at EUR 6.5.</w:t>
      </w:r>
      <w:r>
        <w:t xml:space="preserve"> </w:t>
      </w:r>
      <w:r>
        <w:t xml:space="preserve">Thus, the average annual administrative costs savings for vessel operators are estimated at</w:t>
      </w:r>
      <w:r>
        <w:t xml:space="preserve"> </w:t>
      </w:r>
      <w:r>
        <w:t xml:space="preserve">EUR 0.22 million relative to the baseline.</w:t>
      </w:r>
      <w:r>
        <w:br/>
      </w:r>
      <w:r>
        <w:t xml:space="preserve">PM10: Involve CESNI in the development and adoption of technical specifications </w:t>
      </w:r>
      <w:r>
        <w:t xml:space="preserve"> </w:t>
      </w:r>
      <w:r>
        <w:t xml:space="preserve">To ensure faster development of technical specifications, this measure will designate CESNI</w:t>
      </w:r>
      <w:r>
        <w:t xml:space="preserve"> </w:t>
      </w:r>
      <w:r>
        <w:t xml:space="preserve">(the European Committee for drawing up standards in the field of inland navigation) as the</w:t>
      </w:r>
      <w:r>
        <w:t xml:space="preserve"> </w:t>
      </w:r>
      <w:r>
        <w:t xml:space="preserve">relevant body for developing RIS related technical specifications. CESNI has already been</w:t>
      </w:r>
      <w:r>
        <w:t xml:space="preserve"> </w:t>
      </w:r>
      <w:r>
        <w:t xml:space="preserve">designated in this role in Directive (EU) 2016/1629 on Technical Requirements for inland</w:t>
      </w:r>
      <w:r>
        <w:t xml:space="preserve"> </w:t>
      </w:r>
      <w:r>
        <w:t xml:space="preserve">waterway vessels and Directive (EU) 2017/2397 on professional qualifications in inland</w:t>
      </w:r>
      <w:r>
        <w:t xml:space="preserve"> </w:t>
      </w:r>
      <w:r>
        <w:t xml:space="preserve">navigation.</w:t>
      </w:r>
      <w:r>
        <w:t xml:space="preserve"> </w:t>
      </w:r>
      <w:r>
        <w:t xml:space="preserve">Adjustment costs for national public authorities / European Commission</w:t>
      </w:r>
      <w:r>
        <w:t xml:space="preserve"> </w:t>
      </w:r>
      <w:r>
        <w:t xml:space="preserve">There is already a CESNI working group responsible for RIS technical specifications.</w:t>
      </w:r>
      <w:r>
        <w:t xml:space="preserve"> </w:t>
      </w:r>
      <w:r>
        <w:t xml:space="preserve">Therefore, PM10 can be understood as formalising a mandate to CESNI207 for the</w:t>
      </w:r>
      <w:r>
        <w:t xml:space="preserve"> </w:t>
      </w:r>
      <w:r>
        <w:t xml:space="preserve">development of the technical specifications. In this context, this is a task that can be</w:t>
      </w:r>
      <w:r>
        <w:t xml:space="preserve"> </w:t>
      </w:r>
      <w:r>
        <w:t xml:space="preserve">considered within the mandate of the working group and, therefore it is not expected to lead</w:t>
      </w:r>
      <w:r>
        <w:t xml:space="preserve"> </w:t>
      </w:r>
      <w:r>
        <w:t xml:space="preserve">to additional costs relative to the baseline even if the work programme should be adapted.</w:t>
      </w:r>
      <w:r>
        <w:br/>
      </w:r>
      <w:r>
        <w:t xml:space="preserve">Adjustment cost savings for vessel operators</w:t>
      </w:r>
      <w:r>
        <w:t xml:space="preserve"> </w:t>
      </w:r>
      <w:r>
        <w:t xml:space="preserve">Vessel operators might benefit from faster application of technical specifications fostered by</w:t>
      </w:r>
      <w:r>
        <w:t xml:space="preserve"> </w:t>
      </w:r>
      <w:r>
        <w:t xml:space="preserve">stronger engagement of CESNI. This is, however, hard to quantify and the magnitude of the</w:t>
      </w:r>
      <w:r>
        <w:t xml:space="preserve"> </w:t>
      </w:r>
      <w:r>
        <w:t xml:space="preserve">effect is expected to be limited.</w:t>
      </w:r>
    </w:p>
    <w:p>
      <w:pPr>
        <w:pStyle w:val="BodyText"/>
      </w:pPr>
      <w:r>
        <w:t xml:space="preserve">206 Weighted average of the tariff per hour for non-manual workers (ISCO 8 - Plant and machine operators and</w:t>
      </w:r>
      <w:r>
        <w:t xml:space="preserve"> </w:t>
      </w:r>
      <w:r>
        <w:t xml:space="preserve">assemblers) in the 13 Member State in the scope of RIS. It is based on Eurostat Structure of earnings survey and</w:t>
      </w:r>
      <w:r>
        <w:t xml:space="preserve"> </w:t>
      </w:r>
      <w:r>
        <w:t xml:space="preserve">expressed in 2022 prices.</w:t>
      </w:r>
      <w:r>
        <w:t xml:space="preserve"> </w:t>
      </w:r>
      <w:r>
        <w:t xml:space="preserve">207 Note that CESNI is financed by the Commission through a grant agreement. Therefore, the funds are</w:t>
      </w:r>
      <w:r>
        <w:t xml:space="preserve"> </w:t>
      </w:r>
      <w:r>
        <w:t xml:space="preserve">transferred from the Commission to CESNI.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PM11: Link the RIS requirements with those of the TEN-T Regulation</w:t>
      </w:r>
      <w:r>
        <w:br/>
      </w:r>
      <w:r>
        <w:t xml:space="preserve">This measure would seek at aligning the scope of the RIS Directive with the scope of the</w:t>
      </w:r>
      <w:r>
        <w:t xml:space="preserve"> </w:t>
      </w:r>
      <w:r>
        <w:t xml:space="preserve">TEN-T Regulation. Currently, all interconnected waterways of CEMT class IV and higher</w:t>
      </w:r>
      <w:r>
        <w:t xml:space="preserve"> </w:t>
      </w:r>
      <w:r>
        <w:t xml:space="preserve">(which refers to the size of the vessel they can accommodate) are within the scope of the RIS</w:t>
      </w:r>
      <w:r>
        <w:t xml:space="preserve"> </w:t>
      </w:r>
      <w:r>
        <w:t xml:space="preserve">Directive. Member States may decide to include further waterways in this scope (for example</w:t>
      </w:r>
      <w:r>
        <w:t xml:space="preserve"> </w:t>
      </w:r>
      <w:r>
        <w:t xml:space="preserve">Italy, Spain and Portugal). This scope does not match the TEN-T network, which with its</w:t>
      </w:r>
      <w:r>
        <w:t xml:space="preserve"> </w:t>
      </w:r>
      <w:r>
        <w:t xml:space="preserve">current proposed revision will not refer any more to CEMT classification but will be based on</w:t>
      </w:r>
      <w:r>
        <w:t xml:space="preserve"> </w:t>
      </w:r>
      <w:r>
        <w:t xml:space="preserve">the characteristics of the waterways themselves.</w:t>
      </w:r>
      <w:r>
        <w:br/>
      </w:r>
      <w:r>
        <w:t xml:space="preserve">Under PM11, the scope of the RIS Directive is aligned with that of the TEN-T Regulation,</w:t>
      </w:r>
      <w:r>
        <w:t xml:space="preserve"> </w:t>
      </w:r>
      <w:r>
        <w:t xml:space="preserve">which corresponds to the waterways of international importance. The waterways currently in</w:t>
      </w:r>
      <w:r>
        <w:t xml:space="preserve"> </w:t>
      </w:r>
      <w:r>
        <w:t xml:space="preserve">the scope of the RIS Directive have a length of 14,400 km while the waterways under TEN-T</w:t>
      </w:r>
      <w:r>
        <w:t xml:space="preserve"> </w:t>
      </w:r>
      <w:r>
        <w:t xml:space="preserve">have a length of 13,000 km. As a consequence, up to 1,400 km of waterways would</w:t>
      </w:r>
      <w:r>
        <w:t xml:space="preserve"> </w:t>
      </w:r>
      <w:r>
        <w:t xml:space="preserve">potentially not be covered by the RIS provisions. Under this measure, Member States would</w:t>
      </w:r>
      <w:r>
        <w:t xml:space="preserve"> </w:t>
      </w:r>
      <w:r>
        <w:t xml:space="preserve">still be able to voluntarily extend the RIS requirements to other parts of their network beyond</w:t>
      </w:r>
      <w:r>
        <w:t xml:space="preserve"> </w:t>
      </w:r>
      <w:r>
        <w:t xml:space="preserve">what is in the TEN-T network.</w:t>
      </w:r>
      <w:r>
        <w:br/>
      </w:r>
      <w:r>
        <w:t xml:space="preserve">The majority of these waterways appear to be in the Netherlands, which already applies RIS.</w:t>
      </w:r>
      <w:r>
        <w:t xml:space="preserve"> </w:t>
      </w:r>
      <w:r>
        <w:t xml:space="preserve">During the interviews the Dutch authorities indicated that they already now compile</w:t>
      </w:r>
      <w:r>
        <w:t xml:space="preserve"> </w:t>
      </w:r>
      <w:r>
        <w:t xml:space="preserve">information outside the scope of the current RIS Directive. As the majority of the 1,400 km</w:t>
      </w:r>
      <w:r>
        <w:t xml:space="preserve"> </w:t>
      </w:r>
      <w:r>
        <w:t xml:space="preserve">that would fall out of scope of the new Directive are within the Netherlands, it is assumed that</w:t>
      </w:r>
      <w:r>
        <w:t xml:space="preserve"> </w:t>
      </w:r>
      <w:r>
        <w:t xml:space="preserve">they will remain in the network on a voluntary basis. Furthermore, given the international</w:t>
      </w:r>
      <w:r>
        <w:t xml:space="preserve"> </w:t>
      </w:r>
      <w:r>
        <w:t xml:space="preserve">nature of IWT traffic, it is unlikely that a vessel operator operating in the Dutch network will</w:t>
      </w:r>
      <w:r>
        <w:t xml:space="preserve"> </w:t>
      </w:r>
      <w:r>
        <w:t xml:space="preserve">not (even partly) enter waterways covered under RIS, and would thus be confronted with the</w:t>
      </w:r>
      <w:r>
        <w:t xml:space="preserve"> </w:t>
      </w:r>
      <w:r>
        <w:t xml:space="preserve">requirements of the Directive. Moreover, for waterways that are currently voluntarily in RIS</w:t>
      </w:r>
      <w:r>
        <w:t xml:space="preserve"> </w:t>
      </w:r>
      <w:r>
        <w:t xml:space="preserve">(e.g. in Italy, Spain and Portugal) and are currently in the TEN-T network, their participation</w:t>
      </w:r>
      <w:r>
        <w:t xml:space="preserve"> </w:t>
      </w:r>
      <w:r>
        <w:t xml:space="preserve">will become obligatory.</w:t>
      </w:r>
      <w:r>
        <w:br/>
      </w:r>
      <w:r>
        <w:t xml:space="preserve">Therefore, it is assumed that the change of scope brought by this measure will not lead to a</w:t>
      </w:r>
      <w:r>
        <w:t xml:space="preserve"> </w:t>
      </w:r>
      <w:r>
        <w:t xml:space="preserve">net change in the kilometres coverage, and thus no further economic impacts are considered.</w:t>
      </w:r>
      <w:r>
        <w:t xml:space="preserve"> </w:t>
      </w:r>
      <w:r>
        <w:t xml:space="preserve">PM12: Develop new technical specifications for the exchange of information related to</w:t>
      </w:r>
      <w:r>
        <w:t xml:space="preserve"> </w:t>
      </w:r>
      <w:r>
        <w:t xml:space="preserve">IWT ports</w:t>
      </w:r>
      <w:r>
        <w:t xml:space="preserve"> </w:t>
      </w:r>
      <w:r>
        <w:t xml:space="preserve">Data related to ports is not easily available to vessel operators (for example, the dimensions of</w:t>
      </w:r>
      <w:r>
        <w:t xml:space="preserve"> </w:t>
      </w:r>
      <w:r>
        <w:t xml:space="preserve">bridges over port basins and operating times). This is the case even in RIS COMEX, where</w:t>
      </w:r>
      <w:r>
        <w:t xml:space="preserve"> </w:t>
      </w:r>
      <w:r>
        <w:t xml:space="preserve">for example port basins along the German Rhine are missing (this includes important ports for</w:t>
      </w:r>
      <w:r>
        <w:t xml:space="preserve"> </w:t>
      </w:r>
      <w:r>
        <w:t xml:space="preserve">inland navigation such as Duisburg, Dusseldorf, Neuss, Mannheim and Karlsruhe). As this</w:t>
      </w:r>
      <w:r>
        <w:t xml:space="preserve"> </w:t>
      </w:r>
      <w:r>
        <w:t xml:space="preserve">information is missing, skippers have to look up the required information independently on</w:t>
      </w:r>
      <w:r>
        <w:t xml:space="preserve"> </w:t>
      </w:r>
      <w:r>
        <w:t xml:space="preserve">port authority websites. This leads to extra time for voyage preparations. In addition,</w:t>
      </w:r>
      <w:r>
        <w:t xml:space="preserve"> </w:t>
      </w:r>
      <w:r>
        <w:t xml:space="preserve">information is not exchanged with the ports. Thus, the ports do not always have the vessels’</w:t>
      </w:r>
      <w:r>
        <w:t xml:space="preserve"> </w:t>
      </w:r>
      <w:r>
        <w:t xml:space="preserve">cargo and voyage information and this information has to be reported again at the ports.</w:t>
      </w:r>
      <w:r>
        <w:br/>
      </w:r>
      <w:r>
        <w:t xml:space="preserve">The aim of this measure is to develop new technical specifications for the exchange of</w:t>
      </w:r>
      <w:r>
        <w:t xml:space="preserve"> </w:t>
      </w:r>
      <w:r>
        <w:t xml:space="preserve">information to and from IWT ports. These technical specifications will be developed by</w:t>
      </w:r>
      <w:r>
        <w:t xml:space="preserve"> </w:t>
      </w:r>
      <w:r>
        <w:t xml:space="preserve">CESNI and be introduced through a secondary legislation at a later stage. PM12 will provide</w:t>
      </w:r>
      <w:r>
        <w:t xml:space="preserve"> </w:t>
      </w:r>
      <w:r>
        <w:t xml:space="preserve">real time information for transhipment capacity, berths, etc. It will also provide real time</w:t>
      </w:r>
      <w:r>
        <w:t xml:space="preserve"> </w:t>
      </w:r>
      <w:r>
        <w:t xml:space="preserve">information on the availability of alternative fuels (at least the infrastructure that the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Alternative Fuels Infrastructure Regulation208 requires), which might increase the uptake of</w:t>
      </w:r>
      <w:r>
        <w:t xml:space="preserve"> </w:t>
      </w:r>
      <w:r>
        <w:t xml:space="preserve">clean technologies by vessels and the utilisation of the infrastructure in the ports209. In</w:t>
      </w:r>
      <w:r>
        <w:t xml:space="preserve"> </w:t>
      </w:r>
      <w:r>
        <w:t xml:space="preserve">addition, port infrastructure will be better mapped in many areas where it is currently labelled</w:t>
      </w:r>
      <w:r>
        <w:t xml:space="preserve"> </w:t>
      </w:r>
      <w:r>
        <w:t xml:space="preserve">as empty or as “caution areas” on maps. Overall, PM12 would lead to better data quality for</w:t>
      </w:r>
      <w:r>
        <w:t xml:space="preserve"> </w:t>
      </w:r>
      <w:r>
        <w:t xml:space="preserve">all, leading to simpler travel planning. Under PM12, data exchange with IWT ports would be</w:t>
      </w:r>
      <w:r>
        <w:t xml:space="preserve"> </w:t>
      </w:r>
      <w:r>
        <w:t xml:space="preserve">voluntary, but if RIS users do share data, the technical specifications will need to be applied.</w:t>
      </w:r>
      <w:r>
        <w:t xml:space="preserve"> </w:t>
      </w:r>
      <w:r>
        <w:t xml:space="preserve">Adjustments costs for national public authorities (ports)</w:t>
      </w:r>
      <w:r>
        <w:t xml:space="preserve"> </w:t>
      </w:r>
      <w:r>
        <w:t xml:space="preserve">While vessel operators would be able to use this feature on a voluntary basis through RIS,</w:t>
      </w:r>
      <w:r>
        <w:t xml:space="preserve"> </w:t>
      </w:r>
      <w:r>
        <w:t xml:space="preserve">implementation of the new technical specifications and technical specifications at port level is</w:t>
      </w:r>
      <w:r>
        <w:t xml:space="preserve"> </w:t>
      </w:r>
      <w:r>
        <w:t xml:space="preserve">required for making it possible. It was assumed that all 54 core ports of the European TEN-T</w:t>
      </w:r>
      <w:r>
        <w:t xml:space="preserve"> </w:t>
      </w:r>
      <w:r>
        <w:t xml:space="preserve">network for which no RIS data is available would implement the new technical specifications.</w:t>
      </w:r>
      <w:r>
        <w:t xml:space="preserve"> </w:t>
      </w:r>
      <w:r>
        <w:t xml:space="preserve">The DINA study210 estimates at EUR 25,000 the investment cost per port (in 2017 prices) for</w:t>
      </w:r>
      <w:r>
        <w:t xml:space="preserve"> </w:t>
      </w:r>
      <w:r>
        <w:t xml:space="preserve">developing information systems. This is equivalent to EUR 29,197 in 2022 prices. Applying</w:t>
      </w:r>
      <w:r>
        <w:t xml:space="preserve"> </w:t>
      </w:r>
      <w:r>
        <w:t xml:space="preserve">this cost to the 54 ports, the total one-off adjustment costs for national public authorities are</w:t>
      </w:r>
      <w:r>
        <w:t xml:space="preserve"> </w:t>
      </w:r>
      <w:r>
        <w:t xml:space="preserve">estimated at EUR 1.58 million relative to the baseline (in 2022 prices).</w:t>
      </w:r>
      <w:r>
        <w:t xml:space="preserve"> </w:t>
      </w:r>
      <w:r>
        <w:t xml:space="preserve">Administrative costs for national public authorities (ports)</w:t>
      </w:r>
      <w:r>
        <w:t xml:space="preserve"> </w:t>
      </w:r>
      <w:r>
        <w:t xml:space="preserve">Once the systems are established, national authorities are expected to incur recurrent</w:t>
      </w:r>
      <w:r>
        <w:t xml:space="preserve"> </w:t>
      </w:r>
      <w:r>
        <w:t xml:space="preserve">administrative costs for managing and maintaining the data. According to the DINA study211</w:t>
      </w:r>
      <w:r>
        <w:t xml:space="preserve"> </w:t>
      </w:r>
      <w:r>
        <w:t xml:space="preserve">these represent around 25% of the one-off investment costs212. Thus, the administrative costs</w:t>
      </w:r>
      <w:r>
        <w:t xml:space="preserve"> </w:t>
      </w:r>
      <w:r>
        <w:t xml:space="preserve">for national authorities are estimated at EUR 394,159 per year from 2026 onwards relative to</w:t>
      </w:r>
      <w:r>
        <w:t xml:space="preserve"> </w:t>
      </w:r>
      <w:r>
        <w:t xml:space="preserve">the baseline. Expressed as present value over 2025-2050, they are estimated at EUR 6.86</w:t>
      </w:r>
      <w:r>
        <w:t xml:space="preserve"> </w:t>
      </w:r>
      <w:r>
        <w:t xml:space="preserve">million relative to the baseline (in 2022 prices).</w:t>
      </w:r>
      <w:r>
        <w:t xml:space="preserve"> </w:t>
      </w:r>
      <w:r>
        <w:t xml:space="preserve">Adjustment costs savings for navigation software services providers</w:t>
      </w:r>
      <w:r>
        <w:t xml:space="preserve"> </w:t>
      </w:r>
      <w:r>
        <w:t xml:space="preserve">Navigation software services providers currently encounter lots of difficulties to collect data</w:t>
      </w:r>
      <w:r>
        <w:t xml:space="preserve"> </w:t>
      </w:r>
      <w:r>
        <w:t xml:space="preserve">on inland ports. If all inland ports provided reference data and keep this data updated, this</w:t>
      </w:r>
      <w:r>
        <w:t xml:space="preserve"> </w:t>
      </w:r>
      <w:r>
        <w:t xml:space="preserve">would lead to time savings for navigation software suppliers. As explained above, in the</w:t>
      </w:r>
      <w:r>
        <w:t xml:space="preserve"> </w:t>
      </w:r>
      <w:r>
        <w:t xml:space="preserve">baseline scenario, the average cost for software service providers for introducing the data into</w:t>
      </w:r>
      <w:r>
        <w:t xml:space="preserve"> </w:t>
      </w:r>
      <w:r>
        <w:t xml:space="preserve">their systems is estimated at EUR 452 per year, per vessel (in 2022 prices)213. Based on</w:t>
      </w:r>
      <w:r>
        <w:t xml:space="preserve"> </w:t>
      </w:r>
      <w:r>
        <w:t xml:space="preserve">feedback from software services providers in the context of stakeholders’ consultation, PM12</w:t>
      </w:r>
    </w:p>
    <w:p>
      <w:pPr>
        <w:pStyle w:val="BodyText"/>
      </w:pPr>
      <w:r>
        <w:t xml:space="preserve">208 Regulation (EU) 2023/1804.</w:t>
      </w:r>
      <w:r>
        <w:t xml:space="preserve"> </w:t>
      </w:r>
      <w:r>
        <w:t xml:space="preserve">209 To be noted that AFIR provides a minimum requirement for inland ports in the TEN-T Network to invest in</w:t>
      </w:r>
      <w:r>
        <w:t xml:space="preserve"> </w:t>
      </w:r>
      <w:r>
        <w:t xml:space="preserve">on-shore power supply connection. Such ports may decide to provide infrastructure beyond these minimum</w:t>
      </w:r>
      <w:r>
        <w:t xml:space="preserve"> </w:t>
      </w:r>
      <w:r>
        <w:t xml:space="preserve">requirements.</w:t>
      </w:r>
      <w:r>
        <w:t xml:space="preserve"> </w:t>
      </w:r>
      <w:r>
        <w:t xml:space="preserve">210 European Commission (2017), Digital inland waterway areas. Towards a digital inland waterway area and</w:t>
      </w:r>
      <w:r>
        <w:t xml:space="preserve"> </w:t>
      </w:r>
      <w:r>
        <w:t xml:space="preserve">digital multimodal nodes. Final report.</w:t>
      </w:r>
      <w:r>
        <w:t xml:space="preserve"> </w:t>
      </w:r>
      <w:r>
        <w:t xml:space="preserve">211 European Commission (2017), Digital inland waterway areas. Towards a digital inland waterway area and</w:t>
      </w:r>
      <w:r>
        <w:t xml:space="preserve"> </w:t>
      </w:r>
      <w:r>
        <w:t xml:space="preserve">digital multimodal nodes. Final report.</w:t>
      </w:r>
      <w:r>
        <w:t xml:space="preserve"> </w:t>
      </w:r>
      <w:r>
        <w:t xml:space="preserve">212 According to the study, the maintenance of digital tools e.g. as a result of service level agreements and license</w:t>
      </w:r>
      <w:r>
        <w:t xml:space="preserve"> </w:t>
      </w:r>
      <w:r>
        <w:t xml:space="preserve">fees, represents approximately 20% of the initial technology investment. Another 5% is attributed to the</w:t>
      </w:r>
      <w:r>
        <w:t xml:space="preserve"> </w:t>
      </w:r>
      <w:r>
        <w:t xml:space="preserve">governance of the required standards and the coordination of the implementation.</w:t>
      </w:r>
      <w:r>
        <w:t xml:space="preserve"> </w:t>
      </w:r>
      <w:r>
        <w:t xml:space="preserve">213 Ludden, V. et al., (2020): Study supporting the evaluation of Directive 2005/44/EC on Harmonised River</w:t>
      </w:r>
      <w:r>
        <w:t xml:space="preserve"> </w:t>
      </w:r>
      <w:r>
        <w:t xml:space="preserve">Information Services (RIS). Ramboll, University of Antwerp and DLA Piper. The average cost in the study is</w:t>
      </w:r>
      <w:r>
        <w:t xml:space="preserve"> </w:t>
      </w:r>
      <w:r>
        <w:t xml:space="preserve">expressed in 2019 prices. For the purpose of this impact assessment, it has been transformed in 2022 prices using</w:t>
      </w:r>
      <w:r>
        <w:t xml:space="preserve"> </w:t>
      </w:r>
      <w:r>
        <w:t xml:space="preserve">the harmonised consumer price index for Belgium from Eurostat because the two navigation software service</w:t>
      </w:r>
      <w:r>
        <w:t xml:space="preserve"> </w:t>
      </w:r>
      <w:r>
        <w:t xml:space="preserve">providers that serve around 90% of the market are based in Belgium.</w:t>
      </w:r>
    </w:p>
    <w:p>
      <w:pPr>
        <w:pStyle w:val="BodyText"/>
      </w:pPr>
      <w:r>
        <w:t xml:space="preserve">129</w:t>
      </w:r>
      <w:r>
        <w:t xml:space="preserve"> </w:t>
      </w:r>
      <w:r>
        <w:t xml:space="preserve">would allow to reduce the average cost per vessel by 0.75% relative to the baseline (i.e. EUR</w:t>
      </w:r>
      <w:r>
        <w:t xml:space="preserve"> </w:t>
      </w:r>
      <w:r>
        <w:t xml:space="preserve">3.39 saved per vessel) from 2026 onwards. The recurrent adjustment costs savings for</w:t>
      </w:r>
      <w:r>
        <w:t xml:space="preserve"> </w:t>
      </w:r>
      <w:r>
        <w:t xml:space="preserve">navigation software service providers for 2030, 2040 and 2050, relative to the baseline, are</w:t>
      </w:r>
      <w:r>
        <w:t xml:space="preserve"> </w:t>
      </w:r>
      <w:r>
        <w:t xml:space="preserve">provided in Table 50. Expressed as present value over 2025-2050, they are estimated at EUR</w:t>
      </w:r>
      <w:r>
        <w:t xml:space="preserve"> </w:t>
      </w:r>
      <w:r>
        <w:t xml:space="preserve">0.94 million relative to the baseline (in 2022 prices)214.</w:t>
      </w:r>
      <w:r>
        <w:br/>
      </w:r>
      <w:r>
        <w:t xml:space="preserve">Table 50: Recurrent adjustment costs savings for navigation software service providers due to PM12</w:t>
      </w:r>
      <w:r>
        <w:t xml:space="preserve"> </w:t>
      </w:r>
      <w:r>
        <w:t xml:space="preserve">relative to the baseline (in EUR, in 2022 prices)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vessels</w:t>
      </w:r>
      <w:r>
        <w:t xml:space="preserve"> </w:t>
      </w:r>
      <w:r>
        <w:t xml:space="preserve">15,838</w:t>
      </w:r>
      <w:r>
        <w:t xml:space="preserve"> </w:t>
      </w:r>
      <w:r>
        <w:t xml:space="preserve">15,996</w:t>
      </w:r>
      <w:r>
        <w:t xml:space="preserve"> </w:t>
      </w:r>
      <w:r>
        <w:t xml:space="preserve">16,131</w:t>
      </w:r>
      <w:r>
        <w:t xml:space="preserve"> </w:t>
      </w:r>
      <w:r>
        <w:t xml:space="preserve">Average costs savings for navigation software service</w:t>
      </w:r>
      <w:r>
        <w:t xml:space="preserve"> </w:t>
      </w:r>
      <w:r>
        <w:t xml:space="preserve">providers per vessel (in EUR)</w:t>
      </w:r>
      <w:r>
        <w:t xml:space="preserve"> </w:t>
      </w:r>
      <w:r>
        <w:t xml:space="preserve">3.39</w:t>
      </w:r>
      <w:r>
        <w:t xml:space="preserve"> </w:t>
      </w:r>
      <w:r>
        <w:t xml:space="preserve">3.39</w:t>
      </w:r>
      <w:r>
        <w:t xml:space="preserve"> </w:t>
      </w:r>
      <w:r>
        <w:t xml:space="preserve">3.39</w:t>
      </w:r>
      <w:r>
        <w:t xml:space="preserve"> </w:t>
      </w:r>
      <w:r>
        <w:t xml:space="preserve">Adjustment costs savings for navigation software service</w:t>
      </w:r>
      <w:r>
        <w:t xml:space="preserve"> </w:t>
      </w:r>
      <w:r>
        <w:t xml:space="preserve">providers (in EUR)</w:t>
      </w:r>
      <w:r>
        <w:t xml:space="preserve"> </w:t>
      </w:r>
      <w:r>
        <w:t xml:space="preserve">53,664</w:t>
      </w:r>
      <w:r>
        <w:t xml:space="preserve"> </w:t>
      </w:r>
      <w:r>
        <w:t xml:space="preserve">54,199</w:t>
      </w:r>
      <w:r>
        <w:t xml:space="preserve"> </w:t>
      </w:r>
      <w:r>
        <w:t xml:space="preserve">54,657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Adjustment costs savings for vessel operators</w:t>
      </w:r>
      <w:r>
        <w:t xml:space="preserve"> </w:t>
      </w:r>
      <w:r>
        <w:t xml:space="preserve">For trip preparation, an average of 5 minutes per port call is assumed in the baseline. In the</w:t>
      </w:r>
      <w:r>
        <w:t xml:space="preserve"> </w:t>
      </w:r>
      <w:r>
        <w:t xml:space="preserve">process, important information should be retrieved, such as how deep the port is in relation to</w:t>
      </w:r>
      <w:r>
        <w:t xml:space="preserve"> </w:t>
      </w:r>
      <w:r>
        <w:t xml:space="preserve">the depth of the channel, as well as where berths are and where loading/unloading can take</w:t>
      </w:r>
      <w:r>
        <w:t xml:space="preserve"> </w:t>
      </w:r>
      <w:r>
        <w:t xml:space="preserve">place. Other relevant questions are whether there is shore power available in the port and</w:t>
      </w:r>
      <w:r>
        <w:t xml:space="preserve"> </w:t>
      </w:r>
      <w:r>
        <w:t xml:space="preserve">whether the vessel can be turned around in the port. Finally, other relevant questions are</w:t>
      </w:r>
      <w:r>
        <w:t xml:space="preserve"> </w:t>
      </w:r>
      <w:r>
        <w:t xml:space="preserve">whether bridges in the harbour need to be considered, how high they are when closed and if</w:t>
      </w:r>
      <w:r>
        <w:t xml:space="preserve"> </w:t>
      </w:r>
      <w:r>
        <w:t xml:space="preserve">the bridges can be opened, how these openings can be requested and what the operating times</w:t>
      </w:r>
      <w:r>
        <w:t xml:space="preserve"> </w:t>
      </w:r>
      <w:r>
        <w:t xml:space="preserve">are. This wide amount of information is difficult to obtain now.</w:t>
      </w:r>
      <w:r>
        <w:br/>
      </w:r>
      <w:r>
        <w:t xml:space="preserve">The new technical specification and specification about ports will facilitate the voyage</w:t>
      </w:r>
      <w:r>
        <w:t xml:space="preserve"> </w:t>
      </w:r>
      <w:r>
        <w:t xml:space="preserve">preparation and planning for the ports’ section. Given that there are 54 core network ports</w:t>
      </w:r>
      <w:r>
        <w:t xml:space="preserve"> </w:t>
      </w:r>
      <w:r>
        <w:t xml:space="preserve">(along the Rhine and Danube) for which data is not yet provided (out of a total of 262 ports)</w:t>
      </w:r>
      <w:r>
        <w:t xml:space="preserve"> </w:t>
      </w:r>
      <w:r>
        <w:t xml:space="preserve">and considering that half of the trips start/end in a port, PM12 could reduce the time for</w:t>
      </w:r>
      <w:r>
        <w:t xml:space="preserve"> </w:t>
      </w:r>
      <w:r>
        <w:t xml:space="preserve">voyage planning by 21% per port call (1 minute saved) relative to the baseline from 2026</w:t>
      </w:r>
      <w:r>
        <w:t xml:space="preserve"> </w:t>
      </w:r>
      <w:r>
        <w:t xml:space="preserve">onwards. Considering the labour cost per hour (EUR 26.7 per hour215), the adjustment costs</w:t>
      </w:r>
      <w:r>
        <w:t xml:space="preserve"> </w:t>
      </w:r>
      <w:r>
        <w:t xml:space="preserve">savings for vessels operators due to PM12 relative to the baseline are provided in Table 51.</w:t>
      </w:r>
      <w:r>
        <w:t xml:space="preserve"> </w:t>
      </w:r>
      <w:r>
        <w:t xml:space="preserve">Expressed as present value over 2025-2050, they are estimated at EUR 2.92 million relative to</w:t>
      </w:r>
      <w:r>
        <w:t xml:space="preserve"> </w:t>
      </w:r>
      <w:r>
        <w:t xml:space="preserve">the baseline.</w:t>
      </w:r>
      <w:r>
        <w:br/>
      </w:r>
      <w:r>
        <w:t xml:space="preserve">Table 51: Recurrent adjustment costs savings for vessels operators due to PM12 relative to the baseline (in</w:t>
      </w:r>
      <w:r>
        <w:t xml:space="preserve"> </w:t>
      </w:r>
      <w:r>
        <w:t xml:space="preserve">EUR, in 2022 prices)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port calls</w:t>
      </w:r>
      <w:r>
        <w:t xml:space="preserve"> </w:t>
      </w:r>
      <w:r>
        <w:t xml:space="preserve">364,940</w:t>
      </w:r>
      <w:r>
        <w:t xml:space="preserve"> </w:t>
      </w:r>
      <w:r>
        <w:t xml:space="preserve">367,264</w:t>
      </w:r>
      <w:r>
        <w:t xml:space="preserve"> </w:t>
      </w:r>
      <w:r>
        <w:t xml:space="preserve">372,403</w:t>
      </w:r>
      <w:r>
        <w:t xml:space="preserve"> </w:t>
      </w:r>
      <w:r>
        <w:t xml:space="preserve">Adjustment costs savings for vessel operators (in EUR)</w:t>
      </w:r>
      <w:r>
        <w:t xml:space="preserve"> </w:t>
      </w:r>
      <w:r>
        <w:t xml:space="preserve">167,309</w:t>
      </w:r>
      <w:r>
        <w:t xml:space="preserve"> </w:t>
      </w:r>
      <w:r>
        <w:t xml:space="preserve">168,375</w:t>
      </w:r>
      <w:r>
        <w:t xml:space="preserve"> </w:t>
      </w:r>
      <w:r>
        <w:t xml:space="preserve">170,731</w:t>
      </w:r>
      <w:r>
        <w:t xml:space="preserve"> </w:t>
      </w:r>
      <w:r>
        <w:t xml:space="preserve">Source: Ramboll et al. (2024), impact assessment support study</w:t>
      </w:r>
    </w:p>
    <w:p>
      <w:pPr>
        <w:pStyle w:val="BodyText"/>
      </w:pPr>
      <w:r>
        <w:t xml:space="preserve">214 Part of these costs savings benefiting software provides may be passed through to the vessel operators,</w:t>
      </w:r>
      <w:r>
        <w:t xml:space="preserve"> </w:t>
      </w:r>
      <w:r>
        <w:t xml:space="preserve">although it is not possible to assess the share of the costs savings passed through.</w:t>
      </w:r>
      <w:r>
        <w:t xml:space="preserve"> </w:t>
      </w:r>
      <w:r>
        <w:t xml:space="preserve">215 Weighted average of the tariff per hour for non-manual workers (ISCO 8 - Plant and machine operators and</w:t>
      </w:r>
      <w:r>
        <w:t xml:space="preserve"> </w:t>
      </w:r>
      <w:r>
        <w:t xml:space="preserve">assemblers) in the 13 Member State in the scope of RIS. It is based on Eurostat Structure of earnings survey and</w:t>
      </w:r>
      <w:r>
        <w:t xml:space="preserve"> </w:t>
      </w:r>
      <w:r>
        <w:t xml:space="preserve">expressed in 2022 prices.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Administrative costs savings for vessel operators</w:t>
      </w:r>
      <w:r>
        <w:t xml:space="preserve"> </w:t>
      </w:r>
      <w:r>
        <w:t xml:space="preserve">Currently, (electronic) cargo reports are not passed on to inland ports. This means that vessel</w:t>
      </w:r>
      <w:r>
        <w:t xml:space="preserve"> </w:t>
      </w:r>
      <w:r>
        <w:t xml:space="preserve">operators have to report again when entering a port. PM12 would remove the need of</w:t>
      </w:r>
      <w:r>
        <w:t xml:space="preserve"> </w:t>
      </w:r>
      <w:r>
        <w:t xml:space="preserve">reporting again to the ports. If ports would start applying these standards, reports could be</w:t>
      </w:r>
      <w:r>
        <w:t xml:space="preserve"> </w:t>
      </w:r>
      <w:r>
        <w:t xml:space="preserve">forwarded, and part of the administrative burden could be alleviated.</w:t>
      </w:r>
      <w:r>
        <w:br/>
      </w:r>
      <w:r>
        <w:t xml:space="preserve">Administrative costs savings are expected for all 83216 core TEN-T network ports. The time</w:t>
      </w:r>
      <w:r>
        <w:t xml:space="preserve"> </w:t>
      </w:r>
      <w:r>
        <w:t xml:space="preserve">for preparing and (re)submitting the reports is estimated at 10 minutes in the baseline. Taking</w:t>
      </w:r>
      <w:r>
        <w:t xml:space="preserve"> </w:t>
      </w:r>
      <w:r>
        <w:t xml:space="preserve">into account that half of the trips start/end in a port, PM12 could reduce the number of</w:t>
      </w:r>
      <w:r>
        <w:t xml:space="preserve"> </w:t>
      </w:r>
      <w:r>
        <w:t xml:space="preserve">resubmitted cargo reports by 31% relative to the baseline from 2026 onwards. Considering the</w:t>
      </w:r>
      <w:r>
        <w:t xml:space="preserve"> </w:t>
      </w:r>
      <w:r>
        <w:t xml:space="preserve">labour cost per hour (EUR 26.7 per hour217), the administrative costs savings for vessels</w:t>
      </w:r>
      <w:r>
        <w:t xml:space="preserve"> </w:t>
      </w:r>
      <w:r>
        <w:t xml:space="preserve">operators due to PM12 relative to the baseline are provided in Table 52. Expressed as present</w:t>
      </w:r>
      <w:r>
        <w:t xml:space="preserve"> </w:t>
      </w:r>
      <w:r>
        <w:t xml:space="preserve">value over 2025-2050, they are estimated at EUR 8.88 million relative to the baseline.</w:t>
      </w:r>
      <w:r>
        <w:br/>
      </w:r>
      <w:r>
        <w:t xml:space="preserve">Table 52: Recurrent administrative costs savings for vessels operators due to PM12 relative to the baseline</w:t>
      </w:r>
      <w:r>
        <w:t xml:space="preserve"> </w:t>
      </w:r>
      <w:r>
        <w:t xml:space="preserve">(in EUR, in 2022 prices)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Reduction in the number of resubmitted cargo reports due to PM12</w:t>
      </w:r>
      <w:r>
        <w:t xml:space="preserve"> </w:t>
      </w:r>
      <w:r>
        <w:t xml:space="preserve">relative to the baseline</w:t>
      </w:r>
      <w:r>
        <w:br/>
      </w:r>
      <w:r>
        <w:t xml:space="preserve">114,302</w:t>
      </w:r>
      <w:r>
        <w:t xml:space="preserve"> </w:t>
      </w:r>
      <w:r>
        <w:t xml:space="preserve">115,030</w:t>
      </w:r>
      <w:r>
        <w:t xml:space="preserve"> </w:t>
      </w:r>
      <w:r>
        <w:t xml:space="preserve">116,639</w:t>
      </w:r>
      <w:r>
        <w:t xml:space="preserve"> </w:t>
      </w:r>
      <w:r>
        <w:t xml:space="preserve">Administrative costs savings for vessel operators due to PM12 (in</w:t>
      </w:r>
      <w:r>
        <w:t xml:space="preserve"> </w:t>
      </w:r>
      <w:r>
        <w:t xml:space="preserve">EUR)</w:t>
      </w:r>
      <w:r>
        <w:t xml:space="preserve"> </w:t>
      </w:r>
      <w:r>
        <w:t xml:space="preserve">508,499</w:t>
      </w:r>
      <w:r>
        <w:t xml:space="preserve"> </w:t>
      </w:r>
      <w:r>
        <w:t xml:space="preserve">511,738</w:t>
      </w:r>
      <w:r>
        <w:t xml:space="preserve"> </w:t>
      </w:r>
      <w:r>
        <w:t xml:space="preserve">518,898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For the purpose of the application of the ‘one in, one out’ approach, the average reduction in</w:t>
      </w:r>
      <w:r>
        <w:t xml:space="preserve"> </w:t>
      </w:r>
      <w:r>
        <w:t xml:space="preserve">the number of resubmitted cargo reports over 2026-2035 has been estimated at 114,006 per</w:t>
      </w:r>
      <w:r>
        <w:t xml:space="preserve"> </w:t>
      </w:r>
      <w:r>
        <w:t xml:space="preserve">year relative to the baseline and the average costs saved per resubmission at EUR 4.4. Thus,</w:t>
      </w:r>
      <w:r>
        <w:t xml:space="preserve"> </w:t>
      </w:r>
      <w:r>
        <w:t xml:space="preserve">the average annual administrative costs savings for vessel operators are estimated at EUR 0.5</w:t>
      </w:r>
      <w:r>
        <w:t xml:space="preserve"> </w:t>
      </w:r>
      <w:r>
        <w:t xml:space="preserve">million relative to the baseline.</w:t>
      </w:r>
      <w:r>
        <w:br/>
      </w:r>
      <w:r>
        <w:t xml:space="preserve">PM13: Require the exchange of information with IWT ports according to new technical</w:t>
      </w:r>
      <w:r>
        <w:t xml:space="preserve"> </w:t>
      </w:r>
      <w:r>
        <w:t xml:space="preserve">specifications</w:t>
      </w:r>
      <w:r>
        <w:t xml:space="preserve"> </w:t>
      </w:r>
      <w:r>
        <w:t xml:space="preserve">In contrast to PM12, where the exchange of information is voluntary, this measure will</w:t>
      </w:r>
      <w:r>
        <w:t xml:space="preserve"> </w:t>
      </w:r>
      <w:r>
        <w:t xml:space="preserve">require that the exchange of certain data (transhipment capacity, availability of alternative</w:t>
      </w:r>
      <w:r>
        <w:t xml:space="preserve"> </w:t>
      </w:r>
      <w:r>
        <w:t xml:space="preserve">fuels, availability of berths, etc.) between vessels and IWT ports uses the new technical</w:t>
      </w:r>
      <w:r>
        <w:t xml:space="preserve"> </w:t>
      </w:r>
      <w:r>
        <w:t xml:space="preserve">specification. These will be developed through a secondary legislation.</w:t>
      </w:r>
      <w:r>
        <w:t xml:space="preserve"> </w:t>
      </w:r>
      <w:r>
        <w:t xml:space="preserve">Adjustment costs for national public authorities (ports)</w:t>
      </w:r>
      <w:r>
        <w:t xml:space="preserve"> </w:t>
      </w:r>
      <w:r>
        <w:t xml:space="preserve">In PM13, both core and comprehensive ports of the TEN-T network will have to implement</w:t>
      </w:r>
      <w:r>
        <w:t xml:space="preserve"> </w:t>
      </w:r>
      <w:r>
        <w:t xml:space="preserve">the technical specifications. In total, there are 54 core TEN-T network ports and 115</w:t>
      </w:r>
      <w:r>
        <w:t xml:space="preserve"> </w:t>
      </w:r>
      <w:r>
        <w:t xml:space="preserve">comprehensive TEN-T network ports for which no RIS data is available. The DINA study218</w:t>
      </w:r>
      <w:r>
        <w:t xml:space="preserve"> </w:t>
      </w:r>
      <w:r>
        <w:t xml:space="preserve">estimates at EUR 25,000 the investment cost per port (in 2017 prices) for developing</w:t>
      </w:r>
    </w:p>
    <w:p>
      <w:pPr>
        <w:pStyle w:val="BodyText"/>
      </w:pPr>
      <w:r>
        <w:t xml:space="preserve">216 This goes beyond the 54 ports that do not provide data. It is assumed that the core inland ports, due to their</w:t>
      </w:r>
      <w:r>
        <w:t xml:space="preserve"> </w:t>
      </w:r>
      <w:r>
        <w:t xml:space="preserve">importance will be the ones to voluntarily take up this measure.</w:t>
      </w:r>
      <w:r>
        <w:br/>
      </w:r>
      <w:r>
        <w:t xml:space="preserve">217 Weighted average of the tariff per hour for non-manual workers (ISCO 8 - Plant and machine operators and</w:t>
      </w:r>
      <w:r>
        <w:t xml:space="preserve"> </w:t>
      </w:r>
      <w:r>
        <w:t xml:space="preserve">assemblers) in the 13 Member State in the scope of RIS. It is based on Eurostat Structure of earnings survey and</w:t>
      </w:r>
      <w:r>
        <w:t xml:space="preserve"> </w:t>
      </w:r>
      <w:r>
        <w:t xml:space="preserve">expressed in 2022 prices.</w:t>
      </w:r>
      <w:r>
        <w:t xml:space="preserve"> </w:t>
      </w:r>
      <w:r>
        <w:t xml:space="preserve">218 European Commission (2017), Digital inland waterway areas. Towards a digital inland waterway area and</w:t>
      </w:r>
      <w:r>
        <w:t xml:space="preserve"> </w:t>
      </w:r>
      <w:r>
        <w:t xml:space="preserve">digital multimodal nodes. Final report.</w:t>
      </w:r>
    </w:p>
    <w:p>
      <w:pPr>
        <w:pStyle w:val="BodyText"/>
      </w:pPr>
      <w:r>
        <w:t xml:space="preserve">131</w:t>
      </w:r>
      <w:r>
        <w:t xml:space="preserve"> </w:t>
      </w:r>
      <w:r>
        <w:t xml:space="preserve">information systems. This is equivalent to EUR 29,197 in 2022 prices. Applying this cost to</w:t>
      </w:r>
      <w:r>
        <w:t xml:space="preserve"> </w:t>
      </w:r>
      <w:r>
        <w:t xml:space="preserve">the 169 ports, the total one-off adjustment costs for national public authorities are estimated at</w:t>
      </w:r>
      <w:r>
        <w:t xml:space="preserve"> </w:t>
      </w:r>
      <w:r>
        <w:t xml:space="preserve">EUR 4.93 million relative to the baseline (in 2022 prices).</w:t>
      </w:r>
      <w:r>
        <w:t xml:space="preserve"> </w:t>
      </w:r>
      <w:r>
        <w:t xml:space="preserve">Administrative costs for national public authorities (ports)</w:t>
      </w:r>
      <w:r>
        <w:t xml:space="preserve"> </w:t>
      </w:r>
      <w:r>
        <w:t xml:space="preserve">Once the systems are established, national authorities are expected to incur recurrent</w:t>
      </w:r>
      <w:r>
        <w:t xml:space="preserve"> </w:t>
      </w:r>
      <w:r>
        <w:t xml:space="preserve">administrative costs for managing and maintaining the data. According to the DINA study219</w:t>
      </w:r>
      <w:r>
        <w:t xml:space="preserve"> </w:t>
      </w:r>
      <w:r>
        <w:t xml:space="preserve">these represent around 25% of the one-off investment costs220. Thus, the administrative costs</w:t>
      </w:r>
      <w:r>
        <w:t xml:space="preserve"> </w:t>
      </w:r>
      <w:r>
        <w:t xml:space="preserve">for national authorities are estimated at EUR 1.23 million per year from 2026 onwards</w:t>
      </w:r>
      <w:r>
        <w:t xml:space="preserve"> </w:t>
      </w:r>
      <w:r>
        <w:t xml:space="preserve">relative to the baseline. Expressed as present value over 2025-2050, they are estimated at</w:t>
      </w:r>
      <w:r>
        <w:t xml:space="preserve"> </w:t>
      </w:r>
      <w:r>
        <w:t xml:space="preserve">EUR 21.48 million relative to the baseline (in 2022 prices).</w:t>
      </w:r>
      <w:r>
        <w:t xml:space="preserve"> </w:t>
      </w:r>
      <w:r>
        <w:t xml:space="preserve">Adjustment cost savings for navigation software service providers</w:t>
      </w:r>
      <w:r>
        <w:t xml:space="preserve"> </w:t>
      </w:r>
      <w:r>
        <w:t xml:space="preserve">As in PM12, if all inland ports provided reference data and keep this data updated, this would</w:t>
      </w:r>
      <w:r>
        <w:t xml:space="preserve"> </w:t>
      </w:r>
      <w:r>
        <w:t xml:space="preserve">lead to time savings for navigation software suppliers. Based on feedback received in the</w:t>
      </w:r>
      <w:r>
        <w:t xml:space="preserve"> </w:t>
      </w:r>
      <w:r>
        <w:t xml:space="preserve">context of stakeholders’ consultation, the mandatory provision of reference data by all 182</w:t>
      </w:r>
      <w:r>
        <w:t xml:space="preserve"> </w:t>
      </w:r>
      <w:r>
        <w:t xml:space="preserve">inland ports of the comprehensive TEN-T network, in addition to the 83 core TEN-T ports,</w:t>
      </w:r>
      <w:r>
        <w:t xml:space="preserve"> </w:t>
      </w:r>
      <w:r>
        <w:t xml:space="preserve">would allow to reduce the average cost per vessel by 1.25% relative to the baseline (i.e. EUR</w:t>
      </w:r>
      <w:r>
        <w:t xml:space="preserve"> </w:t>
      </w:r>
      <w:r>
        <w:t xml:space="preserve">5.65 saved per vessel) from 2026 onwards. As explained above, in the baseline scenario, the</w:t>
      </w:r>
      <w:r>
        <w:t xml:space="preserve"> </w:t>
      </w:r>
      <w:r>
        <w:t xml:space="preserve">average cost for software service providers for introducing the data into their systems is</w:t>
      </w:r>
      <w:r>
        <w:t xml:space="preserve"> </w:t>
      </w:r>
      <w:r>
        <w:t xml:space="preserve">estimated at EUR 452 per year, per vessel (in 2022 prices)221. The recurrent adjustment costs</w:t>
      </w:r>
      <w:r>
        <w:t xml:space="preserve"> </w:t>
      </w:r>
      <w:r>
        <w:t xml:space="preserve">savings for navigation software service providers for 2030, 2040 and 2050, relative to the</w:t>
      </w:r>
      <w:r>
        <w:t xml:space="preserve"> </w:t>
      </w:r>
      <w:r>
        <w:t xml:space="preserve">baseline, are provided in Table 53. Expressed as present value over 2025-2050, they are</w:t>
      </w:r>
      <w:r>
        <w:t xml:space="preserve"> </w:t>
      </w:r>
      <w:r>
        <w:t xml:space="preserve">estimated at EUR 1.56 million relative to the baseline (in 2022 prices)222.</w:t>
      </w:r>
      <w:r>
        <w:br/>
      </w:r>
      <w:r>
        <w:t xml:space="preserve">Table 53: Recurrent adjustment costs savings for navigation software service providers due to PM13</w:t>
      </w:r>
      <w:r>
        <w:t xml:space="preserve"> </w:t>
      </w:r>
      <w:r>
        <w:t xml:space="preserve">relative to the baseline (in EUR, in 2022 prices)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vessels</w:t>
      </w:r>
      <w:r>
        <w:t xml:space="preserve"> </w:t>
      </w:r>
      <w:r>
        <w:t xml:space="preserve">15,838</w:t>
      </w:r>
      <w:r>
        <w:t xml:space="preserve"> </w:t>
      </w:r>
      <w:r>
        <w:t xml:space="preserve">15,996</w:t>
      </w:r>
      <w:r>
        <w:t xml:space="preserve"> </w:t>
      </w:r>
      <w:r>
        <w:t xml:space="preserve">16,131</w:t>
      </w:r>
      <w:r>
        <w:t xml:space="preserve"> </w:t>
      </w:r>
      <w:r>
        <w:t xml:space="preserve">Average costs savings for navigation software service</w:t>
      </w:r>
      <w:r>
        <w:t xml:space="preserve"> </w:t>
      </w:r>
      <w:r>
        <w:t xml:space="preserve">providers per vessel (in EUR)</w:t>
      </w:r>
      <w:r>
        <w:t xml:space="preserve"> </w:t>
      </w:r>
      <w:r>
        <w:t xml:space="preserve">5.65</w:t>
      </w:r>
      <w:r>
        <w:t xml:space="preserve"> </w:t>
      </w:r>
      <w:r>
        <w:t xml:space="preserve">5.65</w:t>
      </w:r>
      <w:r>
        <w:t xml:space="preserve"> </w:t>
      </w:r>
      <w:r>
        <w:t xml:space="preserve">5.65</w:t>
      </w:r>
      <w:r>
        <w:t xml:space="preserve"> </w:t>
      </w:r>
      <w:r>
        <w:t xml:space="preserve">Adjustment costs savings for navigation software service</w:t>
      </w:r>
      <w:r>
        <w:t xml:space="preserve"> </w:t>
      </w:r>
      <w:r>
        <w:t xml:space="preserve">providers (in EUR)</w:t>
      </w:r>
      <w:r>
        <w:t xml:space="preserve"> </w:t>
      </w:r>
      <w:r>
        <w:t xml:space="preserve">89,440</w:t>
      </w:r>
      <w:r>
        <w:t xml:space="preserve"> </w:t>
      </w:r>
      <w:r>
        <w:t xml:space="preserve">90,332</w:t>
      </w:r>
      <w:r>
        <w:t xml:space="preserve"> </w:t>
      </w:r>
      <w:r>
        <w:t xml:space="preserve">91,095</w:t>
      </w:r>
      <w:r>
        <w:t xml:space="preserve"> </w:t>
      </w:r>
      <w:r>
        <w:t xml:space="preserve">Source: Ramboll et al. (2024), impact assessment support study</w:t>
      </w:r>
    </w:p>
    <w:p>
      <w:pPr>
        <w:pStyle w:val="BodyText"/>
      </w:pPr>
      <w:r>
        <w:t xml:space="preserve">219 European Commission (2017), Digital inland waterway areas. Towards a digital inland waterway area and</w:t>
      </w:r>
      <w:r>
        <w:t xml:space="preserve"> </w:t>
      </w:r>
      <w:r>
        <w:t xml:space="preserve">digital multimodal nodes. Final report.</w:t>
      </w:r>
      <w:r>
        <w:t xml:space="preserve"> </w:t>
      </w:r>
      <w:r>
        <w:t xml:space="preserve">220 According to the study, the maintenance of digital tools e.g. as a result of service level agreements and license</w:t>
      </w:r>
      <w:r>
        <w:t xml:space="preserve"> </w:t>
      </w:r>
      <w:r>
        <w:t xml:space="preserve">fees, represents approximately 20% of the initial technology investment. Another 5% is attributed to the</w:t>
      </w:r>
      <w:r>
        <w:t xml:space="preserve"> </w:t>
      </w:r>
      <w:r>
        <w:t xml:space="preserve">governance of the required standards and the coordination of the implementation.</w:t>
      </w:r>
      <w:r>
        <w:t xml:space="preserve"> </w:t>
      </w:r>
      <w:r>
        <w:t xml:space="preserve">221 Ludden, V. et al., (2020): Study supporting the evaluation of Directive 2005/44/EC on Harmonised River</w:t>
      </w:r>
      <w:r>
        <w:t xml:space="preserve"> </w:t>
      </w:r>
      <w:r>
        <w:t xml:space="preserve">Information Services (RIS). Ramboll, University of Antwerp and DLA Piper. The average cost in the study is</w:t>
      </w:r>
      <w:r>
        <w:t xml:space="preserve"> </w:t>
      </w:r>
      <w:r>
        <w:t xml:space="preserve">expressed in 2019 prices. For the purpose of this impact assessment, it has been transformed in 2022 prices using</w:t>
      </w:r>
      <w:r>
        <w:t xml:space="preserve"> </w:t>
      </w:r>
      <w:r>
        <w:t xml:space="preserve">the harmonised consumer price index for Belgium from Eurostat because the two navigation software service</w:t>
      </w:r>
      <w:r>
        <w:t xml:space="preserve"> </w:t>
      </w:r>
      <w:r>
        <w:t xml:space="preserve">providers that serve around 90% of the market are based in Belgium.</w:t>
      </w:r>
      <w:r>
        <w:br/>
      </w:r>
      <w:r>
        <w:t xml:space="preserve">222 Part of these costs savings benefiting software provides may be passed through to the vessel operators,</w:t>
      </w:r>
      <w:r>
        <w:t xml:space="preserve"> </w:t>
      </w:r>
      <w:r>
        <w:t xml:space="preserve">although it is not possible to assess the share of the costs savings passed through.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Adjustment cost savings for vessel operators</w:t>
      </w:r>
      <w:r>
        <w:t xml:space="preserve"> </w:t>
      </w:r>
      <w:r>
        <w:t xml:space="preserve">PM13 is expected to lead to recurrent adjustment costs savings for vessel operators for the trip</w:t>
      </w:r>
      <w:r>
        <w:t xml:space="preserve"> </w:t>
      </w:r>
      <w:r>
        <w:t xml:space="preserve">preparation. In the baseline, an average of 5 minutes per port call is assumed for trip</w:t>
      </w:r>
      <w:r>
        <w:t xml:space="preserve"> </w:t>
      </w:r>
      <w:r>
        <w:t xml:space="preserve">preparation for the ports’ section. There are currently 262 ports in the TEN-T network (core</w:t>
      </w:r>
      <w:r>
        <w:t xml:space="preserve"> </w:t>
      </w:r>
      <w:r>
        <w:t xml:space="preserve">plus comprehensive network). A total of 93 inland ports already provide RIS data while 169</w:t>
      </w:r>
      <w:r>
        <w:t xml:space="preserve"> </w:t>
      </w:r>
      <w:r>
        <w:t xml:space="preserve">inland ports do not provide RIS data (54 from the core network and 115 from the</w:t>
      </w:r>
      <w:r>
        <w:t xml:space="preserve"> </w:t>
      </w:r>
      <w:r>
        <w:t xml:space="preserve">comprehensive network). Under PM13, all those 169 inland ports will have to report RIS</w:t>
      </w:r>
      <w:r>
        <w:t xml:space="preserve"> </w:t>
      </w:r>
      <w:r>
        <w:t xml:space="preserve">data. Given that half of the trips start/end in a port, PM13 could reduce the time for voyage</w:t>
      </w:r>
      <w:r>
        <w:t xml:space="preserve"> </w:t>
      </w:r>
      <w:r>
        <w:t xml:space="preserve">planning by 65% per port call (3.2 minutes saved) relative to the baseline from 2026 onwards.</w:t>
      </w:r>
      <w:r>
        <w:t xml:space="preserve"> </w:t>
      </w:r>
      <w:r>
        <w:t xml:space="preserve">Considering the labour cost per hour (EUR 26.7 per hour223), the adjustment costs savings for</w:t>
      </w:r>
      <w:r>
        <w:t xml:space="preserve"> </w:t>
      </w:r>
      <w:r>
        <w:t xml:space="preserve">vessels operators due to PM13 relative to the baseline are provided in Table 54. Expressed as</w:t>
      </w:r>
      <w:r>
        <w:t xml:space="preserve"> </w:t>
      </w:r>
      <w:r>
        <w:t xml:space="preserve">present value over 2025-2050, they are estimated at EUR 9.14 million relative to the baseline.</w:t>
      </w:r>
      <w:r>
        <w:br/>
      </w:r>
      <w:r>
        <w:t xml:space="preserve">Table 54: Recurrent adjustment costs savings for vessels operators due to PM13 relative to the baseline (in</w:t>
      </w:r>
      <w:r>
        <w:t xml:space="preserve"> </w:t>
      </w:r>
      <w:r>
        <w:t xml:space="preserve">EUR, in 2022 prices)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port calls</w:t>
      </w:r>
      <w:r>
        <w:t xml:space="preserve"> </w:t>
      </w:r>
      <w:r>
        <w:t xml:space="preserve">364,940</w:t>
      </w:r>
      <w:r>
        <w:t xml:space="preserve"> </w:t>
      </w:r>
      <w:r>
        <w:t xml:space="preserve">367,264</w:t>
      </w:r>
      <w:r>
        <w:t xml:space="preserve"> </w:t>
      </w:r>
      <w:r>
        <w:t xml:space="preserve">372,403</w:t>
      </w:r>
      <w:r>
        <w:t xml:space="preserve"> </w:t>
      </w:r>
      <w:r>
        <w:t xml:space="preserve">Adjustment costs savings for vessel operators (in EUR)</w:t>
      </w:r>
      <w:r>
        <w:t xml:space="preserve"> </w:t>
      </w:r>
      <w:r>
        <w:t xml:space="preserve">523,616</w:t>
      </w:r>
      <w:r>
        <w:t xml:space="preserve"> </w:t>
      </w:r>
      <w:r>
        <w:t xml:space="preserve">526,951</w:t>
      </w:r>
      <w:r>
        <w:t xml:space="preserve"> </w:t>
      </w:r>
      <w:r>
        <w:t xml:space="preserve">534,324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Administrative cost savings for vessel operators</w:t>
      </w:r>
      <w:r>
        <w:t xml:space="preserve"> </w:t>
      </w:r>
      <w:r>
        <w:t xml:space="preserve">Under PM13, all 262 inland ports from the core and comprehensive TEN-T network will be</w:t>
      </w:r>
      <w:r>
        <w:t xml:space="preserve"> </w:t>
      </w:r>
      <w:r>
        <w:t xml:space="preserve">automatically receiving the (electronic) cargo reports and therefore, vessel operators will not</w:t>
      </w:r>
      <w:r>
        <w:t xml:space="preserve"> </w:t>
      </w:r>
      <w:r>
        <w:t xml:space="preserve">have to resubmit them. Considering the labour cost per hour (EUR 26.7 per hour224), the</w:t>
      </w:r>
      <w:r>
        <w:t xml:space="preserve"> </w:t>
      </w:r>
      <w:r>
        <w:t xml:space="preserve">administrative costs savings for vessels operators due to PM13 relative to the baseline are</w:t>
      </w:r>
      <w:r>
        <w:t xml:space="preserve"> </w:t>
      </w:r>
      <w:r>
        <w:t xml:space="preserve">provided in Table 55. Expressed as present value over 2025-2050, they are estimated at EUR</w:t>
      </w:r>
      <w:r>
        <w:t xml:space="preserve"> </w:t>
      </w:r>
      <w:r>
        <w:t xml:space="preserve">28.35 million relative to the baseline.</w:t>
      </w:r>
      <w:r>
        <w:br/>
      </w:r>
      <w:r>
        <w:t xml:space="preserve">Table 55: Recurrent administrative costs savings for vessels operators due to PM13 relative to the baseline</w:t>
      </w:r>
      <w:r>
        <w:t xml:space="preserve"> </w:t>
      </w:r>
      <w:r>
        <w:t xml:space="preserve">(in EUR, in 2022 prices)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Reduction in the number of resubmitted cargo reports due to PM13</w:t>
      </w:r>
      <w:r>
        <w:t xml:space="preserve"> </w:t>
      </w:r>
      <w:r>
        <w:t xml:space="preserve">relative to the baseline</w:t>
      </w:r>
      <w:r>
        <w:br/>
      </w:r>
      <w:r>
        <w:t xml:space="preserve">364,940</w:t>
      </w:r>
      <w:r>
        <w:t xml:space="preserve"> </w:t>
      </w:r>
      <w:r>
        <w:t xml:space="preserve">367,264</w:t>
      </w:r>
      <w:r>
        <w:t xml:space="preserve"> </w:t>
      </w:r>
      <w:r>
        <w:t xml:space="preserve">372,403</w:t>
      </w:r>
      <w:r>
        <w:t xml:space="preserve"> </w:t>
      </w:r>
      <w:r>
        <w:t xml:space="preserve">Administrative costs savings for vessel operators due to PM13 (in</w:t>
      </w:r>
      <w:r>
        <w:t xml:space="preserve"> </w:t>
      </w:r>
      <w:r>
        <w:t xml:space="preserve">EUR)</w:t>
      </w:r>
      <w:r>
        <w:t xml:space="preserve"> </w:t>
      </w:r>
      <w:r>
        <w:t xml:space="preserve">1,623,521</w:t>
      </w:r>
      <w:r>
        <w:t xml:space="preserve"> </w:t>
      </w:r>
      <w:r>
        <w:t xml:space="preserve">1,633,861</w:t>
      </w:r>
      <w:r>
        <w:t xml:space="preserve"> </w:t>
      </w:r>
      <w:r>
        <w:t xml:space="preserve">1,656,721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For the purpose of the application of the ‘one in, one out’ approach, the average reduction in</w:t>
      </w:r>
      <w:r>
        <w:t xml:space="preserve"> </w:t>
      </w:r>
      <w:r>
        <w:t xml:space="preserve">the number of resubmitted cargo reports over 2026-2035 has been estimated at 363,996 per</w:t>
      </w:r>
      <w:r>
        <w:t xml:space="preserve"> </w:t>
      </w:r>
      <w:r>
        <w:t xml:space="preserve">year relative to the baseline and the average costs saved per resubmission at EUR 4.4. Thus,</w:t>
      </w:r>
      <w:r>
        <w:t xml:space="preserve"> </w:t>
      </w:r>
      <w:r>
        <w:t xml:space="preserve">the average annual administrative costs savings for vessel operators are estimated at EUR 1.6</w:t>
      </w:r>
      <w:r>
        <w:t xml:space="preserve"> </w:t>
      </w:r>
      <w:r>
        <w:t xml:space="preserve">million relative to the baseline.</w:t>
      </w:r>
    </w:p>
    <w:p>
      <w:pPr>
        <w:pStyle w:val="BodyText"/>
      </w:pPr>
      <w:r>
        <w:t xml:space="preserve">223 Weighted average of the tariff per hour for non-manual workers (ISCO 8 - Plant and machine operators and</w:t>
      </w:r>
      <w:r>
        <w:t xml:space="preserve"> </w:t>
      </w:r>
      <w:r>
        <w:t xml:space="preserve">assemblers) in the 13 Member State in the scope of RIS. It is based on Eurostat Structure of earnings survey and</w:t>
      </w:r>
      <w:r>
        <w:t xml:space="preserve"> </w:t>
      </w:r>
      <w:r>
        <w:t xml:space="preserve">expressed in 2022 prices.</w:t>
      </w:r>
      <w:r>
        <w:t xml:space="preserve"> </w:t>
      </w:r>
      <w:r>
        <w:t xml:space="preserve">224 Weighted average of the tariff per hour for non-manual workers (ISCO 8 - Plant and machine operators and</w:t>
      </w:r>
      <w:r>
        <w:t xml:space="preserve"> </w:t>
      </w:r>
      <w:r>
        <w:t xml:space="preserve">assemblers) in the 13 Member State in the scope of RIS. It is based on Eurostat Structure of earnings survey and</w:t>
      </w:r>
      <w:r>
        <w:t xml:space="preserve"> </w:t>
      </w:r>
      <w:r>
        <w:t xml:space="preserve">expressed in 2022 prices.</w:t>
      </w:r>
    </w:p>
    <w:p>
      <w:pPr>
        <w:pStyle w:val="BodyText"/>
      </w:pPr>
      <w:r>
        <w:t xml:space="preserve">133</w:t>
      </w:r>
      <w:r>
        <w:t xml:space="preserve"> </w:t>
      </w:r>
      <w:r>
        <w:t xml:space="preserve">PM14: Improve the harmonisation between RIS and the information services for other</w:t>
      </w:r>
      <w:r>
        <w:t xml:space="preserve"> </w:t>
      </w:r>
      <w:r>
        <w:t xml:space="preserve">modes of transport (e.g. maritime)</w:t>
      </w:r>
      <w:r>
        <w:br/>
      </w:r>
      <w:r>
        <w:t xml:space="preserve">Currently the RIS Directive envisages continuity with other modal traffic management</w:t>
      </w:r>
      <w:r>
        <w:t xml:space="preserve"> </w:t>
      </w:r>
      <w:r>
        <w:t xml:space="preserve">services, in particular with maritime. However, no further details are included, or technical</w:t>
      </w:r>
      <w:r>
        <w:t xml:space="preserve"> </w:t>
      </w:r>
      <w:r>
        <w:t xml:space="preserve">specifications have been developed along these lines. Therefore, this measure aims to</w:t>
      </w:r>
      <w:r>
        <w:t xml:space="preserve"> </w:t>
      </w:r>
      <w:r>
        <w:t xml:space="preserve">strengthen the interoperability of RIS with other modes of transport. To do so, this measure</w:t>
      </w:r>
      <w:r>
        <w:t xml:space="preserve"> </w:t>
      </w:r>
      <w:r>
        <w:t xml:space="preserve">does not aim to create new or duplicate existing systems, but will include a clear requirement</w:t>
      </w:r>
      <w:r>
        <w:t xml:space="preserve"> </w:t>
      </w:r>
      <w:r>
        <w:t xml:space="preserve">in the Directive to create links with systems of other modes like EMSWe225. In addition, a</w:t>
      </w:r>
      <w:r>
        <w:t xml:space="preserve"> </w:t>
      </w:r>
      <w:r>
        <w:t xml:space="preserve">common data exchange mechanism (such as application programming interfaces) should be</w:t>
      </w:r>
      <w:r>
        <w:t xml:space="preserve"> </w:t>
      </w:r>
      <w:r>
        <w:t xml:space="preserve">developed to enable both systems to access the data functionality of one another. Technical</w:t>
      </w:r>
      <w:r>
        <w:t xml:space="preserve"> </w:t>
      </w:r>
      <w:r>
        <w:t xml:space="preserve">specifications to implement these links and ensure compatibility between systems will be</w:t>
      </w:r>
      <w:r>
        <w:t xml:space="preserve"> </w:t>
      </w:r>
      <w:r>
        <w:t xml:space="preserve">developed at a second stage through CESNI and introduced through secondary legislation.</w:t>
      </w:r>
      <w:r>
        <w:br/>
      </w:r>
      <w:r>
        <w:t xml:space="preserve">Adjustment costs for national public authorities</w:t>
      </w:r>
      <w:r>
        <w:t xml:space="preserve"> </w:t>
      </w:r>
      <w:r>
        <w:t xml:space="preserve">IT investments by the national public authorities will be needed to integrate RIS information</w:t>
      </w:r>
      <w:r>
        <w:t xml:space="preserve"> </w:t>
      </w:r>
      <w:r>
        <w:t xml:space="preserve">systems with information systems of other modes. The IT investment costs are assumed to be</w:t>
      </w:r>
      <w:r>
        <w:t xml:space="preserve"> </w:t>
      </w:r>
      <w:r>
        <w:t xml:space="preserve">similar to that of the CoRISma project226. Expressed in 2022 prices, the one-off adjustment</w:t>
      </w:r>
      <w:r>
        <w:t xml:space="preserve"> </w:t>
      </w:r>
      <w:r>
        <w:t xml:space="preserve">costs for the national public authorities are estimated at EUR 3.14 million.</w:t>
      </w:r>
      <w:r>
        <w:br/>
      </w:r>
      <w:r>
        <w:t xml:space="preserve">Administrative costs for national public authorities</w:t>
      </w:r>
      <w:r>
        <w:t xml:space="preserve"> </w:t>
      </w:r>
      <w:r>
        <w:t xml:space="preserve">The annual maintenance costs are assumed to be 25% of the IT investment costs, based on the</w:t>
      </w:r>
      <w:r>
        <w:t xml:space="preserve"> </w:t>
      </w:r>
      <w:r>
        <w:t xml:space="preserve">DINA study227. Thus, the recurrent administrative costs for national public authorities are</w:t>
      </w:r>
      <w:r>
        <w:t xml:space="preserve"> </w:t>
      </w:r>
      <w:r>
        <w:t xml:space="preserve">estimated at EUR 0.79 million per year from 2026 onwards. Expressed as present value over</w:t>
      </w:r>
      <w:r>
        <w:t xml:space="preserve"> </w:t>
      </w:r>
      <w:r>
        <w:t xml:space="preserve">2025-2050, they are estimated at EUR 13.68 million.</w:t>
      </w:r>
      <w:r>
        <w:t xml:space="preserve"> </w:t>
      </w:r>
      <w:r>
        <w:t xml:space="preserve">Adjustment cost savings for navigation software service providers</w:t>
      </w:r>
      <w:r>
        <w:br/>
      </w:r>
      <w:r>
        <w:t xml:space="preserve">PM14 will result into maritime charts (ECDIS) and inland charts (Inland ECDIS) being better</w:t>
      </w:r>
      <w:r>
        <w:t xml:space="preserve"> </w:t>
      </w:r>
      <w:r>
        <w:t xml:space="preserve">aligned and thus to time savings for software service providers. As explained above, in the</w:t>
      </w:r>
      <w:r>
        <w:t xml:space="preserve"> </w:t>
      </w:r>
      <w:r>
        <w:t xml:space="preserve">baseline scenario the average cost for software service providers for introducing the data into</w:t>
      </w:r>
      <w:r>
        <w:t xml:space="preserve"> </w:t>
      </w:r>
      <w:r>
        <w:t xml:space="preserve">their systems is estimated at EUR 452 per year, per vessel (in 2022 prices)228. According to</w:t>
      </w:r>
      <w:r>
        <w:t xml:space="preserve"> </w:t>
      </w:r>
      <w:r>
        <w:t xml:space="preserve">feedback provided by the RIS software service providers during the second stakeholder</w:t>
      </w:r>
    </w:p>
    <w:p>
      <w:pPr>
        <w:pStyle w:val="BodyText"/>
      </w:pPr>
      <w:r>
        <w:t xml:space="preserve">225 European Maritime Single Window environment, established by Regulation (EU) 2019/1239.</w:t>
      </w:r>
      <w:r>
        <w:t xml:space="preserve"> </w:t>
      </w:r>
      <w:r>
        <w:t xml:space="preserve">226 CoRISMa was a TEN-T project running between January 2014 and December 2015. CoRISma studied and</w:t>
      </w:r>
      <w:r>
        <w:t xml:space="preserve"> </w:t>
      </w:r>
      <w:r>
        <w:t xml:space="preserve">defined the next steps in the development of River Information Services: RIS enabled Corridor Management on</w:t>
      </w:r>
      <w:r>
        <w:t xml:space="preserve"> </w:t>
      </w:r>
      <w:r>
        <w:t xml:space="preserve">inland waterways aiming at mutually sharing information services among waterway authorities but also sharing</w:t>
      </w:r>
      <w:r>
        <w:t xml:space="preserve"> </w:t>
      </w:r>
      <w:r>
        <w:t xml:space="preserve">those with waterway users and logistic partners in order to optimise the use of inland navigation corridors within</w:t>
      </w:r>
      <w:r>
        <w:t xml:space="preserve"> </w:t>
      </w:r>
      <w:r>
        <w:t xml:space="preserve">the network of European waterways. The European Commission contributed EUR 1,083,204 to the CoRISma</w:t>
      </w:r>
      <w:r>
        <w:t xml:space="preserve"> </w:t>
      </w:r>
      <w:r>
        <w:t xml:space="preserve">project with a co-financing rate of 41% (expressed in 2014 prices).</w:t>
      </w:r>
      <w:r>
        <w:t xml:space="preserve"> </w:t>
      </w:r>
      <w:r>
        <w:t xml:space="preserve">227 European Commission (2017): Digital inland waterway areas. Towards a digital inland waterway area and</w:t>
      </w:r>
      <w:r>
        <w:t xml:space="preserve"> </w:t>
      </w:r>
      <w:r>
        <w:t xml:space="preserve">digital multimodal nodes. Final report. According to the study, the maintenance of digital tools e.g. as a result of</w:t>
      </w:r>
      <w:r>
        <w:t xml:space="preserve"> </w:t>
      </w:r>
      <w:r>
        <w:t xml:space="preserve">service level agreements and license fees, represents approximately 20% of the initial technology investment.</w:t>
      </w:r>
      <w:r>
        <w:t xml:space="preserve"> </w:t>
      </w:r>
      <w:r>
        <w:t xml:space="preserve">Another 5% is attributed to the governance of the required standards and the coordination of the implementation.</w:t>
      </w:r>
      <w:r>
        <w:t xml:space="preserve"> </w:t>
      </w:r>
      <w:r>
        <w:t xml:space="preserve">228 Ludden, V. et al., (2020): Study supporting the evaluation of Directive 2005/44/EC on Harmonised River</w:t>
      </w:r>
      <w:r>
        <w:t xml:space="preserve"> </w:t>
      </w:r>
      <w:r>
        <w:t xml:space="preserve">Information Services (RIS). Ramboll, University of Antwerp and DLA Piper. The average cost in the study is</w:t>
      </w:r>
      <w:r>
        <w:t xml:space="preserve"> </w:t>
      </w:r>
      <w:r>
        <w:t xml:space="preserve">expressed in 2019 prices. For the purpose of this impact assessment, it has been transformed in 2022 prices using</w:t>
      </w:r>
      <w:r>
        <w:t xml:space="preserve"> </w:t>
      </w:r>
      <w:r>
        <w:t xml:space="preserve">the harmonised consumer price index for Belgium from Eurostat because the two navigation software service</w:t>
      </w:r>
      <w:r>
        <w:t xml:space="preserve"> </w:t>
      </w:r>
      <w:r>
        <w:t xml:space="preserve">providers that serve around 90% of the market are based in Belgium.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survey229, PM14 would allow to reduce the average cost per vessel by 0.25% relative to the</w:t>
      </w:r>
      <w:r>
        <w:t xml:space="preserve"> </w:t>
      </w:r>
      <w:r>
        <w:t xml:space="preserve">baseline (i.e. EUR 1.13 saved per vessel) from 2026 onwards. The recurrent adjustment costs</w:t>
      </w:r>
      <w:r>
        <w:t xml:space="preserve"> </w:t>
      </w:r>
      <w:r>
        <w:t xml:space="preserve">savings for navigation software service providers for 2030, 2040 and 2050, relative to the</w:t>
      </w:r>
      <w:r>
        <w:t xml:space="preserve"> </w:t>
      </w:r>
      <w:r>
        <w:t xml:space="preserve">baseline, are provided in Table 56. Expressed as present value over 2025-2050, they are</w:t>
      </w:r>
      <w:r>
        <w:t xml:space="preserve"> </w:t>
      </w:r>
      <w:r>
        <w:t xml:space="preserve">estimated at EUR 0.31 million relative to the baseline (in 2022 prices)230.</w:t>
      </w:r>
      <w:r>
        <w:t xml:space="preserve"> </w:t>
      </w:r>
      <w:r>
        <w:t xml:space="preserve">Table 56: Recurrent adjustment costs savings for navigation software service providers due to PM14</w:t>
      </w:r>
      <w:r>
        <w:t xml:space="preserve"> </w:t>
      </w:r>
      <w:r>
        <w:t xml:space="preserve">relative to the baseline (in EUR, in 2022 prices)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vessels</w:t>
      </w:r>
      <w:r>
        <w:t xml:space="preserve"> </w:t>
      </w:r>
      <w:r>
        <w:t xml:space="preserve">15,838</w:t>
      </w:r>
      <w:r>
        <w:t xml:space="preserve"> </w:t>
      </w:r>
      <w:r>
        <w:t xml:space="preserve">15,996</w:t>
      </w:r>
      <w:r>
        <w:t xml:space="preserve"> </w:t>
      </w:r>
      <w:r>
        <w:t xml:space="preserve">16,131</w:t>
      </w:r>
      <w:r>
        <w:t xml:space="preserve"> </w:t>
      </w:r>
      <w:r>
        <w:t xml:space="preserve">Average costs savings for navigation software service</w:t>
      </w:r>
      <w:r>
        <w:t xml:space="preserve"> </w:t>
      </w:r>
      <w:r>
        <w:t xml:space="preserve">providers per vessel (in EUR)</w:t>
      </w:r>
      <w:r>
        <w:t xml:space="preserve"> </w:t>
      </w:r>
      <w:r>
        <w:t xml:space="preserve">1.13</w:t>
      </w:r>
      <w:r>
        <w:t xml:space="preserve"> </w:t>
      </w:r>
      <w:r>
        <w:t xml:space="preserve">1.13</w:t>
      </w:r>
      <w:r>
        <w:t xml:space="preserve"> </w:t>
      </w:r>
      <w:r>
        <w:t xml:space="preserve">1.13</w:t>
      </w:r>
      <w:r>
        <w:t xml:space="preserve"> </w:t>
      </w:r>
      <w:r>
        <w:t xml:space="preserve">Adjustment costs savings for navigation software service</w:t>
      </w:r>
      <w:r>
        <w:t xml:space="preserve"> </w:t>
      </w:r>
      <w:r>
        <w:t xml:space="preserve">providers (in EUR)</w:t>
      </w:r>
      <w:r>
        <w:t xml:space="preserve"> </w:t>
      </w:r>
      <w:r>
        <w:t xml:space="preserve">17,888</w:t>
      </w:r>
      <w:r>
        <w:t xml:space="preserve"> </w:t>
      </w:r>
      <w:r>
        <w:t xml:space="preserve">18,066</w:t>
      </w:r>
      <w:r>
        <w:t xml:space="preserve"> </w:t>
      </w:r>
      <w:r>
        <w:t xml:space="preserve">18,219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PM15: Require sharing of all necessary cross-border data for traffic management and</w:t>
      </w:r>
      <w:r>
        <w:t xml:space="preserve"> </w:t>
      </w:r>
      <w:r>
        <w:t xml:space="preserve">transport management by Member States</w:t>
      </w:r>
      <w:r>
        <w:t xml:space="preserve"> </w:t>
      </w:r>
      <w:r>
        <w:t xml:space="preserve">Currently not all information provided by vessel operators to authorities is shared with the</w:t>
      </w:r>
      <w:r>
        <w:t xml:space="preserve"> </w:t>
      </w:r>
      <w:r>
        <w:t xml:space="preserve">authorities of other Member States, which creates a challenge when crossing borders as in</w:t>
      </w:r>
      <w:r>
        <w:t xml:space="preserve"> </w:t>
      </w:r>
      <w:r>
        <w:t xml:space="preserve">many cases the information needs to be retransmitted. As an illustrative example, cargo</w:t>
      </w:r>
      <w:r>
        <w:t xml:space="preserve"> </w:t>
      </w:r>
      <w:r>
        <w:t xml:space="preserve">reports are not always transmitted to the next country in the journey, which then is not aware</w:t>
      </w:r>
      <w:r>
        <w:t xml:space="preserve"> </w:t>
      </w:r>
      <w:r>
        <w:t xml:space="preserve">that a vessel with dangerous cargo is approaching its area. For example, this does not happen</w:t>
      </w:r>
      <w:r>
        <w:t xml:space="preserve"> </w:t>
      </w:r>
      <w:r>
        <w:t xml:space="preserve">at the borders between the Netherlands and Wallonia, France and Wallonia, France and</w:t>
      </w:r>
      <w:r>
        <w:t xml:space="preserve"> </w:t>
      </w:r>
      <w:r>
        <w:t xml:space="preserve">Luxembourg, Austria and Germany, and all other borders in the Danube area except of the</w:t>
      </w:r>
      <w:r>
        <w:t xml:space="preserve"> </w:t>
      </w:r>
      <w:r>
        <w:t xml:space="preserve">Austrian-Slovakian border.</w:t>
      </w:r>
      <w:r>
        <w:br/>
      </w:r>
      <w:r>
        <w:t xml:space="preserve">This measure would require Member States to share cross-border all necessary data that is</w:t>
      </w:r>
      <w:r>
        <w:t xml:space="preserve"> </w:t>
      </w:r>
      <w:r>
        <w:t xml:space="preserve">required for traffic and transport management. This includes for example information</w:t>
      </w:r>
      <w:r>
        <w:t xml:space="preserve"> </w:t>
      </w:r>
      <w:r>
        <w:t xml:space="preserve">provided by vessel operators regarding the cargo, the position of the vessel, ERI information,</w:t>
      </w:r>
      <w:r>
        <w:t xml:space="preserve"> </w:t>
      </w:r>
      <w:r>
        <w:t xml:space="preserve">but also the exchange of information between authorities such as changes in the navigation</w:t>
      </w:r>
      <w:r>
        <w:t xml:space="preserve"> </w:t>
      </w:r>
      <w:r>
        <w:t xml:space="preserve">parameters, limitations of traffic, speed, etc. This way PM15 aims at facilitating the</w:t>
      </w:r>
      <w:r>
        <w:t xml:space="preserve"> </w:t>
      </w:r>
      <w:r>
        <w:t xml:space="preserve">international exchange of RIS-related data making the planning of journeys more accurate and</w:t>
      </w:r>
      <w:r>
        <w:t xml:space="preserve"> </w:t>
      </w:r>
      <w:r>
        <w:t xml:space="preserve">faster. Under this measure, all the data authorities require would be submitted once the</w:t>
      </w:r>
      <w:r>
        <w:t xml:space="preserve"> </w:t>
      </w:r>
      <w:r>
        <w:t xml:space="preserve">journey starts and then re-shared by the authorities, as well as information generated during</w:t>
      </w:r>
      <w:r>
        <w:t xml:space="preserve"> </w:t>
      </w:r>
      <w:r>
        <w:t xml:space="preserve">the journey.</w:t>
      </w:r>
      <w:r>
        <w:br/>
      </w:r>
      <w:r>
        <w:t xml:space="preserve">This measure does not deal with exchanges not made due to personal data concerns, while</w:t>
      </w:r>
      <w:r>
        <w:t xml:space="preserve"> </w:t>
      </w:r>
      <w:r>
        <w:t xml:space="preserve">they are handled by measures PM16 and PM17.</w:t>
      </w:r>
      <w:r>
        <w:t xml:space="preserve"> </w:t>
      </w:r>
      <w:r>
        <w:t xml:space="preserve">Adjustment costs for national public authorities</w:t>
      </w:r>
      <w:r>
        <w:t xml:space="preserve"> </w:t>
      </w:r>
      <w:r>
        <w:t xml:space="preserve">The one-off adjustment costs (i.e. investment costs to develop the necessary digital tools that</w:t>
      </w:r>
      <w:r>
        <w:t xml:space="preserve"> </w:t>
      </w:r>
      <w:r>
        <w:t xml:space="preserve">will allow the exchange between the national authorities) for national public authorities due to</w:t>
      </w:r>
    </w:p>
    <w:p>
      <w:pPr>
        <w:pStyle w:val="BodyText"/>
      </w:pPr>
      <w:r>
        <w:t xml:space="preserve">229 The feedback has been provided by the two navigation software service providers, based in Belgium, that</w:t>
      </w:r>
      <w:r>
        <w:t xml:space="preserve"> </w:t>
      </w:r>
      <w:r>
        <w:t xml:space="preserve">serve around 90% of the market.</w:t>
      </w:r>
      <w:r>
        <w:t xml:space="preserve"> </w:t>
      </w:r>
      <w:r>
        <w:t xml:space="preserve">230 Part of these costs savings benefiting software provides may be passed through to the vessel operators,</w:t>
      </w:r>
      <w:r>
        <w:t xml:space="preserve"> </w:t>
      </w:r>
      <w:r>
        <w:t xml:space="preserve">although it is not possible to assess the share of the costs savings passed through.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PM15 are estimated at EUR 5 million in 2025 relative to the baseline. The estimate is based</w:t>
      </w:r>
      <w:r>
        <w:t xml:space="preserve"> </w:t>
      </w:r>
      <w:r>
        <w:t xml:space="preserve">on comparable projects in the rail freight sector (ELETA and its successor EDICT231).</w:t>
      </w:r>
      <w:r>
        <w:br/>
      </w:r>
      <w:r>
        <w:t xml:space="preserve">Administrative cost savings for national public authorities</w:t>
      </w:r>
      <w:r>
        <w:t xml:space="preserve"> </w:t>
      </w:r>
      <w:r>
        <w:t xml:space="preserve">PM15 is expected to reduce the staff required at borders. Based on different sources</w:t>
      </w:r>
      <w:r>
        <w:t xml:space="preserve"> </w:t>
      </w:r>
      <w:r>
        <w:t xml:space="preserve">summarised in Table 57, it has been estimated that around 87,420 vessels cross borders where</w:t>
      </w:r>
      <w:r>
        <w:t xml:space="preserve"> </w:t>
      </w:r>
      <w:r>
        <w:t xml:space="preserve">a control in established. Based on the interviews during the stakeholders’ consultation, border</w:t>
      </w:r>
      <w:r>
        <w:t xml:space="preserve"> </w:t>
      </w:r>
      <w:r>
        <w:t xml:space="preserve">officers spend on average 5 minutes for these controls on each side of the border. Considering</w:t>
      </w:r>
      <w:r>
        <w:t xml:space="preserve"> </w:t>
      </w:r>
      <w:r>
        <w:t xml:space="preserve">the labour cost per hour (EUR 26.7 per hour232), the administrative costs savings for national</w:t>
      </w:r>
      <w:r>
        <w:t xml:space="preserve"> </w:t>
      </w:r>
      <w:r>
        <w:t xml:space="preserve">public authorities are estimated at EUR 388,908 per year from 2026 onwards relative to the</w:t>
      </w:r>
      <w:r>
        <w:t xml:space="preserve"> </w:t>
      </w:r>
      <w:r>
        <w:t xml:space="preserve">baseline. Expressed as present value over 2025-2050, they are estimated at EUR 6.77 million</w:t>
      </w:r>
      <w:r>
        <w:t xml:space="preserve"> </w:t>
      </w:r>
      <w:r>
        <w:t xml:space="preserve">relative to the baseline (in 2022 prices).</w:t>
      </w:r>
      <w:r>
        <w:t xml:space="preserve"> </w:t>
      </w:r>
      <w:r>
        <w:t xml:space="preserve">Table 57: Border crossings and controls</w:t>
      </w:r>
      <w:r>
        <w:t xml:space="preserve"> </w:t>
      </w:r>
      <w:r>
        <w:t xml:space="preserve">Border</w:t>
      </w:r>
      <w:r>
        <w:t xml:space="preserve"> </w:t>
      </w:r>
      <w:r>
        <w:t xml:space="preserve">Location</w:t>
      </w:r>
      <w:r>
        <w:t xml:space="preserve"> </w:t>
      </w:r>
      <w:r>
        <w:t xml:space="preserve">Source</w:t>
      </w:r>
      <w:r>
        <w:t xml:space="preserve"> </w:t>
      </w:r>
      <w:r>
        <w:t xml:space="preserve">Number</w:t>
      </w:r>
      <w:r>
        <w:t xml:space="preserve"> </w:t>
      </w:r>
      <w:r>
        <w:t xml:space="preserve">of vessels</w:t>
      </w:r>
      <w:r>
        <w:t xml:space="preserve"> </w:t>
      </w:r>
      <w:r>
        <w:t xml:space="preserve">NL &lt;-&gt; BE</w:t>
      </w:r>
      <w:r>
        <w:t xml:space="preserve"> </w:t>
      </w:r>
      <w:r>
        <w:t xml:space="preserve">Lanaye</w:t>
      </w:r>
      <w:r>
        <w:t xml:space="preserve"> </w:t>
      </w:r>
      <w:r>
        <w:t xml:space="preserve">Voies Hydrauliques Wallone233</w:t>
      </w:r>
      <w:r>
        <w:t xml:space="preserve"> </w:t>
      </w:r>
      <w:r>
        <w:t xml:space="preserve">13,718</w:t>
      </w:r>
      <w:r>
        <w:br/>
      </w:r>
      <w:r>
        <w:t xml:space="preserve">BE &lt;-&gt; FR</w:t>
      </w:r>
      <w:r>
        <w:t xml:space="preserve"> </w:t>
      </w:r>
      <w:r>
        <w:t xml:space="preserve">French border, Meuse</w:t>
      </w:r>
      <w:r>
        <w:t xml:space="preserve"> </w:t>
      </w:r>
      <w:r>
        <w:t xml:space="preserve">Voies Hydrauliques Wallone</w:t>
      </w:r>
      <w:r>
        <w:t xml:space="preserve"> </w:t>
      </w:r>
      <w:r>
        <w:t xml:space="preserve">1,040</w:t>
      </w:r>
      <w:r>
        <w:br/>
      </w:r>
      <w:r>
        <w:t xml:space="preserve">BE &lt;-&gt; FR</w:t>
      </w:r>
      <w:r>
        <w:t xml:space="preserve"> </w:t>
      </w:r>
      <w:r>
        <w:t xml:space="preserve">French border, Escaut</w:t>
      </w:r>
      <w:r>
        <w:t xml:space="preserve"> </w:t>
      </w:r>
      <w:r>
        <w:t xml:space="preserve">Voies Hydrauliques Wallone</w:t>
      </w:r>
      <w:r>
        <w:t xml:space="preserve"> </w:t>
      </w:r>
      <w:r>
        <w:t xml:space="preserve">7,555</w:t>
      </w:r>
      <w:r>
        <w:br/>
      </w:r>
      <w:r>
        <w:t xml:space="preserve">FR &lt;-&gt; LU</w:t>
      </w:r>
      <w:r>
        <w:t xml:space="preserve"> </w:t>
      </w:r>
      <w:r>
        <w:t xml:space="preserve">Grevenmacher lock</w:t>
      </w:r>
      <w:r>
        <w:t xml:space="preserve"> </w:t>
      </w:r>
      <w:r>
        <w:t xml:space="preserve">Lu Stat234</w:t>
      </w:r>
      <w:r>
        <w:t xml:space="preserve"> </w:t>
      </w:r>
      <w:r>
        <w:t xml:space="preserve">4,828</w:t>
      </w:r>
      <w:r>
        <w:br/>
      </w:r>
      <w:r>
        <w:t xml:space="preserve">DE &lt;-&gt; AT</w:t>
      </w:r>
      <w:r>
        <w:t xml:space="preserve"> </w:t>
      </w:r>
      <w:r>
        <w:t xml:space="preserve">Aschach lock</w:t>
      </w:r>
      <w:r>
        <w:t xml:space="preserve"> </w:t>
      </w:r>
      <w:r>
        <w:t xml:space="preserve">Statistic.at235</w:t>
      </w:r>
      <w:r>
        <w:t xml:space="preserve"> </w:t>
      </w:r>
      <w:r>
        <w:t xml:space="preserve">3,939</w:t>
      </w:r>
      <w:r>
        <w:br/>
      </w:r>
      <w:r>
        <w:t xml:space="preserve">SK &lt;-&gt; HU</w:t>
      </w:r>
      <w:r>
        <w:t xml:space="preserve"> </w:t>
      </w:r>
      <w:r>
        <w:t xml:space="preserve">Gabcikovo lock</w:t>
      </w:r>
      <w:r>
        <w:t xml:space="preserve"> </w:t>
      </w:r>
      <w:r>
        <w:t xml:space="preserve">Common Danube Report 2018236</w:t>
      </w:r>
      <w:r>
        <w:t xml:space="preserve"> </w:t>
      </w:r>
      <w:r>
        <w:t xml:space="preserve">13,361</w:t>
      </w:r>
      <w:r>
        <w:br/>
      </w:r>
      <w:r>
        <w:t xml:space="preserve">HU &lt;-&gt; HR</w:t>
      </w:r>
      <w:r>
        <w:t xml:space="preserve"> </w:t>
      </w:r>
      <w:r>
        <w:t xml:space="preserve">13,361</w:t>
      </w:r>
      <w:r>
        <w:br/>
      </w:r>
      <w:r>
        <w:t xml:space="preserve">HR &lt;-&gt; RS</w:t>
      </w:r>
      <w:r>
        <w:t xml:space="preserve"> </w:t>
      </w:r>
      <w:r>
        <w:t xml:space="preserve">13,361</w:t>
      </w:r>
      <w:r>
        <w:br/>
      </w:r>
      <w:r>
        <w:t xml:space="preserve">RS &lt;-&gt; RO</w:t>
      </w:r>
      <w:r>
        <w:t xml:space="preserve"> </w:t>
      </w:r>
      <w:r>
        <w:t xml:space="preserve">Iron Gate I</w:t>
      </w:r>
      <w:r>
        <w:t xml:space="preserve"> </w:t>
      </w:r>
      <w:r>
        <w:t xml:space="preserve">Common Danube Report 2018</w:t>
      </w:r>
      <w:r>
        <w:t xml:space="preserve"> </w:t>
      </w:r>
      <w:r>
        <w:t xml:space="preserve">13,363</w:t>
      </w:r>
      <w:r>
        <w:br/>
      </w:r>
      <w:r>
        <w:t xml:space="preserve">DE &lt;-&gt; CZ</w:t>
      </w:r>
      <w:r>
        <w:t xml:space="preserve"> </w:t>
      </w:r>
      <w:r>
        <w:t xml:space="preserve">Locks Usti Nad Labem</w:t>
      </w:r>
      <w:r>
        <w:t xml:space="preserve"> </w:t>
      </w:r>
      <w:r>
        <w:t xml:space="preserve">Idnes.cz237</w:t>
      </w:r>
      <w:r>
        <w:t xml:space="preserve"> </w:t>
      </w:r>
      <w:r>
        <w:t xml:space="preserve">1,000</w:t>
      </w:r>
      <w:r>
        <w:br/>
      </w:r>
      <w:r>
        <w:t xml:space="preserve">DE &lt;-&gt; PL</w:t>
      </w:r>
      <w:r>
        <w:t xml:space="preserve"> </w:t>
      </w:r>
      <w:r>
        <w:t xml:space="preserve">Schiffshebewerk Niederfinow</w:t>
      </w:r>
      <w:r>
        <w:t xml:space="preserve"> </w:t>
      </w:r>
      <w:r>
        <w:t xml:space="preserve">Verkehrsbericht 2021238</w:t>
      </w:r>
      <w:r>
        <w:t xml:space="preserve"> </w:t>
      </w:r>
      <w:r>
        <w:t xml:space="preserve">1,894</w:t>
      </w:r>
      <w:r>
        <w:br/>
      </w:r>
      <w:r>
        <w:t xml:space="preserve">Total</w:t>
      </w:r>
    </w:p>
    <w:p>
      <w:pPr>
        <w:pStyle w:val="BodyText"/>
      </w:pPr>
      <w:r>
        <w:t xml:space="preserve">87,420</w:t>
      </w:r>
      <w:r>
        <w:t xml:space="preserve"> </w:t>
      </w:r>
      <w:r>
        <w:t xml:space="preserve">Source: Ramboll et al. (2024), Impact assessment support study</w:t>
      </w:r>
    </w:p>
    <w:p>
      <w:pPr>
        <w:pStyle w:val="BodyText"/>
      </w:pPr>
      <w:r>
        <w:t xml:space="preserve">231 ELETA: Electronic Exchange of ETA Information; EDICT: Enhanced Data Interoperability for Combined</w:t>
      </w:r>
      <w:r>
        <w:t xml:space="preserve"> </w:t>
      </w:r>
      <w:r>
        <w:t xml:space="preserve">Transport Stakeholders</w:t>
      </w:r>
      <w:r>
        <w:t xml:space="preserve"> </w:t>
      </w:r>
      <w:r>
        <w:t xml:space="preserve">232 Weighted average of the tariff per hour for non-manual workers (ISCO 8 - Plant and machine operators and</w:t>
      </w:r>
      <w:r>
        <w:t xml:space="preserve"> </w:t>
      </w:r>
      <w:r>
        <w:t xml:space="preserve">assemblers) in the 13 Member State in the scope of RIS. It is based on Eurostat Structure of earnings survey and</w:t>
      </w:r>
      <w:r>
        <w:t xml:space="preserve"> </w:t>
      </w:r>
      <w:r>
        <w:t xml:space="preserve">expressed in 2022 prices.</w:t>
      </w:r>
      <w:r>
        <w:t xml:space="preserve"> </w:t>
      </w:r>
      <w:r>
        <w:t xml:space="preserve">233 http://voies-</w:t>
      </w:r>
      <w:r>
        <w:t xml:space="preserve"> </w:t>
      </w:r>
      <w:r>
        <w:t xml:space="preserve">hydrauliques.wallonie.be/opencms/opencms/fr/nav/navstat/navstat.do?path=tr&amp;per=2022&amp;vn=21&amp;val=N&amp;displ</w:t>
      </w:r>
      <w:r>
        <w:t xml:space="preserve"> </w:t>
      </w:r>
      <w:r>
        <w:t xml:space="preserve">ay=T&amp;pas=A&amp;col=CLA</w:t>
      </w:r>
      <w:r>
        <w:br/>
      </w:r>
      <w:r>
        <w:t xml:space="preserve">234</w:t>
      </w:r>
      <w:r>
        <w:t xml:space="preserve"> </w:t>
      </w:r>
      <w:r>
        <w:t xml:space="preserve">https://lustat.statec.lu/vis?lc=en&amp;fs[0]=Topics%2C1%7CEnterprises%23D%23%7CTransport%23D6%23&amp;fs[1]=Topics%2C2%7CEnterprises%23D%23%7CTransport%23D6%23%7CMaritime%20and%20fluvial%20trans</w:t>
      </w:r>
      <w:r>
        <w:t xml:space="preserve"> </w:t>
      </w:r>
      <w:r>
        <w:t xml:space="preserve">port%23D63%23&amp;pg=0&amp;fc=Topics&amp;df[ds]=ds-</w:t>
      </w:r>
      <w:r>
        <w:t xml:space="preserve"> </w:t>
      </w:r>
      <w:r>
        <w:t xml:space="preserve">release&amp;df[id]=DF_D6401&amp;df[ag]=LU1&amp;df[vs]=1.0&amp;pd=2015%2C&amp;dq=.A.&amp;ly[rw]=SPECIFICATION%2C</w:t>
      </w:r>
      <w:r>
        <w:t xml:space="preserve"> </w:t>
      </w:r>
      <w:r>
        <w:t xml:space="preserve">DIRECTION&amp;ly[cl]=TIME_PERIOD</w:t>
      </w:r>
      <w:r>
        <w:br/>
      </w:r>
      <w:r>
        <w:t xml:space="preserve">235 https://www.statistik.at/en/statistics/tourism-and-transport/freight-transport/freight-transport-on-inland-</w:t>
      </w:r>
      <w:r>
        <w:t xml:space="preserve"> </w:t>
      </w:r>
      <w:r>
        <w:t xml:space="preserve">waterways</w:t>
      </w:r>
      <w:r>
        <w:t xml:space="preserve"> </w:t>
      </w:r>
      <w:r>
        <w:t xml:space="preserve">236 http://www.plovput.rs/file/danube-stream/common-danube-report-2018.pdf</w:t>
      </w:r>
      <w:r>
        <w:t xml:space="preserve"> </w:t>
      </w:r>
      <w:r>
        <w:t xml:space="preserve">237 https://www.idnes.cz/bydleni/architektura/strekov.A120322_110822_architektura_web</w:t>
      </w:r>
      <w:r>
        <w:t xml:space="preserve"> </w:t>
      </w:r>
      <w:r>
        <w:t xml:space="preserve">238</w:t>
      </w:r>
      <w:r>
        <w:t xml:space="preserve"> </w:t>
      </w:r>
      <w:r>
        <w:t xml:space="preserve">https://www.gdws.wsv.bund.de/SharedDocs/Downloads/DE/Verkehrsberichte/Verkehrsbericht_2021.pdf?__blo</w:t>
      </w:r>
      <w:r>
        <w:t xml:space="preserve"> </w:t>
      </w:r>
      <w:r>
        <w:t xml:space="preserve">b=publicationFile&amp;v=4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Administrative cost savings for vessel operators</w:t>
      </w:r>
      <w:r>
        <w:t xml:space="preserve"> </w:t>
      </w:r>
      <w:r>
        <w:t xml:space="preserve">PM15 (included in POC) will eliminate the need for vessel operators to resubmit the</w:t>
      </w:r>
      <w:r>
        <w:t xml:space="preserve"> </w:t>
      </w:r>
      <w:r>
        <w:t xml:space="preserve">electronic cargo reports for border crossing where this is still required (i.e. in 30% of the</w:t>
      </w:r>
      <w:r>
        <w:t xml:space="preserve"> </w:t>
      </w:r>
      <w:r>
        <w:t xml:space="preserve">border crossings in the baseline). Vessel operators would only have to report their voyage</w:t>
      </w:r>
      <w:r>
        <w:t xml:space="preserve"> </w:t>
      </w:r>
      <w:r>
        <w:t xml:space="preserve">once to a RIS authority, which then automatically transfers the voyage report to other RIS</w:t>
      </w:r>
      <w:r>
        <w:t xml:space="preserve"> </w:t>
      </w:r>
      <w:r>
        <w:t xml:space="preserve">authorities when the vessel enters the management area of the subsequent authority. However,</w:t>
      </w:r>
      <w:r>
        <w:t xml:space="preserve"> </w:t>
      </w:r>
      <w:r>
        <w:t xml:space="preserve">considering the synergies with PM8 and PM9 (both included in POC), PM15 is expected to</w:t>
      </w:r>
      <w:r>
        <w:t xml:space="preserve"> </w:t>
      </w:r>
      <w:r>
        <w:t xml:space="preserve">reduce the share of repeated notifications by 2 percentage points relative to the baseline from</w:t>
      </w:r>
      <w:r>
        <w:t xml:space="preserve"> </w:t>
      </w:r>
      <w:r>
        <w:t xml:space="preserve">2026 onwards239. Based on the interviews and stakeholders’ survey, repeated notifications</w:t>
      </w:r>
      <w:r>
        <w:t xml:space="preserve"> </w:t>
      </w:r>
      <w:r>
        <w:t xml:space="preserve">take around 15 minutes per vessel operator. Considering the labour cost per hour (EUR 26.7</w:t>
      </w:r>
      <w:r>
        <w:t xml:space="preserve"> </w:t>
      </w:r>
      <w:r>
        <w:t xml:space="preserve">per hour240), the administrative cost savings for vessels operators due to PM15 relative to the</w:t>
      </w:r>
      <w:r>
        <w:t xml:space="preserve"> </w:t>
      </w:r>
      <w:r>
        <w:t xml:space="preserve">baseline are provided in Table 58. Expressed as present value over 2025-2050, they are</w:t>
      </w:r>
      <w:r>
        <w:t xml:space="preserve"> </w:t>
      </w:r>
      <w:r>
        <w:t xml:space="preserve">estimated at EUR 1.11 million relative to the baseline.</w:t>
      </w:r>
      <w:r>
        <w:br/>
      </w:r>
      <w:r>
        <w:t xml:space="preserve">Table 58: Recurrent administrative costs savings for vessels operators due to PM15 relative to the baseline</w:t>
      </w:r>
      <w:r>
        <w:t xml:space="preserve"> </w:t>
      </w:r>
      <w:r>
        <w:t xml:space="preserve">(in EUR, in 2022 prices)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border crossings requiring repeated notifications in the</w:t>
      </w:r>
      <w:r>
        <w:t xml:space="preserve"> </w:t>
      </w:r>
      <w:r>
        <w:t xml:space="preserve">baseline</w:t>
      </w:r>
      <w:r>
        <w:t xml:space="preserve"> </w:t>
      </w:r>
      <w:r>
        <w:t xml:space="preserve">132,997</w:t>
      </w:r>
      <w:r>
        <w:t xml:space="preserve"> </w:t>
      </w:r>
      <w:r>
        <w:t xml:space="preserve">133,918</w:t>
      </w:r>
      <w:r>
        <w:t xml:space="preserve"> </w:t>
      </w:r>
      <w:r>
        <w:t xml:space="preserve">135,833</w:t>
      </w:r>
      <w:r>
        <w:t xml:space="preserve"> </w:t>
      </w:r>
      <w:r>
        <w:t xml:space="preserve">Reduction in the number of repeated notifications due to PM15</w:t>
      </w:r>
      <w:r>
        <w:t xml:space="preserve"> </w:t>
      </w:r>
      <w:r>
        <w:t xml:space="preserve">(considering the synergies with PM8 and PM9)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9,846</w:t>
      </w:r>
      <w:r>
        <w:t xml:space="preserve"> </w:t>
      </w:r>
      <w:r>
        <w:t xml:space="preserve">9,914</w:t>
      </w:r>
      <w:r>
        <w:t xml:space="preserve"> </w:t>
      </w:r>
      <w:r>
        <w:t xml:space="preserve">10,056</w:t>
      </w:r>
      <w:r>
        <w:t xml:space="preserve"> </w:t>
      </w:r>
      <w:r>
        <w:t xml:space="preserve">Administrative costs savings for vessel operators due to PM15 (in</w:t>
      </w:r>
      <w:r>
        <w:t xml:space="preserve"> </w:t>
      </w:r>
      <w:r>
        <w:t xml:space="preserve">EUR)</w:t>
      </w:r>
      <w:r>
        <w:t xml:space="preserve"> </w:t>
      </w:r>
      <w:r>
        <w:t xml:space="preserve">63,696</w:t>
      </w:r>
      <w:r>
        <w:t xml:space="preserve"> </w:t>
      </w:r>
      <w:r>
        <w:t xml:space="preserve">64,136</w:t>
      </w:r>
      <w:r>
        <w:t xml:space="preserve"> </w:t>
      </w:r>
      <w:r>
        <w:t xml:space="preserve">65,054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PM16: Specify more clearly the cases for exchange of personal data </w:t>
      </w:r>
      <w:r>
        <w:br/>
      </w:r>
      <w:r>
        <w:t xml:space="preserve">Currently the main challenge regarding the personal data in RIS relates to the information on</w:t>
      </w:r>
      <w:r>
        <w:t xml:space="preserve"> </w:t>
      </w:r>
      <w:r>
        <w:t xml:space="preserve">the position of the vessel through AIS (Automatic Identification System). As explained in</w:t>
      </w:r>
      <w:r>
        <w:t xml:space="preserve"> </w:t>
      </w:r>
      <w:r>
        <w:t xml:space="preserve">problem driver 5, vessel operators (in particular SMEs) who also reside in the vessel, consider</w:t>
      </w:r>
      <w:r>
        <w:t xml:space="preserve"> </w:t>
      </w:r>
      <w:r>
        <w:t xml:space="preserve">that information regarding the position should be considered personal data. Due to these</w:t>
      </w:r>
      <w:r>
        <w:t xml:space="preserve"> </w:t>
      </w:r>
      <w:r>
        <w:t xml:space="preserve">concerns, and as it is not always clear on which basis the data is being processed and whether</w:t>
      </w:r>
      <w:r>
        <w:t xml:space="preserve"> </w:t>
      </w:r>
      <w:r>
        <w:t xml:space="preserve">this is allowed, authorities are reluctant to process and transmit positioning information to</w:t>
      </w:r>
      <w:r>
        <w:t xml:space="preserve"> </w:t>
      </w:r>
      <w:r>
        <w:t xml:space="preserve">other authorities. This in turn leads to resubmission of the information by the vessel operators</w:t>
      </w:r>
      <w:r>
        <w:t xml:space="preserve"> </w:t>
      </w:r>
      <w:r>
        <w:t xml:space="preserve">to different national authorities or refusal to share information.</w:t>
      </w:r>
      <w:r>
        <w:t xml:space="preserve"> </w:t>
      </w:r>
      <w:r>
        <w:t xml:space="preserve">Under this measure, the RIS Directive would provide more clarity on the specific cases and</w:t>
      </w:r>
      <w:r>
        <w:t xml:space="preserve"> </w:t>
      </w:r>
      <w:r>
        <w:t xml:space="preserve">legal basis where exchange of personal data would be justified (e.g. for reasons of safety, to</w:t>
      </w:r>
      <w:r>
        <w:t xml:space="preserve"> </w:t>
      </w:r>
      <w:r>
        <w:t xml:space="preserve">streamline the process, etc.). This would provide legal clarity both for Member States and</w:t>
      </w:r>
      <w:r>
        <w:t xml:space="preserve"> </w:t>
      </w:r>
      <w:r>
        <w:t xml:space="preserve">other stakeholders, and thus allow a reduction in the number of resubmissions. The</w:t>
      </w:r>
      <w:r>
        <w:t xml:space="preserve"> </w:t>
      </w:r>
      <w:r>
        <w:t xml:space="preserve">expectation is that if it is made clear in which cases AIS data can and cannot be shared, the</w:t>
      </w:r>
    </w:p>
    <w:p>
      <w:pPr>
        <w:pStyle w:val="BodyText"/>
      </w:pPr>
      <w:r>
        <w:t xml:space="preserve">239 As explained, in the baseline scenario 30% of the border crossings require to resubmit the electronic cargo</w:t>
      </w:r>
      <w:r>
        <w:t xml:space="preserve"> </w:t>
      </w:r>
      <w:r>
        <w:t xml:space="preserve">reports. PM8 reduces the share of repeated notifications by 20 percentage points relative to the baseline and PM9</w:t>
      </w:r>
      <w:r>
        <w:t xml:space="preserve"> </w:t>
      </w:r>
      <w:r>
        <w:t xml:space="preserve">by another 8 percentage points. Therefore, the elimination of the need to resubmit the electronic cargo reports in</w:t>
      </w:r>
      <w:r>
        <w:t xml:space="preserve"> </w:t>
      </w:r>
      <w:r>
        <w:t xml:space="preserve">PM15 (in combination with PM8 and PM9) leads to a reduction in the share of repeated notifications by 2</w:t>
      </w:r>
      <w:r>
        <w:t xml:space="preserve"> </w:t>
      </w:r>
      <w:r>
        <w:t xml:space="preserve">percentage points relative to the baseline.</w:t>
      </w:r>
      <w:r>
        <w:br/>
      </w:r>
      <w:r>
        <w:t xml:space="preserve">240 Weighted average of the tariff per hour for non-manual workers (ISCO 8 - Plant and machine operators and</w:t>
      </w:r>
      <w:r>
        <w:t xml:space="preserve"> </w:t>
      </w:r>
      <w:r>
        <w:t xml:space="preserve">assemblers) in the 13 Member State in the scope of RIS. It is based on Eurostat Structure of earnings survey and</w:t>
      </w:r>
      <w:r>
        <w:t xml:space="preserve"> </w:t>
      </w:r>
      <w:r>
        <w:t xml:space="preserve">expressed in 2022 prices.</w:t>
      </w:r>
    </w:p>
    <w:p>
      <w:pPr>
        <w:pStyle w:val="BodyText"/>
      </w:pPr>
      <w:r>
        <w:t xml:space="preserve">137</w:t>
      </w:r>
      <w:r>
        <w:t xml:space="preserve"> </w:t>
      </w:r>
      <w:r>
        <w:t xml:space="preserve">procedure for collecting port charges will become simpler. Barges will no longer have to</w:t>
      </w:r>
      <w:r>
        <w:t xml:space="preserve"> </w:t>
      </w:r>
      <w:r>
        <w:t xml:space="preserve">report in ports, authorities will have to make less effort to identify vessels. Therefore,</w:t>
      </w:r>
      <w:r>
        <w:t xml:space="preserve"> </w:t>
      </w:r>
      <w:r>
        <w:t xml:space="preserve">economic impacts are assessed for these two categories of stakeholders.</w:t>
      </w:r>
      <w:r>
        <w:t xml:space="preserve"> </w:t>
      </w:r>
      <w:r>
        <w:t xml:space="preserve">This measure is designed to work in complementarity with PM12, PM13 and PM15 as it</w:t>
      </w:r>
      <w:r>
        <w:t xml:space="preserve"> </w:t>
      </w:r>
      <w:r>
        <w:t xml:space="preserve">covers a specific case (personal data) that they do not.</w:t>
      </w:r>
      <w:r>
        <w:t xml:space="preserve"> </w:t>
      </w:r>
      <w:r>
        <w:t xml:space="preserve">Adjustment costs for national public authorities (ports)</w:t>
      </w:r>
      <w:r>
        <w:t xml:space="preserve"> </w:t>
      </w:r>
      <w:r>
        <w:t xml:space="preserve">For PM16 to be implemented, all TEN-T inland ports would have to develop an application</w:t>
      </w:r>
      <w:r>
        <w:t xml:space="preserve"> </w:t>
      </w:r>
      <w:r>
        <w:t xml:space="preserve">where the position of the vessel through AIS can be used for port-related matters, such as</w:t>
      </w:r>
      <w:r>
        <w:t xml:space="preserve"> </w:t>
      </w:r>
      <w:r>
        <w:t xml:space="preserve">berth management and collection of port fees241. The investment costs for such an</w:t>
      </w:r>
      <w:r>
        <w:t xml:space="preserve"> </w:t>
      </w:r>
      <w:r>
        <w:t xml:space="preserve">application are estimated at EUR 5,839 per port (in 2022 prices) as identified in DINA</w:t>
      </w:r>
      <w:r>
        <w:t xml:space="preserve"> </w:t>
      </w:r>
      <w:r>
        <w:t xml:space="preserve">study242. The total one-off adjustments costs for all 265 ports are thus estimated at EUR 1.55</w:t>
      </w:r>
      <w:r>
        <w:t xml:space="preserve"> </w:t>
      </w:r>
      <w:r>
        <w:t xml:space="preserve">million in 2025 relative to the baseline.</w:t>
      </w:r>
      <w:r>
        <w:t xml:space="preserve"> </w:t>
      </w:r>
      <w:r>
        <w:t xml:space="preserve">Administrative costs for national public authorities (ports)</w:t>
      </w:r>
      <w:r>
        <w:t xml:space="preserve"> </w:t>
      </w:r>
      <w:r>
        <w:t xml:space="preserve">PM16 is also expected to lead to recurrent administrative costs for managing and maintaining</w:t>
      </w:r>
      <w:r>
        <w:t xml:space="preserve"> </w:t>
      </w:r>
      <w:r>
        <w:t xml:space="preserve">the systems. Based on the DINA study they are assumed to be 25% of the investment costs, or</w:t>
      </w:r>
      <w:r>
        <w:t xml:space="preserve"> </w:t>
      </w:r>
      <w:r>
        <w:t xml:space="preserve">EUR 1,460 per port. Thus, total recurrent administrative costs are estimated at EUR 386,860</w:t>
      </w:r>
      <w:r>
        <w:t xml:space="preserve"> </w:t>
      </w:r>
      <w:r>
        <w:t xml:space="preserve">per year relative to the baseline from 2026 onwards. Expressed as present value over 2025-</w:t>
      </w:r>
      <w:r>
        <w:t xml:space="preserve"> </w:t>
      </w:r>
      <w:r>
        <w:t xml:space="preserve">2050, they are estimated at EUR 6.74 million relative to the baseline.</w:t>
      </w:r>
      <w:r>
        <w:br/>
      </w:r>
      <w:r>
        <w:t xml:space="preserve">Administrative costs savings for vessel operators</w:t>
      </w:r>
      <w:r>
        <w:t xml:space="preserve"> </w:t>
      </w:r>
      <w:r>
        <w:t xml:space="preserve">Making clear in which cases AIS data can and cannot be shared, the procedure for collecting</w:t>
      </w:r>
      <w:r>
        <w:t xml:space="preserve"> </w:t>
      </w:r>
      <w:r>
        <w:t xml:space="preserve">port charges would become simpler. Barges would no longer have to report in ports and</w:t>
      </w:r>
      <w:r>
        <w:t xml:space="preserve"> </w:t>
      </w:r>
      <w:r>
        <w:t xml:space="preserve">authorities would have to make less effort to identify vessels. Currently, there are 120 ports in</w:t>
      </w:r>
      <w:r>
        <w:t xml:space="preserve"> </w:t>
      </w:r>
      <w:r>
        <w:t xml:space="preserve">Europe where port dues are levied, mainly located in the Netherlands and some on the Rhine</w:t>
      </w:r>
      <w:r>
        <w:t xml:space="preserve"> </w:t>
      </w:r>
      <w:r>
        <w:t xml:space="preserve">and Danube. It is estimated that if the cases for data-sharing would be better clarified the</w:t>
      </w:r>
      <w:r>
        <w:t xml:space="preserve"> </w:t>
      </w:r>
      <w:r>
        <w:t xml:space="preserve">number of resubmitted reports to ports would decrease by 20% relative to the baseline from</w:t>
      </w:r>
      <w:r>
        <w:t xml:space="preserve"> </w:t>
      </w:r>
      <w:r>
        <w:t xml:space="preserve">2026 onwards. Considering the labour cost per hour (EUR 26.7 per hour243), the</w:t>
      </w:r>
      <w:r>
        <w:t xml:space="preserve"> </w:t>
      </w:r>
      <w:r>
        <w:t xml:space="preserve">administrative costs savings for vessels operators due to PM16 relative to the baseline are</w:t>
      </w:r>
      <w:r>
        <w:t xml:space="preserve"> </w:t>
      </w:r>
      <w:r>
        <w:t xml:space="preserve">provided in Table 59. Expressed as present value over 2025-2050, they are estimated at EUR</w:t>
      </w:r>
      <w:r>
        <w:t xml:space="preserve"> </w:t>
      </w:r>
      <w:r>
        <w:t xml:space="preserve">5.67 million relative to the baseline.</w:t>
      </w:r>
      <w:r>
        <w:br/>
      </w:r>
      <w:r>
        <w:t xml:space="preserve">Table 59: Recurrent administrative costs savings for vessels operators due to PM16 relative to the baseline</w:t>
      </w:r>
      <w:r>
        <w:t xml:space="preserve"> </w:t>
      </w:r>
      <w:r>
        <w:t xml:space="preserve">(in EUR, in 2022 prices)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port calls</w:t>
      </w:r>
      <w:r>
        <w:t xml:space="preserve"> </w:t>
      </w:r>
      <w:r>
        <w:t xml:space="preserve">364,940</w:t>
      </w:r>
      <w:r>
        <w:t xml:space="preserve"> </w:t>
      </w:r>
      <w:r>
        <w:t xml:space="preserve">367,264</w:t>
      </w:r>
      <w:r>
        <w:t xml:space="preserve"> </w:t>
      </w:r>
      <w:r>
        <w:t xml:space="preserve">372,403</w:t>
      </w:r>
      <w:r>
        <w:t xml:space="preserve"> </w:t>
      </w:r>
      <w:r>
        <w:t xml:space="preserve">Reduction in the resubmission of electronic cargo reports to ports</w:t>
      </w:r>
      <w:r>
        <w:t xml:space="preserve"> </w:t>
      </w:r>
      <w:r>
        <w:t xml:space="preserve">relative to the baseline</w:t>
      </w:r>
      <w:r>
        <w:br/>
      </w:r>
      <w:r>
        <w:t xml:space="preserve">72,988</w:t>
      </w:r>
      <w:r>
        <w:t xml:space="preserve"> </w:t>
      </w:r>
      <w:r>
        <w:t xml:space="preserve">73,453</w:t>
      </w:r>
      <w:r>
        <w:t xml:space="preserve"> </w:t>
      </w:r>
      <w:r>
        <w:t xml:space="preserve">74,481</w:t>
      </w:r>
    </w:p>
    <w:p>
      <w:pPr>
        <w:pStyle w:val="BodyText"/>
      </w:pPr>
      <w:r>
        <w:t xml:space="preserve">241 This application is considered as separate/has other functionality to those under PM12 and PM13, as these</w:t>
      </w:r>
      <w:r>
        <w:t xml:space="preserve"> </w:t>
      </w:r>
      <w:r>
        <w:t xml:space="preserve">last ones do not consider AIS among the information to be shared.</w:t>
      </w:r>
      <w:r>
        <w:t xml:space="preserve"> </w:t>
      </w:r>
      <w:r>
        <w:t xml:space="preserve">242 European Commission (2017): Digital inland waterway areas. Towards a digital inland waterway area and</w:t>
      </w:r>
      <w:r>
        <w:t xml:space="preserve"> </w:t>
      </w:r>
      <w:r>
        <w:t xml:space="preserve">digital multimodal nodes. Final report.</w:t>
      </w:r>
      <w:r>
        <w:t xml:space="preserve"> </w:t>
      </w:r>
      <w:r>
        <w:t xml:space="preserve">243 Weighted average of the tariff per hour for non-manual workers (ISCO 8 - Plant and machine operators and</w:t>
      </w:r>
      <w:r>
        <w:t xml:space="preserve"> </w:t>
      </w:r>
      <w:r>
        <w:t xml:space="preserve">assemblers) in the 13 Member State in the scope of RIS. It is based on Eurostat Structure of earnings survey and</w:t>
      </w:r>
      <w:r>
        <w:t xml:space="preserve"> </w:t>
      </w:r>
      <w:r>
        <w:t xml:space="preserve">expressed in 2022 prices.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 costs savings for vessel operators due to PM16 (in</w:t>
      </w:r>
      <w:r>
        <w:t xml:space="preserve"> </w:t>
      </w:r>
      <w:r>
        <w:t xml:space="preserve">EUR)</w:t>
      </w:r>
      <w:r>
        <w:t xml:space="preserve"> </w:t>
      </w:r>
      <w:r>
        <w:t xml:space="preserve">324,704</w:t>
      </w:r>
      <w:r>
        <w:t xml:space="preserve"> </w:t>
      </w:r>
      <w:r>
        <w:t xml:space="preserve">326,772</w:t>
      </w:r>
      <w:r>
        <w:t xml:space="preserve"> </w:t>
      </w:r>
      <w:r>
        <w:t xml:space="preserve">331,344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For the purpose of the application of the ‘one in, one out’ approach, the average reduction in</w:t>
      </w:r>
      <w:r>
        <w:t xml:space="preserve"> </w:t>
      </w:r>
      <w:r>
        <w:t xml:space="preserve">the number of resubmitted cargo reports over 2026-2035 has been estimated at 72,799 per</w:t>
      </w:r>
      <w:r>
        <w:t xml:space="preserve"> </w:t>
      </w:r>
      <w:r>
        <w:t xml:space="preserve">year relative to the baseline and the average costs saved per resubmission at EUR 4.4. Thus,</w:t>
      </w:r>
      <w:r>
        <w:t xml:space="preserve"> </w:t>
      </w:r>
      <w:r>
        <w:t xml:space="preserve">the average annual administrative costs savings for vessel operators are estimated at EUR</w:t>
      </w:r>
      <w:r>
        <w:t xml:space="preserve"> </w:t>
      </w:r>
      <w:r>
        <w:t xml:space="preserve">0.32 million relative to the baseline.</w:t>
      </w:r>
      <w:r>
        <w:br/>
      </w:r>
      <w:r>
        <w:t xml:space="preserve">PM17: Develop templates and standards for the exchange of personal data</w:t>
      </w:r>
      <w:r>
        <w:t xml:space="preserve"> </w:t>
      </w:r>
      <w:r>
        <w:t xml:space="preserve">This measure will develop and mandate new standards and technical specifications for the</w:t>
      </w:r>
      <w:r>
        <w:t xml:space="preserve"> </w:t>
      </w:r>
      <w:r>
        <w:t xml:space="preserve">exchange of personal information when this is required by national or international</w:t>
      </w:r>
      <w:r>
        <w:t xml:space="preserve"> </w:t>
      </w:r>
      <w:r>
        <w:t xml:space="preserve">legislation. This measure goes beyond measure 16, in that it will not only clarify the cases</w:t>
      </w:r>
      <w:r>
        <w:t xml:space="preserve"> </w:t>
      </w:r>
      <w:r>
        <w:t xml:space="preserve">when personal data can be exchanged, but will define the exact templates and standards to be</w:t>
      </w:r>
      <w:r>
        <w:t xml:space="preserve"> </w:t>
      </w:r>
      <w:r>
        <w:t xml:space="preserve">followed when such an exchange can take place, in line with existing legal provisions. It will</w:t>
      </w:r>
      <w:r>
        <w:t xml:space="preserve"> </w:t>
      </w:r>
      <w:r>
        <w:t xml:space="preserve">thus provide a further step of harmonisation. It would also provide information on why this is</w:t>
      </w:r>
      <w:r>
        <w:t xml:space="preserve"> </w:t>
      </w:r>
      <w:r>
        <w:t xml:space="preserve">proportionate (i.e. on what is aimed to be achieved) and why it is the least intrusive way to</w:t>
      </w:r>
      <w:r>
        <w:t xml:space="preserve"> </w:t>
      </w:r>
      <w:r>
        <w:t xml:space="preserve">exchange personal data to achieve its goals).</w:t>
      </w:r>
      <w:r>
        <w:t xml:space="preserve"> </w:t>
      </w:r>
      <w:r>
        <w:t xml:space="preserve">Adjustment costs for national public authorities (ports)</w:t>
      </w:r>
      <w:r>
        <w:t xml:space="preserve"> </w:t>
      </w:r>
      <w:r>
        <w:t xml:space="preserve">For PM17 to be implemented, all TEN-T inland ports would have to develop an application</w:t>
      </w:r>
      <w:r>
        <w:t xml:space="preserve"> </w:t>
      </w:r>
      <w:r>
        <w:t xml:space="preserve">where the position of the vessel through AIS can be used for port-related matters, such as</w:t>
      </w:r>
      <w:r>
        <w:t xml:space="preserve"> </w:t>
      </w:r>
      <w:r>
        <w:t xml:space="preserve">berth management and collection of port fees244. The application would need to additionally</w:t>
      </w:r>
      <w:r>
        <w:t xml:space="preserve"> </w:t>
      </w:r>
      <w:r>
        <w:t xml:space="preserve">accommodate harmonised features (e.g. templates and standards to be followed) relative to</w:t>
      </w:r>
      <w:r>
        <w:t xml:space="preserve"> </w:t>
      </w:r>
      <w:r>
        <w:t xml:space="preserve">PM16. The investment costs for such an application are estimated at EUR 10,219 per port (in</w:t>
      </w:r>
      <w:r>
        <w:t xml:space="preserve"> </w:t>
      </w:r>
      <w:r>
        <w:t xml:space="preserve">2022 prices) as identified in DINA study245. The total one-off adjustments costs for all 265</w:t>
      </w:r>
      <w:r>
        <w:t xml:space="preserve"> </w:t>
      </w:r>
      <w:r>
        <w:t xml:space="preserve">ports are thus estimated at EUR 2.71 million in 2025 relative to the baseline.</w:t>
      </w:r>
      <w:r>
        <w:t xml:space="preserve"> </w:t>
      </w:r>
      <w:r>
        <w:t xml:space="preserve">Administrative costs for national public authorities (ports)</w:t>
      </w:r>
      <w:r>
        <w:t xml:space="preserve"> </w:t>
      </w:r>
      <w:r>
        <w:t xml:space="preserve">PM17 is also expected to lead to recurrent administrative costs for managing and maintaining</w:t>
      </w:r>
      <w:r>
        <w:t xml:space="preserve"> </w:t>
      </w:r>
      <w:r>
        <w:t xml:space="preserve">the systems. Based on the DINA study they are assumed to be 25% of the investment costs, or</w:t>
      </w:r>
      <w:r>
        <w:t xml:space="preserve"> </w:t>
      </w:r>
      <w:r>
        <w:t xml:space="preserve">EUR 2,555 per port. Thus, total recurrent administrative costs are estimated at EUR 677,005</w:t>
      </w:r>
      <w:r>
        <w:t xml:space="preserve"> </w:t>
      </w:r>
      <w:r>
        <w:t xml:space="preserve">per year relative to the baseline from 2026 onwards. Expressed as present value over 2025-</w:t>
      </w:r>
      <w:r>
        <w:t xml:space="preserve"> </w:t>
      </w:r>
      <w:r>
        <w:t xml:space="preserve">2050, they are estimated at EUR 11.79 million relative to the baseline.</w:t>
      </w:r>
      <w:r>
        <w:br/>
      </w:r>
      <w:r>
        <w:t xml:space="preserve">Administrative cost savings for vessel operators</w:t>
      </w:r>
      <w:r>
        <w:t xml:space="preserve"> </w:t>
      </w:r>
      <w:r>
        <w:t xml:space="preserve">By clarifying instances when AIS data can and cannot be shared, the procedure for collecting</w:t>
      </w:r>
      <w:r>
        <w:t xml:space="preserve"> </w:t>
      </w:r>
      <w:r>
        <w:t xml:space="preserve">port charges would become simpler. In Europe, port dues are levied in 120 ports, which are</w:t>
      </w:r>
      <w:r>
        <w:t xml:space="preserve"> </w:t>
      </w:r>
      <w:r>
        <w:t xml:space="preserve">primarily located in the Netherlands, but some also along the Rhine and Danube. It is</w:t>
      </w:r>
      <w:r>
        <w:t xml:space="preserve"> </w:t>
      </w:r>
      <w:r>
        <w:t xml:space="preserve">estimated that if the cases for data-sharing would be better clarified the number of resubmitted</w:t>
      </w:r>
    </w:p>
    <w:p>
      <w:pPr>
        <w:pStyle w:val="BodyText"/>
      </w:pPr>
      <w:r>
        <w:t xml:space="preserve">244 This application is considered as separate/has other functionality to those under PM12 and PM13, as these</w:t>
      </w:r>
      <w:r>
        <w:t xml:space="preserve"> </w:t>
      </w:r>
      <w:r>
        <w:t xml:space="preserve">last ones do not consider AIS among the information to be shared.</w:t>
      </w:r>
      <w:r>
        <w:t xml:space="preserve"> </w:t>
      </w:r>
      <w:r>
        <w:t xml:space="preserve">245 European Commission (2017): Digital inland waterway areas. Towards a digital inland waterway area and</w:t>
      </w:r>
      <w:r>
        <w:t xml:space="preserve"> </w:t>
      </w:r>
      <w:r>
        <w:t xml:space="preserve">digital multimodal nodes. Final report. These investment costs are 75% higher than those in PM16.</w:t>
      </w:r>
    </w:p>
    <w:p>
      <w:pPr>
        <w:pStyle w:val="BodyText"/>
      </w:pPr>
      <w:r>
        <w:t xml:space="preserve">139</w:t>
      </w:r>
      <w:r>
        <w:t xml:space="preserve"> </w:t>
      </w:r>
      <w:r>
        <w:t xml:space="preserve">reports to ports would decrease by 30% relative to the baseline from 2026 onwards.</w:t>
      </w:r>
      <w:r>
        <w:t xml:space="preserve"> </w:t>
      </w:r>
      <w:r>
        <w:t xml:space="preserve">Considering the labour cost per hour (EUR 26.7 per hour246), the administrative costs savings</w:t>
      </w:r>
      <w:r>
        <w:t xml:space="preserve"> </w:t>
      </w:r>
      <w:r>
        <w:t xml:space="preserve">for vessels operators due to PM17 relative to the baseline are provided in Table 60. Expressed</w:t>
      </w:r>
      <w:r>
        <w:t xml:space="preserve"> </w:t>
      </w:r>
      <w:r>
        <w:t xml:space="preserve">as present value over 2025-2050, they are estimated at EUR 8.51 million relative to the</w:t>
      </w:r>
      <w:r>
        <w:t xml:space="preserve"> </w:t>
      </w:r>
      <w:r>
        <w:t xml:space="preserve">baseline.</w:t>
      </w:r>
      <w:r>
        <w:br/>
      </w:r>
      <w:r>
        <w:t xml:space="preserve">Table 60: Recurrent administrative costs savings for vessels operators due to PM17 relative to the baseline</w:t>
      </w:r>
      <w:r>
        <w:t xml:space="preserve"> </w:t>
      </w:r>
      <w:r>
        <w:t xml:space="preserve">(in EUR, in 2022 prices)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port calls</w:t>
      </w:r>
      <w:r>
        <w:t xml:space="preserve"> </w:t>
      </w:r>
      <w:r>
        <w:t xml:space="preserve">359,093</w:t>
      </w:r>
      <w:r>
        <w:t xml:space="preserve"> </w:t>
      </w:r>
      <w:r>
        <w:t xml:space="preserve">364,940</w:t>
      </w:r>
      <w:r>
        <w:t xml:space="preserve"> </w:t>
      </w:r>
      <w:r>
        <w:t xml:space="preserve">367,264</w:t>
      </w:r>
      <w:r>
        <w:t xml:space="preserve"> </w:t>
      </w:r>
      <w:r>
        <w:t xml:space="preserve">372,403</w:t>
      </w:r>
      <w:r>
        <w:t xml:space="preserve"> </w:t>
      </w:r>
      <w:r>
        <w:t xml:space="preserve">Reduction in the resubmission of electronic cargo reports</w:t>
      </w:r>
      <w:r>
        <w:t xml:space="preserve"> </w:t>
      </w:r>
      <w:r>
        <w:t xml:space="preserve">relative to the baseline</w:t>
      </w:r>
    </w:p>
    <w:p>
      <w:pPr>
        <w:pStyle w:val="BodyText"/>
      </w:pPr>
      <w:r>
        <w:t xml:space="preserve">109,482</w:t>
      </w:r>
      <w:r>
        <w:t xml:space="preserve"> </w:t>
      </w:r>
      <w:r>
        <w:t xml:space="preserve">110,179</w:t>
      </w:r>
      <w:r>
        <w:t xml:space="preserve"> </w:t>
      </w:r>
      <w:r>
        <w:t xml:space="preserve">111,721</w:t>
      </w:r>
      <w:r>
        <w:t xml:space="preserve"> </w:t>
      </w:r>
      <w:r>
        <w:t xml:space="preserve">Administrative costs savings for vessel operators due to</w:t>
      </w:r>
      <w:r>
        <w:t xml:space="preserve"> </w:t>
      </w:r>
      <w:r>
        <w:t xml:space="preserve">PM12 (in EUR)</w:t>
      </w:r>
    </w:p>
    <w:p>
      <w:pPr>
        <w:pStyle w:val="BodyText"/>
      </w:pPr>
      <w:r>
        <w:t xml:space="preserve">487,056</w:t>
      </w:r>
      <w:r>
        <w:t xml:space="preserve"> </w:t>
      </w:r>
      <w:r>
        <w:t xml:space="preserve">490,158</w:t>
      </w:r>
      <w:r>
        <w:t xml:space="preserve"> </w:t>
      </w:r>
      <w:r>
        <w:t xml:space="preserve">497,016</w:t>
      </w:r>
      <w:r>
        <w:t xml:space="preserve"> </w:t>
      </w:r>
      <w:r>
        <w:t xml:space="preserve">Source: Ramboll et al. (2024), impact assessment support study</w:t>
      </w:r>
      <w:r>
        <w:t xml:space="preserve"> </w:t>
      </w:r>
      <w:r>
        <w:t xml:space="preserve">Summary of costs and costs savings</w:t>
      </w:r>
      <w:r>
        <w:t xml:space="preserve"> </w:t>
      </w:r>
      <w:r>
        <w:t xml:space="preserve">Drawing on the detailed explanations by policy measure and stakeholder group above, Table</w:t>
      </w:r>
      <w:r>
        <w:t xml:space="preserve"> </w:t>
      </w:r>
      <w:r>
        <w:t xml:space="preserve">61 to Table 68 provide a summary of the costs and costs savings by policy option, policy</w:t>
      </w:r>
      <w:r>
        <w:t xml:space="preserve"> </w:t>
      </w:r>
      <w:r>
        <w:t xml:space="preserve">measure and stakeholder group.</w:t>
      </w:r>
      <w:r>
        <w:br/>
      </w:r>
      <w:r>
        <w:t xml:space="preserve">Table 61: Recurrent costs and costs savings for vessels operators by policy option and measure in 2030,</w:t>
      </w:r>
      <w:r>
        <w:t xml:space="preserve"> </w:t>
      </w:r>
      <w:r>
        <w:t xml:space="preserve">2040 and 2050, relative to the baseline (in million EUR, in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19.74</w:t>
      </w:r>
      <w:r>
        <w:t xml:space="preserve"> </w:t>
      </w:r>
      <w:r>
        <w:t xml:space="preserve">20.16</w:t>
      </w:r>
      <w:r>
        <w:t xml:space="preserve"> </w:t>
      </w:r>
      <w:r>
        <w:t xml:space="preserve">20.60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19.74</w:t>
      </w:r>
      <w:r>
        <w:t xml:space="preserve"> </w:t>
      </w:r>
      <w:r>
        <w:t xml:space="preserve">20.16</w:t>
      </w:r>
      <w:r>
        <w:t xml:space="preserve"> </w:t>
      </w:r>
      <w:r>
        <w:t xml:space="preserve">20.60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1.69</w:t>
      </w:r>
      <w:r>
        <w:t xml:space="preserve"> </w:t>
      </w:r>
      <w:r>
        <w:t xml:space="preserve">1.70</w:t>
      </w:r>
      <w:r>
        <w:t xml:space="preserve"> </w:t>
      </w:r>
      <w:r>
        <w:t xml:space="preserve">1.73</w:t>
      </w:r>
      <w:r>
        <w:t xml:space="preserve"> </w:t>
      </w:r>
      <w:r>
        <w:t xml:space="preserve">3.48</w:t>
      </w:r>
      <w:r>
        <w:t xml:space="preserve"> </w:t>
      </w:r>
      <w:r>
        <w:t xml:space="preserve">3.50</w:t>
      </w:r>
      <w:r>
        <w:t xml:space="preserve"> </w:t>
      </w:r>
      <w:r>
        <w:t xml:space="preserve">3.55</w:t>
      </w:r>
      <w:r>
        <w:t xml:space="preserve"> </w:t>
      </w:r>
      <w:r>
        <w:t xml:space="preserve">18.70</w:t>
      </w:r>
      <w:r>
        <w:t xml:space="preserve"> </w:t>
      </w:r>
      <w:r>
        <w:t xml:space="preserve">18.04</w:t>
      </w:r>
      <w:r>
        <w:t xml:space="preserve"> </w:t>
      </w:r>
      <w:r>
        <w:t xml:space="preserve">18.98</w:t>
      </w:r>
      <w:r>
        <w:t xml:space="preserve"> </w:t>
      </w:r>
      <w:r>
        <w:t xml:space="preserve">PM1</w:t>
      </w:r>
      <w:r>
        <w:t xml:space="preserve"> </w:t>
      </w:r>
      <w:r>
        <w:t xml:space="preserve">0.49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</w:p>
    <w:p>
      <w:pPr>
        <w:pStyle w:val="BodyText"/>
      </w:pPr>
      <w:r>
        <w:t xml:space="preserve">PM2</w:t>
      </w:r>
      <w:r>
        <w:t xml:space="preserve"> </w:t>
      </w:r>
      <w:r>
        <w:t xml:space="preserve">0.35</w:t>
      </w:r>
      <w:r>
        <w:t xml:space="preserve"> </w:t>
      </w:r>
      <w:r>
        <w:t xml:space="preserve">0.36</w:t>
      </w:r>
      <w:r>
        <w:t xml:space="preserve"> </w:t>
      </w:r>
      <w:r>
        <w:t xml:space="preserve">0.36</w:t>
      </w:r>
      <w:r>
        <w:t xml:space="preserve"> </w:t>
      </w:r>
      <w:r>
        <w:t xml:space="preserve">0.35</w:t>
      </w:r>
      <w:r>
        <w:t xml:space="preserve"> </w:t>
      </w:r>
      <w:r>
        <w:t xml:space="preserve">0.36</w:t>
      </w:r>
      <w:r>
        <w:t xml:space="preserve"> </w:t>
      </w:r>
      <w:r>
        <w:t xml:space="preserve">0.36</w:t>
      </w:r>
    </w:p>
    <w:p>
      <w:pPr>
        <w:pStyle w:val="BodyText"/>
      </w:pPr>
      <w:r>
        <w:t xml:space="preserve">PM3</w:t>
      </w:r>
    </w:p>
    <w:p>
      <w:pPr>
        <w:pStyle w:val="BodyText"/>
      </w:pPr>
      <w:r>
        <w:t xml:space="preserve">0.18</w:t>
      </w:r>
      <w:r>
        <w:t xml:space="preserve"> </w:t>
      </w:r>
      <w:r>
        <w:t xml:space="preserve">0.18</w:t>
      </w:r>
      <w:r>
        <w:t xml:space="preserve"> </w:t>
      </w:r>
      <w:r>
        <w:t xml:space="preserve">0.18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0.63</w:t>
      </w:r>
      <w:r>
        <w:t xml:space="preserve"> </w:t>
      </w:r>
      <w:r>
        <w:t xml:space="preserve">0.64</w:t>
      </w:r>
      <w:r>
        <w:t xml:space="preserve"> </w:t>
      </w:r>
      <w:r>
        <w:t xml:space="preserve">0.65</w:t>
      </w:r>
      <w:r>
        <w:t xml:space="preserve"> </w:t>
      </w:r>
      <w:r>
        <w:t xml:space="preserve">0.63</w:t>
      </w:r>
      <w:r>
        <w:t xml:space="preserve"> </w:t>
      </w:r>
      <w:r>
        <w:t xml:space="preserve">0.64</w:t>
      </w:r>
      <w:r>
        <w:t xml:space="preserve"> </w:t>
      </w:r>
      <w:r>
        <w:t xml:space="preserve">0.65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15.04</w:t>
      </w:r>
      <w:r>
        <w:t xml:space="preserve"> </w:t>
      </w:r>
      <w:r>
        <w:t xml:space="preserve">14.36</w:t>
      </w:r>
      <w:r>
        <w:t xml:space="preserve"> </w:t>
      </w:r>
      <w:r>
        <w:t xml:space="preserve">15.24</w:t>
      </w:r>
      <w:r>
        <w:t xml:space="preserve"> </w:t>
      </w:r>
      <w:r>
        <w:t xml:space="preserve">PM6</w:t>
      </w:r>
      <w:r>
        <w:t xml:space="preserve"> </w:t>
      </w:r>
      <w:r>
        <w:t xml:space="preserve">0.85</w:t>
      </w:r>
      <w:r>
        <w:t xml:space="preserve"> </w:t>
      </w:r>
      <w:r>
        <w:t xml:space="preserve">0.85</w:t>
      </w:r>
      <w:r>
        <w:t xml:space="preserve"> </w:t>
      </w:r>
      <w:r>
        <w:t xml:space="preserve">0.86</w:t>
      </w:r>
      <w:r>
        <w:t xml:space="preserve"> </w:t>
      </w:r>
      <w:r>
        <w:t xml:space="preserve">0.85</w:t>
      </w:r>
      <w:r>
        <w:t xml:space="preserve"> </w:t>
      </w:r>
      <w:r>
        <w:t xml:space="preserve">0.85</w:t>
      </w:r>
      <w:r>
        <w:t xml:space="preserve"> </w:t>
      </w:r>
      <w:r>
        <w:t xml:space="preserve">0.86</w:t>
      </w:r>
      <w:r>
        <w:t xml:space="preserve"> </w:t>
      </w:r>
      <w:r>
        <w:t xml:space="preserve">0.85</w:t>
      </w:r>
      <w:r>
        <w:t xml:space="preserve"> </w:t>
      </w:r>
      <w:r>
        <w:t xml:space="preserve">0.85</w:t>
      </w:r>
      <w:r>
        <w:t xml:space="preserve"> </w:t>
      </w:r>
      <w:r>
        <w:t xml:space="preserve">0.86</w:t>
      </w:r>
      <w:r>
        <w:t xml:space="preserve"> </w:t>
      </w:r>
      <w:r>
        <w:t xml:space="preserve">PM9</w:t>
      </w:r>
    </w:p>
    <w:p>
      <w:pPr>
        <w:pStyle w:val="BodyText"/>
      </w:pPr>
      <w:r>
        <w:t xml:space="preserve">1.48</w:t>
      </w:r>
      <w:r>
        <w:t xml:space="preserve"> </w:t>
      </w:r>
      <w:r>
        <w:t xml:space="preserve">1.49</w:t>
      </w:r>
      <w:r>
        <w:t xml:space="preserve"> </w:t>
      </w:r>
      <w:r>
        <w:t xml:space="preserve">1.51</w:t>
      </w:r>
      <w:r>
        <w:t xml:space="preserve"> </w:t>
      </w:r>
      <w:r>
        <w:t xml:space="preserve">1.48</w:t>
      </w:r>
      <w:r>
        <w:t xml:space="preserve"> </w:t>
      </w:r>
      <w:r>
        <w:t xml:space="preserve">1.49</w:t>
      </w:r>
      <w:r>
        <w:t xml:space="preserve"> </w:t>
      </w:r>
      <w:r>
        <w:t xml:space="preserve">1.51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0.17</w:t>
      </w:r>
      <w:r>
        <w:t xml:space="preserve"> </w:t>
      </w:r>
      <w:r>
        <w:t xml:space="preserve">0.17</w:t>
      </w:r>
      <w:r>
        <w:t xml:space="preserve"> </w:t>
      </w:r>
      <w:r>
        <w:t xml:space="preserve">0.17</w:t>
      </w:r>
    </w:p>
    <w:p>
      <w:pPr>
        <w:pStyle w:val="BodyText"/>
      </w:pPr>
      <w:r>
        <w:t xml:space="preserve">PM13</w:t>
      </w:r>
    </w:p>
    <w:p>
      <w:pPr>
        <w:pStyle w:val="BodyText"/>
      </w:pPr>
      <w:r>
        <w:t xml:space="preserve">0.52</w:t>
      </w:r>
      <w:r>
        <w:t xml:space="preserve"> </w:t>
      </w:r>
      <w:r>
        <w:t xml:space="preserve">0.53</w:t>
      </w:r>
      <w:r>
        <w:t xml:space="preserve"> </w:t>
      </w:r>
      <w:r>
        <w:t xml:space="preserve">0.53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savings</w:t>
      </w:r>
      <w:r>
        <w:t xml:space="preserve"> </w:t>
      </w:r>
      <w:r>
        <w:t xml:space="preserve">0.61</w:t>
      </w:r>
      <w:r>
        <w:t xml:space="preserve"> </w:t>
      </w:r>
      <w:r>
        <w:t xml:space="preserve">0.62</w:t>
      </w:r>
      <w:r>
        <w:t xml:space="preserve"> </w:t>
      </w:r>
      <w:r>
        <w:t xml:space="preserve">0.62</w:t>
      </w:r>
      <w:r>
        <w:t xml:space="preserve"> </w:t>
      </w:r>
      <w:r>
        <w:t xml:space="preserve">1.63</w:t>
      </w:r>
      <w:r>
        <w:t xml:space="preserve"> </w:t>
      </w:r>
      <w:r>
        <w:t xml:space="preserve">1.64</w:t>
      </w:r>
      <w:r>
        <w:t xml:space="preserve"> </w:t>
      </w:r>
      <w:r>
        <w:t xml:space="preserve">1.66</w:t>
      </w:r>
      <w:r>
        <w:t xml:space="preserve"> </w:t>
      </w:r>
      <w:r>
        <w:t xml:space="preserve">2.97</w:t>
      </w:r>
      <w:r>
        <w:t xml:space="preserve"> </w:t>
      </w:r>
      <w:r>
        <w:t xml:space="preserve">2.99</w:t>
      </w:r>
      <w:r>
        <w:t xml:space="preserve"> </w:t>
      </w:r>
      <w:r>
        <w:t xml:space="preserve">3.03</w:t>
      </w:r>
      <w:r>
        <w:t xml:space="preserve"> </w:t>
      </w:r>
      <w:r>
        <w:t xml:space="preserve">PM7</w:t>
      </w:r>
      <w:r>
        <w:t xml:space="preserve"> </w:t>
      </w:r>
      <w:r>
        <w:t xml:space="preserve">0.29</w:t>
      </w:r>
      <w:r>
        <w:t xml:space="preserve"> </w:t>
      </w:r>
      <w:r>
        <w:t xml:space="preserve">0.29</w:t>
      </w:r>
      <w:r>
        <w:t xml:space="preserve"> </w:t>
      </w:r>
      <w:r>
        <w:t xml:space="preserve">0.29</w:t>
      </w:r>
    </w:p>
    <w:p>
      <w:pPr>
        <w:pStyle w:val="BodyText"/>
      </w:pPr>
      <w:r>
        <w:t xml:space="preserve">PM8</w:t>
      </w:r>
    </w:p>
    <w:p>
      <w:pPr>
        <w:pStyle w:val="BodyText"/>
      </w:pPr>
      <w:r>
        <w:t xml:space="preserve">0.57</w:t>
      </w:r>
      <w:r>
        <w:t xml:space="preserve"> </w:t>
      </w:r>
      <w:r>
        <w:t xml:space="preserve">0.58</w:t>
      </w:r>
      <w:r>
        <w:t xml:space="preserve"> </w:t>
      </w:r>
      <w:r>
        <w:t xml:space="preserve">0.59</w:t>
      </w:r>
      <w:r>
        <w:t xml:space="preserve"> </w:t>
      </w:r>
      <w:r>
        <w:t xml:space="preserve">0.57</w:t>
      </w:r>
      <w:r>
        <w:t xml:space="preserve"> </w:t>
      </w:r>
      <w:r>
        <w:t xml:space="preserve">0.58</w:t>
      </w:r>
      <w:r>
        <w:t xml:space="preserve"> </w:t>
      </w:r>
      <w:r>
        <w:t xml:space="preserve">0.59</w:t>
      </w:r>
      <w:r>
        <w:t xml:space="preserve"> </w:t>
      </w:r>
      <w:r>
        <w:t xml:space="preserve">PM9</w:t>
      </w:r>
    </w:p>
    <w:p>
      <w:pPr>
        <w:pStyle w:val="BodyText"/>
      </w:pPr>
      <w:r>
        <w:t xml:space="preserve">0.22</w:t>
      </w:r>
      <w:r>
        <w:t xml:space="preserve"> </w:t>
      </w:r>
      <w:r>
        <w:t xml:space="preserve">0.22</w:t>
      </w:r>
      <w:r>
        <w:t xml:space="preserve"> </w:t>
      </w:r>
      <w:r>
        <w:t xml:space="preserve">0.23</w:t>
      </w:r>
      <w:r>
        <w:t xml:space="preserve"> </w:t>
      </w:r>
      <w:r>
        <w:t xml:space="preserve">0.22</w:t>
      </w:r>
      <w:r>
        <w:t xml:space="preserve"> </w:t>
      </w:r>
      <w:r>
        <w:t xml:space="preserve">0.22</w:t>
      </w:r>
      <w:r>
        <w:t xml:space="preserve"> </w:t>
      </w:r>
      <w:r>
        <w:t xml:space="preserve">0.23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0.51</w:t>
      </w:r>
      <w:r>
        <w:t xml:space="preserve"> </w:t>
      </w:r>
      <w:r>
        <w:t xml:space="preserve">0.51</w:t>
      </w:r>
      <w:r>
        <w:t xml:space="preserve"> </w:t>
      </w:r>
      <w:r>
        <w:t xml:space="preserve">0.52</w:t>
      </w:r>
    </w:p>
    <w:p>
      <w:pPr>
        <w:pStyle w:val="BodyText"/>
      </w:pPr>
      <w:r>
        <w:t xml:space="preserve">PM13</w:t>
      </w:r>
    </w:p>
    <w:p>
      <w:pPr>
        <w:pStyle w:val="BodyText"/>
      </w:pPr>
      <w:r>
        <w:t xml:space="preserve">1.62</w:t>
      </w:r>
      <w:r>
        <w:t xml:space="preserve"> </w:t>
      </w:r>
      <w:r>
        <w:t xml:space="preserve">1.63</w:t>
      </w:r>
      <w:r>
        <w:t xml:space="preserve"> </w:t>
      </w:r>
      <w:r>
        <w:t xml:space="preserve">1.66</w:t>
      </w:r>
      <w:r>
        <w:t xml:space="preserve"> </w:t>
      </w:r>
      <w:r>
        <w:t xml:space="preserve">PM15</w:t>
      </w:r>
    </w:p>
    <w:p>
      <w:pPr>
        <w:pStyle w:val="BodyText"/>
      </w:pP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0.07</w:t>
      </w:r>
      <w:r>
        <w:t xml:space="preserve"> </w:t>
      </w:r>
      <w:r>
        <w:t xml:space="preserve">PM16</w:t>
      </w:r>
      <w:r>
        <w:t xml:space="preserve"> </w:t>
      </w:r>
      <w:r>
        <w:t xml:space="preserve">0.32</w:t>
      </w:r>
      <w:r>
        <w:t xml:space="preserve"> </w:t>
      </w:r>
      <w:r>
        <w:t xml:space="preserve">0.33</w:t>
      </w:r>
      <w:r>
        <w:t xml:space="preserve"> </w:t>
      </w:r>
      <w:r>
        <w:t xml:space="preserve">0.33</w:t>
      </w:r>
      <w:r>
        <w:t xml:space="preserve"> </w:t>
      </w:r>
      <w:r>
        <w:t xml:space="preserve">0.32</w:t>
      </w:r>
      <w:r>
        <w:t xml:space="preserve"> </w:t>
      </w:r>
      <w:r>
        <w:t xml:space="preserve">0.33</w:t>
      </w:r>
      <w:r>
        <w:t xml:space="preserve"> </w:t>
      </w:r>
      <w:r>
        <w:t xml:space="preserve">0.33</w:t>
      </w:r>
    </w:p>
    <w:p>
      <w:pPr>
        <w:pStyle w:val="BodyText"/>
      </w:pPr>
      <w:r>
        <w:t xml:space="preserve">PM17</w:t>
      </w:r>
    </w:p>
    <w:p>
      <w:pPr>
        <w:pStyle w:val="BodyText"/>
      </w:pPr>
      <w:r>
        <w:t xml:space="preserve">0.49</w:t>
      </w:r>
      <w:r>
        <w:t xml:space="preserve"> </w:t>
      </w:r>
      <w:r>
        <w:t xml:space="preserve">0.49</w:t>
      </w:r>
      <w:r>
        <w:t xml:space="preserve"> </w:t>
      </w:r>
      <w:r>
        <w:t xml:space="preserve">0.50</w:t>
      </w:r>
    </w:p>
    <w:p>
      <w:pPr>
        <w:pStyle w:val="BodyText"/>
      </w:pPr>
      <w:r>
        <w:t xml:space="preserve">246 Weighted average of the tariff per hour for non-manual workers (ISCO 8 - Plant and machine operators and</w:t>
      </w:r>
      <w:r>
        <w:t xml:space="preserve"> </w:t>
      </w:r>
      <w:r>
        <w:t xml:space="preserve">assemblers) in the 13 Member State in the scope of RIS. It is based on Eurostat Structure of earnings survey and</w:t>
      </w:r>
      <w:r>
        <w:t xml:space="preserve"> </w:t>
      </w:r>
      <w:r>
        <w:t xml:space="preserve">expressed in 2022 prices.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Net costs savings</w:t>
      </w:r>
      <w:r>
        <w:br/>
      </w:r>
      <w:r>
        <w:t xml:space="preserve">2.30</w:t>
      </w:r>
      <w:r>
        <w:t xml:space="preserve"> </w:t>
      </w:r>
      <w:r>
        <w:t xml:space="preserve">2.32</w:t>
      </w:r>
      <w:r>
        <w:t xml:space="preserve"> </w:t>
      </w:r>
      <w:r>
        <w:t xml:space="preserve">2.35</w:t>
      </w:r>
      <w:r>
        <w:t xml:space="preserve"> </w:t>
      </w:r>
      <w:r>
        <w:t xml:space="preserve">5.11</w:t>
      </w:r>
      <w:r>
        <w:t xml:space="preserve"> </w:t>
      </w:r>
      <w:r>
        <w:t xml:space="preserve">5.14</w:t>
      </w:r>
      <w:r>
        <w:t xml:space="preserve"> </w:t>
      </w:r>
      <w:r>
        <w:t xml:space="preserve">5.22</w:t>
      </w:r>
      <w:r>
        <w:t xml:space="preserve"> </w:t>
      </w:r>
      <w:r>
        <w:t xml:space="preserve">1.93</w:t>
      </w:r>
      <w:r>
        <w:t xml:space="preserve"> </w:t>
      </w:r>
      <w:r>
        <w:t xml:space="preserve">0.88</w:t>
      </w:r>
      <w:r>
        <w:t xml:space="preserve"> </w:t>
      </w:r>
      <w:r>
        <w:t xml:space="preserve">1.42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Table 62: Recurrent costs and costs savings for vessels operators by policy option and measure, expressed</w:t>
      </w:r>
      <w:r>
        <w:t xml:space="preserve"> </w:t>
      </w:r>
      <w:r>
        <w:t xml:space="preserve">as present value over 2025-2050, relative to the baseline (in million EUR, in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367.50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367.50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29.56</w:t>
      </w:r>
      <w:r>
        <w:t xml:space="preserve"> </w:t>
      </w:r>
      <w:r>
        <w:t xml:space="preserve">72.12</w:t>
      </w:r>
      <w:r>
        <w:t xml:space="preserve"> </w:t>
      </w:r>
      <w:r>
        <w:t xml:space="preserve">323.99</w:t>
      </w:r>
      <w:r>
        <w:t xml:space="preserve"> </w:t>
      </w:r>
      <w:r>
        <w:t xml:space="preserve">PM1</w:t>
      </w:r>
      <w:r>
        <w:t xml:space="preserve"> </w:t>
      </w:r>
      <w:r>
        <w:t xml:space="preserve">8.61</w:t>
      </w:r>
    </w:p>
    <w:p>
      <w:pPr>
        <w:pStyle w:val="BodyText"/>
      </w:pPr>
      <w:r>
        <w:t xml:space="preserve">PM2</w:t>
      </w:r>
      <w:r>
        <w:t xml:space="preserve"> </w:t>
      </w:r>
      <w:r>
        <w:t xml:space="preserve">6.16</w:t>
      </w:r>
      <w:r>
        <w:t xml:space="preserve"> </w:t>
      </w:r>
      <w:r>
        <w:t xml:space="preserve">6.16</w:t>
      </w:r>
      <w:r>
        <w:br/>
      </w:r>
      <w:r>
        <w:t xml:space="preserve">PM3</w:t>
      </w:r>
    </w:p>
    <w:p>
      <w:pPr>
        <w:pStyle w:val="BodyText"/>
      </w:pPr>
      <w:r>
        <w:t xml:space="preserve">3.08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11.09</w:t>
      </w:r>
      <w:r>
        <w:t xml:space="preserve"> </w:t>
      </w:r>
      <w:r>
        <w:t xml:space="preserve">11.09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248.72</w:t>
      </w:r>
      <w:r>
        <w:t xml:space="preserve"> </w:t>
      </w:r>
      <w:r>
        <w:t xml:space="preserve">PM6</w:t>
      </w:r>
      <w:r>
        <w:t xml:space="preserve"> </w:t>
      </w:r>
      <w:r>
        <w:t xml:space="preserve">14.79</w:t>
      </w:r>
      <w:r>
        <w:t xml:space="preserve"> </w:t>
      </w:r>
      <w:r>
        <w:t xml:space="preserve">14.79</w:t>
      </w:r>
      <w:r>
        <w:t xml:space="preserve"> </w:t>
      </w:r>
      <w:r>
        <w:t xml:space="preserve">14.79</w:t>
      </w:r>
      <w:r>
        <w:t xml:space="preserve"> </w:t>
      </w:r>
      <w:r>
        <w:t xml:space="preserve">PM9</w:t>
      </w:r>
    </w:p>
    <w:p>
      <w:pPr>
        <w:pStyle w:val="BodyText"/>
      </w:pPr>
      <w:r>
        <w:t xml:space="preserve">37.16</w:t>
      </w:r>
      <w:r>
        <w:t xml:space="preserve"> </w:t>
      </w:r>
      <w:r>
        <w:t xml:space="preserve">37.16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2.92</w:t>
      </w:r>
      <w:r>
        <w:br/>
      </w:r>
      <w:r>
        <w:t xml:space="preserve">PM13</w:t>
      </w:r>
    </w:p>
    <w:p>
      <w:pPr>
        <w:pStyle w:val="BodyText"/>
      </w:pPr>
      <w:r>
        <w:t xml:space="preserve">9.14</w:t>
      </w:r>
      <w:r>
        <w:t xml:space="preserve"> </w:t>
      </w:r>
      <w:r>
        <w:t xml:space="preserve">Administrative costs savings</w:t>
      </w:r>
      <w:r>
        <w:t xml:space="preserve"> </w:t>
      </w:r>
      <w:r>
        <w:t xml:space="preserve">10.68</w:t>
      </w:r>
      <w:r>
        <w:t xml:space="preserve"> </w:t>
      </w:r>
      <w:r>
        <w:t xml:space="preserve">28.47</w:t>
      </w:r>
      <w:r>
        <w:t xml:space="preserve"> </w:t>
      </w:r>
      <w:r>
        <w:t xml:space="preserve">51.89</w:t>
      </w:r>
      <w:r>
        <w:t xml:space="preserve"> </w:t>
      </w:r>
      <w:r>
        <w:t xml:space="preserve">PM7</w:t>
      </w:r>
      <w:r>
        <w:t xml:space="preserve"> </w:t>
      </w:r>
      <w:r>
        <w:t xml:space="preserve">5.01</w:t>
      </w:r>
    </w:p>
    <w:p>
      <w:pPr>
        <w:pStyle w:val="BodyText"/>
      </w:pPr>
      <w:r>
        <w:t xml:space="preserve">PM8</w:t>
      </w:r>
    </w:p>
    <w:p>
      <w:pPr>
        <w:pStyle w:val="BodyText"/>
      </w:pPr>
      <w:r>
        <w:t xml:space="preserve">10.02</w:t>
      </w:r>
      <w:r>
        <w:t xml:space="preserve"> </w:t>
      </w:r>
      <w:r>
        <w:t xml:space="preserve">10.02</w:t>
      </w:r>
      <w:r>
        <w:t xml:space="preserve"> </w:t>
      </w:r>
      <w:r>
        <w:t xml:space="preserve">PM9</w:t>
      </w:r>
    </w:p>
    <w:p>
      <w:pPr>
        <w:pStyle w:val="BodyText"/>
      </w:pPr>
      <w:r>
        <w:t xml:space="preserve">3.90</w:t>
      </w:r>
      <w:r>
        <w:t xml:space="preserve"> </w:t>
      </w:r>
      <w:r>
        <w:t xml:space="preserve">3.90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8.88</w:t>
      </w:r>
      <w:r>
        <w:br/>
      </w:r>
      <w:r>
        <w:t xml:space="preserve">PM13</w:t>
      </w:r>
    </w:p>
    <w:p>
      <w:pPr>
        <w:pStyle w:val="BodyText"/>
      </w:pPr>
      <w:r>
        <w:t xml:space="preserve">28.35</w:t>
      </w:r>
      <w:r>
        <w:t xml:space="preserve"> </w:t>
      </w:r>
      <w:r>
        <w:t xml:space="preserve">PM15</w:t>
      </w:r>
    </w:p>
    <w:p>
      <w:pPr>
        <w:pStyle w:val="BodyText"/>
      </w:pPr>
      <w:r>
        <w:t xml:space="preserve">1.11</w:t>
      </w:r>
      <w:r>
        <w:t xml:space="preserve"> </w:t>
      </w:r>
      <w:r>
        <w:t xml:space="preserve">PM16</w:t>
      </w:r>
      <w:r>
        <w:t xml:space="preserve"> </w:t>
      </w:r>
      <w:r>
        <w:t xml:space="preserve">5.67</w:t>
      </w:r>
      <w:r>
        <w:t xml:space="preserve"> </w:t>
      </w:r>
      <w:r>
        <w:t xml:space="preserve">5.67</w:t>
      </w:r>
      <w:r>
        <w:br/>
      </w:r>
      <w:r>
        <w:t xml:space="preserve">PM17</w:t>
      </w:r>
    </w:p>
    <w:p>
      <w:pPr>
        <w:pStyle w:val="BodyText"/>
      </w:pPr>
      <w:r>
        <w:t xml:space="preserve">8.51</w:t>
      </w:r>
      <w:r>
        <w:t xml:space="preserve"> </w:t>
      </w:r>
      <w:r>
        <w:t xml:space="preserve">Net costs savings</w:t>
      </w:r>
      <w:r>
        <w:br/>
      </w:r>
      <w:r>
        <w:t xml:space="preserve">40.24</w:t>
      </w:r>
      <w:r>
        <w:t xml:space="preserve"> </w:t>
      </w:r>
      <w:r>
        <w:t xml:space="preserve">100.59</w:t>
      </w:r>
      <w:r>
        <w:t xml:space="preserve"> </w:t>
      </w:r>
      <w:r>
        <w:t xml:space="preserve">8.37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Table 63: Adjustment costs savings for navigation software services providers by policy option and</w:t>
      </w:r>
      <w:r>
        <w:t xml:space="preserve"> </w:t>
      </w:r>
      <w:r>
        <w:t xml:space="preserve">measure in 2030, 2040 and 2050, relative to the baseline (in million EUR, in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PM1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</w:p>
    <w:p>
      <w:pPr>
        <w:pStyle w:val="BodyText"/>
      </w:pPr>
      <w:r>
        <w:t xml:space="preserve">PM2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</w:p>
    <w:p>
      <w:pPr>
        <w:pStyle w:val="BodyText"/>
      </w:pPr>
      <w:r>
        <w:t xml:space="preserve">PM3</w:t>
      </w:r>
    </w:p>
    <w:p>
      <w:pPr>
        <w:pStyle w:val="BodyText"/>
      </w:pP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0.14</w:t>
      </w:r>
      <w:r>
        <w:t xml:space="preserve"> </w:t>
      </w:r>
      <w:r>
        <w:t xml:space="preserve">0.14</w:t>
      </w:r>
      <w:r>
        <w:t xml:space="preserve"> </w:t>
      </w:r>
      <w:r>
        <w:t xml:space="preserve">0.15</w:t>
      </w:r>
      <w:r>
        <w:t xml:space="preserve"> </w:t>
      </w:r>
      <w:r>
        <w:t xml:space="preserve">0.14</w:t>
      </w:r>
      <w:r>
        <w:t xml:space="preserve"> </w:t>
      </w:r>
      <w:r>
        <w:t xml:space="preserve">0.14</w:t>
      </w:r>
      <w:r>
        <w:t xml:space="preserve"> </w:t>
      </w:r>
      <w:r>
        <w:t xml:space="preserve">0.15</w:t>
      </w:r>
      <w:r>
        <w:t xml:space="preserve"> </w:t>
      </w:r>
      <w:r>
        <w:t xml:space="preserve">PM6</w:t>
      </w:r>
      <w:r>
        <w:t xml:space="preserve"> </w:t>
      </w:r>
      <w:r>
        <w:t xml:space="preserve">0.14</w:t>
      </w:r>
      <w:r>
        <w:t xml:space="preserve"> </w:t>
      </w:r>
      <w:r>
        <w:t xml:space="preserve">0.14</w:t>
      </w:r>
      <w:r>
        <w:t xml:space="preserve"> </w:t>
      </w:r>
      <w:r>
        <w:t xml:space="preserve">0.15</w:t>
      </w:r>
      <w:r>
        <w:t xml:space="preserve"> </w:t>
      </w:r>
      <w:r>
        <w:t xml:space="preserve">0.14</w:t>
      </w:r>
      <w:r>
        <w:t xml:space="preserve"> </w:t>
      </w:r>
      <w:r>
        <w:t xml:space="preserve">0.14</w:t>
      </w:r>
      <w:r>
        <w:t xml:space="preserve"> </w:t>
      </w:r>
      <w:r>
        <w:t xml:space="preserve">0.15</w:t>
      </w:r>
      <w:r>
        <w:t xml:space="preserve"> </w:t>
      </w:r>
      <w:r>
        <w:t xml:space="preserve">0.14</w:t>
      </w:r>
      <w:r>
        <w:t xml:space="preserve"> </w:t>
      </w:r>
      <w:r>
        <w:t xml:space="preserve">0.14</w:t>
      </w:r>
      <w:r>
        <w:t xml:space="preserve"> </w:t>
      </w:r>
      <w:r>
        <w:t xml:space="preserve">0.15</w:t>
      </w:r>
      <w:r>
        <w:t xml:space="preserve"> </w:t>
      </w:r>
      <w:r>
        <w:t xml:space="preserve">PM9</w:t>
      </w:r>
    </w:p>
    <w:p>
      <w:pPr>
        <w:pStyle w:val="BodyText"/>
      </w:pP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</w:p>
    <w:p>
      <w:pPr>
        <w:pStyle w:val="BodyText"/>
      </w:pPr>
      <w:r>
        <w:t xml:space="preserve">PM13</w:t>
      </w:r>
    </w:p>
    <w:p>
      <w:pPr>
        <w:pStyle w:val="BodyText"/>
      </w:pP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PM14</w:t>
      </w:r>
    </w:p>
    <w:p>
      <w:pPr>
        <w:pStyle w:val="BodyText"/>
      </w:pP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savings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0.26</w:t>
      </w:r>
      <w:r>
        <w:t xml:space="preserve"> </w:t>
      </w:r>
      <w:r>
        <w:t xml:space="preserve">0.47</w:t>
      </w:r>
      <w:r>
        <w:t xml:space="preserve"> </w:t>
      </w:r>
      <w:r>
        <w:t xml:space="preserve">0.47</w:t>
      </w:r>
      <w:r>
        <w:t xml:space="preserve"> </w:t>
      </w:r>
      <w:r>
        <w:t xml:space="preserve">0.47</w:t>
      </w:r>
      <w:r>
        <w:t xml:space="preserve"> </w:t>
      </w:r>
      <w:r>
        <w:t xml:space="preserve">0.48</w:t>
      </w:r>
      <w:r>
        <w:t xml:space="preserve"> </w:t>
      </w:r>
      <w:r>
        <w:t xml:space="preserve">0.49</w:t>
      </w:r>
      <w:r>
        <w:t xml:space="preserve"> </w:t>
      </w:r>
      <w:r>
        <w:t xml:space="preserve">0.49</w:t>
      </w:r>
      <w:r>
        <w:t xml:space="preserve"> </w:t>
      </w:r>
      <w:r>
        <w:t xml:space="preserve">Source: Ramboll et al. (2024), impact assessment support study</w:t>
      </w:r>
    </w:p>
    <w:p>
      <w:pPr>
        <w:pStyle w:val="BodyText"/>
      </w:pPr>
      <w:r>
        <w:t xml:space="preserve">141</w:t>
      </w:r>
      <w:r>
        <w:t xml:space="preserve"> </w:t>
      </w:r>
      <w:r>
        <w:t xml:space="preserve">Table 64: Adjustment costs savings for navigation software services providers by policy option and</w:t>
      </w:r>
      <w:r>
        <w:t xml:space="preserve"> </w:t>
      </w:r>
      <w:r>
        <w:t xml:space="preserve">measure, expressed as present value over 2025-2050, relative to the baseline (in million EUR, in 2022</w:t>
      </w:r>
      <w:r>
        <w:t xml:space="preserve"> </w:t>
      </w:r>
      <w:r>
        <w:t xml:space="preserve">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PM1</w:t>
      </w:r>
      <w:r>
        <w:t xml:space="preserve"> </w:t>
      </w:r>
      <w:r>
        <w:t xml:space="preserve">1.25</w:t>
      </w:r>
    </w:p>
    <w:p>
      <w:pPr>
        <w:pStyle w:val="BodyText"/>
      </w:pPr>
      <w:r>
        <w:t xml:space="preserve">PM2</w:t>
      </w:r>
      <w:r>
        <w:t xml:space="preserve"> </w:t>
      </w:r>
      <w:r>
        <w:t xml:space="preserve">0.63</w:t>
      </w:r>
      <w:r>
        <w:t xml:space="preserve"> </w:t>
      </w:r>
      <w:r>
        <w:t xml:space="preserve">0.63</w:t>
      </w:r>
      <w:r>
        <w:br/>
      </w:r>
      <w:r>
        <w:t xml:space="preserve">PM3</w:t>
      </w:r>
    </w:p>
    <w:p>
      <w:pPr>
        <w:pStyle w:val="BodyText"/>
      </w:pPr>
      <w:r>
        <w:t xml:space="preserve">0.31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2.50</w:t>
      </w:r>
      <w:r>
        <w:t xml:space="preserve"> </w:t>
      </w:r>
      <w:r>
        <w:t xml:space="preserve">2.50</w:t>
      </w:r>
      <w:r>
        <w:t xml:space="preserve"> </w:t>
      </w:r>
      <w:r>
        <w:t xml:space="preserve">PM6</w:t>
      </w:r>
      <w:r>
        <w:t xml:space="preserve"> </w:t>
      </w:r>
      <w:r>
        <w:t xml:space="preserve">2.50</w:t>
      </w:r>
      <w:r>
        <w:t xml:space="preserve"> </w:t>
      </w:r>
      <w:r>
        <w:t xml:space="preserve">2.50</w:t>
      </w:r>
      <w:r>
        <w:t xml:space="preserve"> </w:t>
      </w:r>
      <w:r>
        <w:t xml:space="preserve">2.50</w:t>
      </w:r>
      <w:r>
        <w:t xml:space="preserve"> </w:t>
      </w:r>
      <w:r>
        <w:t xml:space="preserve">PM9</w:t>
      </w:r>
    </w:p>
    <w:p>
      <w:pPr>
        <w:pStyle w:val="BodyText"/>
      </w:pPr>
      <w:r>
        <w:t xml:space="preserve">1.25</w:t>
      </w:r>
      <w:r>
        <w:t xml:space="preserve"> </w:t>
      </w:r>
      <w:r>
        <w:t xml:space="preserve">1.25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0.94</w:t>
      </w:r>
      <w:r>
        <w:br/>
      </w:r>
      <w:r>
        <w:t xml:space="preserve">PM13</w:t>
      </w:r>
    </w:p>
    <w:p>
      <w:pPr>
        <w:pStyle w:val="BodyText"/>
      </w:pPr>
      <w:r>
        <w:t xml:space="preserve">1.56</w:t>
      </w:r>
      <w:r>
        <w:t xml:space="preserve"> </w:t>
      </w:r>
      <w:r>
        <w:t xml:space="preserve">PM14</w:t>
      </w:r>
    </w:p>
    <w:p>
      <w:pPr>
        <w:pStyle w:val="BodyText"/>
      </w:pPr>
      <w:r>
        <w:t xml:space="preserve">0.31</w:t>
      </w:r>
      <w:r>
        <w:t xml:space="preserve"> </w:t>
      </w:r>
      <w:r>
        <w:t xml:space="preserve">0.31</w:t>
      </w:r>
      <w:r>
        <w:t xml:space="preserve"> </w:t>
      </w:r>
      <w:r>
        <w:t xml:space="preserve">Total adjustment costs savings</w:t>
      </w:r>
      <w:r>
        <w:t xml:space="preserve"> </w:t>
      </w:r>
      <w:r>
        <w:t xml:space="preserve">4.38</w:t>
      </w:r>
      <w:r>
        <w:t xml:space="preserve"> </w:t>
      </w:r>
      <w:r>
        <w:t xml:space="preserve">8.13</w:t>
      </w:r>
      <w:r>
        <w:t xml:space="preserve"> </w:t>
      </w:r>
      <w:r>
        <w:t xml:space="preserve">8.44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Table 65: Recurrent costs and costs savings for national public authorities by policy option and measure</w:t>
      </w:r>
      <w:r>
        <w:t xml:space="preserve"> </w:t>
      </w:r>
      <w:r>
        <w:t xml:space="preserve">in 2030, 2040 and 2050, relative to the baseline (in million EUR, in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1.97</w:t>
      </w:r>
      <w:r>
        <w:t xml:space="preserve"> </w:t>
      </w:r>
      <w:r>
        <w:t xml:space="preserve">1.97</w:t>
      </w:r>
      <w:r>
        <w:t xml:space="preserve"> </w:t>
      </w:r>
      <w:r>
        <w:t xml:space="preserve">1.97</w:t>
      </w:r>
      <w:r>
        <w:t xml:space="preserve"> </w:t>
      </w:r>
      <w:r>
        <w:t xml:space="preserve">4.29</w:t>
      </w:r>
      <w:r>
        <w:t xml:space="preserve"> </w:t>
      </w:r>
      <w:r>
        <w:t xml:space="preserve">4.29</w:t>
      </w:r>
      <w:r>
        <w:t xml:space="preserve"> </w:t>
      </w:r>
      <w:r>
        <w:t xml:space="preserve">4.29</w:t>
      </w:r>
      <w:r>
        <w:t xml:space="preserve"> </w:t>
      </w:r>
      <w:r>
        <w:t xml:space="preserve">5.91</w:t>
      </w:r>
      <w:r>
        <w:t xml:space="preserve"> </w:t>
      </w:r>
      <w:r>
        <w:t xml:space="preserve">5.91</w:t>
      </w:r>
      <w:r>
        <w:t xml:space="preserve"> </w:t>
      </w:r>
      <w:r>
        <w:t xml:space="preserve">5.91</w:t>
      </w:r>
      <w:r>
        <w:t xml:space="preserve"> </w:t>
      </w:r>
      <w:r>
        <w:t xml:space="preserve">PM2</w:t>
      </w:r>
      <w:r>
        <w:t xml:space="preserve"> </w:t>
      </w:r>
      <w:r>
        <w:t xml:space="preserve">0.92</w:t>
      </w:r>
      <w:r>
        <w:t xml:space="preserve"> </w:t>
      </w:r>
      <w:r>
        <w:t xml:space="preserve">0.92</w:t>
      </w:r>
      <w:r>
        <w:t xml:space="preserve"> </w:t>
      </w:r>
      <w:r>
        <w:t xml:space="preserve">0.92</w:t>
      </w:r>
      <w:r>
        <w:t xml:space="preserve"> </w:t>
      </w:r>
      <w:r>
        <w:t xml:space="preserve">0.92</w:t>
      </w:r>
      <w:r>
        <w:t xml:space="preserve"> </w:t>
      </w:r>
      <w:r>
        <w:t xml:space="preserve">0.92</w:t>
      </w:r>
      <w:r>
        <w:t xml:space="preserve"> </w:t>
      </w:r>
      <w:r>
        <w:t xml:space="preserve">0.92</w:t>
      </w:r>
    </w:p>
    <w:p>
      <w:pPr>
        <w:pStyle w:val="BodyText"/>
      </w:pPr>
      <w:r>
        <w:t xml:space="preserve">PM3</w:t>
      </w:r>
    </w:p>
    <w:p>
      <w:pPr>
        <w:pStyle w:val="BodyText"/>
      </w:pPr>
      <w:r>
        <w:t xml:space="preserve">0.65</w:t>
      </w:r>
      <w:r>
        <w:t xml:space="preserve"> </w:t>
      </w:r>
      <w:r>
        <w:t xml:space="preserve">0.65</w:t>
      </w:r>
      <w:r>
        <w:t xml:space="preserve"> </w:t>
      </w:r>
      <w:r>
        <w:t xml:space="preserve">0.65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1.14</w:t>
      </w:r>
      <w:r>
        <w:t xml:space="preserve"> </w:t>
      </w:r>
      <w:r>
        <w:t xml:space="preserve">1.14</w:t>
      </w:r>
      <w:r>
        <w:t xml:space="preserve"> </w:t>
      </w:r>
      <w:r>
        <w:t xml:space="preserve">1.14</w:t>
      </w:r>
      <w:r>
        <w:t xml:space="preserve"> </w:t>
      </w:r>
      <w:r>
        <w:t xml:space="preserve">1.14</w:t>
      </w:r>
      <w:r>
        <w:t xml:space="preserve"> </w:t>
      </w:r>
      <w:r>
        <w:t xml:space="preserve">1.14</w:t>
      </w:r>
      <w:r>
        <w:t xml:space="preserve"> </w:t>
      </w:r>
      <w:r>
        <w:t xml:space="preserve">1.14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0.77</w:t>
      </w:r>
      <w:r>
        <w:t xml:space="preserve"> </w:t>
      </w:r>
      <w:r>
        <w:t xml:space="preserve">0.77</w:t>
      </w:r>
      <w:r>
        <w:t xml:space="preserve"> </w:t>
      </w:r>
      <w:r>
        <w:t xml:space="preserve">0.77</w:t>
      </w:r>
      <w:r>
        <w:t xml:space="preserve"> </w:t>
      </w:r>
      <w:r>
        <w:t xml:space="preserve">PM6</w:t>
      </w:r>
      <w:r>
        <w:t xml:space="preserve"> </w:t>
      </w:r>
      <w:r>
        <w:t xml:space="preserve">0.66</w:t>
      </w:r>
      <w:r>
        <w:t xml:space="preserve"> </w:t>
      </w:r>
      <w:r>
        <w:t xml:space="preserve">0.66</w:t>
      </w:r>
      <w:r>
        <w:t xml:space="preserve"> </w:t>
      </w:r>
      <w:r>
        <w:t xml:space="preserve">0.66</w:t>
      </w:r>
      <w:r>
        <w:t xml:space="preserve"> </w:t>
      </w:r>
      <w:r>
        <w:t xml:space="preserve">0.66</w:t>
      </w:r>
      <w:r>
        <w:t xml:space="preserve"> </w:t>
      </w:r>
      <w:r>
        <w:t xml:space="preserve">0.66</w:t>
      </w:r>
      <w:r>
        <w:t xml:space="preserve"> </w:t>
      </w:r>
      <w:r>
        <w:t xml:space="preserve">0.66</w:t>
      </w:r>
      <w:r>
        <w:t xml:space="preserve"> </w:t>
      </w:r>
      <w:r>
        <w:t xml:space="preserve">0.66</w:t>
      </w:r>
      <w:r>
        <w:t xml:space="preserve"> </w:t>
      </w:r>
      <w:r>
        <w:t xml:space="preserve">0.66</w:t>
      </w:r>
      <w:r>
        <w:t xml:space="preserve"> </w:t>
      </w:r>
      <w:r>
        <w:t xml:space="preserve">0.66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0.39</w:t>
      </w:r>
      <w:r>
        <w:t xml:space="preserve"> </w:t>
      </w:r>
      <w:r>
        <w:t xml:space="preserve">0.39</w:t>
      </w:r>
      <w:r>
        <w:t xml:space="preserve"> </w:t>
      </w:r>
      <w:r>
        <w:t xml:space="preserve">0.39</w:t>
      </w:r>
    </w:p>
    <w:p>
      <w:pPr>
        <w:pStyle w:val="BodyText"/>
      </w:pPr>
      <w:r>
        <w:t xml:space="preserve">PM13</w:t>
      </w:r>
    </w:p>
    <w:p>
      <w:pPr>
        <w:pStyle w:val="BodyText"/>
      </w:pPr>
      <w:r>
        <w:t xml:space="preserve">1.23</w:t>
      </w:r>
      <w:r>
        <w:t xml:space="preserve"> </w:t>
      </w:r>
      <w:r>
        <w:t xml:space="preserve">1.23</w:t>
      </w:r>
      <w:r>
        <w:t xml:space="preserve"> </w:t>
      </w:r>
      <w:r>
        <w:t xml:space="preserve">1.23</w:t>
      </w:r>
      <w:r>
        <w:t xml:space="preserve"> </w:t>
      </w:r>
      <w:r>
        <w:t xml:space="preserve">PM14</w:t>
      </w:r>
    </w:p>
    <w:p>
      <w:pPr>
        <w:pStyle w:val="BodyText"/>
      </w:pPr>
      <w:r>
        <w:t xml:space="preserve">0.79</w:t>
      </w:r>
      <w:r>
        <w:t xml:space="preserve"> </w:t>
      </w:r>
      <w:r>
        <w:t xml:space="preserve">0.79</w:t>
      </w:r>
      <w:r>
        <w:t xml:space="preserve"> </w:t>
      </w:r>
      <w:r>
        <w:t xml:space="preserve">0.79</w:t>
      </w:r>
      <w:r>
        <w:t xml:space="preserve"> </w:t>
      </w:r>
      <w:r>
        <w:t xml:space="preserve">0.79</w:t>
      </w:r>
      <w:r>
        <w:t xml:space="preserve"> </w:t>
      </w:r>
      <w:r>
        <w:t xml:space="preserve">0.79</w:t>
      </w:r>
      <w:r>
        <w:t xml:space="preserve"> </w:t>
      </w:r>
      <w:r>
        <w:t xml:space="preserve">0.79</w:t>
      </w:r>
      <w:r>
        <w:t xml:space="preserve"> </w:t>
      </w:r>
      <w:r>
        <w:t xml:space="preserve">PM16</w:t>
      </w:r>
      <w:r>
        <w:t xml:space="preserve"> </w:t>
      </w:r>
      <w:r>
        <w:t xml:space="preserve">0.39</w:t>
      </w:r>
      <w:r>
        <w:t xml:space="preserve"> </w:t>
      </w:r>
      <w:r>
        <w:t xml:space="preserve">0.39</w:t>
      </w:r>
      <w:r>
        <w:t xml:space="preserve"> </w:t>
      </w:r>
      <w:r>
        <w:t xml:space="preserve">0.39</w:t>
      </w:r>
      <w:r>
        <w:t xml:space="preserve"> </w:t>
      </w:r>
      <w:r>
        <w:t xml:space="preserve">0.39</w:t>
      </w:r>
      <w:r>
        <w:t xml:space="preserve"> </w:t>
      </w:r>
      <w:r>
        <w:t xml:space="preserve">0.39</w:t>
      </w:r>
      <w:r>
        <w:t xml:space="preserve"> </w:t>
      </w:r>
      <w:r>
        <w:t xml:space="preserve">0.39</w:t>
      </w:r>
    </w:p>
    <w:p>
      <w:pPr>
        <w:pStyle w:val="BodyText"/>
      </w:pPr>
      <w:r>
        <w:t xml:space="preserve">PM17</w:t>
      </w:r>
    </w:p>
    <w:p>
      <w:pPr>
        <w:pStyle w:val="BodyText"/>
      </w:pPr>
      <w:r>
        <w:t xml:space="preserve">0.68</w:t>
      </w:r>
      <w:r>
        <w:t xml:space="preserve"> </w:t>
      </w:r>
      <w:r>
        <w:t xml:space="preserve">0.68</w:t>
      </w:r>
      <w:r>
        <w:t xml:space="preserve"> </w:t>
      </w:r>
      <w:r>
        <w:t xml:space="preserve">0.68</w:t>
      </w:r>
      <w:r>
        <w:t xml:space="preserve"> </w:t>
      </w:r>
      <w:r>
        <w:t xml:space="preserve">Administrative cost</w:t>
      </w:r>
      <w:r>
        <w:t xml:space="preserve"> </w:t>
      </w:r>
      <w:r>
        <w:t xml:space="preserve">savings</w:t>
      </w:r>
      <w:r>
        <w:t xml:space="preserve"> </w:t>
      </w:r>
      <w:r>
        <w:t xml:space="preserve">0.62</w:t>
      </w:r>
      <w:r>
        <w:t xml:space="preserve"> </w:t>
      </w:r>
      <w:r>
        <w:t xml:space="preserve">0.68</w:t>
      </w:r>
      <w:r>
        <w:t xml:space="preserve"> </w:t>
      </w:r>
      <w:r>
        <w:t xml:space="preserve">0.74</w:t>
      </w:r>
      <w:r>
        <w:t xml:space="preserve"> </w:t>
      </w:r>
      <w:r>
        <w:t xml:space="preserve">1.75</w:t>
      </w:r>
      <w:r>
        <w:t xml:space="preserve"> </w:t>
      </w:r>
      <w:r>
        <w:t xml:space="preserve">1.86</w:t>
      </w:r>
      <w:r>
        <w:t xml:space="preserve"> </w:t>
      </w:r>
      <w:r>
        <w:t xml:space="preserve">1.97</w:t>
      </w:r>
      <w:r>
        <w:t xml:space="preserve"> </w:t>
      </w:r>
      <w:r>
        <w:t xml:space="preserve">2.14</w:t>
      </w:r>
      <w:r>
        <w:t xml:space="preserve"> </w:t>
      </w:r>
      <w:r>
        <w:t xml:space="preserve">2.24</w:t>
      </w:r>
      <w:r>
        <w:t xml:space="preserve"> </w:t>
      </w:r>
      <w:r>
        <w:t xml:space="preserve">2.36</w:t>
      </w:r>
      <w:r>
        <w:t xml:space="preserve"> </w:t>
      </w:r>
      <w:r>
        <w:t xml:space="preserve">PM7</w:t>
      </w:r>
      <w:r>
        <w:t xml:space="preserve"> </w:t>
      </w:r>
      <w:r>
        <w:t xml:space="preserve">0.62</w:t>
      </w:r>
      <w:r>
        <w:t xml:space="preserve"> </w:t>
      </w:r>
      <w:r>
        <w:t xml:space="preserve">0.68</w:t>
      </w:r>
      <w:r>
        <w:t xml:space="preserve"> </w:t>
      </w:r>
      <w:r>
        <w:t xml:space="preserve">0.74</w:t>
      </w:r>
    </w:p>
    <w:p>
      <w:pPr>
        <w:pStyle w:val="BodyText"/>
      </w:pPr>
      <w:r>
        <w:t xml:space="preserve">PM8</w:t>
      </w:r>
    </w:p>
    <w:p>
      <w:pPr>
        <w:pStyle w:val="BodyText"/>
      </w:pPr>
      <w:r>
        <w:t xml:space="preserve">1.25</w:t>
      </w:r>
      <w:r>
        <w:t xml:space="preserve"> </w:t>
      </w:r>
      <w:r>
        <w:t xml:space="preserve">1.36</w:t>
      </w:r>
      <w:r>
        <w:t xml:space="preserve"> </w:t>
      </w:r>
      <w:r>
        <w:t xml:space="preserve">1.47</w:t>
      </w:r>
      <w:r>
        <w:t xml:space="preserve"> </w:t>
      </w:r>
      <w:r>
        <w:t xml:space="preserve">1.25</w:t>
      </w:r>
      <w:r>
        <w:t xml:space="preserve"> </w:t>
      </w:r>
      <w:r>
        <w:t xml:space="preserve">1.36</w:t>
      </w:r>
      <w:r>
        <w:t xml:space="preserve"> </w:t>
      </w:r>
      <w:r>
        <w:t xml:space="preserve">1.47</w:t>
      </w:r>
      <w:r>
        <w:t xml:space="preserve"> </w:t>
      </w:r>
      <w:r>
        <w:t xml:space="preserve">PM9</w:t>
      </w:r>
    </w:p>
    <w:p>
      <w:pPr>
        <w:pStyle w:val="BodyText"/>
      </w:pP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PM15</w:t>
      </w:r>
    </w:p>
    <w:p>
      <w:pPr>
        <w:pStyle w:val="BodyText"/>
      </w:pPr>
      <w:r>
        <w:t xml:space="preserve">0.39</w:t>
      </w:r>
      <w:r>
        <w:t xml:space="preserve"> </w:t>
      </w:r>
      <w:r>
        <w:t xml:space="preserve">0.39</w:t>
      </w:r>
      <w:r>
        <w:t xml:space="preserve"> </w:t>
      </w:r>
      <w:r>
        <w:t xml:space="preserve">0.39</w:t>
      </w:r>
      <w:r>
        <w:t xml:space="preserve"> </w:t>
      </w:r>
      <w:r>
        <w:t xml:space="preserve">Net costs</w:t>
      </w:r>
      <w:r>
        <w:br/>
      </w:r>
      <w:r>
        <w:t xml:space="preserve">1.34</w:t>
      </w:r>
      <w:r>
        <w:t xml:space="preserve"> </w:t>
      </w:r>
      <w:r>
        <w:t xml:space="preserve">1.29</w:t>
      </w:r>
      <w:r>
        <w:t xml:space="preserve"> </w:t>
      </w:r>
      <w:r>
        <w:t xml:space="preserve">1.23</w:t>
      </w:r>
      <w:r>
        <w:t xml:space="preserve"> </w:t>
      </w:r>
      <w:r>
        <w:t xml:space="preserve">2.54</w:t>
      </w:r>
      <w:r>
        <w:t xml:space="preserve"> </w:t>
      </w:r>
      <w:r>
        <w:t xml:space="preserve">2.43</w:t>
      </w:r>
      <w:r>
        <w:t xml:space="preserve"> </w:t>
      </w:r>
      <w:r>
        <w:t xml:space="preserve">2.31</w:t>
      </w:r>
      <w:r>
        <w:t xml:space="preserve"> </w:t>
      </w:r>
      <w:r>
        <w:t xml:space="preserve">3.78</w:t>
      </w:r>
      <w:r>
        <w:t xml:space="preserve"> </w:t>
      </w:r>
      <w:r>
        <w:t xml:space="preserve">3.67</w:t>
      </w:r>
      <w:r>
        <w:t xml:space="preserve"> </w:t>
      </w:r>
      <w:r>
        <w:t xml:space="preserve">3.55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Table 66: One-off adjustment costs for national public authorities by policy option and measure in 2025,</w:t>
      </w:r>
      <w:r>
        <w:t xml:space="preserve"> </w:t>
      </w:r>
      <w:r>
        <w:t xml:space="preserve">relative to the baseline (in million EUR, in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PM2</w:t>
      </w:r>
      <w:r>
        <w:t xml:space="preserve"> </w:t>
      </w:r>
      <w:r>
        <w:t xml:space="preserve">2.76</w:t>
      </w:r>
      <w:r>
        <w:t xml:space="preserve"> </w:t>
      </w:r>
      <w:r>
        <w:t xml:space="preserve">2.76</w:t>
      </w:r>
      <w:r>
        <w:br/>
      </w:r>
      <w:r>
        <w:t xml:space="preserve">PM4</w:t>
      </w:r>
    </w:p>
    <w:p>
      <w:pPr>
        <w:pStyle w:val="BodyText"/>
      </w:pPr>
      <w:r>
        <w:t xml:space="preserve">4.55</w:t>
      </w:r>
      <w:r>
        <w:t xml:space="preserve"> </w:t>
      </w:r>
      <w:r>
        <w:t xml:space="preserve">4.55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3.07</w:t>
      </w:r>
      <w:r>
        <w:t xml:space="preserve"> </w:t>
      </w:r>
      <w:r>
        <w:t xml:space="preserve">PM7</w:t>
      </w:r>
      <w:r>
        <w:t xml:space="preserve"> </w:t>
      </w:r>
      <w:r>
        <w:t xml:space="preserve">1.25</w:t>
      </w:r>
    </w:p>
    <w:p>
      <w:pPr>
        <w:pStyle w:val="BodyText"/>
      </w:pPr>
      <w:r>
        <w:t xml:space="preserve">PM8</w:t>
      </w:r>
    </w:p>
    <w:p>
      <w:pPr>
        <w:pStyle w:val="BodyText"/>
      </w:pPr>
      <w:r>
        <w:t xml:space="preserve">1.25</w:t>
      </w:r>
      <w:r>
        <w:t xml:space="preserve"> </w:t>
      </w:r>
      <w:r>
        <w:t xml:space="preserve">1.25</w:t>
      </w:r>
      <w:r>
        <w:t xml:space="preserve"> </w:t>
      </w:r>
      <w:r>
        <w:t xml:space="preserve">PM9</w:t>
      </w:r>
    </w:p>
    <w:p>
      <w:pPr>
        <w:pStyle w:val="BodyText"/>
      </w:pPr>
      <w:r>
        <w:t xml:space="preserve">3.50</w:t>
      </w:r>
      <w:r>
        <w:t xml:space="preserve"> </w:t>
      </w:r>
      <w:r>
        <w:t xml:space="preserve">3.50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1.58</w:t>
      </w:r>
      <w:r>
        <w:br/>
      </w:r>
      <w:r>
        <w:t xml:space="preserve">PM13</w:t>
      </w:r>
    </w:p>
    <w:p>
      <w:pPr>
        <w:pStyle w:val="BodyText"/>
      </w:pPr>
      <w:r>
        <w:t xml:space="preserve">4.93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PM14</w:t>
      </w:r>
    </w:p>
    <w:p>
      <w:pPr>
        <w:pStyle w:val="BodyText"/>
      </w:pPr>
      <w:r>
        <w:t xml:space="preserve">3.14</w:t>
      </w:r>
      <w:r>
        <w:t xml:space="preserve"> </w:t>
      </w:r>
      <w:r>
        <w:t xml:space="preserve">3.14</w:t>
      </w:r>
      <w:r>
        <w:t xml:space="preserve"> </w:t>
      </w:r>
      <w:r>
        <w:t xml:space="preserve">PM15</w:t>
      </w:r>
    </w:p>
    <w:p>
      <w:pPr>
        <w:pStyle w:val="BodyText"/>
      </w:pPr>
      <w:r>
        <w:t xml:space="preserve">5.00</w:t>
      </w:r>
      <w:r>
        <w:t xml:space="preserve"> </w:t>
      </w:r>
      <w:r>
        <w:t xml:space="preserve">PM16</w:t>
      </w:r>
      <w:r>
        <w:t xml:space="preserve"> </w:t>
      </w:r>
      <w:r>
        <w:t xml:space="preserve">1.55</w:t>
      </w:r>
      <w:r>
        <w:t xml:space="preserve"> </w:t>
      </w:r>
      <w:r>
        <w:t xml:space="preserve">1.55</w:t>
      </w:r>
      <w:r>
        <w:br/>
      </w:r>
      <w:r>
        <w:t xml:space="preserve">PM17</w:t>
      </w:r>
    </w:p>
    <w:p>
      <w:pPr>
        <w:pStyle w:val="BodyText"/>
      </w:pPr>
      <w:r>
        <w:t xml:space="preserve">2.71</w:t>
      </w:r>
      <w:r>
        <w:t xml:space="preserve"> </w:t>
      </w:r>
      <w:r>
        <w:t xml:space="preserve">Total one-off adjustment costs</w:t>
      </w:r>
      <w:r>
        <w:br/>
      </w:r>
      <w:r>
        <w:t xml:space="preserve">5.56</w:t>
      </w:r>
      <w:r>
        <w:t xml:space="preserve"> </w:t>
      </w:r>
      <w:r>
        <w:t xml:space="preserve">18.33</w:t>
      </w:r>
      <w:r>
        <w:t xml:space="preserve"> </w:t>
      </w:r>
      <w:r>
        <w:t xml:space="preserve">28.15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Table 67: Recurrent and one-off costs and costs savings for national public authorities by policy option</w:t>
      </w:r>
      <w:r>
        <w:t xml:space="preserve"> </w:t>
      </w:r>
      <w:r>
        <w:t xml:space="preserve">and measure, expressed as present value over 2025-2050, relative to the baseline (in million EUR, in 2022</w:t>
      </w:r>
      <w:r>
        <w:t xml:space="preserve"> </w:t>
      </w:r>
      <w:r>
        <w:t xml:space="preserve">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5.56</w:t>
      </w:r>
      <w:r>
        <w:t xml:space="preserve"> </w:t>
      </w:r>
      <w:r>
        <w:t xml:space="preserve">18.33</w:t>
      </w:r>
      <w:r>
        <w:t xml:space="preserve"> </w:t>
      </w:r>
      <w:r>
        <w:t xml:space="preserve">28.15</w:t>
      </w:r>
      <w:r>
        <w:t xml:space="preserve"> </w:t>
      </w:r>
      <w:r>
        <w:t xml:space="preserve">PM2</w:t>
      </w:r>
      <w:r>
        <w:t xml:space="preserve"> </w:t>
      </w:r>
      <w:r>
        <w:t xml:space="preserve">2.76</w:t>
      </w:r>
      <w:r>
        <w:t xml:space="preserve"> </w:t>
      </w:r>
      <w:r>
        <w:t xml:space="preserve">2.76</w:t>
      </w:r>
      <w:r>
        <w:br/>
      </w:r>
      <w:r>
        <w:t xml:space="preserve">PM4</w:t>
      </w:r>
    </w:p>
    <w:p>
      <w:pPr>
        <w:pStyle w:val="BodyText"/>
      </w:pPr>
      <w:r>
        <w:t xml:space="preserve">4.55</w:t>
      </w:r>
      <w:r>
        <w:t xml:space="preserve"> </w:t>
      </w:r>
      <w:r>
        <w:t xml:space="preserve">4.55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3.07</w:t>
      </w:r>
      <w:r>
        <w:t xml:space="preserve"> </w:t>
      </w:r>
      <w:r>
        <w:t xml:space="preserve">PM7</w:t>
      </w:r>
      <w:r>
        <w:t xml:space="preserve"> </w:t>
      </w:r>
      <w:r>
        <w:t xml:space="preserve">1.25</w:t>
      </w:r>
    </w:p>
    <w:p>
      <w:pPr>
        <w:pStyle w:val="BodyText"/>
      </w:pPr>
      <w:r>
        <w:t xml:space="preserve">PM8</w:t>
      </w:r>
    </w:p>
    <w:p>
      <w:pPr>
        <w:pStyle w:val="BodyText"/>
      </w:pPr>
      <w:r>
        <w:t xml:space="preserve">1.25</w:t>
      </w:r>
      <w:r>
        <w:t xml:space="preserve"> </w:t>
      </w:r>
      <w:r>
        <w:t xml:space="preserve">1.25</w:t>
      </w:r>
      <w:r>
        <w:t xml:space="preserve"> </w:t>
      </w:r>
      <w:r>
        <w:t xml:space="preserve">PM9</w:t>
      </w:r>
    </w:p>
    <w:p>
      <w:pPr>
        <w:pStyle w:val="BodyText"/>
      </w:pPr>
      <w:r>
        <w:t xml:space="preserve">3.50</w:t>
      </w:r>
      <w:r>
        <w:t xml:space="preserve"> </w:t>
      </w:r>
      <w:r>
        <w:t xml:space="preserve">3.50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1.58</w:t>
      </w:r>
      <w:r>
        <w:br/>
      </w:r>
      <w:r>
        <w:t xml:space="preserve">PM13</w:t>
      </w:r>
    </w:p>
    <w:p>
      <w:pPr>
        <w:pStyle w:val="BodyText"/>
      </w:pPr>
      <w:r>
        <w:t xml:space="preserve">4.93</w:t>
      </w:r>
      <w:r>
        <w:t xml:space="preserve"> </w:t>
      </w:r>
      <w:r>
        <w:t xml:space="preserve">PM14</w:t>
      </w:r>
    </w:p>
    <w:p>
      <w:pPr>
        <w:pStyle w:val="BodyText"/>
      </w:pPr>
      <w:r>
        <w:t xml:space="preserve">3.14</w:t>
      </w:r>
      <w:r>
        <w:t xml:space="preserve"> </w:t>
      </w:r>
      <w:r>
        <w:t xml:space="preserve">3.14</w:t>
      </w:r>
      <w:r>
        <w:t xml:space="preserve"> </w:t>
      </w:r>
      <w:r>
        <w:t xml:space="preserve">PM15</w:t>
      </w:r>
    </w:p>
    <w:p>
      <w:pPr>
        <w:pStyle w:val="BodyText"/>
      </w:pPr>
      <w:r>
        <w:t xml:space="preserve">5.00</w:t>
      </w:r>
      <w:r>
        <w:t xml:space="preserve"> </w:t>
      </w:r>
      <w:r>
        <w:t xml:space="preserve">PM16</w:t>
      </w:r>
      <w:r>
        <w:t xml:space="preserve"> </w:t>
      </w:r>
      <w:r>
        <w:t xml:space="preserve">1.55</w:t>
      </w:r>
      <w:r>
        <w:t xml:space="preserve"> </w:t>
      </w:r>
      <w:r>
        <w:t xml:space="preserve">1.55</w:t>
      </w:r>
      <w:r>
        <w:br/>
      </w:r>
      <w:r>
        <w:t xml:space="preserve">PM17</w:t>
      </w:r>
    </w:p>
    <w:p>
      <w:pPr>
        <w:pStyle w:val="BodyText"/>
      </w:pPr>
      <w:r>
        <w:t xml:space="preserve">2.71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34.9</w:t>
      </w:r>
      <w:r>
        <w:t xml:space="preserve"> </w:t>
      </w:r>
      <w:r>
        <w:t xml:space="preserve">75.3</w:t>
      </w:r>
      <w:r>
        <w:t xml:space="preserve"> </w:t>
      </w:r>
      <w:r>
        <w:t xml:space="preserve">104.3</w:t>
      </w:r>
      <w:r>
        <w:t xml:space="preserve"> </w:t>
      </w:r>
      <w:r>
        <w:t xml:space="preserve">PM2</w:t>
      </w:r>
      <w:r>
        <w:t xml:space="preserve"> </w:t>
      </w:r>
      <w:r>
        <w:t xml:space="preserve">16.02</w:t>
      </w:r>
      <w:r>
        <w:t xml:space="preserve"> </w:t>
      </w:r>
      <w:r>
        <w:t xml:space="preserve">16.02</w:t>
      </w:r>
      <w:r>
        <w:br/>
      </w:r>
      <w:r>
        <w:t xml:space="preserve">PM3</w:t>
      </w:r>
    </w:p>
    <w:p>
      <w:pPr>
        <w:pStyle w:val="BodyText"/>
      </w:pPr>
      <w:r>
        <w:t xml:space="preserve">11.97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19.81</w:t>
      </w:r>
      <w:r>
        <w:t xml:space="preserve"> </w:t>
      </w:r>
      <w:r>
        <w:t xml:space="preserve">19.81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13.35</w:t>
      </w:r>
      <w:r>
        <w:t xml:space="preserve"> </w:t>
      </w:r>
      <w:r>
        <w:t xml:space="preserve">PM6</w:t>
      </w:r>
      <w:r>
        <w:t xml:space="preserve"> </w:t>
      </w:r>
      <w:r>
        <w:t xml:space="preserve">12.18</w:t>
      </w:r>
      <w:r>
        <w:t xml:space="preserve"> </w:t>
      </w:r>
      <w:r>
        <w:t xml:space="preserve">12.18</w:t>
      </w:r>
      <w:r>
        <w:t xml:space="preserve"> </w:t>
      </w:r>
      <w:r>
        <w:t xml:space="preserve">12.18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6.86</w:t>
      </w:r>
      <w:r>
        <w:br/>
      </w:r>
      <w:r>
        <w:t xml:space="preserve">PM13</w:t>
      </w:r>
    </w:p>
    <w:p>
      <w:pPr>
        <w:pStyle w:val="BodyText"/>
      </w:pPr>
      <w:r>
        <w:t xml:space="preserve">21.48</w:t>
      </w:r>
      <w:r>
        <w:t xml:space="preserve"> </w:t>
      </w:r>
      <w:r>
        <w:t xml:space="preserve">PM14</w:t>
      </w:r>
    </w:p>
    <w:p>
      <w:pPr>
        <w:pStyle w:val="BodyText"/>
      </w:pPr>
      <w:r>
        <w:t xml:space="preserve">13.68</w:t>
      </w:r>
      <w:r>
        <w:t xml:space="preserve"> </w:t>
      </w:r>
      <w:r>
        <w:t xml:space="preserve">13.68</w:t>
      </w:r>
      <w:r>
        <w:t xml:space="preserve"> </w:t>
      </w:r>
      <w:r>
        <w:t xml:space="preserve">PM16</w:t>
      </w:r>
      <w:r>
        <w:t xml:space="preserve"> </w:t>
      </w:r>
      <w:r>
        <w:t xml:space="preserve">6.74</w:t>
      </w:r>
      <w:r>
        <w:t xml:space="preserve"> </w:t>
      </w:r>
      <w:r>
        <w:t xml:space="preserve">6.74</w:t>
      </w:r>
      <w:r>
        <w:br/>
      </w:r>
      <w:r>
        <w:t xml:space="preserve">PM17</w:t>
      </w:r>
    </w:p>
    <w:p>
      <w:pPr>
        <w:pStyle w:val="BodyText"/>
      </w:pPr>
      <w:r>
        <w:t xml:space="preserve">11.79</w:t>
      </w:r>
      <w:r>
        <w:t xml:space="preserve"> </w:t>
      </w:r>
      <w:r>
        <w:t xml:space="preserve">Administrative cost savings</w:t>
      </w:r>
      <w:r>
        <w:t xml:space="preserve"> </w:t>
      </w:r>
      <w:r>
        <w:t xml:space="preserve">11.45</w:t>
      </w:r>
      <w:r>
        <w:t xml:space="preserve"> </w:t>
      </w:r>
      <w:r>
        <w:t xml:space="preserve">30.60</w:t>
      </w:r>
      <w:r>
        <w:t xml:space="preserve"> </w:t>
      </w:r>
      <w:r>
        <w:t xml:space="preserve">37.37</w:t>
      </w:r>
      <w:r>
        <w:t xml:space="preserve"> </w:t>
      </w:r>
      <w:r>
        <w:t xml:space="preserve">PM7</w:t>
      </w:r>
      <w:r>
        <w:t xml:space="preserve"> </w:t>
      </w:r>
      <w:r>
        <w:t xml:space="preserve">11.45</w:t>
      </w:r>
    </w:p>
    <w:p>
      <w:pPr>
        <w:pStyle w:val="BodyText"/>
      </w:pPr>
      <w:r>
        <w:t xml:space="preserve">PM8</w:t>
      </w:r>
    </w:p>
    <w:p>
      <w:pPr>
        <w:pStyle w:val="BodyText"/>
      </w:pPr>
      <w:r>
        <w:t xml:space="preserve">22.89</w:t>
      </w:r>
      <w:r>
        <w:t xml:space="preserve"> </w:t>
      </w:r>
      <w:r>
        <w:t xml:space="preserve">22.89</w:t>
      </w:r>
      <w:r>
        <w:t xml:space="preserve"> </w:t>
      </w:r>
      <w:r>
        <w:t xml:space="preserve">PM9</w:t>
      </w:r>
    </w:p>
    <w:p>
      <w:pPr>
        <w:pStyle w:val="BodyText"/>
      </w:pPr>
      <w:r>
        <w:t xml:space="preserve">7.71</w:t>
      </w:r>
      <w:r>
        <w:t xml:space="preserve"> </w:t>
      </w:r>
      <w:r>
        <w:t xml:space="preserve">7.71</w:t>
      </w:r>
      <w:r>
        <w:t xml:space="preserve"> </w:t>
      </w:r>
      <w:r>
        <w:t xml:space="preserve">PM15</w:t>
      </w:r>
    </w:p>
    <w:p>
      <w:pPr>
        <w:pStyle w:val="BodyText"/>
      </w:pPr>
      <w:r>
        <w:t xml:space="preserve">6.77</w:t>
      </w:r>
      <w:r>
        <w:t xml:space="preserve"> </w:t>
      </w:r>
      <w:r>
        <w:t xml:space="preserve">Net costs</w:t>
      </w:r>
      <w:r>
        <w:br/>
      </w:r>
      <w:r>
        <w:t xml:space="preserve">29.05</w:t>
      </w:r>
      <w:r>
        <w:t xml:space="preserve"> </w:t>
      </w:r>
      <w:r>
        <w:t xml:space="preserve">63.02</w:t>
      </w:r>
      <w:r>
        <w:t xml:space="preserve"> </w:t>
      </w:r>
      <w:r>
        <w:t xml:space="preserve">95.04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Table 68: One-off adjustment costs for the European Commission by policy option and measure in 2025,</w:t>
      </w:r>
      <w:r>
        <w:t xml:space="preserve"> </w:t>
      </w:r>
      <w:r>
        <w:t xml:space="preserve">relative to the baseline (in million EUR, in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</w:p>
    <w:p>
      <w:pPr>
        <w:pStyle w:val="BodyText"/>
      </w:pPr>
      <w:r>
        <w:t xml:space="preserve">PM1</w:t>
      </w:r>
      <w:r>
        <w:t xml:space="preserve"> </w:t>
      </w:r>
      <w:r>
        <w:t xml:space="preserve">0.47</w:t>
      </w:r>
    </w:p>
    <w:p>
      <w:pPr>
        <w:pStyle w:val="BodyText"/>
      </w:pPr>
      <w:r>
        <w:t xml:space="preserve">Total one-off adjustment costs</w:t>
      </w:r>
      <w:r>
        <w:br/>
      </w:r>
      <w:r>
        <w:t xml:space="preserve">0.47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Source: Ramboll et al. (2024), impact assessment support study</w:t>
      </w:r>
    </w:p>
    <w:p>
      <w:pPr>
        <w:pStyle w:val="BodyText"/>
      </w:pPr>
      <w:r>
        <w:t xml:space="preserve">143</w:t>
      </w:r>
      <w:r>
        <w:t xml:space="preserve"> </w:t>
      </w:r>
      <w:r>
        <w:t xml:space="preserve">4. Impacts on modal shift and external costs</w:t>
      </w:r>
      <w:r>
        <w:t xml:space="preserve"> </w:t>
      </w:r>
      <w:r>
        <w:t xml:space="preserve">As explained in section 1, IWT is quite active in the transport of non-time sensitive goods (e.g. bulk</w:t>
      </w:r>
      <w:r>
        <w:t xml:space="preserve"> </w:t>
      </w:r>
      <w:r>
        <w:t xml:space="preserve">or liquid cargo). To increase the competitiveness of intermodal inland waterways transport, focus is</w:t>
      </w:r>
      <w:r>
        <w:t xml:space="preserve"> </w:t>
      </w:r>
      <w:r>
        <w:t xml:space="preserve">needed on incentivising the transport of goods that are more time sensitive (i.e. typically the</w:t>
      </w:r>
      <w:r>
        <w:t xml:space="preserve"> </w:t>
      </w:r>
      <w:r>
        <w:t xml:space="preserve">container market). For this market segment, reliability is important and IWT would need to match</w:t>
      </w:r>
      <w:r>
        <w:t xml:space="preserve"> </w:t>
      </w:r>
      <w:r>
        <w:t xml:space="preserve">the higher reliability standards of road transport, which benefits from a reduced number of actors</w:t>
      </w:r>
      <w:r>
        <w:t xml:space="preserve"> </w:t>
      </w:r>
      <w:r>
        <w:t xml:space="preserve">(door-to-door services, less handling) and higher flexibility (in particular compared to “network”</w:t>
      </w:r>
      <w:r>
        <w:t xml:space="preserve"> </w:t>
      </w:r>
      <w:r>
        <w:t xml:space="preserve">modes, like IWT and rail).</w:t>
      </w:r>
      <w:r>
        <w:t xml:space="preserve"> </w:t>
      </w:r>
      <w:r>
        <w:t xml:space="preserve">Several policy measures are expected to have an impact on modal shift, away from road transport to</w:t>
      </w:r>
      <w:r>
        <w:t xml:space="preserve"> </w:t>
      </w:r>
      <w:r>
        <w:t xml:space="preserve">intermodal inland waterway transport. In particular PM4 is expected to increase the efficiency in</w:t>
      </w:r>
      <w:r>
        <w:t xml:space="preserve"> </w:t>
      </w:r>
      <w:r>
        <w:t xml:space="preserve">navigation, as improved data (e.g. on waiting times or obstacles) will improve navigation</w:t>
      </w:r>
      <w:r>
        <w:t xml:space="preserve"> </w:t>
      </w:r>
      <w:r>
        <w:t xml:space="preserve">performance. PM14 will have a similar effect through improved links with the systems of other</w:t>
      </w:r>
      <w:r>
        <w:t xml:space="preserve"> </w:t>
      </w:r>
      <w:r>
        <w:t xml:space="preserve">modes (e.g. the estimated time of arrival will be available, which in turn will contribute to the</w:t>
      </w:r>
      <w:r>
        <w:t xml:space="preserve"> </w:t>
      </w:r>
      <w:r>
        <w:t xml:space="preserve">optimisation of the logistics chain). This will lead to increased performance, predictability and</w:t>
      </w:r>
      <w:r>
        <w:t xml:space="preserve"> </w:t>
      </w:r>
      <w:r>
        <w:t xml:space="preserve">reliability of the intermodal IWT sector, increasing the potential to attract freight from other modes.</w:t>
      </w:r>
      <w:r>
        <w:t xml:space="preserve"> </w:t>
      </w:r>
      <w:r>
        <w:t xml:space="preserve">The impact of PM4 and PM14 (both included in PO-B and PO-C) on modal shift has been assessed</w:t>
      </w:r>
      <w:r>
        <w:t xml:space="preserve"> </w:t>
      </w:r>
      <w:r>
        <w:t xml:space="preserve">together, due to the synergies between the measures.</w:t>
      </w:r>
      <w:r>
        <w:br/>
      </w:r>
      <w:r>
        <w:t xml:space="preserve">No study has been identified that examines the issue of reliability in the IWT sector. However, a</w:t>
      </w:r>
      <w:r>
        <w:t xml:space="preserve"> </w:t>
      </w:r>
      <w:r>
        <w:t xml:space="preserve">2019 TRT study247, examining the modal shift potential for rail, provides a good approximation for</w:t>
      </w:r>
      <w:r>
        <w:t xml:space="preserve"> </w:t>
      </w:r>
      <w:r>
        <w:t xml:space="preserve">identifying the impact of improved reliability for intermodal IWT. Like IWT, rail is also a</w:t>
      </w:r>
      <w:r>
        <w:t xml:space="preserve"> </w:t>
      </w:r>
      <w:r>
        <w:t xml:space="preserve">“network” mode (though with a wider network) and it also carries both time-sensitive and cost-</w:t>
      </w:r>
      <w:r>
        <w:t xml:space="preserve"> </w:t>
      </w:r>
      <w:r>
        <w:t xml:space="preserve">sensitive goods. The study found that the lack of punctuality was the most important reason</w:t>
      </w:r>
      <w:r>
        <w:t xml:space="preserve"> </w:t>
      </w:r>
      <w:r>
        <w:t xml:space="preserve">provided by the surveyed logistics operators and freight forwarders for not choosing rail instead of</w:t>
      </w:r>
      <w:r>
        <w:t xml:space="preserve"> </w:t>
      </w:r>
      <w:r>
        <w:t xml:space="preserve">road. It further estimated (through a stated preference survey) the impact of an increase in reliability</w:t>
      </w:r>
      <w:r>
        <w:t xml:space="preserve"> </w:t>
      </w:r>
      <w:r>
        <w:t xml:space="preserve">in shifting freight away from road (i.e. the cross elasticity). Given the similarities between rail and</w:t>
      </w:r>
      <w:r>
        <w:t xml:space="preserve"> </w:t>
      </w:r>
      <w:r>
        <w:t xml:space="preserve">IWT, the fact that both compete against road, and in the absence of further specific research, the</w:t>
      </w:r>
      <w:r>
        <w:t xml:space="preserve"> </w:t>
      </w:r>
      <w:r>
        <w:t xml:space="preserve">results of the rail study are used as a proxy for estimating the potential modal shift from road to</w:t>
      </w:r>
      <w:r>
        <w:t xml:space="preserve"> </w:t>
      </w:r>
      <w:r>
        <w:t xml:space="preserve">IWT. In addition, sensitivity analysis has been performed and is presented in section 7.6.</w:t>
      </w:r>
      <w:r>
        <w:br/>
      </w:r>
      <w:r>
        <w:t xml:space="preserve">Based on the results of a stated preference survey run as part of a 2019 TRT study248, a linear</w:t>
      </w:r>
      <w:r>
        <w:t xml:space="preserve"> </w:t>
      </w:r>
      <w:r>
        <w:t xml:space="preserve">correlation between punctuality and modal shift potential has been identified. More</w:t>
      </w:r>
      <w:r>
        <w:t xml:space="preserve"> </w:t>
      </w:r>
      <w:r>
        <w:t xml:space="preserve">specifically, the study indicates that for each 10% increase in punctuality a 6.1% increase in</w:t>
      </w:r>
      <w:r>
        <w:t xml:space="preserve"> </w:t>
      </w:r>
      <w:r>
        <w:t xml:space="preserve">transport demand could be expected. To determine the impact on reliability for the inland</w:t>
      </w:r>
      <w:r>
        <w:t xml:space="preserve"> </w:t>
      </w:r>
      <w:r>
        <w:t xml:space="preserve">waterway sector, information on average waiting times at locks has been collected in the</w:t>
      </w:r>
      <w:r>
        <w:t xml:space="preserve"> </w:t>
      </w:r>
      <w:r>
        <w:t xml:space="preserve">context of the impact assessment support study and the impact on reliability (90% value) has</w:t>
      </w:r>
      <w:r>
        <w:t xml:space="preserve"> </w:t>
      </w:r>
      <w:r>
        <w:t xml:space="preserve">been derived based on desk-research249.</w:t>
      </w:r>
      <w:r>
        <w:t xml:space="preserve"> </w:t>
      </w:r>
      <w:r>
        <w:t xml:space="preserve">Table 69: Average waiting times at locks and impact on reliability, in minutes</w:t>
      </w:r>
      <w:r>
        <w:t xml:space="preserve"> </w:t>
      </w:r>
      <w:r>
        <w:t xml:space="preserve">Average waiting time</w:t>
      </w:r>
      <w:r>
        <w:t xml:space="preserve"> </w:t>
      </w:r>
      <w:r>
        <w:t xml:space="preserve">90% value</w:t>
      </w:r>
      <w:r>
        <w:t xml:space="preserve"> </w:t>
      </w:r>
      <w:r>
        <w:t xml:space="preserve">Oranjesluizen</w:t>
      </w:r>
      <w:r>
        <w:t xml:space="preserve"> </w:t>
      </w:r>
      <w:r>
        <w:t xml:space="preserve">18</w:t>
      </w:r>
      <w:r>
        <w:t xml:space="preserve"> </w:t>
      </w:r>
      <w:r>
        <w:t xml:space="preserve">42</w:t>
      </w:r>
      <w:r>
        <w:t xml:space="preserve"> </w:t>
      </w:r>
      <w:r>
        <w:t xml:space="preserve">Houtribsluizen</w:t>
      </w:r>
      <w:r>
        <w:t xml:space="preserve"> </w:t>
      </w:r>
      <w:r>
        <w:t xml:space="preserve">18</w:t>
      </w:r>
      <w:r>
        <w:t xml:space="preserve"> </w:t>
      </w:r>
      <w:r>
        <w:t xml:space="preserve">38</w:t>
      </w:r>
      <w:r>
        <w:t xml:space="preserve"> </w:t>
      </w:r>
      <w:r>
        <w:t xml:space="preserve">Margrietsluis</w:t>
      </w:r>
      <w:r>
        <w:t xml:space="preserve"> </w:t>
      </w:r>
      <w:r>
        <w:t xml:space="preserve">19</w:t>
      </w:r>
      <w:r>
        <w:t xml:space="preserve"> </w:t>
      </w:r>
      <w:r>
        <w:t xml:space="preserve">36</w:t>
      </w:r>
      <w:r>
        <w:t xml:space="preserve"> </w:t>
      </w:r>
      <w:r>
        <w:t xml:space="preserve">Gaarkeukensluis</w:t>
      </w:r>
      <w:r>
        <w:t xml:space="preserve"> </w:t>
      </w:r>
      <w:r>
        <w:t xml:space="preserve">16</w:t>
      </w:r>
      <w:r>
        <w:t xml:space="preserve"> </w:t>
      </w:r>
      <w:r>
        <w:t xml:space="preserve">32</w:t>
      </w:r>
      <w:r>
        <w:t xml:space="preserve"> </w:t>
      </w:r>
      <w:r>
        <w:t xml:space="preserve">Oostersluis</w:t>
      </w:r>
      <w:r>
        <w:t xml:space="preserve"> </w:t>
      </w:r>
      <w:r>
        <w:t xml:space="preserve">22</w:t>
      </w:r>
      <w:r>
        <w:t xml:space="preserve"> </w:t>
      </w:r>
      <w:r>
        <w:t xml:space="preserve">45</w:t>
      </w:r>
    </w:p>
    <w:p>
      <w:pPr>
        <w:pStyle w:val="BodyText"/>
      </w:pPr>
      <w:r>
        <w:t xml:space="preserve">247 https://www.corridor-rhine-alpine.eu/files/downloads/others/Transport%20Market%20Study%202018.pdf</w:t>
      </w:r>
      <w:r>
        <w:br/>
      </w:r>
      <w:r>
        <w:t xml:space="preserve">248 https://www.corridor-rhine-alpine.eu/files/downloads/others/Transport%20Market%20Study%202018.pdf</w:t>
      </w:r>
      <w:r>
        <w:t xml:space="preserve"> </w:t>
      </w:r>
      <w:r>
        <w:t xml:space="preserve">249 IMA (2021) of the Department of Public Works.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Average waiting time</w:t>
      </w:r>
      <w:r>
        <w:t xml:space="preserve"> </w:t>
      </w:r>
      <w:r>
        <w:t xml:space="preserve">90% value</w:t>
      </w:r>
      <w:r>
        <w:t xml:space="preserve"> </w:t>
      </w:r>
      <w:r>
        <w:t xml:space="preserve">Delden</w:t>
      </w:r>
      <w:r>
        <w:t xml:space="preserve"> </w:t>
      </w:r>
      <w:r>
        <w:t xml:space="preserve">32</w:t>
      </w:r>
      <w:r>
        <w:t xml:space="preserve"> </w:t>
      </w:r>
      <w:r>
        <w:t xml:space="preserve">82</w:t>
      </w:r>
      <w:r>
        <w:t xml:space="preserve"> </w:t>
      </w:r>
      <w:r>
        <w:t xml:space="preserve">Grave</w:t>
      </w:r>
      <w:r>
        <w:t xml:space="preserve"> </w:t>
      </w:r>
      <w:r>
        <w:t xml:space="preserve">21</w:t>
      </w:r>
      <w:r>
        <w:t xml:space="preserve"> </w:t>
      </w:r>
      <w:r>
        <w:t xml:space="preserve">42</w:t>
      </w:r>
      <w:r>
        <w:t xml:space="preserve"> </w:t>
      </w:r>
      <w:r>
        <w:t xml:space="preserve">Sint Andries</w:t>
      </w:r>
      <w:r>
        <w:t xml:space="preserve"> </w:t>
      </w:r>
      <w:r>
        <w:t xml:space="preserve">21</w:t>
      </w:r>
      <w:r>
        <w:t xml:space="preserve"> </w:t>
      </w:r>
      <w:r>
        <w:t xml:space="preserve">45</w:t>
      </w:r>
      <w:r>
        <w:t xml:space="preserve"> </w:t>
      </w:r>
      <w:r>
        <w:t xml:space="preserve">Weurt</w:t>
      </w:r>
      <w:r>
        <w:t xml:space="preserve"> </w:t>
      </w:r>
      <w:r>
        <w:t xml:space="preserve">16</w:t>
      </w:r>
      <w:r>
        <w:t xml:space="preserve"> </w:t>
      </w:r>
      <w:r>
        <w:t xml:space="preserve">36</w:t>
      </w:r>
      <w:r>
        <w:t xml:space="preserve"> </w:t>
      </w:r>
      <w:r>
        <w:t xml:space="preserve">Schijndel</w:t>
      </w:r>
      <w:r>
        <w:t xml:space="preserve"> </w:t>
      </w:r>
      <w:r>
        <w:t xml:space="preserve">20</w:t>
      </w:r>
      <w:r>
        <w:t xml:space="preserve"> </w:t>
      </w:r>
      <w:r>
        <w:t xml:space="preserve">41</w:t>
      </w:r>
      <w:r>
        <w:t xml:space="preserve"> </w:t>
      </w:r>
      <w:r>
        <w:t xml:space="preserve">Hansweert</w:t>
      </w:r>
      <w:r>
        <w:t xml:space="preserve"> </w:t>
      </w:r>
      <w:r>
        <w:t xml:space="preserve">14</w:t>
      </w:r>
      <w:r>
        <w:t xml:space="preserve"> </w:t>
      </w:r>
      <w:r>
        <w:t xml:space="preserve">30</w:t>
      </w:r>
      <w:r>
        <w:t xml:space="preserve"> </w:t>
      </w:r>
      <w:r>
        <w:t xml:space="preserve">Krammersluizen</w:t>
      </w:r>
      <w:r>
        <w:t xml:space="preserve"> </w:t>
      </w:r>
      <w:r>
        <w:t xml:space="preserve">25</w:t>
      </w:r>
      <w:r>
        <w:t xml:space="preserve"> </w:t>
      </w:r>
      <w:r>
        <w:t xml:space="preserve">53</w:t>
      </w:r>
      <w:r>
        <w:t xml:space="preserve"> </w:t>
      </w:r>
      <w:r>
        <w:t xml:space="preserve">Kreekraksluizen</w:t>
      </w:r>
      <w:r>
        <w:t xml:space="preserve"> </w:t>
      </w:r>
      <w:r>
        <w:t xml:space="preserve">20</w:t>
      </w:r>
      <w:r>
        <w:t xml:space="preserve"> </w:t>
      </w:r>
      <w:r>
        <w:t xml:space="preserve">45</w:t>
      </w:r>
      <w:r>
        <w:t xml:space="preserve"> </w:t>
      </w:r>
      <w:r>
        <w:t xml:space="preserve">Volkeraksluizen</w:t>
      </w:r>
      <w:r>
        <w:t xml:space="preserve"> </w:t>
      </w:r>
      <w:r>
        <w:t xml:space="preserve">24</w:t>
      </w:r>
      <w:r>
        <w:t xml:space="preserve"> </w:t>
      </w:r>
      <w:r>
        <w:t xml:space="preserve">40</w:t>
      </w:r>
      <w:r>
        <w:t xml:space="preserve"> </w:t>
      </w:r>
      <w:r>
        <w:t xml:space="preserve">Average</w:t>
      </w:r>
      <w:r>
        <w:t xml:space="preserve"> </w:t>
      </w:r>
      <w:r>
        <w:t xml:space="preserve">20</w:t>
      </w:r>
      <w:r>
        <w:t xml:space="preserve"> </w:t>
      </w:r>
      <w:r>
        <w:t xml:space="preserve">43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The table shows an average waiting time per lock of 20 minutes and a reliability value of 43</w:t>
      </w:r>
      <w:r>
        <w:t xml:space="preserve"> </w:t>
      </w:r>
      <w:r>
        <w:t xml:space="preserve">minutes (i.e. variance of 23 minutes). Moreover, a barge passes an average number of 4 locks</w:t>
      </w:r>
      <w:r>
        <w:t xml:space="preserve"> </w:t>
      </w:r>
      <w:r>
        <w:t xml:space="preserve">per voyage250,251. In the baseline scenario, the total travel time for freight inland waterways</w:t>
      </w:r>
      <w:r>
        <w:t xml:space="preserve"> </w:t>
      </w:r>
      <w:r>
        <w:t xml:space="preserve">transport is estimated at 12 million hours in 2025, 12.19 million hours in 2030 and 12.42</w:t>
      </w:r>
      <w:r>
        <w:t xml:space="preserve"> </w:t>
      </w:r>
      <w:r>
        <w:t xml:space="preserve">million hours in 2050, while the waiting time at 0.54 million hours in 2025, 0.55 million</w:t>
      </w:r>
      <w:r>
        <w:t xml:space="preserve"> </w:t>
      </w:r>
      <w:r>
        <w:t xml:space="preserve">hours in 2030 and 0.56 million hours in 2050. Based on this, the reliability of travel time in</w:t>
      </w:r>
      <w:r>
        <w:t xml:space="preserve"> </w:t>
      </w:r>
      <w:r>
        <w:t xml:space="preserve">inland shipping is estimated at 95.5% in the baseline scenario. Information on the position of</w:t>
      </w:r>
      <w:r>
        <w:t xml:space="preserve"> </w:t>
      </w:r>
      <w:r>
        <w:t xml:space="preserve">the ship and the expected arrival time of ships can increase the reliability by a maximum of</w:t>
      </w:r>
      <w:r>
        <w:t xml:space="preserve"> </w:t>
      </w:r>
      <w:r>
        <w:t xml:space="preserve">4.5%. Drawing on the correlation between the increase in punctuality and transport demand</w:t>
      </w:r>
      <w:r>
        <w:t xml:space="preserve"> </w:t>
      </w:r>
      <w:r>
        <w:t xml:space="preserve">from the TRT study, the model shift potential is estimated at 2.7% relative to the baseline.</w:t>
      </w:r>
      <w:r>
        <w:t xml:space="preserve"> </w:t>
      </w:r>
      <w:r>
        <w:t xml:space="preserve">This modal shift potential is only applied to intermodal transport252, as not all goods</w:t>
      </w:r>
      <w:r>
        <w:t xml:space="preserve"> </w:t>
      </w:r>
      <w:r>
        <w:t xml:space="preserve">transported by road may be suitable for transport by IWT, while the IWT network is much</w:t>
      </w:r>
      <w:r>
        <w:t xml:space="preserve"> </w:t>
      </w:r>
      <w:r>
        <w:t xml:space="preserve">limited compared to that of road. Drawing on the evolution of freight IWT activity in the</w:t>
      </w:r>
      <w:r>
        <w:t xml:space="preserve"> </w:t>
      </w:r>
      <w:r>
        <w:t xml:space="preserve">baseline scenario, the model shift potential and the share of intermodal transport in IWT, the</w:t>
      </w:r>
      <w:r>
        <w:t xml:space="preserve"> </w:t>
      </w:r>
      <w:r>
        <w:t xml:space="preserve">transport activity shifted from road to freight IWT is estimated at 0.35 billion tkm in 2026,</w:t>
      </w:r>
      <w:r>
        <w:t xml:space="preserve"> </w:t>
      </w:r>
      <w:r>
        <w:t xml:space="preserve">0.38 billion tkm in 2030 and 0.45 billion tkm in 2050.</w:t>
      </w:r>
      <w:r>
        <w:t xml:space="preserve"> </w:t>
      </w:r>
      <w:r>
        <w:t xml:space="preserve">Table 70: Impact on freight inland waterways transport activity relative to the baseline</w:t>
      </w:r>
    </w:p>
    <w:p>
      <w:pPr>
        <w:pStyle w:val="BodyText"/>
      </w:pPr>
      <w:r>
        <w:t xml:space="preserve">2026</w:t>
      </w:r>
      <w:r>
        <w:br/>
      </w:r>
      <w:r>
        <w:t xml:space="preserve">2030</w:t>
      </w:r>
      <w:r>
        <w:br/>
      </w:r>
      <w:r>
        <w:t xml:space="preserve">2040</w:t>
      </w:r>
      <w:r>
        <w:br/>
      </w:r>
      <w:r>
        <w:t xml:space="preserve">2050</w:t>
      </w:r>
      <w:r>
        <w:br/>
      </w:r>
      <w:r>
        <w:t xml:space="preserve">Freight IWT activity in the baseline scenario</w:t>
      </w:r>
      <w:r>
        <w:t xml:space="preserve"> </w:t>
      </w:r>
      <w:r>
        <w:t xml:space="preserve">(Gtkm)</w:t>
      </w:r>
      <w:r>
        <w:t xml:space="preserve"> </w:t>
      </w:r>
      <w:r>
        <w:t xml:space="preserve">167.0</w:t>
      </w:r>
      <w:r>
        <w:t xml:space="preserve"> </w:t>
      </w:r>
      <w:r>
        <w:t xml:space="preserve">178.2</w:t>
      </w:r>
      <w:r>
        <w:t xml:space="preserve"> </w:t>
      </w:r>
      <w:r>
        <w:t xml:space="preserve">194.7</w:t>
      </w:r>
      <w:r>
        <w:t xml:space="preserve"> </w:t>
      </w:r>
      <w:r>
        <w:t xml:space="preserve">211.8</w:t>
      </w:r>
      <w:r>
        <w:t xml:space="preserve"> </w:t>
      </w:r>
      <w:r>
        <w:t xml:space="preserve">Travel time in the baseline (million hours)</w:t>
      </w:r>
      <w:r>
        <w:t xml:space="preserve"> </w:t>
      </w:r>
      <w:r>
        <w:t xml:space="preserve">12.04</w:t>
      </w:r>
      <w:r>
        <w:t xml:space="preserve"> </w:t>
      </w:r>
      <w:r>
        <w:t xml:space="preserve">12.19</w:t>
      </w:r>
      <w:r>
        <w:t xml:space="preserve"> </w:t>
      </w:r>
      <w:r>
        <w:t xml:space="preserve">12.26</w:t>
      </w:r>
      <w:r>
        <w:t xml:space="preserve"> </w:t>
      </w:r>
      <w:r>
        <w:t xml:space="preserve">12.42</w:t>
      </w:r>
      <w:r>
        <w:t xml:space="preserve"> </w:t>
      </w:r>
      <w:r>
        <w:t xml:space="preserve">Waiting time in the baseline (million hours)</w:t>
      </w:r>
      <w:r>
        <w:t xml:space="preserve"> </w:t>
      </w:r>
      <w:r>
        <w:t xml:space="preserve">0.54</w:t>
      </w:r>
      <w:r>
        <w:t xml:space="preserve"> </w:t>
      </w:r>
      <w:r>
        <w:t xml:space="preserve">0.55</w:t>
      </w:r>
      <w:r>
        <w:t xml:space="preserve"> </w:t>
      </w:r>
      <w:r>
        <w:t xml:space="preserve">0.55</w:t>
      </w:r>
      <w:r>
        <w:t xml:space="preserve"> </w:t>
      </w:r>
      <w:r>
        <w:t xml:space="preserve">0.56</w:t>
      </w:r>
      <w:r>
        <w:t xml:space="preserve"> </w:t>
      </w:r>
      <w:r>
        <w:t xml:space="preserve">Reliability</w:t>
      </w:r>
      <w:r>
        <w:br/>
      </w:r>
      <w:r>
        <w:t xml:space="preserve">95.5%</w:t>
      </w:r>
      <w:r>
        <w:t xml:space="preserve"> </w:t>
      </w:r>
      <w:r>
        <w:t xml:space="preserve">95.5%</w:t>
      </w:r>
      <w:r>
        <w:t xml:space="preserve"> </w:t>
      </w:r>
      <w:r>
        <w:t xml:space="preserve">95.5%</w:t>
      </w:r>
      <w:r>
        <w:t xml:space="preserve"> </w:t>
      </w:r>
      <w:r>
        <w:t xml:space="preserve">95.5%</w:t>
      </w:r>
      <w:r>
        <w:t xml:space="preserve"> </w:t>
      </w:r>
      <w:r>
        <w:t xml:space="preserve">Effect of more reliable travel planning</w:t>
      </w:r>
      <w:r>
        <w:t xml:space="preserve"> </w:t>
      </w:r>
      <w:r>
        <w:t xml:space="preserve">4.5%</w:t>
      </w:r>
      <w:r>
        <w:t xml:space="preserve"> </w:t>
      </w:r>
      <w:r>
        <w:t xml:space="preserve">4.5%</w:t>
      </w:r>
      <w:r>
        <w:t xml:space="preserve"> </w:t>
      </w:r>
      <w:r>
        <w:t xml:space="preserve">4.5%</w:t>
      </w:r>
      <w:r>
        <w:t xml:space="preserve"> </w:t>
      </w:r>
      <w:r>
        <w:t xml:space="preserve">4.5%</w:t>
      </w:r>
      <w:r>
        <w:t xml:space="preserve"> </w:t>
      </w:r>
      <w:r>
        <w:t xml:space="preserve">Modal shift potential</w:t>
      </w:r>
      <w:r>
        <w:t xml:space="preserve"> </w:t>
      </w:r>
      <w:r>
        <w:t xml:space="preserve">2.7%</w:t>
      </w:r>
      <w:r>
        <w:t xml:space="preserve"> </w:t>
      </w:r>
      <w:r>
        <w:t xml:space="preserve">2.7%</w:t>
      </w:r>
      <w:r>
        <w:t xml:space="preserve"> </w:t>
      </w:r>
      <w:r>
        <w:t xml:space="preserve">2.7%</w:t>
      </w:r>
      <w:r>
        <w:t xml:space="preserve"> </w:t>
      </w:r>
      <w:r>
        <w:t xml:space="preserve">2.7%</w:t>
      </w:r>
      <w:r>
        <w:t xml:space="preserve"> </w:t>
      </w:r>
      <w:r>
        <w:t xml:space="preserve">Shift from road to freight IWT activity</w:t>
      </w:r>
      <w:r>
        <w:t xml:space="preserve"> </w:t>
      </w:r>
      <w:r>
        <w:t xml:space="preserve">relative to the baseline (Gtkm)</w:t>
      </w:r>
      <w:r>
        <w:t xml:space="preserve"> </w:t>
      </w:r>
      <w:r>
        <w:t xml:space="preserve">0.35</w:t>
      </w:r>
      <w:r>
        <w:t xml:space="preserve"> </w:t>
      </w:r>
      <w:r>
        <w:t xml:space="preserve">0.38</w:t>
      </w:r>
      <w:r>
        <w:t xml:space="preserve"> </w:t>
      </w:r>
      <w:r>
        <w:t xml:space="preserve">0.41</w:t>
      </w:r>
      <w:r>
        <w:t xml:space="preserve"> </w:t>
      </w:r>
      <w:r>
        <w:t xml:space="preserve">0.45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Environmental impacts and external costs</w:t>
      </w:r>
      <w:r>
        <w:t xml:space="preserve"> </w:t>
      </w:r>
      <w:r>
        <w:t xml:space="preserve">The CO2 emissions reductions are driven by the combined effect of PM4 and PM14 on the</w:t>
      </w:r>
      <w:r>
        <w:t xml:space="preserve"> </w:t>
      </w:r>
      <w:r>
        <w:t xml:space="preserve">shift from road to inland waterways transport, and by the energy savings in PM5. To calculate</w:t>
      </w:r>
      <w:r>
        <w:t xml:space="preserve"> </w:t>
      </w:r>
      <w:r>
        <w:t xml:space="preserve">the CO2 emissions reductions due PM4 and PM14, the changes in the transport activity</w:t>
      </w:r>
      <w:r>
        <w:t xml:space="preserve"> </w:t>
      </w:r>
      <w:r>
        <w:t xml:space="preserve">relative to the baseline and the CO2 emissions intensity for freight inland waterways transport</w:t>
      </w:r>
    </w:p>
    <w:p>
      <w:pPr>
        <w:pStyle w:val="BodyText"/>
      </w:pPr>
      <w:r>
        <w:t xml:space="preserve">250 Rijkswaterstaat’s Basic Travel File (2019), including around 375,000 trips.</w:t>
      </w:r>
      <w:r>
        <w:br/>
      </w:r>
      <w:r>
        <w:t xml:space="preserve">251 At trip level, the variance is estimated at 47 minutes.</w:t>
      </w:r>
      <w:r>
        <w:t xml:space="preserve"> </w:t>
      </w:r>
      <w:r>
        <w:t xml:space="preserve">252 Based on Eurostat data, around 7.7% of inland waterway transport is intermodal container transport.</w:t>
      </w:r>
    </w:p>
    <w:p>
      <w:pPr>
        <w:pStyle w:val="BodyText"/>
      </w:pPr>
      <w:r>
        <w:t xml:space="preserve">145</w:t>
      </w:r>
      <w:r>
        <w:t xml:space="preserve"> </w:t>
      </w:r>
      <w:r>
        <w:t xml:space="preserve">and road transport (expressed in tCO2 per tkm) have been used. The CO2 emissions intensity</w:t>
      </w:r>
      <w:r>
        <w:t xml:space="preserve"> </w:t>
      </w:r>
      <w:r>
        <w:t xml:space="preserve">draws on the baseline scenario developed with the PRIMES-TREMOVE model. It should be</w:t>
      </w:r>
      <w:r>
        <w:t xml:space="preserve"> </w:t>
      </w:r>
      <w:r>
        <w:t xml:space="preserve">noted that the CO2 intensity for both road transport and IWT reduces significantly over time</w:t>
      </w:r>
      <w:r>
        <w:t xml:space="preserve"> </w:t>
      </w:r>
      <w:r>
        <w:t xml:space="preserve">in the baseline scenario, driven by improvements in energy efficiency and the uptake of</w:t>
      </w:r>
      <w:r>
        <w:t xml:space="preserve"> </w:t>
      </w:r>
      <w:r>
        <w:t xml:space="preserve">renewable and low carbon fuels. For PM5, the CO2 emissions savings have been derived</w:t>
      </w:r>
      <w:r>
        <w:t xml:space="preserve"> </w:t>
      </w:r>
      <w:r>
        <w:t xml:space="preserve">based on the energy savings and the CO2 intensity expressed in tCO2 per ktoe from the</w:t>
      </w:r>
      <w:r>
        <w:t xml:space="preserve"> </w:t>
      </w:r>
      <w:r>
        <w:t xml:space="preserve">baseline scenario developed with the PRIMES-TREMOVE model. The reduction in the</w:t>
      </w:r>
      <w:r>
        <w:t xml:space="preserve"> </w:t>
      </w:r>
      <w:r>
        <w:t xml:space="preserve">external costs of CO2 emissions has been calculated based on the CO2 emissions savings and</w:t>
      </w:r>
      <w:r>
        <w:t xml:space="preserve"> </w:t>
      </w:r>
      <w:r>
        <w:t xml:space="preserve">the unit costs from the 2019 Handbook on external costs of transport.</w:t>
      </w:r>
      <w:r>
        <w:t xml:space="preserve"> </w:t>
      </w:r>
      <w:r>
        <w:t xml:space="preserve">A similar approach has been used for air pollutant emissions.</w:t>
      </w:r>
      <w:r>
        <w:t xml:space="preserve"> </w:t>
      </w:r>
      <w:r>
        <w:t xml:space="preserve">Table 71: Impact on CO2 emissions relative to the baseline in 2030, 2040 and 2050 (kt of CO2)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CO2 emissions (kt)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-22.5</w:t>
      </w:r>
      <w:r>
        <w:t xml:space="preserve"> </w:t>
      </w:r>
      <w:r>
        <w:t xml:space="preserve">-14.3</w:t>
      </w:r>
      <w:r>
        <w:t xml:space="preserve"> </w:t>
      </w:r>
      <w:r>
        <w:t xml:space="preserve">-5.6</w:t>
      </w:r>
      <w:r>
        <w:t xml:space="preserve"> </w:t>
      </w:r>
      <w:r>
        <w:t xml:space="preserve">-45.2</w:t>
      </w:r>
      <w:r>
        <w:t xml:space="preserve"> </w:t>
      </w:r>
      <w:r>
        <w:t xml:space="preserve">-32.3</w:t>
      </w:r>
      <w:r>
        <w:t xml:space="preserve"> </w:t>
      </w:r>
      <w:r>
        <w:t xml:space="preserve">-14.5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-22.7</w:t>
      </w:r>
      <w:r>
        <w:t xml:space="preserve"> </w:t>
      </w:r>
      <w:r>
        <w:t xml:space="preserve">-18.0</w:t>
      </w:r>
      <w:r>
        <w:t xml:space="preserve"> </w:t>
      </w:r>
      <w:r>
        <w:t xml:space="preserve">-9.0</w:t>
      </w:r>
      <w:r>
        <w:t xml:space="preserve"> </w:t>
      </w:r>
      <w:r>
        <w:t xml:space="preserve">PM4&amp;PM14</w:t>
      </w:r>
    </w:p>
    <w:p>
      <w:pPr>
        <w:pStyle w:val="BodyText"/>
      </w:pPr>
      <w:r>
        <w:t xml:space="preserve">-22.5</w:t>
      </w:r>
      <w:r>
        <w:t xml:space="preserve"> </w:t>
      </w:r>
      <w:r>
        <w:t xml:space="preserve">-14.3</w:t>
      </w:r>
      <w:r>
        <w:t xml:space="preserve"> </w:t>
      </w:r>
      <w:r>
        <w:t xml:space="preserve">-5.6</w:t>
      </w:r>
      <w:r>
        <w:t xml:space="preserve"> </w:t>
      </w:r>
      <w:r>
        <w:t xml:space="preserve">-22.5</w:t>
      </w:r>
      <w:r>
        <w:t xml:space="preserve"> </w:t>
      </w:r>
      <w:r>
        <w:t xml:space="preserve">-14.3</w:t>
      </w:r>
      <w:r>
        <w:t xml:space="preserve"> </w:t>
      </w:r>
      <w:r>
        <w:t xml:space="preserve">-5.6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Table 72: Cumulative impact on CO2 emissions for 2025-2050 relative to the baseline (kt of CO2)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CO2 emissions (kt)</w:t>
      </w:r>
      <w:r>
        <w:t xml:space="preserve"> </w:t>
      </w:r>
      <w:r>
        <w:t xml:space="preserve">0.0</w:t>
      </w:r>
      <w:r>
        <w:t xml:space="preserve"> </w:t>
      </w:r>
      <w:r>
        <w:t xml:space="preserve">-389.1</w:t>
      </w:r>
      <w:r>
        <w:t xml:space="preserve"> </w:t>
      </w:r>
      <w:r>
        <w:t xml:space="preserve">-832.1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-443.0</w:t>
      </w:r>
      <w:r>
        <w:t xml:space="preserve"> </w:t>
      </w:r>
      <w:r>
        <w:t xml:space="preserve">PM4&amp;PM14</w:t>
      </w:r>
    </w:p>
    <w:p>
      <w:pPr>
        <w:pStyle w:val="BodyText"/>
      </w:pPr>
      <w:r>
        <w:t xml:space="preserve">-389.1</w:t>
      </w:r>
      <w:r>
        <w:t xml:space="preserve"> </w:t>
      </w:r>
      <w:r>
        <w:t xml:space="preserve">-389.1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Table 73: Impact on air pollutant emissions relative to the baseline in 2030, 2040 and 2050 (tonnes)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PM emissions (in tonnes)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3.2</w:t>
      </w:r>
      <w:r>
        <w:t xml:space="preserve"> </w:t>
      </w:r>
      <w:r>
        <w:t xml:space="preserve">2.5</w:t>
      </w:r>
      <w:r>
        <w:t xml:space="preserve"> </w:t>
      </w:r>
      <w:r>
        <w:t xml:space="preserve">1.6</w:t>
      </w:r>
      <w:r>
        <w:t xml:space="preserve"> </w:t>
      </w:r>
      <w:r>
        <w:t xml:space="preserve">-17.0</w:t>
      </w:r>
      <w:r>
        <w:t xml:space="preserve"> </w:t>
      </w:r>
      <w:r>
        <w:t xml:space="preserve">-11.1</w:t>
      </w:r>
      <w:r>
        <w:t xml:space="preserve"> </w:t>
      </w:r>
      <w:r>
        <w:t xml:space="preserve">-6.3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-20.3</w:t>
      </w:r>
      <w:r>
        <w:t xml:space="preserve"> </w:t>
      </w:r>
      <w:r>
        <w:t xml:space="preserve">-13.6</w:t>
      </w:r>
      <w:r>
        <w:t xml:space="preserve"> </w:t>
      </w:r>
      <w:r>
        <w:t xml:space="preserve">-7.9</w:t>
      </w:r>
      <w:r>
        <w:t xml:space="preserve"> </w:t>
      </w:r>
      <w:r>
        <w:t xml:space="preserve">PM4&amp;PM14</w:t>
      </w:r>
    </w:p>
    <w:p>
      <w:pPr>
        <w:pStyle w:val="BodyText"/>
      </w:pPr>
      <w:r>
        <w:t xml:space="preserve">3.2</w:t>
      </w:r>
      <w:r>
        <w:t xml:space="preserve"> </w:t>
      </w:r>
      <w:r>
        <w:t xml:space="preserve">2.5</w:t>
      </w:r>
      <w:r>
        <w:t xml:space="preserve"> </w:t>
      </w:r>
      <w:r>
        <w:t xml:space="preserve">1.6</w:t>
      </w:r>
      <w:r>
        <w:t xml:space="preserve"> </w:t>
      </w:r>
      <w:r>
        <w:t xml:space="preserve">3.2</w:t>
      </w:r>
      <w:r>
        <w:t xml:space="preserve"> </w:t>
      </w:r>
      <w:r>
        <w:t xml:space="preserve">2.5</w:t>
      </w:r>
      <w:r>
        <w:t xml:space="preserve"> </w:t>
      </w:r>
      <w:r>
        <w:t xml:space="preserve">1.6</w:t>
      </w:r>
      <w:r>
        <w:t xml:space="preserve"> </w:t>
      </w:r>
      <w:r>
        <w:t xml:space="preserve">NOx emissions (in tonnes)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19.7</w:t>
      </w:r>
      <w:r>
        <w:t xml:space="preserve"> </w:t>
      </w:r>
      <w:r>
        <w:t xml:space="preserve">29.2</w:t>
      </w:r>
      <w:r>
        <w:t xml:space="preserve"> </w:t>
      </w:r>
      <w:r>
        <w:t xml:space="preserve">21.3</w:t>
      </w:r>
      <w:r>
        <w:t xml:space="preserve"> </w:t>
      </w:r>
      <w:r>
        <w:t xml:space="preserve">-367.6</w:t>
      </w:r>
      <w:r>
        <w:t xml:space="preserve"> </w:t>
      </w:r>
      <w:r>
        <w:t xml:space="preserve">-231.5</w:t>
      </w:r>
      <w:r>
        <w:t xml:space="preserve"> </w:t>
      </w:r>
      <w:r>
        <w:t xml:space="preserve">-129.5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-387.3</w:t>
      </w:r>
      <w:r>
        <w:t xml:space="preserve"> </w:t>
      </w:r>
      <w:r>
        <w:t xml:space="preserve">-260.7</w:t>
      </w:r>
      <w:r>
        <w:t xml:space="preserve"> </w:t>
      </w:r>
      <w:r>
        <w:t xml:space="preserve">-150.8</w:t>
      </w:r>
      <w:r>
        <w:t xml:space="preserve"> </w:t>
      </w:r>
      <w:r>
        <w:t xml:space="preserve">PM4&amp;PM14</w:t>
      </w:r>
    </w:p>
    <w:p>
      <w:pPr>
        <w:pStyle w:val="BodyText"/>
      </w:pPr>
      <w:r>
        <w:t xml:space="preserve">19.7</w:t>
      </w:r>
      <w:r>
        <w:t xml:space="preserve"> </w:t>
      </w:r>
      <w:r>
        <w:t xml:space="preserve">29.2</w:t>
      </w:r>
      <w:r>
        <w:t xml:space="preserve"> </w:t>
      </w:r>
      <w:r>
        <w:t xml:space="preserve">21.3</w:t>
      </w:r>
      <w:r>
        <w:t xml:space="preserve"> </w:t>
      </w:r>
      <w:r>
        <w:t xml:space="preserve">19.7</w:t>
      </w:r>
      <w:r>
        <w:t xml:space="preserve"> </w:t>
      </w:r>
      <w:r>
        <w:t xml:space="preserve">29.2</w:t>
      </w:r>
      <w:r>
        <w:t xml:space="preserve"> </w:t>
      </w:r>
      <w:r>
        <w:t xml:space="preserve">21.3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Table 74: Cumulative impact on air pollutant emissions for 2025-2050 relative to the baseline (tonnes)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PM emissions (in tonnes)</w:t>
      </w:r>
      <w:r>
        <w:t xml:space="preserve"> </w:t>
      </w:r>
      <w:r>
        <w:t xml:space="preserve">0.0</w:t>
      </w:r>
      <w:r>
        <w:t xml:space="preserve"> </w:t>
      </w:r>
      <w:r>
        <w:t xml:space="preserve">60.8</w:t>
      </w:r>
      <w:r>
        <w:t xml:space="preserve"> </w:t>
      </w:r>
      <w:r>
        <w:t xml:space="preserve">-338.8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-399.6</w:t>
      </w:r>
      <w:r>
        <w:t xml:space="preserve"> </w:t>
      </w:r>
      <w:r>
        <w:t xml:space="preserve">PM4&amp;PM14</w:t>
      </w:r>
    </w:p>
    <w:p>
      <w:pPr>
        <w:pStyle w:val="BodyText"/>
      </w:pPr>
      <w:r>
        <w:t xml:space="preserve">60.8</w:t>
      </w:r>
      <w:r>
        <w:t xml:space="preserve"> </w:t>
      </w:r>
      <w:r>
        <w:t xml:space="preserve">60.8</w:t>
      </w:r>
      <w:r>
        <w:t xml:space="preserve"> </w:t>
      </w:r>
      <w:r>
        <w:t xml:space="preserve">NOx emissions (in tonnes)</w:t>
      </w:r>
      <w:r>
        <w:t xml:space="preserve"> </w:t>
      </w:r>
      <w:r>
        <w:t xml:space="preserve">0.0</w:t>
      </w:r>
      <w:r>
        <w:t xml:space="preserve"> </w:t>
      </w:r>
      <w:r>
        <w:t xml:space="preserve">603.2</w:t>
      </w:r>
      <w:r>
        <w:t xml:space="preserve"> </w:t>
      </w:r>
      <w:r>
        <w:t xml:space="preserve">-6552.3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-7,155.5</w:t>
      </w:r>
      <w:r>
        <w:t xml:space="preserve"> </w:t>
      </w:r>
      <w:r>
        <w:t xml:space="preserve">PM4&amp;PM14</w:t>
      </w:r>
    </w:p>
    <w:p>
      <w:pPr>
        <w:pStyle w:val="BodyText"/>
      </w:pPr>
      <w:r>
        <w:t xml:space="preserve">603.2</w:t>
      </w:r>
      <w:r>
        <w:t xml:space="preserve"> </w:t>
      </w:r>
      <w:r>
        <w:t xml:space="preserve">603.2</w:t>
      </w:r>
      <w:r>
        <w:t xml:space="preserve"> </w:t>
      </w:r>
      <w:r>
        <w:t xml:space="preserve">Source: Ramboll et al. (2024), impact assessment support study</w:t>
      </w:r>
    </w:p>
    <w:p>
      <w:pPr>
        <w:pStyle w:val="BodyText"/>
      </w:pPr>
      <w:r>
        <w:t xml:space="preserve">146</w:t>
      </w:r>
      <w:r>
        <w:t xml:space="preserve"> </w:t>
      </w:r>
      <w:r>
        <w:t xml:space="preserve">Table 75: Impact on external costs of CO2 emissions, air pollution emissions, noise and habitats relative to</w:t>
      </w:r>
      <w:r>
        <w:t xml:space="preserve"> </w:t>
      </w:r>
      <w:r>
        <w:t xml:space="preserve">the baseline in 2030, 2040 and 2050 (in million EUR, 2022 prices)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CO2 emissions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-2.7</w:t>
      </w:r>
      <w:r>
        <w:t xml:space="preserve"> </w:t>
      </w:r>
      <w:r>
        <w:t xml:space="preserve">-3.1</w:t>
      </w:r>
      <w:r>
        <w:t xml:space="preserve"> </w:t>
      </w:r>
      <w:r>
        <w:t xml:space="preserve">-1.8</w:t>
      </w:r>
      <w:r>
        <w:t xml:space="preserve"> </w:t>
      </w:r>
      <w:r>
        <w:t xml:space="preserve">-5.4</w:t>
      </w:r>
      <w:r>
        <w:t xml:space="preserve"> </w:t>
      </w:r>
      <w:r>
        <w:t xml:space="preserve">-7.1</w:t>
      </w:r>
      <w:r>
        <w:t xml:space="preserve"> </w:t>
      </w:r>
      <w:r>
        <w:t xml:space="preserve">-4.6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-2.7</w:t>
      </w:r>
      <w:r>
        <w:t xml:space="preserve"> </w:t>
      </w:r>
      <w:r>
        <w:t xml:space="preserve">-3.9</w:t>
      </w:r>
      <w:r>
        <w:t xml:space="preserve"> </w:t>
      </w:r>
      <w:r>
        <w:t xml:space="preserve">-2.9</w:t>
      </w:r>
      <w:r>
        <w:t xml:space="preserve"> </w:t>
      </w:r>
      <w:r>
        <w:t xml:space="preserve">PM4&amp;PM14</w:t>
      </w:r>
    </w:p>
    <w:p>
      <w:pPr>
        <w:pStyle w:val="BodyText"/>
      </w:pPr>
      <w:r>
        <w:t xml:space="preserve">-2.7</w:t>
      </w:r>
      <w:r>
        <w:t xml:space="preserve"> </w:t>
      </w:r>
      <w:r>
        <w:t xml:space="preserve">-3.1</w:t>
      </w:r>
      <w:r>
        <w:t xml:space="preserve"> </w:t>
      </w:r>
      <w:r>
        <w:t xml:space="preserve">-1.8</w:t>
      </w:r>
      <w:r>
        <w:t xml:space="preserve"> </w:t>
      </w:r>
      <w:r>
        <w:t xml:space="preserve">-2.7</w:t>
      </w:r>
      <w:r>
        <w:t xml:space="preserve"> </w:t>
      </w:r>
      <w:r>
        <w:t xml:space="preserve">-3.1</w:t>
      </w:r>
      <w:r>
        <w:t xml:space="preserve"> </w:t>
      </w:r>
      <w:r>
        <w:t xml:space="preserve">-1.8</w:t>
      </w:r>
      <w:r>
        <w:t xml:space="preserve"> </w:t>
      </w:r>
      <w:r>
        <w:t xml:space="preserve">Air pollution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0.7</w:t>
      </w:r>
      <w:r>
        <w:t xml:space="preserve"> </w:t>
      </w:r>
      <w:r>
        <w:t xml:space="preserve">0.9</w:t>
      </w:r>
      <w:r>
        <w:t xml:space="preserve"> </w:t>
      </w:r>
      <w:r>
        <w:t xml:space="preserve">0.6</w:t>
      </w:r>
      <w:r>
        <w:t xml:space="preserve"> </w:t>
      </w:r>
      <w:r>
        <w:t xml:space="preserve">-9.4</w:t>
      </w:r>
      <w:r>
        <w:t xml:space="preserve"> </w:t>
      </w:r>
      <w:r>
        <w:t xml:space="preserve">-6.0</w:t>
      </w:r>
      <w:r>
        <w:t xml:space="preserve"> </w:t>
      </w:r>
      <w:r>
        <w:t xml:space="preserve">-3.3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-10.2</w:t>
      </w:r>
      <w:r>
        <w:t xml:space="preserve"> </w:t>
      </w:r>
      <w:r>
        <w:t xml:space="preserve">-6.8</w:t>
      </w:r>
      <w:r>
        <w:t xml:space="preserve"> </w:t>
      </w:r>
      <w:r>
        <w:t xml:space="preserve">-4.0</w:t>
      </w:r>
      <w:r>
        <w:t xml:space="preserve"> </w:t>
      </w:r>
      <w:r>
        <w:t xml:space="preserve">PM4&amp;PM14</w:t>
      </w:r>
    </w:p>
    <w:p>
      <w:pPr>
        <w:pStyle w:val="BodyText"/>
      </w:pPr>
      <w:r>
        <w:t xml:space="preserve">0.7</w:t>
      </w:r>
      <w:r>
        <w:t xml:space="preserve"> </w:t>
      </w:r>
      <w:r>
        <w:t xml:space="preserve">0.9</w:t>
      </w:r>
      <w:r>
        <w:t xml:space="preserve"> </w:t>
      </w:r>
      <w:r>
        <w:t xml:space="preserve">0.6</w:t>
      </w:r>
      <w:r>
        <w:t xml:space="preserve"> </w:t>
      </w:r>
      <w:r>
        <w:t xml:space="preserve">0.7</w:t>
      </w:r>
      <w:r>
        <w:t xml:space="preserve"> </w:t>
      </w:r>
      <w:r>
        <w:t xml:space="preserve">0.9</w:t>
      </w:r>
      <w:r>
        <w:t xml:space="preserve"> </w:t>
      </w:r>
      <w:r>
        <w:t xml:space="preserve">0.6</w:t>
      </w:r>
      <w:r>
        <w:t xml:space="preserve"> </w:t>
      </w:r>
      <w:r>
        <w:t xml:space="preserve">Noise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-2.0</w:t>
      </w:r>
      <w:r>
        <w:t xml:space="preserve"> </w:t>
      </w:r>
      <w:r>
        <w:t xml:space="preserve">-2.2</w:t>
      </w:r>
      <w:r>
        <w:t xml:space="preserve"> </w:t>
      </w:r>
      <w:r>
        <w:t xml:space="preserve">-2.4</w:t>
      </w:r>
      <w:r>
        <w:t xml:space="preserve"> </w:t>
      </w:r>
      <w:r>
        <w:t xml:space="preserve">-2.0</w:t>
      </w:r>
      <w:r>
        <w:t xml:space="preserve"> </w:t>
      </w:r>
      <w:r>
        <w:t xml:space="preserve">-2.2</w:t>
      </w:r>
      <w:r>
        <w:t xml:space="preserve"> </w:t>
      </w:r>
      <w:r>
        <w:t xml:space="preserve">-2.4</w:t>
      </w:r>
      <w:r>
        <w:t xml:space="preserve"> </w:t>
      </w:r>
      <w:r>
        <w:t xml:space="preserve">PM4&amp;PM14</w:t>
      </w:r>
    </w:p>
    <w:p>
      <w:pPr>
        <w:pStyle w:val="BodyText"/>
      </w:pPr>
      <w:r>
        <w:t xml:space="preserve">-2.0</w:t>
      </w:r>
      <w:r>
        <w:t xml:space="preserve"> </w:t>
      </w:r>
      <w:r>
        <w:t xml:space="preserve">-2.2</w:t>
      </w:r>
      <w:r>
        <w:t xml:space="preserve"> </w:t>
      </w:r>
      <w:r>
        <w:t xml:space="preserve">-2.4</w:t>
      </w:r>
      <w:r>
        <w:t xml:space="preserve"> </w:t>
      </w:r>
      <w:r>
        <w:t xml:space="preserve">-2.0</w:t>
      </w:r>
      <w:r>
        <w:t xml:space="preserve"> </w:t>
      </w:r>
      <w:r>
        <w:t xml:space="preserve">-2.2</w:t>
      </w:r>
      <w:r>
        <w:t xml:space="preserve"> </w:t>
      </w:r>
      <w:r>
        <w:t xml:space="preserve">-2.4</w:t>
      </w:r>
      <w:r>
        <w:t xml:space="preserve"> </w:t>
      </w:r>
      <w:r>
        <w:t xml:space="preserve">Habitats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-2.0</w:t>
      </w:r>
      <w:r>
        <w:t xml:space="preserve"> </w:t>
      </w:r>
      <w:r>
        <w:t xml:space="preserve">-2.1</w:t>
      </w:r>
      <w:r>
        <w:t xml:space="preserve"> </w:t>
      </w:r>
      <w:r>
        <w:t xml:space="preserve">-2.3</w:t>
      </w:r>
      <w:r>
        <w:t xml:space="preserve"> </w:t>
      </w:r>
      <w:r>
        <w:t xml:space="preserve">-2.0</w:t>
      </w:r>
      <w:r>
        <w:t xml:space="preserve"> </w:t>
      </w:r>
      <w:r>
        <w:t xml:space="preserve">-2.1</w:t>
      </w:r>
      <w:r>
        <w:t xml:space="preserve"> </w:t>
      </w:r>
      <w:r>
        <w:t xml:space="preserve">-2.3</w:t>
      </w:r>
      <w:r>
        <w:t xml:space="preserve"> </w:t>
      </w:r>
      <w:r>
        <w:t xml:space="preserve">PM4&amp;PM14</w:t>
      </w:r>
    </w:p>
    <w:p>
      <w:pPr>
        <w:pStyle w:val="BodyText"/>
      </w:pPr>
      <w:r>
        <w:t xml:space="preserve">-2.0</w:t>
      </w:r>
      <w:r>
        <w:t xml:space="preserve"> </w:t>
      </w:r>
      <w:r>
        <w:t xml:space="preserve">-2.1</w:t>
      </w:r>
      <w:r>
        <w:t xml:space="preserve"> </w:t>
      </w:r>
      <w:r>
        <w:t xml:space="preserve">-2.3</w:t>
      </w:r>
      <w:r>
        <w:t xml:space="preserve"> </w:t>
      </w:r>
      <w:r>
        <w:t xml:space="preserve">-2.0</w:t>
      </w:r>
      <w:r>
        <w:t xml:space="preserve"> </w:t>
      </w:r>
      <w:r>
        <w:t xml:space="preserve">-2.1</w:t>
      </w:r>
      <w:r>
        <w:t xml:space="preserve"> </w:t>
      </w:r>
      <w:r>
        <w:t xml:space="preserve">-2.3</w:t>
      </w:r>
      <w:r>
        <w:t xml:space="preserve"> </w:t>
      </w:r>
      <w:r>
        <w:t xml:space="preserve">Total reduction in</w:t>
      </w:r>
      <w:r>
        <w:t xml:space="preserve"> </w:t>
      </w:r>
      <w:r>
        <w:t xml:space="preserve">external 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-5.9</w:t>
      </w:r>
      <w:r>
        <w:t xml:space="preserve"> </w:t>
      </w:r>
      <w:r>
        <w:t xml:space="preserve">-6.6</w:t>
      </w:r>
      <w:r>
        <w:t xml:space="preserve"> </w:t>
      </w:r>
      <w:r>
        <w:t xml:space="preserve">-5.9</w:t>
      </w:r>
      <w:r>
        <w:t xml:space="preserve"> </w:t>
      </w:r>
      <w:r>
        <w:t xml:space="preserve">-18.7</w:t>
      </w:r>
      <w:r>
        <w:t xml:space="preserve"> </w:t>
      </w:r>
      <w:r>
        <w:t xml:space="preserve">-17.4</w:t>
      </w:r>
      <w:r>
        <w:t xml:space="preserve"> </w:t>
      </w:r>
      <w:r>
        <w:t xml:space="preserve">-12.7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Table 76: Impact on external costs of CO2 emissions, air pollution emissions, noise and habitats relative to</w:t>
      </w:r>
      <w:r>
        <w:t xml:space="preserve"> </w:t>
      </w:r>
      <w:r>
        <w:t xml:space="preserve">the baseline – expressed as present value over 2025-2050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CO2 emissions</w:t>
      </w:r>
      <w:r>
        <w:t xml:space="preserve"> </w:t>
      </w:r>
      <w:r>
        <w:t xml:space="preserve">0.0</w:t>
      </w:r>
      <w:r>
        <w:t xml:space="preserve"> </w:t>
      </w:r>
      <w:r>
        <w:t xml:space="preserve">-48.6</w:t>
      </w:r>
      <w:r>
        <w:t xml:space="preserve"> </w:t>
      </w:r>
      <w:r>
        <w:t xml:space="preserve">-105.2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-56.6</w:t>
      </w:r>
      <w:r>
        <w:t xml:space="preserve"> </w:t>
      </w:r>
      <w:r>
        <w:t xml:space="preserve">PM4&amp;PM14</w:t>
      </w:r>
    </w:p>
    <w:p>
      <w:pPr>
        <w:pStyle w:val="BodyText"/>
      </w:pPr>
      <w:r>
        <w:t xml:space="preserve">-48.6</w:t>
      </w:r>
      <w:r>
        <w:t xml:space="preserve"> </w:t>
      </w:r>
      <w:r>
        <w:t xml:space="preserve">-48.6</w:t>
      </w:r>
      <w:r>
        <w:t xml:space="preserve"> </w:t>
      </w:r>
      <w:r>
        <w:t xml:space="preserve">Air pollution</w:t>
      </w:r>
      <w:r>
        <w:t xml:space="preserve"> </w:t>
      </w:r>
      <w:r>
        <w:t xml:space="preserve">0.0</w:t>
      </w:r>
      <w:r>
        <w:t xml:space="preserve"> </w:t>
      </w:r>
      <w:r>
        <w:t xml:space="preserve">13.1</w:t>
      </w:r>
      <w:r>
        <w:t xml:space="preserve"> </w:t>
      </w:r>
      <w:r>
        <w:t xml:space="preserve">-127.6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-140.7</w:t>
      </w:r>
      <w:r>
        <w:t xml:space="preserve"> </w:t>
      </w:r>
      <w:r>
        <w:t xml:space="preserve">PM4&amp;PM14</w:t>
      </w:r>
    </w:p>
    <w:p>
      <w:pPr>
        <w:pStyle w:val="BodyText"/>
      </w:pPr>
      <w:r>
        <w:t xml:space="preserve">13.1</w:t>
      </w:r>
      <w:r>
        <w:t xml:space="preserve"> </w:t>
      </w:r>
      <w:r>
        <w:t xml:space="preserve">13.1</w:t>
      </w:r>
      <w:r>
        <w:t xml:space="preserve"> </w:t>
      </w:r>
      <w:r>
        <w:t xml:space="preserve">Noise</w:t>
      </w:r>
      <w:r>
        <w:t xml:space="preserve"> </w:t>
      </w:r>
      <w:r>
        <w:t xml:space="preserve">0.0</w:t>
      </w:r>
      <w:r>
        <w:t xml:space="preserve"> </w:t>
      </w:r>
      <w:r>
        <w:t xml:space="preserve">-36.6</w:t>
      </w:r>
      <w:r>
        <w:t xml:space="preserve"> </w:t>
      </w:r>
      <w:r>
        <w:t xml:space="preserve">-36.6</w:t>
      </w:r>
      <w:r>
        <w:t xml:space="preserve"> </w:t>
      </w:r>
      <w:r>
        <w:t xml:space="preserve">PM4&amp;PM14</w:t>
      </w:r>
    </w:p>
    <w:p>
      <w:pPr>
        <w:pStyle w:val="BodyText"/>
      </w:pPr>
      <w:r>
        <w:t xml:space="preserve">-36.6</w:t>
      </w:r>
      <w:r>
        <w:t xml:space="preserve"> </w:t>
      </w:r>
      <w:r>
        <w:t xml:space="preserve">-36.6</w:t>
      </w:r>
      <w:r>
        <w:t xml:space="preserve"> </w:t>
      </w:r>
      <w:r>
        <w:t xml:space="preserve">Habitats</w:t>
      </w:r>
      <w:r>
        <w:t xml:space="preserve"> </w:t>
      </w:r>
      <w:r>
        <w:t xml:space="preserve">0.0</w:t>
      </w:r>
      <w:r>
        <w:t xml:space="preserve"> </w:t>
      </w:r>
      <w:r>
        <w:t xml:space="preserve">-36.2</w:t>
      </w:r>
      <w:r>
        <w:t xml:space="preserve"> </w:t>
      </w:r>
      <w:r>
        <w:t xml:space="preserve">-36.2</w:t>
      </w:r>
      <w:r>
        <w:t xml:space="preserve"> </w:t>
      </w:r>
      <w:r>
        <w:t xml:space="preserve">PM4&amp;PM14</w:t>
      </w:r>
    </w:p>
    <w:p>
      <w:pPr>
        <w:pStyle w:val="BodyText"/>
      </w:pPr>
      <w:r>
        <w:t xml:space="preserve">-36.2</w:t>
      </w:r>
      <w:r>
        <w:t xml:space="preserve"> </w:t>
      </w:r>
      <w:r>
        <w:t xml:space="preserve">-36.2</w:t>
      </w:r>
      <w:r>
        <w:t xml:space="preserve"> </w:t>
      </w:r>
      <w:r>
        <w:t xml:space="preserve">Total reduction in external costs</w:t>
      </w:r>
      <w:r>
        <w:t xml:space="preserve"> </w:t>
      </w:r>
      <w:r>
        <w:t xml:space="preserve">0.0</w:t>
      </w:r>
      <w:r>
        <w:t xml:space="preserve"> </w:t>
      </w:r>
      <w:r>
        <w:t xml:space="preserve">-108.4</w:t>
      </w:r>
      <w:r>
        <w:t xml:space="preserve"> </w:t>
      </w:r>
      <w:r>
        <w:t xml:space="preserve">-305.7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External costs of congestion</w:t>
      </w:r>
      <w:r>
        <w:br/>
      </w:r>
      <w:r>
        <w:t xml:space="preserve">The reduction in the external costs of road congestion has been calculated based on the</w:t>
      </w:r>
      <w:r>
        <w:t xml:space="preserve"> </w:t>
      </w:r>
      <w:r>
        <w:t xml:space="preserve">reduction in the road transport activity and the unit costs of congestion from the 2019</w:t>
      </w:r>
      <w:r>
        <w:t xml:space="preserve"> </w:t>
      </w:r>
      <w:r>
        <w:t xml:space="preserve">Handbook on external costs of transport253.</w:t>
      </w:r>
      <w:r>
        <w:br/>
      </w:r>
      <w:r>
        <w:t xml:space="preserve">Table 77: Impact on external costs of congestion relative to the baseline in 2030, 2040 and 2050 (in million</w:t>
      </w:r>
      <w:r>
        <w:t xml:space="preserve"> </w:t>
      </w:r>
      <w:r>
        <w:t xml:space="preserve">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Congestion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-4.7</w:t>
      </w:r>
      <w:r>
        <w:t xml:space="preserve"> </w:t>
      </w:r>
      <w:r>
        <w:t xml:space="preserve">-5.1</w:t>
      </w:r>
      <w:r>
        <w:t xml:space="preserve"> </w:t>
      </w:r>
      <w:r>
        <w:t xml:space="preserve">-5.6</w:t>
      </w:r>
      <w:r>
        <w:t xml:space="preserve"> </w:t>
      </w:r>
      <w:r>
        <w:t xml:space="preserve">-4.7</w:t>
      </w:r>
      <w:r>
        <w:t xml:space="preserve"> </w:t>
      </w:r>
      <w:r>
        <w:t xml:space="preserve">-5.1</w:t>
      </w:r>
      <w:r>
        <w:t xml:space="preserve"> </w:t>
      </w:r>
      <w:r>
        <w:t xml:space="preserve">-5.6</w:t>
      </w:r>
      <w:r>
        <w:t xml:space="preserve"> </w:t>
      </w:r>
      <w:r>
        <w:t xml:space="preserve">PM4&amp;PM14</w:t>
      </w:r>
    </w:p>
    <w:p>
      <w:pPr>
        <w:pStyle w:val="BodyText"/>
      </w:pPr>
      <w:r>
        <w:t xml:space="preserve">-4.7</w:t>
      </w:r>
      <w:r>
        <w:t xml:space="preserve"> </w:t>
      </w:r>
      <w:r>
        <w:t xml:space="preserve">-5.1</w:t>
      </w:r>
      <w:r>
        <w:t xml:space="preserve"> </w:t>
      </w:r>
      <w:r>
        <w:t xml:space="preserve">-5.6</w:t>
      </w:r>
      <w:r>
        <w:t xml:space="preserve"> </w:t>
      </w:r>
      <w:r>
        <w:t xml:space="preserve">-4.7</w:t>
      </w:r>
      <w:r>
        <w:t xml:space="preserve"> </w:t>
      </w:r>
      <w:r>
        <w:t xml:space="preserve">-5.1</w:t>
      </w:r>
      <w:r>
        <w:t xml:space="preserve"> </w:t>
      </w:r>
      <w:r>
        <w:t xml:space="preserve">-5.6</w:t>
      </w:r>
      <w:r>
        <w:t xml:space="preserve"> </w:t>
      </w:r>
      <w:r>
        <w:t xml:space="preserve">Source: Ramboll et al. (2024), impact assessment support study</w:t>
      </w:r>
    </w:p>
    <w:p>
      <w:pPr>
        <w:pStyle w:val="BodyText"/>
      </w:pPr>
      <w:r>
        <w:t xml:space="preserve">253 Internalisation of transport external costs (europa.eu)</w:t>
      </w:r>
    </w:p>
    <w:p>
      <w:pPr>
        <w:pStyle w:val="BodyText"/>
      </w:pPr>
      <w:r>
        <w:t xml:space="preserve">147</w:t>
      </w:r>
      <w:r>
        <w:t xml:space="preserve"> </w:t>
      </w:r>
      <w:r>
        <w:t xml:space="preserve">Table 78: Impact on external costs of congestion relative to the baseline – expressed as present value over</w:t>
      </w:r>
      <w:r>
        <w:t xml:space="preserve"> </w:t>
      </w:r>
      <w:r>
        <w:t xml:space="preserve">2025-2050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Congestion</w:t>
      </w:r>
      <w:r>
        <w:t xml:space="preserve"> </w:t>
      </w:r>
      <w:r>
        <w:t xml:space="preserve">0.0</w:t>
      </w:r>
      <w:r>
        <w:t xml:space="preserve"> </w:t>
      </w:r>
      <w:r>
        <w:t xml:space="preserve">-86.8</w:t>
      </w:r>
      <w:r>
        <w:t xml:space="preserve"> </w:t>
      </w:r>
      <w:r>
        <w:t xml:space="preserve">-86.8</w:t>
      </w:r>
      <w:r>
        <w:t xml:space="preserve"> </w:t>
      </w:r>
      <w:r>
        <w:t xml:space="preserve">PM4&amp;PM14</w:t>
      </w:r>
    </w:p>
    <w:p>
      <w:pPr>
        <w:pStyle w:val="BodyText"/>
      </w:pPr>
      <w:r>
        <w:t xml:space="preserve">-86.8</w:t>
      </w:r>
      <w:r>
        <w:t xml:space="preserve"> </w:t>
      </w:r>
      <w:r>
        <w:t xml:space="preserve">-86.8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External costs of accidents</w:t>
      </w:r>
      <w:r>
        <w:t xml:space="preserve"> </w:t>
      </w:r>
      <w:r>
        <w:t xml:space="preserve">The reduction in the external costs of accidents has been calculated based on the reduction in</w:t>
      </w:r>
      <w:r>
        <w:t xml:space="preserve"> </w:t>
      </w:r>
      <w:r>
        <w:t xml:space="preserve">the road transport activity and the unit costs per fatality and serious injury from the 2019</w:t>
      </w:r>
      <w:r>
        <w:t xml:space="preserve"> </w:t>
      </w:r>
      <w:r>
        <w:t xml:space="preserve">Handbook on external costs of transport. According to the Handbook, the external cost of a</w:t>
      </w:r>
      <w:r>
        <w:t xml:space="preserve"> </w:t>
      </w:r>
      <w:r>
        <w:t xml:space="preserve">fatality in 2022 prices is estimated at EUR 3.9 million and that of a serious injury at EUR 0.6</w:t>
      </w:r>
      <w:r>
        <w:t xml:space="preserve"> </w:t>
      </w:r>
      <w:r>
        <w:t xml:space="preserve">million.</w:t>
      </w:r>
      <w:r>
        <w:t xml:space="preserve"> </w:t>
      </w:r>
      <w:r>
        <w:t xml:space="preserve">Table 79: Impact on external costs of accidents relative to the baseline in 2030, 2040 and 2050 (in million</w:t>
      </w:r>
      <w:r>
        <w:t xml:space="preserve"> </w:t>
      </w:r>
      <w:r>
        <w:t xml:space="preserve">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Accidents (Road)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-6.3</w:t>
      </w:r>
      <w:r>
        <w:t xml:space="preserve"> </w:t>
      </w:r>
      <w:r>
        <w:t xml:space="preserve">-6.9</w:t>
      </w:r>
      <w:r>
        <w:t xml:space="preserve"> </w:t>
      </w:r>
      <w:r>
        <w:t xml:space="preserve">-7.5</w:t>
      </w:r>
      <w:r>
        <w:t xml:space="preserve"> </w:t>
      </w:r>
      <w:r>
        <w:t xml:space="preserve">-6.3</w:t>
      </w:r>
      <w:r>
        <w:t xml:space="preserve"> </w:t>
      </w:r>
      <w:r>
        <w:t xml:space="preserve">-6.9</w:t>
      </w:r>
      <w:r>
        <w:t xml:space="preserve"> </w:t>
      </w:r>
      <w:r>
        <w:t xml:space="preserve">-7.5</w:t>
      </w:r>
      <w:r>
        <w:t xml:space="preserve"> </w:t>
      </w:r>
      <w:r>
        <w:t xml:space="preserve">PM4&amp;PM14</w:t>
      </w:r>
    </w:p>
    <w:p>
      <w:pPr>
        <w:pStyle w:val="BodyText"/>
      </w:pPr>
      <w:r>
        <w:t xml:space="preserve">-6.3</w:t>
      </w:r>
      <w:r>
        <w:t xml:space="preserve"> </w:t>
      </w:r>
      <w:r>
        <w:t xml:space="preserve">-6.9</w:t>
      </w:r>
      <w:r>
        <w:t xml:space="preserve"> </w:t>
      </w:r>
      <w:r>
        <w:t xml:space="preserve">-7.5</w:t>
      </w:r>
      <w:r>
        <w:t xml:space="preserve"> </w:t>
      </w:r>
      <w:r>
        <w:t xml:space="preserve">-6.3</w:t>
      </w:r>
      <w:r>
        <w:t xml:space="preserve"> </w:t>
      </w:r>
      <w:r>
        <w:t xml:space="preserve">-6.9</w:t>
      </w:r>
      <w:r>
        <w:t xml:space="preserve"> </w:t>
      </w:r>
      <w:r>
        <w:t xml:space="preserve">-7.5</w:t>
      </w:r>
      <w:r>
        <w:t xml:space="preserve"> </w:t>
      </w:r>
      <w:r>
        <w:t xml:space="preserve">Source: Ramboll et al. (2024), impact assessment support study</w:t>
      </w:r>
      <w:r>
        <w:br/>
      </w:r>
      <w:r>
        <w:t xml:space="preserve">Table 80: Impact on external costs of accidents relative to the baseline – expressed as present value over</w:t>
      </w:r>
      <w:r>
        <w:t xml:space="preserve"> </w:t>
      </w:r>
      <w:r>
        <w:t xml:space="preserve">2025-2050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Accidents (Road)</w:t>
      </w:r>
      <w:r>
        <w:t xml:space="preserve"> </w:t>
      </w:r>
      <w:r>
        <w:t xml:space="preserve">0.0</w:t>
      </w:r>
      <w:r>
        <w:t xml:space="preserve"> </w:t>
      </w:r>
      <w:r>
        <w:t xml:space="preserve">-115.8</w:t>
      </w:r>
      <w:r>
        <w:t xml:space="preserve"> </w:t>
      </w:r>
      <w:r>
        <w:t xml:space="preserve">-115.8</w:t>
      </w:r>
      <w:r>
        <w:t xml:space="preserve"> </w:t>
      </w:r>
      <w:r>
        <w:t xml:space="preserve">PM4&amp;PM14</w:t>
      </w:r>
    </w:p>
    <w:p>
      <w:pPr>
        <w:pStyle w:val="BodyText"/>
      </w:pPr>
      <w:r>
        <w:t xml:space="preserve">-115.8</w:t>
      </w:r>
      <w:r>
        <w:t xml:space="preserve"> </w:t>
      </w:r>
      <w:r>
        <w:t xml:space="preserve">-115.8</w:t>
      </w:r>
      <w:r>
        <w:t xml:space="preserve"> </w:t>
      </w:r>
      <w:r>
        <w:t xml:space="preserve">Source: Ramboll et al. (2024), impact assessment support study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ANNEX 5: COMPETITIVENESS CHECK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IMPACTS ON COMPETITIVENESS</w:t>
      </w:r>
      <w:r>
        <w:br/>
      </w:r>
      <w:r>
        <w:t xml:space="preserve">Dimensions of competitiveness</w:t>
      </w:r>
      <w:r>
        <w:t xml:space="preserve"> </w:t>
      </w:r>
      <w:r>
        <w:t xml:space="preserve">Impact of the initiative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sub-sections of</w:t>
      </w:r>
      <w:r>
        <w:t xml:space="preserve"> </w:t>
      </w:r>
      <w:r>
        <w:t xml:space="preserve">the main report or annexes</w:t>
      </w:r>
      <w:r>
        <w:t xml:space="preserve"> </w:t>
      </w:r>
      <w:r>
        <w:t xml:space="preserve">Cost and price competitiveness</w:t>
      </w:r>
    </w:p>
    <w:p>
      <w:pPr>
        <w:numPr>
          <w:ilvl w:val="0"/>
          <w:numId w:val="1005"/>
        </w:numPr>
      </w:pPr>
      <w:r>
        <w:t xml:space="preserve">Sections 6.1.3 and 6.1.7, and Annex</w:t>
      </w:r>
      <w:r>
        <w:t xml:space="preserve"> </w:t>
      </w:r>
      <w:r>
        <w:t xml:space="preserve">4</w:t>
      </w:r>
      <w:r>
        <w:t xml:space="preserve"> </w:t>
      </w:r>
      <w:r>
        <w:t xml:space="preserve">Capacity to innovate</w:t>
      </w:r>
    </w:p>
    <w:p>
      <w:pPr>
        <w:numPr>
          <w:ilvl w:val="0"/>
          <w:numId w:val="1005"/>
        </w:numPr>
      </w:pPr>
      <w:r>
        <w:t xml:space="preserve">Sections 6.1.8 and 6.1.9</w:t>
      </w:r>
      <w:r>
        <w:br/>
      </w:r>
      <w:r>
        <w:t xml:space="preserve">International competitiveness</w:t>
      </w:r>
    </w:p>
    <w:p>
      <w:pPr>
        <w:pStyle w:val="FirstParagraph"/>
      </w:pPr>
      <w:r>
        <w:t xml:space="preserve">0</w:t>
      </w:r>
      <w:r>
        <w:t xml:space="preserve"> </w:t>
      </w:r>
      <w:r>
        <w:t xml:space="preserve">Section 6.1.7</w:t>
      </w:r>
      <w:r>
        <w:br/>
      </w:r>
      <w:r>
        <w:t xml:space="preserve">SME 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Section 6.1.5 and Annex 6</w:t>
      </w:r>
      <w:r>
        <w:t xml:space="preserve"> </w:t>
      </w:r>
      <w:r>
        <w:t xml:space="preserve">2.</w:t>
      </w:r>
      <w:r>
        <w:t xml:space="preserve"> </w:t>
      </w:r>
      <w:r>
        <w:t xml:space="preserve">SYNTHETIC ASSESSMENT</w:t>
      </w:r>
      <w:r>
        <w:t xml:space="preserve"> </w:t>
      </w:r>
      <w:r>
        <w:t xml:space="preserve">2.1. Cost and price competitiveness</w:t>
      </w:r>
      <w:r>
        <w:t xml:space="preserve"> </w:t>
      </w:r>
      <w:r>
        <w:t xml:space="preserve">The preferred policy option will bring improvements in the operational efficiency of inland</w:t>
      </w:r>
      <w:r>
        <w:t xml:space="preserve"> </w:t>
      </w:r>
      <w:r>
        <w:t xml:space="preserve">waterway operations, including the efficiency of vessel operators. These are mainly a result of</w:t>
      </w:r>
      <w:r>
        <w:t xml:space="preserve"> </w:t>
      </w:r>
      <w:r>
        <w:t xml:space="preserve">measures enabling better planning of operations and a reduction in the resubmissions of</w:t>
      </w:r>
      <w:r>
        <w:t xml:space="preserve"> </w:t>
      </w:r>
      <w:r>
        <w:t xml:space="preserve">reports (PM2, PM4, PM6, PM9, PM16), as well as of measures enabling better exchange of</w:t>
      </w:r>
      <w:r>
        <w:t xml:space="preserve"> </w:t>
      </w:r>
      <w:r>
        <w:t xml:space="preserve">cargo information through eFTI and with inland ports (PM8 and PM12). As indicated in</w:t>
      </w:r>
      <w:r>
        <w:t xml:space="preserve"> </w:t>
      </w:r>
      <w:r>
        <w:t xml:space="preserve">section 6.1.3, administrative costs savings for vessel operators are estimated at EUR 28.5 million in</w:t>
      </w:r>
      <w:r>
        <w:t xml:space="preserve"> </w:t>
      </w:r>
      <w:r>
        <w:t xml:space="preserve">PO-B, expressed as present value over 2025-2050 relative to the baseline, and adjustment cost</w:t>
      </w:r>
      <w:r>
        <w:t xml:space="preserve"> </w:t>
      </w:r>
      <w:r>
        <w:t xml:space="preserve">savings at EUR 72.1 million. Overall, the preferred policy option results in net costs savings for</w:t>
      </w:r>
      <w:r>
        <w:t xml:space="preserve"> </w:t>
      </w:r>
      <w:r>
        <w:t xml:space="preserve">vessel operators estimated at EUR 100.6 million.</w:t>
      </w:r>
      <w:r>
        <w:t xml:space="preserve"> </w:t>
      </w:r>
      <w:r>
        <w:t xml:space="preserve">In addition, providers of RIS software services are expected to benefit of costs savings thanks</w:t>
      </w:r>
      <w:r>
        <w:t xml:space="preserve"> </w:t>
      </w:r>
      <w:r>
        <w:t xml:space="preserve">to access to more and better-quality data. As indicated in section 6.1.3, the adjustment costs</w:t>
      </w:r>
      <w:r>
        <w:t xml:space="preserve"> </w:t>
      </w:r>
      <w:r>
        <w:t xml:space="preserve">savings for RIS software services providers are estimated at EUR 8.1 million in PO-B,</w:t>
      </w:r>
      <w:r>
        <w:t xml:space="preserve"> </w:t>
      </w:r>
      <w:r>
        <w:t xml:space="preserve">expressed as present value over 2025-2050 relative to the baseline.</w:t>
      </w:r>
      <w:r>
        <w:t xml:space="preserve"> </w:t>
      </w:r>
      <w:r>
        <w:t xml:space="preserve">As explained in section 6.1.7, the competitiveness of the IWT is expected to improve relative</w:t>
      </w:r>
      <w:r>
        <w:t xml:space="preserve"> </w:t>
      </w:r>
      <w:r>
        <w:t xml:space="preserve">to the road transport sector in PO-B. The transport activity shifted from road to freight IWT in</w:t>
      </w:r>
      <w:r>
        <w:t xml:space="preserve"> </w:t>
      </w:r>
      <w:r>
        <w:t xml:space="preserve">PO-B and PO-C is estimated at 0.35 billion tonne-kilometres (tkm) in 2026, 0.38 billion tkm</w:t>
      </w:r>
      <w:r>
        <w:t xml:space="preserve"> </w:t>
      </w:r>
      <w:r>
        <w:t xml:space="preserve">in 2030 and 0.45 billion tkm in 2050.</w:t>
      </w:r>
      <w:r>
        <w:t xml:space="preserve"> </w:t>
      </w:r>
      <w:r>
        <w:t xml:space="preserve">2.2. International competitiveness</w:t>
      </w:r>
      <w:r>
        <w:t xml:space="preserve"> </w:t>
      </w:r>
      <w:r>
        <w:t xml:space="preserve">While the revision of the RIS Directive will make the EU inland waterway transport more</w:t>
      </w:r>
      <w:r>
        <w:t xml:space="preserve"> </w:t>
      </w:r>
      <w:r>
        <w:t xml:space="preserve">efficient and reliable, including positive impacts on neighbouring countries such as Serbia and</w:t>
      </w:r>
      <w:r>
        <w:t xml:space="preserve"> </w:t>
      </w:r>
      <w:r>
        <w:t xml:space="preserve">Ukraine which are already voluntarily applying RIS Directive, the initiative has no impact on</w:t>
      </w:r>
      <w:r>
        <w:t xml:space="preserve"> </w:t>
      </w:r>
      <w:r>
        <w:t xml:space="preserve">the international competitiveness of the sector.</w:t>
      </w:r>
      <w:r>
        <w:br/>
      </w:r>
      <w:r>
        <w:t xml:space="preserve">2.3. Capacity to innovate</w:t>
      </w:r>
      <w:r>
        <w:t xml:space="preserve"> </w:t>
      </w:r>
      <w:r>
        <w:t xml:space="preserve">The preferred policy option will positively affect the IWT sector’s capacity to innovate. By</w:t>
      </w:r>
      <w:r>
        <w:t xml:space="preserve"> </w:t>
      </w:r>
      <w:r>
        <w:t xml:space="preserve">providing better quality RIS data it will lead to the provision of more accurate services and</w:t>
      </w:r>
    </w:p>
    <w:p>
      <w:pPr>
        <w:pStyle w:val="BodyText"/>
      </w:pPr>
      <w:r>
        <w:t xml:space="preserve">149</w:t>
      </w:r>
      <w:r>
        <w:t xml:space="preserve"> </w:t>
      </w:r>
      <w:r>
        <w:t xml:space="preserve">eventually set the basis upon which further digital applications can be developed (for example</w:t>
      </w:r>
      <w:r>
        <w:t xml:space="preserve"> </w:t>
      </w:r>
      <w:r>
        <w:t xml:space="preserve">for planning and optimisation of navigation, avoidance of obstacles and warning of navigation</w:t>
      </w:r>
      <w:r>
        <w:t xml:space="preserve"> </w:t>
      </w:r>
      <w:r>
        <w:t xml:space="preserve">hazards, etc.). In addition, PO-B will have a positive impact on digitalisation by promoting</w:t>
      </w:r>
      <w:r>
        <w:t xml:space="preserve"> </w:t>
      </w:r>
      <w:r>
        <w:t xml:space="preserve">the electronic exchange of data. The increased links and exchange of information with other</w:t>
      </w:r>
      <w:r>
        <w:t xml:space="preserve"> </w:t>
      </w:r>
      <w:r>
        <w:t xml:space="preserve">modes has the potential to improve multimodality and will allow developers of logistics and</w:t>
      </w:r>
      <w:r>
        <w:t xml:space="preserve"> </w:t>
      </w:r>
      <w:r>
        <w:t xml:space="preserve">travel planning and cargo management applications to include IWT in their solutions. The</w:t>
      </w:r>
      <w:r>
        <w:t xml:space="preserve"> </w:t>
      </w:r>
      <w:r>
        <w:t xml:space="preserve">introduction of cargo information through eFTI will increase the quantity and quality of</w:t>
      </w:r>
      <w:r>
        <w:t xml:space="preserve"> </w:t>
      </w:r>
      <w:r>
        <w:t xml:space="preserve">information available in the eFTI platforms, which then could feed the development of</w:t>
      </w:r>
      <w:r>
        <w:t xml:space="preserve"> </w:t>
      </w:r>
      <w:r>
        <w:t xml:space="preserve">business-to-business applications. In the medium to long term, the information provided by</w:t>
      </w:r>
      <w:r>
        <w:t xml:space="preserve"> </w:t>
      </w:r>
      <w:r>
        <w:t xml:space="preserve">RIS regarding navigation and the digital exchange of information will become an important</w:t>
      </w:r>
      <w:r>
        <w:t xml:space="preserve"> </w:t>
      </w:r>
      <w:r>
        <w:t xml:space="preserve">basis for the development and operation of automated vessels.</w:t>
      </w:r>
      <w:r>
        <w:t xml:space="preserve"> </w:t>
      </w:r>
      <w:r>
        <w:t xml:space="preserve">2.4. SME competitiveness</w:t>
      </w:r>
      <w:r>
        <w:br/>
      </w:r>
      <w:r>
        <w:t xml:space="preserve">Given that SMEs constitute a very large share of both vessel operators and RIS software</w:t>
      </w:r>
      <w:r>
        <w:t xml:space="preserve"> </w:t>
      </w:r>
      <w:r>
        <w:t xml:space="preserve">services providers, the assessment in section 2.1 of Annex 5 (cost and price competitiveness)</w:t>
      </w:r>
      <w:r>
        <w:t xml:space="preserve"> </w:t>
      </w:r>
      <w:r>
        <w:t xml:space="preserve">is also relevant for SMEs. In particular, most of net costs savings are expected to be attributed to</w:t>
      </w:r>
      <w:r>
        <w:t xml:space="preserve"> </w:t>
      </w:r>
      <w:r>
        <w:t xml:space="preserve">SMEs although the available data did not allow a split of these costs savings between the two</w:t>
      </w:r>
      <w:r>
        <w:t xml:space="preserve"> </w:t>
      </w:r>
      <w:r>
        <w:t xml:space="preserve">groups of operators (i.e. SME and others). Hence, the preferred policy option has a positive</w:t>
      </w:r>
      <w:r>
        <w:t xml:space="preserve"> </w:t>
      </w:r>
      <w:r>
        <w:t xml:space="preserve">impact on competitiveness of SMEs, in particular those engaged in cross-border as well as</w:t>
      </w:r>
      <w:r>
        <w:t xml:space="preserve"> </w:t>
      </w:r>
      <w:r>
        <w:t xml:space="preserve">intermodal operations, by improving their operational efficiency and facilitating their</w:t>
      </w:r>
      <w:r>
        <w:t xml:space="preserve"> </w:t>
      </w:r>
      <w:r>
        <w:t xml:space="preserve">inclusion in the logistics chain.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ANNEX 6: SME TEST</w:t>
      </w:r>
      <w:r>
        <w:t xml:space="preserve"> </w:t>
      </w:r>
      <w:r>
        <w:t xml:space="preserve">Step (1) of SME test (identification of affected businesses). According to Eurostat, around 5,500 IWT</w:t>
      </w:r>
      <w:r>
        <w:t xml:space="preserve"> </w:t>
      </w:r>
      <w:r>
        <w:t xml:space="preserve">freight transport companies are active in Europe (EU plus Bosnia-Herzegovina, Serbia and Switzerland),</w:t>
      </w:r>
      <w:r>
        <w:t xml:space="preserve"> </w:t>
      </w:r>
      <w:r>
        <w:t xml:space="preserve">employing more than 23,000 persons. In addition, there are around 4,000 passenger companies which</w:t>
      </w:r>
      <w:r>
        <w:t xml:space="preserve"> </w:t>
      </w:r>
      <w:r>
        <w:t xml:space="preserve">employ around 14,000 persons. While no data is available at EU level for the number of Small and</w:t>
      </w:r>
      <w:r>
        <w:t xml:space="preserve"> </w:t>
      </w:r>
      <w:r>
        <w:t xml:space="preserve">Medium Enterprises (SMEs) within the IWT sector, one characteristic of the IWT sector is the high</w:t>
      </w:r>
      <w:r>
        <w:t xml:space="preserve"> </w:t>
      </w:r>
      <w:r>
        <w:t xml:space="preserve">number of SMEs. According to the CCNR, the majority of companies in Western Europe are small family</w:t>
      </w:r>
      <w:r>
        <w:t xml:space="preserve"> </w:t>
      </w:r>
      <w:r>
        <w:t xml:space="preserve">owned operating one or two vessels254, while companies in the Danube region are bigger as they derive</w:t>
      </w:r>
      <w:r>
        <w:t xml:space="preserve"> </w:t>
      </w:r>
      <w:r>
        <w:t xml:space="preserve">from previously state-owned enterprises255.</w:t>
      </w:r>
      <w:r>
        <w:br/>
      </w:r>
      <w:r>
        <w:t xml:space="preserve">Software services providers for RIS applications are highly specialised and serve a niche market.</w:t>
      </w:r>
      <w:r>
        <w:t xml:space="preserve"> </w:t>
      </w:r>
      <w:r>
        <w:t xml:space="preserve">According to Article 7 of the RIS Directive, RIS equipment including software needs to be type approved.</w:t>
      </w:r>
      <w:r>
        <w:t xml:space="preserve"> </w:t>
      </w:r>
      <w:r>
        <w:t xml:space="preserve">The Directive requires that Member State authorities responsible for type-approval are notified to the</w:t>
      </w:r>
      <w:r>
        <w:t xml:space="preserve"> </w:t>
      </w:r>
      <w:r>
        <w:t xml:space="preserve">Commission, however there is no concrete information as to the actual number of the software providers</w:t>
      </w:r>
      <w:r>
        <w:t xml:space="preserve"> </w:t>
      </w:r>
      <w:r>
        <w:t xml:space="preserve">that have been approved. CESNI provides a list of around 20 companies as providers for ECDIS and</w:t>
      </w:r>
      <w:r>
        <w:t xml:space="preserve"> </w:t>
      </w:r>
      <w:r>
        <w:t xml:space="preserve">inland AIS256, while a Member State expert estimated the potential number to be up to 50 companies. A</w:t>
      </w:r>
      <w:r>
        <w:t xml:space="preserve"> </w:t>
      </w:r>
      <w:r>
        <w:t xml:space="preserve">review of the information related to these companies, based on their public websites, indicates that the</w:t>
      </w:r>
      <w:r>
        <w:t xml:space="preserve"> </w:t>
      </w:r>
      <w:r>
        <w:t xml:space="preserve">majority of them are small companies employing less than 250 employees.</w:t>
      </w:r>
      <w:r>
        <w:br/>
      </w:r>
      <w:r>
        <w:t xml:space="preserve">Step (2) of SME test (consultation of SME stakeholders). SMEs constitute a significant share of the</w:t>
      </w:r>
      <w:r>
        <w:t xml:space="preserve"> </w:t>
      </w:r>
      <w:r>
        <w:t xml:space="preserve">stakeholders involved in the consultation activities. In the first stakeholder survey, of the 37 respondents</w:t>
      </w:r>
      <w:r>
        <w:t xml:space="preserve"> </w:t>
      </w:r>
      <w:r>
        <w:t xml:space="preserve">identified as “inland waterway transport/RIS user”, 7 indicated they work alone, 23 in a company of less</w:t>
      </w:r>
      <w:r>
        <w:t xml:space="preserve"> </w:t>
      </w:r>
      <w:r>
        <w:t xml:space="preserve">than 20 people, 3 in a company between 10 and 50 people, 2 in a company between 50 and 250 people</w:t>
      </w:r>
      <w:r>
        <w:t xml:space="preserve"> </w:t>
      </w:r>
      <w:r>
        <w:t xml:space="preserve">and only 2 in a company above 250 people. Regarding the RIS software or systems developers, their</w:t>
      </w:r>
      <w:r>
        <w:t xml:space="preserve"> </w:t>
      </w:r>
      <w:r>
        <w:t xml:space="preserve">participation to the overall stakeholder consultation was more limited, with 3 representatives taking part in</w:t>
      </w:r>
      <w:r>
        <w:t xml:space="preserve"> </w:t>
      </w:r>
      <w:r>
        <w:t xml:space="preserve">interviews and the same number responding to the first stakeholder survey.</w:t>
      </w:r>
      <w:r>
        <w:br/>
      </w:r>
      <w:r>
        <w:t xml:space="preserve">The second survey had a much smaller response rate, but even so of the 5 respondents identified as “inland</w:t>
      </w:r>
      <w:r>
        <w:t xml:space="preserve"> </w:t>
      </w:r>
      <w:r>
        <w:t xml:space="preserve">waterway transport/RIS user”, 3 were from companies of less than 250 people. The Open Public</w:t>
      </w:r>
      <w:r>
        <w:t xml:space="preserve"> </w:t>
      </w:r>
      <w:r>
        <w:t xml:space="preserve">Consultation had a limited response rate (only 13 replies), and of the 2 identified as “skippers/barge</w:t>
      </w:r>
      <w:r>
        <w:t xml:space="preserve"> </w:t>
      </w:r>
      <w:r>
        <w:t xml:space="preserve">owners” one indicated working for a company with less than 10 people and 1 for a company with less than</w:t>
      </w:r>
      <w:r>
        <w:t xml:space="preserve"> </w:t>
      </w:r>
      <w:r>
        <w:t xml:space="preserve">50 people. In addition, 2 of the 11 associations interviewed during the stakeholder consultation were</w:t>
      </w:r>
      <w:r>
        <w:t xml:space="preserve"> </w:t>
      </w:r>
      <w:r>
        <w:t xml:space="preserve">representing barge owners and skippers (also representing SMEs) and were also participating in the two</w:t>
      </w:r>
      <w:r>
        <w:t xml:space="preserve"> </w:t>
      </w:r>
      <w:r>
        <w:t xml:space="preserve">DINA/NAIADES expert group meeting organised. Furthermore, two back-to-back workshops specifically</w:t>
      </w:r>
      <w:r>
        <w:t xml:space="preserve"> </w:t>
      </w:r>
      <w:r>
        <w:t xml:space="preserve">focused on RIS users and in particular skippers, where 4 out of 10 participants represented SMEs or</w:t>
      </w:r>
      <w:r>
        <w:t xml:space="preserve"> </w:t>
      </w:r>
      <w:r>
        <w:t xml:space="preserve">associations of companies which include SMEs.</w:t>
      </w:r>
      <w:r>
        <w:br/>
      </w:r>
      <w:r>
        <w:t xml:space="preserve">Despite the low response rate during the consultation process, the multiple and targeted approaches used</w:t>
      </w:r>
      <w:r>
        <w:t xml:space="preserve"> </w:t>
      </w:r>
      <w:r>
        <w:t xml:space="preserve">are assessed to have identified adequately the specific needs and challenges for SMEs.</w:t>
      </w:r>
    </w:p>
    <w:p>
      <w:pPr>
        <w:pStyle w:val="BodyText"/>
      </w:pPr>
      <w:r>
        <w:t xml:space="preserve">254 Indicatively for 2017, the number of companies employing less than 10 persons represented 97% in the Netherlands,</w:t>
      </w:r>
      <w:r>
        <w:t xml:space="preserve"> </w:t>
      </w:r>
      <w:r>
        <w:t xml:space="preserve">96% in France and 82% in Germany.</w:t>
      </w:r>
      <w:r>
        <w:t xml:space="preserve"> </w:t>
      </w:r>
      <w:r>
        <w:t xml:space="preserve">255 CCNR (2020) Marker Report 2014-2019, Main features and trends of the European Inland Waterway Transport</w:t>
      </w:r>
      <w:r>
        <w:t xml:space="preserve"> </w:t>
      </w:r>
      <w:r>
        <w:t xml:space="preserve">Sector, Market-report-2014-2019_Web_BD.pdf (inland-navigation-market.org)</w:t>
      </w:r>
      <w:r>
        <w:br/>
      </w:r>
      <w:r>
        <w:t xml:space="preserve">256 Lists of approved authorities, firms, installations and equipment in the field of technical requirements for inland</w:t>
      </w:r>
      <w:r>
        <w:t xml:space="preserve"> </w:t>
      </w:r>
      <w:r>
        <w:t xml:space="preserve">navigation vessels. (cesni.eu)</w:t>
      </w:r>
    </w:p>
    <w:p>
      <w:pPr>
        <w:pStyle w:val="BodyText"/>
      </w:pPr>
      <w:r>
        <w:t xml:space="preserve">151</w:t>
      </w:r>
      <w:r>
        <w:t xml:space="preserve"> </w:t>
      </w:r>
      <w:r>
        <w:t xml:space="preserve">Step (3) of SME test (assessment of the impacts on SMEs). As explained in section 6.1.3, all policy</w:t>
      </w:r>
      <w:r>
        <w:t xml:space="preserve"> </w:t>
      </w:r>
      <w:r>
        <w:t xml:space="preserve">options are expected to result in net costs savings for vessel operators and navigation software services</w:t>
      </w:r>
      <w:r>
        <w:t xml:space="preserve"> </w:t>
      </w:r>
      <w:r>
        <w:t xml:space="preserve">providers. More specifically, for vessel operators PO-B would result in net costs savings estimated at</w:t>
      </w:r>
      <w:r>
        <w:t xml:space="preserve"> </w:t>
      </w:r>
      <w:r>
        <w:t xml:space="preserve">EUR 100.6 million, expressed as present value over 2025-2050 relative to the baseline, followed by PO-A</w:t>
      </w:r>
      <w:r>
        <w:t xml:space="preserve"> </w:t>
      </w:r>
      <w:r>
        <w:t xml:space="preserve">(EUR 40.2 million) and PO-C (EUR 8.4 million). It should however be noted that PO-C would also result</w:t>
      </w:r>
      <w:r>
        <w:t xml:space="preserve"> </w:t>
      </w:r>
      <w:r>
        <w:t xml:space="preserve">in additional administrative costs, despite the overall net costs savings.</w:t>
      </w:r>
      <w:r>
        <w:t xml:space="preserve"> </w:t>
      </w:r>
      <w:r>
        <w:t xml:space="preserve">When considering the impact of each measure, as explained in section 3 of Annex 4, for vessel operators</w:t>
      </w:r>
      <w:r>
        <w:t xml:space="preserve"> </w:t>
      </w:r>
      <w:r>
        <w:t xml:space="preserve">this will primarily materialise in time saving for planning of voyages and improvements in navigation</w:t>
      </w:r>
      <w:r>
        <w:t xml:space="preserve"> </w:t>
      </w:r>
      <w:r>
        <w:t xml:space="preserve">efficiency, and administrative costs in case of PM5 (included in PO-C). The detailed calculations of the</w:t>
      </w:r>
      <w:r>
        <w:t xml:space="preserve"> </w:t>
      </w:r>
      <w:r>
        <w:t xml:space="preserve">costs savings for each measure (and costs for PM5) are provided in section 3 of Annex 4. Below, more</w:t>
      </w:r>
      <w:r>
        <w:t xml:space="preserve"> </w:t>
      </w:r>
      <w:r>
        <w:t xml:space="preserve">explanations are provided on the drivers of the costs savings or costs (in case of PM5) for vessel operators</w:t>
      </w:r>
      <w:r>
        <w:t xml:space="preserve"> </w:t>
      </w:r>
      <w:r>
        <w:t xml:space="preserve">in each policy measure.</w:t>
      </w:r>
      <w:r>
        <w:t xml:space="preserve"> </w:t>
      </w:r>
      <w:r>
        <w:t xml:space="preserve">More specifically:</w:t>
      </w:r>
      <w:r>
        <w:t xml:space="preserve"> </w:t>
      </w:r>
      <w:r>
        <w:t xml:space="preserve">• Vessel operators will be faced with less discrepancies in the information they receive from national</w:t>
      </w:r>
      <w:r>
        <w:t xml:space="preserve"> </w:t>
      </w:r>
      <w:r>
        <w:t xml:space="preserve">authorities as a result of the interpretative guidelines (PM1). This will reduce the time required to</w:t>
      </w:r>
      <w:r>
        <w:t xml:space="preserve"> </w:t>
      </w:r>
      <w:r>
        <w:t xml:space="preserve">compare and interpret information from different authorities and thus to plan their voyage, as they</w:t>
      </w:r>
      <w:r>
        <w:t xml:space="preserve"> </w:t>
      </w:r>
      <w:r>
        <w:t xml:space="preserve">should now have more clarity on e.g. when a lock is fully closed in both directions or partially closed in</w:t>
      </w:r>
      <w:r>
        <w:t xml:space="preserve"> </w:t>
      </w:r>
      <w:r>
        <w:t xml:space="preserve">one of the directions of navigation.</w:t>
      </w:r>
      <w:r>
        <w:br/>
      </w:r>
      <w:r>
        <w:t xml:space="preserve">• The complaint handling mechanism (PM2) will provide vessel operators full clarity on the relevant</w:t>
      </w:r>
      <w:r>
        <w:t xml:space="preserve"> </w:t>
      </w:r>
      <w:r>
        <w:t xml:space="preserve">competent authority in each Member State for handling RIS related complaints. Costs for submitting</w:t>
      </w:r>
      <w:r>
        <w:t xml:space="preserve"> </w:t>
      </w:r>
      <w:r>
        <w:t xml:space="preserve">such complaints are estimated to be negligible as they can be done through an online form. By</w:t>
      </w:r>
      <w:r>
        <w:t xml:space="preserve"> </w:t>
      </w:r>
      <w:r>
        <w:t xml:space="preserve">reporting problems (e.g. wrong data, standard inconsistencies) they will benefit of an overall</w:t>
      </w:r>
      <w:r>
        <w:t xml:space="preserve"> </w:t>
      </w:r>
      <w:r>
        <w:t xml:space="preserve">improvement in the quality of RIS, which translates in better quality information and time savings for</w:t>
      </w:r>
      <w:r>
        <w:t xml:space="preserve"> </w:t>
      </w:r>
      <w:r>
        <w:t xml:space="preserve">voyage planning. On the other hand, the Performance Measurement Framework (PM3) will not require</w:t>
      </w:r>
      <w:r>
        <w:t xml:space="preserve"> </w:t>
      </w:r>
      <w:r>
        <w:t xml:space="preserve">action from the side of vessel operators and provide benefits in terms of improved RIS services, as</w:t>
      </w:r>
      <w:r>
        <w:t xml:space="preserve"> </w:t>
      </w:r>
      <w:r>
        <w:t xml:space="preserve">potential problems with the implementation of RIS are reduced.</w:t>
      </w:r>
      <w:r>
        <w:br/>
      </w:r>
      <w:r>
        <w:t xml:space="preserve">• The strengthened requirements for RIS technical specifications (PM4) will also lead to a reduction in</w:t>
      </w:r>
      <w:r>
        <w:t xml:space="preserve"> </w:t>
      </w:r>
      <w:r>
        <w:t xml:space="preserve">the voyage planning time, as vessel operators will receive better quality information regarding e.g. </w:t>
      </w:r>
      <w:r>
        <w:t xml:space="preserve"> </w:t>
      </w:r>
      <w:r>
        <w:t xml:space="preserve">water level predictions, current and predicted underpass heights at bridges and current and predicted</w:t>
      </w:r>
      <w:r>
        <w:t xml:space="preserve"> </w:t>
      </w:r>
      <w:r>
        <w:t xml:space="preserve">waiting times at locks. In addition, due to the increase in efficiency of navigation, vessel operators will</w:t>
      </w:r>
      <w:r>
        <w:t xml:space="preserve"> </w:t>
      </w:r>
      <w:r>
        <w:t xml:space="preserve">experience an increase in freight volumes (that will be shifted away from road transport).</w:t>
      </w:r>
      <w:r>
        <w:br/>
      </w:r>
      <w:r>
        <w:t xml:space="preserve">• The requirement to vessel operators and skippers to report their voyage plan (ERIVOY) to competent</w:t>
      </w:r>
      <w:r>
        <w:t xml:space="preserve"> </w:t>
      </w:r>
      <w:r>
        <w:t xml:space="preserve">authorities at the start of their journey, and update this with further changes to their estimated time of</w:t>
      </w:r>
      <w:r>
        <w:t xml:space="preserve"> </w:t>
      </w:r>
      <w:r>
        <w:t xml:space="preserve">arrival (PM5), will increase the time spent in preparing and reporting on the voyage plan and follow up</w:t>
      </w:r>
      <w:r>
        <w:t xml:space="preserve"> </w:t>
      </w:r>
      <w:r>
        <w:t xml:space="preserve">notifications, thus creating an administrative burden. On the other hand, this will improve navigation</w:t>
      </w:r>
      <w:r>
        <w:t xml:space="preserve"> </w:t>
      </w:r>
      <w:r>
        <w:t xml:space="preserve">efficiency and result in energy savings.</w:t>
      </w:r>
      <w:r>
        <w:br/>
      </w:r>
      <w:r>
        <w:t xml:space="preserve">• Updated and more accurate ERDMS data (PM6) will improve the quality of the necessary information</w:t>
      </w:r>
      <w:r>
        <w:t xml:space="preserve"> </w:t>
      </w:r>
      <w:r>
        <w:t xml:space="preserve">for voyage planning, thus reducing the time required for its preparation.</w:t>
      </w:r>
      <w:r>
        <w:br/>
      </w:r>
      <w:r>
        <w:t xml:space="preserve">• In PM7 and PM8, an eFTI platform will be developed for vessel operators to inform the national</w:t>
      </w:r>
      <w:r>
        <w:t xml:space="preserve"> </w:t>
      </w:r>
      <w:r>
        <w:t xml:space="preserve">authorities about dangerous goods they may carry. Should they choose to do so on voluntary basis</w:t>
      </w:r>
      <w:r>
        <w:t xml:space="preserve"> </w:t>
      </w:r>
      <w:r>
        <w:t xml:space="preserve">(PM7), or be required to do so (PM8) they will only need to upload the information once on eFTI, and</w:t>
      </w:r>
      <w:r>
        <w:t xml:space="preserve"> </w:t>
      </w:r>
      <w:r>
        <w:t xml:space="preserve">then report to the authorities through ERI only the relevant link. This once-only principle will reduce</w:t>
      </w:r>
    </w:p>
    <w:p>
      <w:pPr>
        <w:pStyle w:val="BodyText"/>
      </w:pPr>
      <w:r>
        <w:t xml:space="preserve">152</w:t>
      </w:r>
      <w:r>
        <w:t xml:space="preserve"> </w:t>
      </w:r>
      <w:r>
        <w:t xml:space="preserve">mistakes in reporting regarding e.g. the loading/unloading location, coding of the cargo or hull</w:t>
      </w:r>
      <w:r>
        <w:t xml:space="preserve"> </w:t>
      </w:r>
      <w:r>
        <w:t xml:space="preserve">information, which can force the skippers to re-register upon a border crossing.</w:t>
      </w:r>
      <w:r>
        <w:br/>
      </w:r>
      <w:r>
        <w:t xml:space="preserve">• The use of RIS COMEX (PM9), as the main platform for RIS exchanges, will be an important change</w:t>
      </w:r>
      <w:r>
        <w:t xml:space="preserve"> </w:t>
      </w:r>
      <w:r>
        <w:t xml:space="preserve">for vessel operators, as they will benefit of a single platform of interaction instead of several portals and</w:t>
      </w:r>
      <w:r>
        <w:t xml:space="preserve"> </w:t>
      </w:r>
      <w:r>
        <w:t xml:space="preserve">systems, reducing the time for voyage planning and notifications.</w:t>
      </w:r>
      <w:r>
        <w:br/>
      </w:r>
      <w:r>
        <w:t xml:space="preserve">• The involvement of CESNI in the development of technical specifications will have only an indirect</w:t>
      </w:r>
      <w:r>
        <w:t xml:space="preserve"> </w:t>
      </w:r>
      <w:r>
        <w:t xml:space="preserve">impact on vessel operators, as the development and rollout of necessary technical specifications will be</w:t>
      </w:r>
      <w:r>
        <w:t xml:space="preserve"> </w:t>
      </w:r>
      <w:r>
        <w:t xml:space="preserve">more frequent compared to the situation today.</w:t>
      </w:r>
      <w:r>
        <w:br/>
      </w:r>
      <w:r>
        <w:t xml:space="preserve">• The change of scope of RIS, to bring the focus on the TEN-T waterways (PM11), will not have direct</w:t>
      </w:r>
      <w:r>
        <w:t xml:space="preserve"> </w:t>
      </w:r>
      <w:r>
        <w:t xml:space="preserve">impacts on vessel operators as the overall area of application of RIS is hardly expected to change.</w:t>
      </w:r>
      <w:r>
        <w:br/>
      </w:r>
      <w:r>
        <w:t xml:space="preserve">• The exchange of information with inland ports (either voluntary under PM12 or mandatory under</w:t>
      </w:r>
      <w:r>
        <w:t xml:space="preserve"> </w:t>
      </w:r>
      <w:r>
        <w:t xml:space="preserve">PM13) will benefit vessel operators through improved and updated information regarding the situation</w:t>
      </w:r>
      <w:r>
        <w:t xml:space="preserve"> </w:t>
      </w:r>
      <w:r>
        <w:t xml:space="preserve">in their inland port of destination (e.g. access constraints on opening of bridges, the availability of</w:t>
      </w:r>
      <w:r>
        <w:t xml:space="preserve"> </w:t>
      </w:r>
      <w:r>
        <w:t xml:space="preserve">berths, the availability of clean fuels at the time of arrival). This will facilitate the planning of the</w:t>
      </w:r>
      <w:r>
        <w:t xml:space="preserve"> </w:t>
      </w:r>
      <w:r>
        <w:t xml:space="preserve">voyage and reduce the need of (re)submitting reports.</w:t>
      </w:r>
      <w:r>
        <w:t xml:space="preserve"> </w:t>
      </w:r>
      <w:r>
        <w:t xml:space="preserve">• The exchange of information with other modes (PM14) will benefit vessel operators by better</w:t>
      </w:r>
      <w:r>
        <w:t xml:space="preserve"> </w:t>
      </w:r>
      <w:r>
        <w:t xml:space="preserve">integrating them into the logistics chain. Vessel operators are expected to experience an increase in</w:t>
      </w:r>
      <w:r>
        <w:t xml:space="preserve"> </w:t>
      </w:r>
      <w:r>
        <w:t xml:space="preserve">freight volumes, that will be shifted away from road transport.</w:t>
      </w:r>
      <w:r>
        <w:br/>
      </w:r>
      <w:r>
        <w:t xml:space="preserve">• In PM15, vessel operators will benefit of reduced reporting (e.g. for the cargo report)257, as when a</w:t>
      </w:r>
      <w:r>
        <w:t xml:space="preserve"> </w:t>
      </w:r>
      <w:r>
        <w:t xml:space="preserve">border is crossed the information will be exchanged between the authorities and not resubmitted by the</w:t>
      </w:r>
      <w:r>
        <w:t xml:space="preserve"> </w:t>
      </w:r>
      <w:r>
        <w:t xml:space="preserve">vessel operator.</w:t>
      </w:r>
      <w:r>
        <w:br/>
      </w:r>
      <w:r>
        <w:t xml:space="preserve">• In PM16 and PM17, by making clear in which cases AIS data can and cannot be shared, the procedure</w:t>
      </w:r>
      <w:r>
        <w:t xml:space="preserve"> </w:t>
      </w:r>
      <w:r>
        <w:t xml:space="preserve">for collecting port charges would become simpler and reduce the number of resubmissions. The</w:t>
      </w:r>
      <w:r>
        <w:t xml:space="preserve"> </w:t>
      </w:r>
      <w:r>
        <w:t xml:space="preserve">difference between PM16 and PM17 is limited for vessel operators, as PM17 only further defines the</w:t>
      </w:r>
      <w:r>
        <w:t xml:space="preserve"> </w:t>
      </w:r>
      <w:r>
        <w:t xml:space="preserve">exact templates and standards to be followed when such an exchange takes place, in line with existing</w:t>
      </w:r>
      <w:r>
        <w:t xml:space="preserve"> </w:t>
      </w:r>
      <w:r>
        <w:t xml:space="preserve">legal provisions.</w:t>
      </w:r>
      <w:r>
        <w:br/>
      </w:r>
      <w:r>
        <w:t xml:space="preserve">Software services providers would benefit of costs savings of EUR 8.4 million in PO-C, EUR 8.1</w:t>
      </w:r>
      <w:r>
        <w:t xml:space="preserve"> </w:t>
      </w:r>
      <w:r>
        <w:t xml:space="preserve">million in PO-B and EUR 4.4 million in PO-A, expressed as present value over 2025-2050 relative to the</w:t>
      </w:r>
      <w:r>
        <w:t xml:space="preserve"> </w:t>
      </w:r>
      <w:r>
        <w:t xml:space="preserve">baseline. For software service providers, the main impact relates to the quality of the basic information that</w:t>
      </w:r>
      <w:r>
        <w:t xml:space="preserve"> </w:t>
      </w:r>
      <w:r>
        <w:t xml:space="preserve">they can introduce in their software. Higher quality information will reduce the need for additional efforts</w:t>
      </w:r>
      <w:r>
        <w:t xml:space="preserve"> </w:t>
      </w:r>
      <w:r>
        <w:t xml:space="preserve">to collect the required data and thus their costs. Several measures will provide updated and more accurate</w:t>
      </w:r>
      <w:r>
        <w:t xml:space="preserve"> </w:t>
      </w:r>
      <w:r>
        <w:t xml:space="preserve">data to different extent (i.e. the interpretative guidelines (PM1), the complaint mechanism (PM2), the</w:t>
      </w:r>
      <w:r>
        <w:t xml:space="preserve"> </w:t>
      </w:r>
      <w:r>
        <w:t xml:space="preserve">Performance Measurement Framework (PM3), the technical specifications for navigation and voyage</w:t>
      </w:r>
      <w:r>
        <w:t xml:space="preserve"> </w:t>
      </w:r>
      <w:r>
        <w:t xml:space="preserve">planning (PM4), updates to the ERDMS (PM6), RIS COMEX (PM9), the exchange of information with</w:t>
      </w:r>
      <w:r>
        <w:t xml:space="preserve"> </w:t>
      </w:r>
      <w:r>
        <w:t xml:space="preserve">inland ports (PM12 and PM13) and the improved links with other modes (PM14)). The calculation of the</w:t>
      </w:r>
      <w:r>
        <w:t xml:space="preserve"> </w:t>
      </w:r>
      <w:r>
        <w:t xml:space="preserve">costs savings by measure is provided in section 3 of Annex 4.</w:t>
      </w:r>
    </w:p>
    <w:p>
      <w:pPr>
        <w:pStyle w:val="BodyText"/>
      </w:pPr>
      <w:r>
        <w:t xml:space="preserve">257 As currently not all information provided by vessel operators to authorities is shared with the authorities of other</w:t>
      </w:r>
      <w:r>
        <w:t xml:space="preserve"> </w:t>
      </w:r>
      <w:r>
        <w:t xml:space="preserve">Member States, this creates a challenge when crossing borders as in many cases the information needs to be</w:t>
      </w:r>
      <w:r>
        <w:t xml:space="preserve"> </w:t>
      </w:r>
      <w:r>
        <w:t xml:space="preserve">retransmitted.</w:t>
      </w:r>
    </w:p>
    <w:p>
      <w:pPr>
        <w:pStyle w:val="BodyText"/>
      </w:pPr>
      <w:r>
        <w:t xml:space="preserve">153</w:t>
      </w:r>
      <w:r>
        <w:t xml:space="preserve"> </w:t>
      </w:r>
      <w:r>
        <w:t xml:space="preserve">Considering the very large share of SMEs among vessel operators and software services providers, most</w:t>
      </w:r>
      <w:r>
        <w:t xml:space="preserve"> </w:t>
      </w:r>
      <w:r>
        <w:t xml:space="preserve">of these net costs savings are expected to be attributed to them although the available data did not allow a</w:t>
      </w:r>
      <w:r>
        <w:t xml:space="preserve"> </w:t>
      </w:r>
      <w:r>
        <w:t xml:space="preserve">split of these costs savings between the two groups of operators (i.e. SME and others). In addition, the</w:t>
      </w:r>
      <w:r>
        <w:t xml:space="preserve"> </w:t>
      </w:r>
      <w:r>
        <w:t xml:space="preserve">increase in intermodal transport in PO-B and PO-C is expected to have a positive economic impact on the</w:t>
      </w:r>
      <w:r>
        <w:t xml:space="preserve"> </w:t>
      </w:r>
      <w:r>
        <w:t xml:space="preserve">SMEs involved.</w:t>
      </w:r>
      <w:r>
        <w:t xml:space="preserve"> </w:t>
      </w:r>
      <w:r>
        <w:t xml:space="preserve">Step (4) of SME test (minimizing negative impacts on SMEs). It should be noted that a key issue</w:t>
      </w:r>
      <w:r>
        <w:t xml:space="preserve"> </w:t>
      </w:r>
      <w:r>
        <w:t xml:space="preserve">highlighted by the respondents to the stakeholders’ consultation is the need to simplify the procedures they</w:t>
      </w:r>
      <w:r>
        <w:t xml:space="preserve"> </w:t>
      </w:r>
      <w:r>
        <w:t xml:space="preserve">have to follow during navigation. In fact, all policy options aim to address this issue (also for SMEs)</w:t>
      </w:r>
      <w:r>
        <w:t xml:space="preserve"> </w:t>
      </w:r>
      <w:r>
        <w:t xml:space="preserve">through two important measures: (i) the provision of accurate and updated data to ERDMS (PM6 in PO-</w:t>
      </w:r>
      <w:r>
        <w:t xml:space="preserve"> </w:t>
      </w:r>
      <w:r>
        <w:t xml:space="preserve">A, PO-B and PO-C), (ii) the improvement of RIS index data and the technical specifications for</w:t>
      </w:r>
      <w:r>
        <w:t xml:space="preserve"> </w:t>
      </w:r>
      <w:r>
        <w:t xml:space="preserve">navigation and voyage planning (PM4 in PO-B and PO-C). As a result, the quality of information for</w:t>
      </w:r>
      <w:r>
        <w:t xml:space="preserve"> </w:t>
      </w:r>
      <w:r>
        <w:t xml:space="preserve">vessel voyage planning will improve and the process simplified. In addition, the development of standards</w:t>
      </w:r>
      <w:r>
        <w:t xml:space="preserve"> </w:t>
      </w:r>
      <w:r>
        <w:t xml:space="preserve">by CESNI (PM10 in PO-A, PO-B and PO-C) will ensure that technical specifications are up-to-date,</w:t>
      </w:r>
      <w:r>
        <w:t xml:space="preserve"> </w:t>
      </w:r>
      <w:r>
        <w:t xml:space="preserve">thus facilitating operations. Software services providers will benefit from better quality data which will</w:t>
      </w:r>
      <w:r>
        <w:t xml:space="preserve"> </w:t>
      </w:r>
      <w:r>
        <w:t xml:space="preserve">reduce their efforts to develop their products. The introduction of a complaint mechanism (PM2 in PO-A</w:t>
      </w:r>
      <w:r>
        <w:t xml:space="preserve"> </w:t>
      </w:r>
      <w:r>
        <w:t xml:space="preserve">and PO-B) will be an important tool for SMEs to report to relevant authorities the problems they identify</w:t>
      </w:r>
      <w:r>
        <w:t xml:space="preserve"> </w:t>
      </w:r>
      <w:r>
        <w:t xml:space="preserve">in the network during their daily operations. Respondents identified as or contributing on behalf of SMEs</w:t>
      </w:r>
      <w:r>
        <w:t xml:space="preserve"> </w:t>
      </w:r>
      <w:r>
        <w:t xml:space="preserve">vessel operators also pointed to the need to simplify and reduce the burden for reporting. PO-B and PO-C</w:t>
      </w:r>
      <w:r>
        <w:t xml:space="preserve"> </w:t>
      </w:r>
      <w:r>
        <w:t xml:space="preserve">aim to facilitate the work for skippers (and by extension the family-owned SMEs) in this regard. By</w:t>
      </w:r>
      <w:r>
        <w:t xml:space="preserve"> </w:t>
      </w:r>
      <w:r>
        <w:t xml:space="preserve">introducing requirement for the use of RIS COMEX as the main tool for exchange of information (PM9 in</w:t>
      </w:r>
      <w:r>
        <w:t xml:space="preserve"> </w:t>
      </w:r>
      <w:r>
        <w:t xml:space="preserve">PO-B and PO-C), vessel operators will benefit of a one-stop-shop for the exchange of information with</w:t>
      </w:r>
      <w:r>
        <w:t xml:space="preserve"> </w:t>
      </w:r>
      <w:r>
        <w:t xml:space="preserve">authorities. Importantly, this could develop into a platform for further development of digital applications.</w:t>
      </w:r>
      <w:r>
        <w:t xml:space="preserve"> </w:t>
      </w:r>
      <w:r>
        <w:t xml:space="preserve">This is also important for software services providers who will adapt their products for one platform</w:t>
      </w:r>
      <w:r>
        <w:t xml:space="preserve"> </w:t>
      </w:r>
      <w:r>
        <w:t xml:space="preserve">instead of many national ones. New technical specifications for exchanging information with ports</w:t>
      </w:r>
      <w:r>
        <w:t xml:space="preserve"> </w:t>
      </w:r>
      <w:r>
        <w:t xml:space="preserve">(PM12 in PO-B) would also facilitate the contact with ports and improve operations. The requirement for</w:t>
      </w:r>
      <w:r>
        <w:t xml:space="preserve"> </w:t>
      </w:r>
      <w:r>
        <w:t xml:space="preserve">electronic voyage reporting (PM5 in PO-C) also aims to improve navigation conditions. However,</w:t>
      </w:r>
      <w:r>
        <w:t xml:space="preserve"> </w:t>
      </w:r>
      <w:r>
        <w:t xml:space="preserve">skippers reported concerns on the efforts required by this measure during the stakeholder consultation.</w:t>
      </w:r>
      <w:r>
        <w:t xml:space="preserve"> </w:t>
      </w:r>
      <w:r>
        <w:t xml:space="preserve">Last but not least, personal information is particularly important for those family-owned companies, for</w:t>
      </w:r>
      <w:r>
        <w:t xml:space="preserve"> </w:t>
      </w:r>
      <w:r>
        <w:t xml:space="preserve">which the vessel is at the same time their home. PM16 and PM17 aim to address the legal uncertainty,</w:t>
      </w:r>
      <w:r>
        <w:t xml:space="preserve"> </w:t>
      </w:r>
      <w:r>
        <w:t xml:space="preserve">without increasing obligations or intruding in fundamental rights (something that SME representatives</w:t>
      </w:r>
      <w:r>
        <w:t xml:space="preserve"> </w:t>
      </w:r>
      <w:r>
        <w:t xml:space="preserve">highlighted during the stakeholder consultation).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ANNEX 7: CONCLUSIONS OF THE EVALUATION</w:t>
      </w:r>
      <w:r>
        <w:t xml:space="preserve"> </w:t>
      </w:r>
      <w:r>
        <w:t xml:space="preserve">The links between the conclusions of the ex-post evaluation and the impact assessment are</w:t>
      </w:r>
      <w:r>
        <w:t xml:space="preserve"> </w:t>
      </w:r>
      <w:r>
        <w:t xml:space="preserve">summarised in the table below.</w:t>
      </w:r>
      <w:r>
        <w:t xml:space="preserve"> </w:t>
      </w:r>
      <w:r>
        <w:t xml:space="preserve">Source: Ramboll et al. (2024), impact assessment support study</w:t>
      </w:r>
    </w:p>
    <w:p>
      <w:pPr>
        <w:pStyle w:val="BodyText"/>
      </w:pPr>
      <w:r>
        <w:t xml:space="preserve">Main ex-post evaluation conclusions</w:t>
      </w:r>
      <w:r>
        <w:t xml:space="preserve"> </w:t>
      </w:r>
      <w:r>
        <w:t xml:space="preserve">How it is covered in this IA</w:t>
      </w:r>
      <w:r>
        <w:t xml:space="preserve"> </w:t>
      </w:r>
      <w:r>
        <w:t xml:space="preserve">Conclusions on effectiveness</w:t>
      </w:r>
      <w:r>
        <w:t xml:space="preserve"> </w:t>
      </w:r>
      <w:r>
        <w:t xml:space="preserve">The</w:t>
      </w:r>
      <w:r>
        <w:t xml:space="preserve"> </w:t>
      </w:r>
      <w:r>
        <w:t xml:space="preserve">degree</w:t>
      </w:r>
      <w:r>
        <w:t xml:space="preserve"> </w:t>
      </w:r>
      <w:r>
        <w:t xml:space="preserve">of</w:t>
      </w:r>
      <w:r>
        <w:t xml:space="preserve"> </w:t>
      </w:r>
      <w:r>
        <w:t xml:space="preserve">harmonisation</w:t>
      </w:r>
      <w:r>
        <w:t xml:space="preserve"> </w:t>
      </w:r>
      <w:r>
        <w:t xml:space="preserve">differs</w:t>
      </w:r>
      <w:r>
        <w:t xml:space="preserve"> </w:t>
      </w:r>
      <w:r>
        <w:t xml:space="preserve">between</w:t>
      </w:r>
      <w:r>
        <w:t xml:space="preserve"> </w:t>
      </w:r>
      <w:r>
        <w:t xml:space="preserve">RIS</w:t>
      </w:r>
      <w:r>
        <w:t xml:space="preserve"> </w:t>
      </w:r>
      <w:r>
        <w:t xml:space="preserve">technologies. RIS technologies are not utilised to the same</w:t>
      </w:r>
      <w:r>
        <w:t xml:space="preserve"> </w:t>
      </w:r>
      <w:r>
        <w:t xml:space="preserve">extent in all countries and river corridors. Monitoring of the</w:t>
      </w:r>
      <w:r>
        <w:t xml:space="preserve"> </w:t>
      </w:r>
      <w:r>
        <w:t xml:space="preserve">implementation of the Directive is weak. There is no</w:t>
      </w:r>
      <w:r>
        <w:t xml:space="preserve"> </w:t>
      </w:r>
      <w:r>
        <w:t xml:space="preserve">indication of a modal shift towards inland navigation</w:t>
      </w:r>
      <w:r>
        <w:t xml:space="preserve"> </w:t>
      </w:r>
      <w:r>
        <w:t xml:space="preserve">occurring as a result of the RIS Directive.</w:t>
      </w:r>
      <w:r>
        <w:t xml:space="preserve"> </w:t>
      </w:r>
      <w:r>
        <w:t xml:space="preserve">Policy measures are defined: to strengthen the</w:t>
      </w:r>
      <w:r>
        <w:t xml:space="preserve"> </w:t>
      </w:r>
      <w:r>
        <w:t xml:space="preserve">degree of harmonisation, to further align</w:t>
      </w:r>
      <w:r>
        <w:t xml:space="preserve"> </w:t>
      </w:r>
      <w:r>
        <w:t xml:space="preserve">Member States’ implementation of RIS, to</w:t>
      </w:r>
      <w:r>
        <w:t xml:space="preserve"> </w:t>
      </w:r>
      <w:r>
        <w:t xml:space="preserve">strengthen</w:t>
      </w:r>
      <w:r>
        <w:t xml:space="preserve"> </w:t>
      </w:r>
      <w:r>
        <w:t xml:space="preserve">the</w:t>
      </w:r>
      <w:r>
        <w:t xml:space="preserve"> </w:t>
      </w:r>
      <w:r>
        <w:t xml:space="preserve">monitoring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implementation, and to improve the role of RIS</w:t>
      </w:r>
      <w:r>
        <w:t xml:space="preserve"> </w:t>
      </w:r>
      <w:r>
        <w:t xml:space="preserve">in supporting the integration of IWT in the</w:t>
      </w:r>
      <w:r>
        <w:t xml:space="preserve"> </w:t>
      </w:r>
      <w:r>
        <w:t xml:space="preserve">multimodal chain.</w:t>
      </w:r>
      <w:r>
        <w:t xml:space="preserve"> </w:t>
      </w:r>
      <w:r>
        <w:t xml:space="preserve">Conclusions on efficiency</w:t>
      </w:r>
      <w:r>
        <w:t xml:space="preserve"> </w:t>
      </w:r>
      <w:r>
        <w:t xml:space="preserve">The findings show that there is potential for simplification, to</w:t>
      </w:r>
      <w:r>
        <w:t xml:space="preserve"> </w:t>
      </w:r>
      <w:r>
        <w:t xml:space="preserve">address the slow update and adoption process of technical</w:t>
      </w:r>
      <w:r>
        <w:t xml:space="preserve"> </w:t>
      </w:r>
      <w:r>
        <w:t xml:space="preserve">standards.</w:t>
      </w:r>
      <w:r>
        <w:t xml:space="preserve"> </w:t>
      </w:r>
      <w:r>
        <w:t xml:space="preserve">Policy measures are defined to simplify the</w:t>
      </w:r>
      <w:r>
        <w:t xml:space="preserve"> </w:t>
      </w:r>
      <w:r>
        <w:t xml:space="preserve">update and adoption of technical specifications.</w:t>
      </w:r>
      <w:r>
        <w:t xml:space="preserve"> </w:t>
      </w:r>
      <w:r>
        <w:t xml:space="preserve">Conclusions on relevance</w:t>
      </w:r>
      <w:r>
        <w:t xml:space="preserve"> </w:t>
      </w:r>
      <w:r>
        <w:t xml:space="preserve">The RIS Directive and its implementing acts are still relevant;</w:t>
      </w:r>
      <w:r>
        <w:t xml:space="preserve"> </w:t>
      </w:r>
      <w:r>
        <w:t xml:space="preserve">however, its primary focus on the safety of navigation is no</w:t>
      </w:r>
      <w:r>
        <w:t xml:space="preserve"> </w:t>
      </w:r>
      <w:r>
        <w:t xml:space="preserve">longer sufficiently aligned with the sector’s needs. More</w:t>
      </w:r>
      <w:r>
        <w:t xml:space="preserve"> </w:t>
      </w:r>
      <w:r>
        <w:t xml:space="preserve">specifically, it does not support the need for improving the</w:t>
      </w:r>
      <w:r>
        <w:t xml:space="preserve"> </w:t>
      </w:r>
      <w:r>
        <w:t xml:space="preserve">efficiency of inland waterway transport and its integration</w:t>
      </w:r>
      <w:r>
        <w:t xml:space="preserve"> </w:t>
      </w:r>
      <w:r>
        <w:t xml:space="preserve">into the multimodal supply chains. In addition, it does not</w:t>
      </w:r>
      <w:r>
        <w:t xml:space="preserve"> </w:t>
      </w:r>
      <w:r>
        <w:t xml:space="preserve">sufficiently address new technological challenges, such as</w:t>
      </w:r>
      <w:r>
        <w:t xml:space="preserve"> </w:t>
      </w:r>
      <w:r>
        <w:t xml:space="preserve">automation of vessels, and the further digitalisation of the</w:t>
      </w:r>
      <w:r>
        <w:t xml:space="preserve"> </w:t>
      </w:r>
      <w:r>
        <w:t xml:space="preserve">sector.</w:t>
      </w:r>
      <w:r>
        <w:t xml:space="preserve"> </w:t>
      </w:r>
      <w:r>
        <w:t xml:space="preserve">Policy measures are defined to increase the</w:t>
      </w:r>
      <w:r>
        <w:t xml:space="preserve"> </w:t>
      </w:r>
      <w:r>
        <w:t xml:space="preserve">IWT multimodal potential, its efficiency and</w:t>
      </w:r>
      <w:r>
        <w:t xml:space="preserve"> </w:t>
      </w:r>
      <w:r>
        <w:t xml:space="preserve">technological challenges.</w:t>
      </w:r>
    </w:p>
    <w:p>
      <w:pPr>
        <w:pStyle w:val="BodyText"/>
      </w:pPr>
      <w:r>
        <w:t xml:space="preserve">Conclusions on coherence</w:t>
      </w:r>
      <w:r>
        <w:t xml:space="preserve"> </w:t>
      </w:r>
      <w:r>
        <w:t xml:space="preserve">The Directive and its implementing acts form a consistent</w:t>
      </w:r>
      <w:r>
        <w:t xml:space="preserve"> </w:t>
      </w:r>
      <w:r>
        <w:t xml:space="preserve">legal framework. Both internal coherence and coherence with</w:t>
      </w:r>
      <w:r>
        <w:t xml:space="preserve"> </w:t>
      </w:r>
      <w:r>
        <w:t xml:space="preserve">other EU legislation is ensured.</w:t>
      </w:r>
      <w:r>
        <w:t xml:space="preserve"> </w:t>
      </w:r>
      <w:r>
        <w:t xml:space="preserve">The proposed measures are coherent with the</w:t>
      </w:r>
      <w:r>
        <w:t xml:space="preserve"> </w:t>
      </w:r>
      <w:r>
        <w:t xml:space="preserve">RIS Directive and with other EU legislation.</w:t>
      </w:r>
      <w:r>
        <w:t xml:space="preserve"> </w:t>
      </w:r>
      <w:r>
        <w:t xml:space="preserve">Conclusions on EU added value</w:t>
      </w:r>
      <w:r>
        <w:t xml:space="preserve"> </w:t>
      </w:r>
      <w:r>
        <w:t xml:space="preserve">The rationale for public intervention at EU level through the</w:t>
      </w:r>
      <w:r>
        <w:t xml:space="preserve"> </w:t>
      </w:r>
      <w:r>
        <w:t xml:space="preserve">RIS Directive is rooted in the cross-border, international</w:t>
      </w:r>
      <w:r>
        <w:t xml:space="preserve"> </w:t>
      </w:r>
      <w:r>
        <w:t xml:space="preserve">character of the inland waterway transport sector and</w:t>
      </w:r>
      <w:r>
        <w:t xml:space="preserve"> </w:t>
      </w:r>
      <w:r>
        <w:t xml:space="preserve">contributes to avoiding fragmentation between different</w:t>
      </w:r>
      <w:r>
        <w:t xml:space="preserve"> </w:t>
      </w:r>
      <w:r>
        <w:t xml:space="preserve">national or regional (e.g. between the River Commissions)</w:t>
      </w:r>
      <w:r>
        <w:t xml:space="preserve"> </w:t>
      </w:r>
      <w:r>
        <w:t xml:space="preserve">RIS implementation approaches. Stakeholders considered that</w:t>
      </w:r>
      <w:r>
        <w:t xml:space="preserve"> </w:t>
      </w:r>
      <w:r>
        <w:t xml:space="preserve">the same benefits could not have been achieved by</w:t>
      </w:r>
      <w:r>
        <w:t xml:space="preserve"> </w:t>
      </w:r>
      <w:r>
        <w:t xml:space="preserve">comparable interventions at the international, regional or</w:t>
      </w:r>
      <w:r>
        <w:t xml:space="preserve"> </w:t>
      </w:r>
      <w:r>
        <w:t xml:space="preserve">national level. However, higher benefits of digitalisation and</w:t>
      </w:r>
      <w:r>
        <w:t xml:space="preserve"> </w:t>
      </w:r>
      <w:r>
        <w:t xml:space="preserve">data exchange are hindered by the lack of full harmonisation</w:t>
      </w:r>
      <w:r>
        <w:t xml:space="preserve"> </w:t>
      </w:r>
      <w:r>
        <w:t xml:space="preserve">of data provided across the Member States.</w:t>
      </w:r>
      <w:r>
        <w:t xml:space="preserve"> </w:t>
      </w:r>
      <w:r>
        <w:t xml:space="preserve">Several policy measures are defined to further</w:t>
      </w:r>
      <w:r>
        <w:t xml:space="preserve"> </w:t>
      </w:r>
      <w:r>
        <w:t xml:space="preserve">align Member States’ implementation of RIS,</w:t>
      </w:r>
      <w:r>
        <w:t xml:space="preserve"> </w:t>
      </w:r>
      <w:r>
        <w:t xml:space="preserve">which would result in even further integration</w:t>
      </w:r>
      <w:r>
        <w:t xml:space="preserve"> </w:t>
      </w:r>
      <w:r>
        <w:t xml:space="preserve">of RIS.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ANNEX 8: EFFECTIVENESS OF THE DIFFERENT POLICY OPTIONS</w:t>
      </w:r>
      <w:r>
        <w:t xml:space="preserve"> </w:t>
      </w:r>
      <w:r>
        <w:t xml:space="preserve">This annex provides more detailed explanations on the assessment of effectiveness of the policy options, complementing the analysis in section</w:t>
      </w:r>
      <w:r>
        <w:t xml:space="preserve"> </w:t>
      </w:r>
      <w:r>
        <w:t xml:space="preserve">7.1.</w:t>
      </w:r>
      <w:r>
        <w:t xml:space="preserve"> </w:t>
      </w:r>
      <w:r>
        <w:t xml:space="preserve">Key impacts expected</w:t>
      </w:r>
      <w:r>
        <w:t xml:space="preserve"> </w:t>
      </w: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  <w:r>
        <w:t xml:space="preserve"> </w:t>
      </w:r>
      <w:r>
        <w:t xml:space="preserve">✓</w:t>
      </w:r>
      <w:r>
        <w:t xml:space="preserve"> </w:t>
      </w:r>
      <w:r>
        <w:t xml:space="preserve">✓✓</w:t>
      </w:r>
      <w:r>
        <w:t xml:space="preserve"> </w:t>
      </w:r>
      <w:r>
        <w:t xml:space="preserve">✓✓✓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negligible</w:t>
      </w:r>
      <w:r>
        <w:t xml:space="preserve"> </w:t>
      </w:r>
      <w:r>
        <w:t xml:space="preserve">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Moderately 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Specific policy objective 1: Ensure improved RIS data availability, and harmonised standards</w:t>
      </w:r>
      <w:r>
        <w:br/>
      </w:r>
      <w:r>
        <w:t xml:space="preserve">Expected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harmonisation</w:t>
      </w:r>
      <w:r>
        <w:t xml:space="preserve"> </w:t>
      </w:r>
      <w:r>
        <w:t xml:space="preserve">of</w:t>
      </w:r>
      <w:r>
        <w:t xml:space="preserve"> </w:t>
      </w:r>
      <w:r>
        <w:t xml:space="preserve">RIS</w:t>
      </w:r>
      <w:r>
        <w:t xml:space="preserve"> </w:t>
      </w:r>
      <w:r>
        <w:t xml:space="preserve">between Member States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increasing</w:t>
      </w:r>
      <w:r>
        <w:t xml:space="preserve"> </w:t>
      </w:r>
      <w:r>
        <w:t xml:space="preserve">the</w:t>
      </w:r>
      <w:r>
        <w:t xml:space="preserve"> </w:t>
      </w:r>
      <w:r>
        <w:t xml:space="preserve">harmonisation of RIS.</w:t>
      </w:r>
      <w:r>
        <w:br/>
      </w:r>
      <w:r>
        <w:t xml:space="preserve">The introduction of interpretative guidelines</w:t>
      </w:r>
      <w:r>
        <w:t xml:space="preserve"> </w:t>
      </w:r>
      <w:r>
        <w:t xml:space="preserve">for the implementation of RIS (PM1) is</w:t>
      </w:r>
      <w:r>
        <w:t xml:space="preserve"> </w:t>
      </w:r>
      <w:r>
        <w:t xml:space="preserve">expected to reduce the problems and increase</w:t>
      </w:r>
      <w:r>
        <w:t xml:space="preserve"> </w:t>
      </w:r>
      <w:r>
        <w:t xml:space="preserve">the level of harmonisation of RIS. The impact</w:t>
      </w:r>
      <w:r>
        <w:t xml:space="preserve"> </w:t>
      </w:r>
      <w:r>
        <w:t xml:space="preserve">is however expected to be limited as the</w:t>
      </w:r>
      <w:r>
        <w:t xml:space="preserve"> </w:t>
      </w:r>
      <w:r>
        <w:t xml:space="preserve">guidelines are not mandatory and may not</w:t>
      </w:r>
      <w:r>
        <w:t xml:space="preserve"> </w:t>
      </w:r>
      <w:r>
        <w:t xml:space="preserve">address all issues. This is supplemented by the</w:t>
      </w:r>
      <w:r>
        <w:t xml:space="preserve"> </w:t>
      </w:r>
      <w:r>
        <w:t xml:space="preserve">complaint</w:t>
      </w:r>
      <w:r>
        <w:t xml:space="preserve"> </w:t>
      </w:r>
      <w:r>
        <w:t xml:space="preserve">handling</w:t>
      </w:r>
      <w:r>
        <w:t xml:space="preserve"> </w:t>
      </w:r>
      <w:r>
        <w:t xml:space="preserve">mechanism</w:t>
      </w:r>
      <w:r>
        <w:t xml:space="preserve"> </w:t>
      </w:r>
      <w:r>
        <w:t xml:space="preserve">(PM2)</w:t>
      </w:r>
      <w:r>
        <w:t xml:space="preserve"> </w:t>
      </w:r>
      <w:r>
        <w:t xml:space="preserve">through which vessel operators will be able to</w:t>
      </w:r>
      <w:r>
        <w:t xml:space="preserve"> </w:t>
      </w:r>
      <w:r>
        <w:t xml:space="preserve">identify areas where harmonisation is lacking</w:t>
      </w:r>
      <w:r>
        <w:t xml:space="preserve"> </w:t>
      </w:r>
      <w:r>
        <w:t xml:space="preserve">and signal this to the relevant authorities. It is</w:t>
      </w:r>
      <w:r>
        <w:t xml:space="preserve"> </w:t>
      </w:r>
      <w:r>
        <w:t xml:space="preserve">expected that authorities will take corrective</w:t>
      </w:r>
      <w:r>
        <w:t xml:space="preserve"> </w:t>
      </w:r>
      <w:r>
        <w:t xml:space="preserve">Strong positive impact on increasing the</w:t>
      </w:r>
      <w:r>
        <w:t xml:space="preserve"> </w:t>
      </w:r>
      <w:r>
        <w:t xml:space="preserve">harmonisation of RIS.</w:t>
      </w:r>
      <w:r>
        <w:br/>
      </w:r>
      <w:r>
        <w:t xml:space="preserve">PO-B shares the same benefits as PO-A in</w:t>
      </w:r>
      <w:r>
        <w:t xml:space="preserve"> </w:t>
      </w:r>
      <w:r>
        <w:t xml:space="preserve">terms of improving harmonisation thanks to</w:t>
      </w:r>
      <w:r>
        <w:t xml:space="preserve"> </w:t>
      </w:r>
      <w:r>
        <w:t xml:space="preserve">the complaint handling mechanism (PM2),</w:t>
      </w:r>
      <w:r>
        <w:t xml:space="preserve"> </w:t>
      </w:r>
      <w:r>
        <w:t xml:space="preserve">data availability in ERDMS (PM6), and</w:t>
      </w:r>
      <w:r>
        <w:t xml:space="preserve"> </w:t>
      </w:r>
      <w:r>
        <w:t xml:space="preserve">CESNI (PM10). In place of guidelines, PO-B</w:t>
      </w:r>
      <w:r>
        <w:t xml:space="preserve"> </w:t>
      </w:r>
      <w:r>
        <w:t xml:space="preserve">is strengthening the requirements for RIS</w:t>
      </w:r>
      <w:r>
        <w:t xml:space="preserve"> </w:t>
      </w:r>
      <w:r>
        <w:t xml:space="preserve">index and introduces technical specifications</w:t>
      </w:r>
      <w:r>
        <w:t xml:space="preserve"> </w:t>
      </w:r>
      <w:r>
        <w:t xml:space="preserve">for navigation and voyage planning (PM4).</w:t>
      </w:r>
      <w:r>
        <w:t xml:space="preserve"> </w:t>
      </w:r>
      <w:r>
        <w:t xml:space="preserve">An important step forward is making the RIS</w:t>
      </w:r>
      <w:r>
        <w:t xml:space="preserve"> </w:t>
      </w:r>
      <w:r>
        <w:t xml:space="preserve">COMEX the main data exchange platform</w:t>
      </w:r>
      <w:r>
        <w:t xml:space="preserve"> </w:t>
      </w:r>
      <w:r>
        <w:t xml:space="preserve">(PM9) as this will create a “one-stop-shop”</w:t>
      </w:r>
      <w:r>
        <w:t xml:space="preserve"> </w:t>
      </w:r>
      <w:r>
        <w:t xml:space="preserve">solution for RIS users and de-facto increase</w:t>
      </w:r>
      <w:r>
        <w:t xml:space="preserve"> </w:t>
      </w:r>
      <w:r>
        <w:t xml:space="preserve">Strong positive impact on increasing the</w:t>
      </w:r>
      <w:r>
        <w:t xml:space="preserve"> </w:t>
      </w:r>
      <w:r>
        <w:t xml:space="preserve">harmonisation of RIS.</w:t>
      </w:r>
      <w:r>
        <w:t xml:space="preserve"> </w:t>
      </w:r>
      <w:r>
        <w:t xml:space="preserve">PO-C will integrate the benefits of PO-A and</w:t>
      </w:r>
      <w:r>
        <w:t xml:space="preserve"> </w:t>
      </w:r>
      <w:r>
        <w:t xml:space="preserve">PO-B and in addition, by requiring electronic</w:t>
      </w:r>
      <w:r>
        <w:t xml:space="preserve"> </w:t>
      </w:r>
      <w:r>
        <w:t xml:space="preserve">voyage plan reporting (PM5) and setting the</w:t>
      </w:r>
      <w:r>
        <w:t xml:space="preserve"> </w:t>
      </w:r>
      <w:r>
        <w:t xml:space="preserve">relevant</w:t>
      </w:r>
      <w:r>
        <w:t xml:space="preserve"> </w:t>
      </w:r>
      <w:r>
        <w:t xml:space="preserve">technical</w:t>
      </w:r>
      <w:r>
        <w:t xml:space="preserve"> </w:t>
      </w:r>
      <w:r>
        <w:t xml:space="preserve">specifications</w:t>
      </w:r>
      <w:r>
        <w:t xml:space="preserve"> </w:t>
      </w:r>
      <w:r>
        <w:t xml:space="preserve">it</w:t>
      </w:r>
      <w:r>
        <w:t xml:space="preserve"> </w:t>
      </w:r>
      <w:r>
        <w:t xml:space="preserve">will</w:t>
      </w:r>
      <w:r>
        <w:t xml:space="preserve"> </w:t>
      </w:r>
      <w:r>
        <w:t xml:space="preserve">strengthen the harmonised implementation as</w:t>
      </w:r>
      <w:r>
        <w:t xml:space="preserve"> </w:t>
      </w:r>
      <w:r>
        <w:t xml:space="preserve">regards this information. Unlike PO-A and</w:t>
      </w:r>
      <w:r>
        <w:t xml:space="preserve"> </w:t>
      </w:r>
      <w:r>
        <w:t xml:space="preserve">PO-B, PO-C will base the monitoring of</w:t>
      </w:r>
      <w:r>
        <w:t xml:space="preserve"> </w:t>
      </w:r>
      <w:r>
        <w:t xml:space="preserve">implementation on a specific performance</w:t>
      </w:r>
      <w:r>
        <w:t xml:space="preserve"> </w:t>
      </w:r>
      <w:r>
        <w:t xml:space="preserve">monitoring framework (PM3) that will be</w:t>
      </w:r>
      <w:r>
        <w:t xml:space="preserve"> </w:t>
      </w:r>
      <w:r>
        <w:t xml:space="preserve">designed to collect the necessary information</w:t>
      </w:r>
      <w:r>
        <w:t xml:space="preserve"> </w:t>
      </w:r>
      <w:r>
        <w:t xml:space="preserve">(including technical data) that would point to</w:t>
      </w:r>
      <w:r>
        <w:t xml:space="preserve"> </w:t>
      </w:r>
      <w:r>
        <w:t xml:space="preserve">areas where harmonisation needs to be</w:t>
      </w:r>
    </w:p>
    <w:p>
      <w:pPr>
        <w:pStyle w:val="BodyText"/>
      </w:pPr>
      <w:r>
        <w:t xml:space="preserve">156</w:t>
      </w:r>
      <w:r>
        <w:t xml:space="preserve"> </w:t>
      </w:r>
      <w:r>
        <w:t xml:space="preserve">action, thus further increasing harmonisation.</w:t>
      </w:r>
      <w:r>
        <w:t xml:space="preserve"> </w:t>
      </w:r>
      <w:r>
        <w:t xml:space="preserve">Both these measures are expected to have a</w:t>
      </w:r>
      <w:r>
        <w:t xml:space="preserve"> </w:t>
      </w:r>
      <w:r>
        <w:t xml:space="preserve">limited positive impact on the time vessel</w:t>
      </w:r>
      <w:r>
        <w:t xml:space="preserve"> </w:t>
      </w:r>
      <w:r>
        <w:t xml:space="preserve">operators spend in preparing a voyage.</w:t>
      </w:r>
      <w:r>
        <w:t xml:space="preserve"> </w:t>
      </w:r>
      <w:r>
        <w:t xml:space="preserve">Furthermore, requiring Member States to</w:t>
      </w:r>
      <w:r>
        <w:t xml:space="preserve"> </w:t>
      </w:r>
      <w:r>
        <w:t xml:space="preserve">provide regularly data to the ERDMS (PM6)</w:t>
      </w:r>
      <w:r>
        <w:t xml:space="preserve"> </w:t>
      </w:r>
      <w:r>
        <w:t xml:space="preserve">will increase the quality of the underlying</w:t>
      </w:r>
      <w:r>
        <w:t xml:space="preserve"> </w:t>
      </w:r>
      <w:r>
        <w:t xml:space="preserve">information provided to the users. The</w:t>
      </w:r>
      <w:r>
        <w:t xml:space="preserve"> </w:t>
      </w:r>
      <w:r>
        <w:t xml:space="preserve">nomination of CESNI for developing RIS</w:t>
      </w:r>
      <w:r>
        <w:t xml:space="preserve"> </w:t>
      </w:r>
      <w:r>
        <w:t xml:space="preserve">technical specifications (PM10) is expected to</w:t>
      </w:r>
      <w:r>
        <w:t xml:space="preserve"> </w:t>
      </w:r>
      <w:r>
        <w:t xml:space="preserve">increase the rate of development of new</w:t>
      </w:r>
      <w:r>
        <w:t xml:space="preserve"> </w:t>
      </w:r>
      <w:r>
        <w:t xml:space="preserve">technical specifications and ensure that they</w:t>
      </w:r>
      <w:r>
        <w:t xml:space="preserve"> </w:t>
      </w:r>
      <w:r>
        <w:t xml:space="preserve">are up-to-date.</w:t>
      </w:r>
      <w:r>
        <w:br/>
      </w:r>
      <w:r>
        <w:t xml:space="preserve">harmonisation as interactions will now take</w:t>
      </w:r>
      <w:r>
        <w:t xml:space="preserve"> </w:t>
      </w:r>
      <w:r>
        <w:t xml:space="preserve">place through this platform. As this platform</w:t>
      </w:r>
      <w:r>
        <w:t xml:space="preserve"> </w:t>
      </w:r>
      <w:r>
        <w:t xml:space="preserve">is already used on voluntary basis in the</w:t>
      </w:r>
      <w:r>
        <w:t xml:space="preserve"> </w:t>
      </w:r>
      <w:r>
        <w:t xml:space="preserve">baseline, the benefits compared to the baseline</w:t>
      </w:r>
      <w:r>
        <w:t xml:space="preserve"> </w:t>
      </w:r>
      <w:r>
        <w:t xml:space="preserve">are expected to be limited. However, the legal</w:t>
      </w:r>
      <w:r>
        <w:t xml:space="preserve"> </w:t>
      </w:r>
      <w:r>
        <w:t xml:space="preserve">certainty that comes with the requirement for</w:t>
      </w:r>
      <w:r>
        <w:t xml:space="preserve"> </w:t>
      </w:r>
      <w:r>
        <w:t xml:space="preserve">its use ensures harmonisation as interaction</w:t>
      </w:r>
      <w:r>
        <w:t xml:space="preserve"> </w:t>
      </w:r>
      <w:r>
        <w:t xml:space="preserve">with national systems will be limited if not</w:t>
      </w:r>
      <w:r>
        <w:t xml:space="preserve"> </w:t>
      </w:r>
      <w:r>
        <w:t xml:space="preserve">completely replaced.</w:t>
      </w:r>
    </w:p>
    <w:p>
      <w:pPr>
        <w:pStyle w:val="BodyText"/>
      </w:pPr>
      <w:r>
        <w:t xml:space="preserve">improved. In addition, Member States will be</w:t>
      </w:r>
      <w:r>
        <w:t xml:space="preserve"> </w:t>
      </w:r>
      <w:r>
        <w:t xml:space="preserve">required to share all necessary data for traffic</w:t>
      </w:r>
      <w:r>
        <w:t xml:space="preserve"> </w:t>
      </w:r>
      <w:r>
        <w:t xml:space="preserve">and</w:t>
      </w:r>
      <w:r>
        <w:t xml:space="preserve"> </w:t>
      </w:r>
      <w:r>
        <w:t xml:space="preserve">transport</w:t>
      </w:r>
      <w:r>
        <w:t xml:space="preserve"> </w:t>
      </w:r>
      <w:r>
        <w:t xml:space="preserve">management</w:t>
      </w:r>
      <w:r>
        <w:t xml:space="preserve"> </w:t>
      </w:r>
      <w:r>
        <w:t xml:space="preserve">cross-border</w:t>
      </w:r>
      <w:r>
        <w:t xml:space="preserve"> </w:t>
      </w:r>
      <w:r>
        <w:t xml:space="preserve">(PM15) thus reducing the need for re-</w:t>
      </w:r>
      <w:r>
        <w:t xml:space="preserve"> </w:t>
      </w:r>
      <w:r>
        <w:t xml:space="preserve">submissions of reports to different national</w:t>
      </w:r>
      <w:r>
        <w:t xml:space="preserve"> </w:t>
      </w:r>
      <w:r>
        <w:t xml:space="preserve">systems.</w:t>
      </w:r>
    </w:p>
    <w:p>
      <w:pPr>
        <w:pStyle w:val="BodyText"/>
      </w:pPr>
      <w:r>
        <w:t xml:space="preserve">Specific policy objective 2: Facilitate the integration of IWT into the multimodal chain</w:t>
      </w:r>
      <w:r>
        <w:t xml:space="preserve"> </w:t>
      </w:r>
      <w:r>
        <w:t xml:space="preserve">Expected increase in IWT</w:t>
      </w:r>
      <w:r>
        <w:t xml:space="preserve"> </w:t>
      </w:r>
      <w:r>
        <w:t xml:space="preserve">operation performance</w:t>
      </w:r>
      <w:r>
        <w:t xml:space="preserve"> </w:t>
      </w:r>
      <w:r>
        <w:t xml:space="preserve">Positive impact on increasing IWT operational</w:t>
      </w:r>
      <w:r>
        <w:t xml:space="preserve"> </w:t>
      </w:r>
      <w:r>
        <w:t xml:space="preserve">performance.</w:t>
      </w:r>
      <w:r>
        <w:br/>
      </w:r>
      <w:r>
        <w:t xml:space="preserve">The introduction of guidelines (PM1) will</w:t>
      </w:r>
      <w:r>
        <w:t xml:space="preserve"> </w:t>
      </w:r>
      <w:r>
        <w:t xml:space="preserve">reduce</w:t>
      </w:r>
      <w:r>
        <w:t xml:space="preserve"> </w:t>
      </w:r>
      <w:r>
        <w:t xml:space="preserve">the</w:t>
      </w:r>
      <w:r>
        <w:t xml:space="preserve"> </w:t>
      </w:r>
      <w:r>
        <w:t xml:space="preserve">harmonisation</w:t>
      </w:r>
      <w:r>
        <w:t xml:space="preserve"> </w:t>
      </w:r>
      <w:r>
        <w:t xml:space="preserve">problems</w:t>
      </w:r>
      <w:r>
        <w:t xml:space="preserve"> </w:t>
      </w:r>
      <w:r>
        <w:t xml:space="preserve">in</w:t>
      </w:r>
      <w:r>
        <w:t xml:space="preserve"> </w:t>
      </w:r>
      <w:r>
        <w:t xml:space="preserve">implementation among Member States. As a</w:t>
      </w:r>
      <w:r>
        <w:t xml:space="preserve"> </w:t>
      </w:r>
      <w:r>
        <w:t xml:space="preserve">results vessel operators will be faced with less</w:t>
      </w:r>
      <w:r>
        <w:t xml:space="preserve"> </w:t>
      </w:r>
      <w:r>
        <w:t xml:space="preserve">inconsistent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 procedures,</w:t>
      </w:r>
      <w:r>
        <w:t xml:space="preserve"> </w:t>
      </w:r>
      <w:r>
        <w:t xml:space="preserve">which</w:t>
      </w:r>
      <w:r>
        <w:t xml:space="preserve"> </w:t>
      </w:r>
      <w:r>
        <w:t xml:space="preserve">will</w:t>
      </w:r>
      <w:r>
        <w:t xml:space="preserve"> </w:t>
      </w:r>
      <w:r>
        <w:t xml:space="preserve">facilitate</w:t>
      </w:r>
      <w:r>
        <w:t xml:space="preserve"> </w:t>
      </w:r>
      <w:r>
        <w:t xml:space="preserve">their</w:t>
      </w:r>
      <w:r>
        <w:t xml:space="preserve"> </w:t>
      </w:r>
      <w:r>
        <w:t xml:space="preserve">operational</w:t>
      </w:r>
      <w:r>
        <w:t xml:space="preserve"> </w:t>
      </w:r>
      <w:r>
        <w:t xml:space="preserve">performance and reduce efforts.</w:t>
      </w:r>
    </w:p>
    <w:p>
      <w:pPr>
        <w:pStyle w:val="BodyText"/>
      </w:pPr>
      <w:r>
        <w:t xml:space="preserve">Moderate positive impact on increasing</w:t>
      </w:r>
      <w:r>
        <w:t xml:space="preserve"> </w:t>
      </w:r>
      <w:r>
        <w:t xml:space="preserve">operational performance.</w:t>
      </w:r>
      <w:r>
        <w:t xml:space="preserve"> </w:t>
      </w:r>
      <w:r>
        <w:t xml:space="preserve">PO-B is expected to increase the operational</w:t>
      </w:r>
      <w:r>
        <w:t xml:space="preserve"> </w:t>
      </w:r>
      <w:r>
        <w:t xml:space="preserve">performance of IWT as the strengthening of</w:t>
      </w:r>
      <w:r>
        <w:t xml:space="preserve"> </w:t>
      </w:r>
      <w:r>
        <w:t xml:space="preserve">RIS</w:t>
      </w:r>
      <w:r>
        <w:t xml:space="preserve"> </w:t>
      </w:r>
      <w:r>
        <w:t xml:space="preserve">Index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technical</w:t>
      </w:r>
      <w:r>
        <w:t xml:space="preserve"> </w:t>
      </w:r>
      <w:r>
        <w:t xml:space="preserve">specifications on navigation and voyage</w:t>
      </w:r>
      <w:r>
        <w:t xml:space="preserve"> </w:t>
      </w:r>
      <w:r>
        <w:t xml:space="preserve">planning (PM4), and the increased links with</w:t>
      </w:r>
      <w:r>
        <w:t xml:space="preserve"> </w:t>
      </w:r>
      <w:r>
        <w:t xml:space="preserve">the systems of other modes (PM14), are</w:t>
      </w:r>
      <w:r>
        <w:t xml:space="preserve"> </w:t>
      </w:r>
      <w:r>
        <w:t xml:space="preserve">expected to improve the planning and</w:t>
      </w:r>
      <w:r>
        <w:t xml:space="preserve"> </w:t>
      </w:r>
      <w:r>
        <w:t xml:space="preserve">efficiency of operations, which will ultimately</w:t>
      </w:r>
      <w:r>
        <w:t xml:space="preserve"> </w:t>
      </w:r>
      <w:r>
        <w:t xml:space="preserve">lead to better inclusion of inland waterways</w:t>
      </w:r>
      <w:r>
        <w:t xml:space="preserve"> </w:t>
      </w:r>
      <w:r>
        <w:t xml:space="preserve">transport into the logistics chain. These</w:t>
      </w:r>
      <w:r>
        <w:t xml:space="preserve"> </w:t>
      </w:r>
      <w:r>
        <w:t xml:space="preserve">measures are estimated to lead to a shift of</w:t>
      </w:r>
      <w:r>
        <w:t xml:space="preserve"> </w:t>
      </w:r>
      <w:r>
        <w:t xml:space="preserve">freight from road transport to IWT, estimated</w:t>
      </w:r>
      <w:r>
        <w:t xml:space="preserve"> </w:t>
      </w:r>
      <w:r>
        <w:t xml:space="preserve">at 0.38 billion tkm in 2030 and 0.45 billion</w:t>
      </w:r>
      <w:r>
        <w:t xml:space="preserve"> </w:t>
      </w:r>
      <w:r>
        <w:t xml:space="preserve">tkm in 2050 relative to the baseline. As a</w:t>
      </w:r>
      <w:r>
        <w:t xml:space="preserve"> </w:t>
      </w:r>
      <w:r>
        <w:t xml:space="preserve">result, CO2 emissions are projected to</w:t>
      </w:r>
      <w:r>
        <w:t xml:space="preserve"> </w:t>
      </w:r>
      <w:r>
        <w:t xml:space="preserve">decrease by 389.1 thousand tonnes during</w:t>
      </w:r>
      <w:r>
        <w:t xml:space="preserve"> </w:t>
      </w:r>
      <w:r>
        <w:t xml:space="preserve">2025-2050 (cumulatively), relative to the</w:t>
      </w:r>
      <w:r>
        <w:t xml:space="preserve"> </w:t>
      </w:r>
      <w:r>
        <w:t xml:space="preserve">Strong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increasing</w:t>
      </w:r>
      <w:r>
        <w:t xml:space="preserve"> </w:t>
      </w:r>
      <w:r>
        <w:t xml:space="preserve">operational performance.</w:t>
      </w:r>
      <w:r>
        <w:br/>
      </w:r>
      <w:r>
        <w:t xml:space="preserve">PO-C includes the same benefits as PO-B. In</w:t>
      </w:r>
      <w:r>
        <w:t xml:space="preserve"> </w:t>
      </w:r>
      <w:r>
        <w:t xml:space="preserve">addition, by requiring electronic voyage plan</w:t>
      </w:r>
      <w:r>
        <w:t xml:space="preserve"> </w:t>
      </w:r>
      <w:r>
        <w:t xml:space="preserve">reporting (PM5), it will allow competent</w:t>
      </w:r>
      <w:r>
        <w:t xml:space="preserve"> </w:t>
      </w:r>
      <w:r>
        <w:t xml:space="preserve">authorities to better manage traffic which in</w:t>
      </w:r>
      <w:r>
        <w:t xml:space="preserve"> </w:t>
      </w:r>
      <w:r>
        <w:t xml:space="preserve">turn will allow vessel operators to navigate in</w:t>
      </w:r>
      <w:r>
        <w:t xml:space="preserve"> </w:t>
      </w:r>
      <w:r>
        <w:t xml:space="preserve">a more efficient manner which translates in</w:t>
      </w:r>
      <w:r>
        <w:t xml:space="preserve"> </w:t>
      </w:r>
      <w:r>
        <w:t xml:space="preserve">reduced fuel consumption. Overall, in PO-C</w:t>
      </w:r>
      <w:r>
        <w:t xml:space="preserve"> </w:t>
      </w:r>
      <w:r>
        <w:t xml:space="preserve">CO2 emissions are projected to decrease by</w:t>
      </w:r>
      <w:r>
        <w:t xml:space="preserve"> </w:t>
      </w:r>
      <w:r>
        <w:t xml:space="preserve">832.1 thousand tonnes during 2025-2050</w:t>
      </w:r>
      <w:r>
        <w:t xml:space="preserve"> </w:t>
      </w:r>
      <w:r>
        <w:t xml:space="preserve">(cumulatively), relative to the baseline.</w:t>
      </w:r>
    </w:p>
    <w:p>
      <w:pPr>
        <w:pStyle w:val="BodyText"/>
      </w:pPr>
      <w:r>
        <w:t xml:space="preserve">157</w:t>
      </w:r>
      <w:r>
        <w:t xml:space="preserve"> </w:t>
      </w:r>
      <w:r>
        <w:t xml:space="preserve">baseline.</w:t>
      </w:r>
      <w:r>
        <w:br/>
      </w:r>
      <w:r>
        <w:t xml:space="preserve">Expected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exchanges</w:t>
      </w:r>
      <w:r>
        <w:t xml:space="preserve"> </w:t>
      </w:r>
      <w:r>
        <w:t xml:space="preserve">with</w:t>
      </w:r>
      <w:r>
        <w:t xml:space="preserve"> </w:t>
      </w:r>
      <w:r>
        <w:t xml:space="preserve">other</w:t>
      </w:r>
      <w:r>
        <w:t xml:space="preserve"> </w:t>
      </w:r>
      <w:r>
        <w:t xml:space="preserve">transport modes</w:t>
      </w:r>
      <w:r>
        <w:t xml:space="preserve"> </w:t>
      </w:r>
      <w:r>
        <w:t xml:space="preserve">Positive but limited impact on exchanges with</w:t>
      </w:r>
      <w:r>
        <w:t xml:space="preserve"> </w:t>
      </w:r>
      <w:r>
        <w:t xml:space="preserve">other transport modes.</w:t>
      </w:r>
      <w:r>
        <w:t xml:space="preserve"> </w:t>
      </w:r>
      <w:r>
        <w:t xml:space="preserve">In PO-A the links with other modes are</w:t>
      </w:r>
      <w:r>
        <w:t xml:space="preserve"> </w:t>
      </w:r>
      <w:r>
        <w:t xml:space="preserve">introduced through the option for skippers to</w:t>
      </w:r>
      <w:r>
        <w:t xml:space="preserve"> </w:t>
      </w:r>
      <w:r>
        <w:t xml:space="preserve">submit</w:t>
      </w:r>
      <w:r>
        <w:t xml:space="preserve"> </w:t>
      </w:r>
      <w:r>
        <w:t xml:space="preserve">the</w:t>
      </w:r>
      <w:r>
        <w:t xml:space="preserve"> </w:t>
      </w:r>
      <w:r>
        <w:t xml:space="preserve">required</w:t>
      </w:r>
      <w:r>
        <w:t xml:space="preserve"> </w:t>
      </w:r>
      <w:r>
        <w:t xml:space="preserve">cargo</w:t>
      </w:r>
      <w:r>
        <w:t xml:space="preserve"> </w:t>
      </w:r>
      <w:r>
        <w:t xml:space="preserve">information</w:t>
      </w:r>
      <w:r>
        <w:t xml:space="preserve"> </w:t>
      </w:r>
      <w:r>
        <w:t xml:space="preserve">(dangerous goods) though an eFTI platform</w:t>
      </w:r>
      <w:r>
        <w:t xml:space="preserve"> </w:t>
      </w:r>
      <w:r>
        <w:t xml:space="preserve">(PM7). This will allow authorities to consider</w:t>
      </w:r>
      <w:r>
        <w:t xml:space="preserve"> </w:t>
      </w:r>
      <w:r>
        <w:t xml:space="preserve">this information for intermodal transport</w:t>
      </w:r>
      <w:r>
        <w:t xml:space="preserve"> </w:t>
      </w:r>
      <w:r>
        <w:t xml:space="preserve">purposes. To the extent this is voluntary and</w:t>
      </w:r>
      <w:r>
        <w:t xml:space="preserve"> </w:t>
      </w:r>
      <w:r>
        <w:t xml:space="preserve">the potential for further use of this information</w:t>
      </w:r>
      <w:r>
        <w:t xml:space="preserve"> </w:t>
      </w:r>
      <w:r>
        <w:t xml:space="preserve">is unknown this is expected to have a positive</w:t>
      </w:r>
      <w:r>
        <w:t xml:space="preserve"> </w:t>
      </w:r>
      <w:r>
        <w:t xml:space="preserve">but limited impact.</w:t>
      </w:r>
      <w:r>
        <w:br/>
      </w:r>
      <w:r>
        <w:t xml:space="preserve">Moderate positive impact on exchanges with</w:t>
      </w:r>
      <w:r>
        <w:t xml:space="preserve"> </w:t>
      </w:r>
      <w:r>
        <w:t xml:space="preserve">other transport modes.</w:t>
      </w:r>
      <w:r>
        <w:t xml:space="preserve"> </w:t>
      </w:r>
      <w:r>
        <w:t xml:space="preserve">In PO-B the links for data exchanges with</w:t>
      </w:r>
      <w:r>
        <w:t xml:space="preserve"> </w:t>
      </w:r>
      <w:r>
        <w:t xml:space="preserve">other transport modes are improved. First, the</w:t>
      </w:r>
      <w:r>
        <w:t xml:space="preserve"> </w:t>
      </w:r>
      <w:r>
        <w:t xml:space="preserve">use of the eFTI platforms becomes a</w:t>
      </w:r>
      <w:r>
        <w:t xml:space="preserve"> </w:t>
      </w:r>
      <w:r>
        <w:t xml:space="preserve">requirement for the exchange of the necessary</w:t>
      </w:r>
      <w:r>
        <w:t xml:space="preserve"> </w:t>
      </w:r>
      <w:r>
        <w:t xml:space="preserve">cargo information (PM8). In addition, PO-B</w:t>
      </w:r>
      <w:r>
        <w:t xml:space="preserve"> </w:t>
      </w:r>
      <w:r>
        <w:t xml:space="preserve">includes</w:t>
      </w:r>
      <w:r>
        <w:t xml:space="preserve"> </w:t>
      </w:r>
      <w:r>
        <w:t xml:space="preserve">a</w:t>
      </w:r>
      <w:r>
        <w:t xml:space="preserve"> </w:t>
      </w:r>
      <w:r>
        <w:t xml:space="preserve">requirement</w:t>
      </w:r>
      <w:r>
        <w:t xml:space="preserve"> </w:t>
      </w:r>
      <w:r>
        <w:t xml:space="preserve">for</w:t>
      </w:r>
      <w:r>
        <w:t xml:space="preserve"> </w:t>
      </w:r>
      <w:r>
        <w:t xml:space="preserve">introducing</w:t>
      </w:r>
      <w:r>
        <w:t xml:space="preserve"> </w:t>
      </w:r>
      <w:r>
        <w:t xml:space="preserve">technical links with the systems used by other</w:t>
      </w:r>
      <w:r>
        <w:t xml:space="preserve"> </w:t>
      </w:r>
      <w:r>
        <w:t xml:space="preserve">modes</w:t>
      </w:r>
      <w:r>
        <w:t xml:space="preserve"> </w:t>
      </w:r>
      <w:r>
        <w:t xml:space="preserve">(PM14).</w:t>
      </w:r>
      <w:r>
        <w:t xml:space="preserve"> </w:t>
      </w:r>
      <w:r>
        <w:t xml:space="preserve">Furthermore,</w:t>
      </w:r>
      <w:r>
        <w:t xml:space="preserve"> </w:t>
      </w:r>
      <w:r>
        <w:t xml:space="preserve">technical</w:t>
      </w:r>
      <w:r>
        <w:t xml:space="preserve"> </w:t>
      </w:r>
      <w:r>
        <w:t xml:space="preserve">specifications for the exchange of information</w:t>
      </w:r>
      <w:r>
        <w:t xml:space="preserve"> </w:t>
      </w:r>
      <w:r>
        <w:t xml:space="preserve">with inland ports through RIS (PM12) are</w:t>
      </w:r>
      <w:r>
        <w:t xml:space="preserve"> </w:t>
      </w:r>
      <w:r>
        <w:t xml:space="preserve">introduced, to be used on a voluntary basis.</w:t>
      </w:r>
      <w:r>
        <w:t xml:space="preserve"> </w:t>
      </w:r>
      <w:r>
        <w:t xml:space="preserve">Finally, harmonising the scope of RIS with</w:t>
      </w:r>
      <w:r>
        <w:t xml:space="preserve"> </w:t>
      </w:r>
      <w:r>
        <w:t xml:space="preserve">that of TEN-T (PM11) will provide a positive</w:t>
      </w:r>
      <w:r>
        <w:t xml:space="preserve"> </w:t>
      </w:r>
      <w:r>
        <w:t xml:space="preserve">signal in terms of intermodality.</w:t>
      </w:r>
      <w:r>
        <w:br/>
      </w:r>
      <w:r>
        <w:t xml:space="preserve">Strong positive impact on exchanges with</w:t>
      </w:r>
      <w:r>
        <w:t xml:space="preserve"> </w:t>
      </w:r>
      <w:r>
        <w:t xml:space="preserve">other transport modes.</w:t>
      </w:r>
      <w:r>
        <w:t xml:space="preserve"> </w:t>
      </w:r>
      <w:r>
        <w:t xml:space="preserve">In PO-C the links for exchanging information</w:t>
      </w:r>
      <w:r>
        <w:t xml:space="preserve"> </w:t>
      </w:r>
      <w:r>
        <w:t xml:space="preserve">with other modes are slightly strengthened</w:t>
      </w:r>
      <w:r>
        <w:t xml:space="preserve"> </w:t>
      </w:r>
      <w:r>
        <w:t xml:space="preserve">compared with PO-B, as the exchange of</w:t>
      </w:r>
      <w:r>
        <w:t xml:space="preserve"> </w:t>
      </w:r>
      <w:r>
        <w:t xml:space="preserve">information with inland ports through RIS is</w:t>
      </w:r>
      <w:r>
        <w:t xml:space="preserve"> </w:t>
      </w:r>
      <w:r>
        <w:t xml:space="preserve">mandatory (PM13). The overall impact is</w:t>
      </w:r>
      <w:r>
        <w:t xml:space="preserve"> </w:t>
      </w:r>
      <w:r>
        <w:t xml:space="preserve">however considered to be moderate as further</w:t>
      </w:r>
      <w:r>
        <w:t xml:space="preserve"> </w:t>
      </w:r>
      <w:r>
        <w:t xml:space="preserve">steps will need to be undertaken by other</w:t>
      </w:r>
      <w:r>
        <w:t xml:space="preserve"> </w:t>
      </w:r>
      <w:r>
        <w:t xml:space="preserve">modes (and other initiatives) for the full</w:t>
      </w:r>
      <w:r>
        <w:t xml:space="preserve"> </w:t>
      </w:r>
      <w:r>
        <w:t xml:space="preserve">impact to materialise.</w:t>
      </w:r>
    </w:p>
    <w:p>
      <w:pPr>
        <w:pStyle w:val="BodyText"/>
      </w:pPr>
      <w:r>
        <w:t xml:space="preserve">Specific policy objective 3: Ensure higher uptake and interoperability of digital solutions, and address data protection concerns.</w:t>
      </w:r>
      <w:r>
        <w:t xml:space="preserve"> </w:t>
      </w:r>
      <w:r>
        <w:t xml:space="preserve">Expected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of process for RIS data</w:t>
      </w:r>
      <w:r>
        <w:t xml:space="preserve"> </w:t>
      </w:r>
      <w:r>
        <w:t xml:space="preserve">exchange</w:t>
      </w:r>
      <w:r>
        <w:t xml:space="preserve"> </w:t>
      </w:r>
      <w:r>
        <w:t xml:space="preserve">Positive impact on the simplification of the</w:t>
      </w:r>
      <w:r>
        <w:t xml:space="preserve"> </w:t>
      </w:r>
      <w:r>
        <w:t xml:space="preserve">process for RIS data exchange</w:t>
      </w:r>
      <w:r>
        <w:t xml:space="preserve"> </w:t>
      </w:r>
      <w:r>
        <w:t xml:space="preserve">PO-A will simplify the process for data</w:t>
      </w:r>
      <w:r>
        <w:t xml:space="preserve"> </w:t>
      </w:r>
      <w:r>
        <w:t xml:space="preserve">exchange as through the use of updated</w:t>
      </w:r>
      <w:r>
        <w:t xml:space="preserve"> </w:t>
      </w:r>
      <w:r>
        <w:t xml:space="preserve">technical specifications (PM10). Furthermore,</w:t>
      </w:r>
      <w:r>
        <w:t xml:space="preserve"> </w:t>
      </w:r>
      <w:r>
        <w:t xml:space="preserve">by clarifying the legal basis and when and</w:t>
      </w:r>
      <w:r>
        <w:t xml:space="preserve"> </w:t>
      </w:r>
      <w:r>
        <w:t xml:space="preserve">how personal data can be handled by national</w:t>
      </w:r>
      <w:r>
        <w:t xml:space="preserve"> </w:t>
      </w:r>
      <w:r>
        <w:t xml:space="preserve">administrations (PM16) will result in further</w:t>
      </w:r>
      <w:r>
        <w:t xml:space="preserve"> </w:t>
      </w:r>
      <w:r>
        <w:t xml:space="preserve">simplification of the process.</w:t>
      </w:r>
      <w:r>
        <w:t xml:space="preserve"> </w:t>
      </w:r>
      <w:r>
        <w:t xml:space="preserve">Strong positive impact on the simplification of</w:t>
      </w:r>
      <w:r>
        <w:t xml:space="preserve"> </w:t>
      </w:r>
      <w:r>
        <w:t xml:space="preserve">the process for RIS data exchange</w:t>
      </w:r>
      <w:r>
        <w:t xml:space="preserve"> </w:t>
      </w:r>
      <w:r>
        <w:t xml:space="preserve">PO-B further simplifies the process of data</w:t>
      </w:r>
      <w:r>
        <w:t xml:space="preserve"> </w:t>
      </w:r>
      <w:r>
        <w:t xml:space="preserve">exchange, by introducing RIS-COMEX as the</w:t>
      </w:r>
      <w:r>
        <w:t xml:space="preserve"> </w:t>
      </w:r>
      <w:r>
        <w:t xml:space="preserve">main platform (PM9), as now RIS users will</w:t>
      </w:r>
      <w:r>
        <w:t xml:space="preserve"> </w:t>
      </w:r>
      <w:r>
        <w:t xml:space="preserve">have to mainly interact with one platform</w:t>
      </w:r>
      <w:r>
        <w:t xml:space="preserve"> </w:t>
      </w:r>
      <w:r>
        <w:t xml:space="preserve">instead of several national ones.</w:t>
      </w:r>
    </w:p>
    <w:p>
      <w:pPr>
        <w:pStyle w:val="BodyText"/>
      </w:pPr>
      <w:r>
        <w:t xml:space="preserve">Strong positive impact on the simplification of</w:t>
      </w:r>
      <w:r>
        <w:t xml:space="preserve"> </w:t>
      </w:r>
      <w:r>
        <w:t xml:space="preserve">the process for RIS data exchange</w:t>
      </w:r>
      <w:r>
        <w:t xml:space="preserve"> </w:t>
      </w:r>
      <w:r>
        <w:t xml:space="preserve">In addition to PO-B, PO-C also harmonises the</w:t>
      </w:r>
      <w:r>
        <w:t xml:space="preserve"> </w:t>
      </w:r>
      <w:r>
        <w:t xml:space="preserve">voyage plan reporting through electronic</w:t>
      </w:r>
      <w:r>
        <w:t xml:space="preserve"> </w:t>
      </w:r>
      <w:r>
        <w:t xml:space="preserve">means (PM5) which should facilitate the</w:t>
      </w:r>
      <w:r>
        <w:t xml:space="preserve"> </w:t>
      </w:r>
      <w:r>
        <w:t xml:space="preserve">processing of this information. In addition, by</w:t>
      </w:r>
      <w:r>
        <w:t xml:space="preserve"> </w:t>
      </w:r>
      <w:r>
        <w:t xml:space="preserve">requiring</w:t>
      </w:r>
      <w:r>
        <w:t xml:space="preserve"> </w:t>
      </w:r>
      <w:r>
        <w:t xml:space="preserve">that</w:t>
      </w:r>
      <w:r>
        <w:t xml:space="preserve"> </w:t>
      </w:r>
      <w:r>
        <w:t xml:space="preserve">traffic</w:t>
      </w:r>
      <w:r>
        <w:t xml:space="preserve"> </w:t>
      </w:r>
      <w:r>
        <w:t xml:space="preserve">and</w:t>
      </w:r>
      <w:r>
        <w:t xml:space="preserve"> </w:t>
      </w:r>
      <w:r>
        <w:t xml:space="preserve">transport</w:t>
      </w:r>
      <w:r>
        <w:t xml:space="preserve"> </w:t>
      </w:r>
      <w:r>
        <w:t xml:space="preserve">management data is shared cross-border</w:t>
      </w:r>
      <w:r>
        <w:t xml:space="preserve"> </w:t>
      </w:r>
      <w:r>
        <w:t xml:space="preserve">(PM15), the number of resubmissions should</w:t>
      </w:r>
      <w:r>
        <w:t xml:space="preserve"> </w:t>
      </w:r>
      <w:r>
        <w:t xml:space="preserve">be</w:t>
      </w:r>
      <w:r>
        <w:t xml:space="preserve"> </w:t>
      </w:r>
      <w:r>
        <w:t xml:space="preserve">reduced.</w:t>
      </w:r>
      <w:r>
        <w:t xml:space="preserve"> </w:t>
      </w:r>
      <w:r>
        <w:t xml:space="preserve">PO-C</w:t>
      </w:r>
      <w:r>
        <w:t xml:space="preserve"> </w:t>
      </w:r>
      <w:r>
        <w:t xml:space="preserve">also</w:t>
      </w:r>
      <w:r>
        <w:t xml:space="preserve"> </w:t>
      </w:r>
      <w:r>
        <w:t xml:space="preserve">envisages</w:t>
      </w:r>
      <w:r>
        <w:t xml:space="preserve"> </w:t>
      </w:r>
      <w:r>
        <w:t xml:space="preserve">the</w:t>
      </w:r>
      <w:r>
        <w:t xml:space="preserve"> </w:t>
      </w:r>
      <w:r>
        <w:t xml:space="preserve">introduction of specific forms for the sharing</w:t>
      </w:r>
      <w:r>
        <w:t xml:space="preserve"> </w:t>
      </w:r>
      <w:r>
        <w:t xml:space="preserve">of personal data (PM17) which would simplify</w:t>
      </w:r>
      <w:r>
        <w:t xml:space="preserve"> </w:t>
      </w:r>
      <w:r>
        <w:t xml:space="preserve">the process.</w:t>
      </w:r>
    </w:p>
    <w:p>
      <w:pPr>
        <w:pStyle w:val="BodyText"/>
      </w:pPr>
      <w:r>
        <w:t xml:space="preserve">158</w:t>
      </w:r>
      <w:r>
        <w:t xml:space="preserve"> </w:t>
      </w:r>
      <w:r>
        <w:t xml:space="preserve">Source: European Commission</w:t>
      </w:r>
    </w:p>
    <w:p>
      <w:pPr>
        <w:pStyle w:val="BodyText"/>
      </w:pPr>
      <w:r>
        <w:t xml:space="preserve">Expected</w:t>
      </w:r>
      <w:r>
        <w:t xml:space="preserve"> </w:t>
      </w:r>
      <w:r>
        <w:t xml:space="preserve">uptake</w:t>
      </w:r>
      <w:r>
        <w:t xml:space="preserve"> </w:t>
      </w:r>
      <w:r>
        <w:t xml:space="preserve">of</w:t>
      </w:r>
      <w:r>
        <w:t xml:space="preserve"> </w:t>
      </w:r>
      <w:r>
        <w:t xml:space="preserve">digital solutions</w:t>
      </w:r>
      <w:r>
        <w:t xml:space="preserve"> </w:t>
      </w:r>
      <w:r>
        <w:t xml:space="preserve">Positive but limited impact on the uptake of</w:t>
      </w:r>
      <w:r>
        <w:t xml:space="preserve"> </w:t>
      </w:r>
      <w:r>
        <w:t xml:space="preserve">digital solutions.</w:t>
      </w:r>
      <w:r>
        <w:t xml:space="preserve"> </w:t>
      </w:r>
      <w:r>
        <w:t xml:space="preserve">PO-A will have a positive but limited impact</w:t>
      </w:r>
      <w:r>
        <w:t xml:space="preserve"> </w:t>
      </w:r>
      <w:r>
        <w:t xml:space="preserve">on the uptake of digital solutions. The use of</w:t>
      </w:r>
      <w:r>
        <w:t xml:space="preserve"> </w:t>
      </w:r>
      <w:r>
        <w:t xml:space="preserve">the eFTI platforms for the exchange of</w:t>
      </w:r>
      <w:r>
        <w:t xml:space="preserve"> </w:t>
      </w:r>
      <w:r>
        <w:t xml:space="preserve">information (PM7) is expected to provide a</w:t>
      </w:r>
      <w:r>
        <w:t xml:space="preserve"> </w:t>
      </w:r>
      <w:r>
        <w:t xml:space="preserve">simplified option to vessel operators.</w:t>
      </w:r>
      <w:r>
        <w:t xml:space="preserve"> </w:t>
      </w:r>
      <w:r>
        <w:t xml:space="preserve">Moderate positive impact on the uptake of</w:t>
      </w:r>
      <w:r>
        <w:t xml:space="preserve"> </w:t>
      </w:r>
      <w:r>
        <w:t xml:space="preserve">digital solutions.</w:t>
      </w:r>
      <w:r>
        <w:t xml:space="preserve"> </w:t>
      </w:r>
      <w:r>
        <w:t xml:space="preserve">In PO-B, the use of RIS COMEX (PM9) will</w:t>
      </w:r>
      <w:r>
        <w:t xml:space="preserve"> </w:t>
      </w:r>
      <w:r>
        <w:t xml:space="preserve">be</w:t>
      </w:r>
      <w:r>
        <w:t xml:space="preserve"> </w:t>
      </w:r>
      <w:r>
        <w:t xml:space="preserve">an</w:t>
      </w:r>
      <w:r>
        <w:t xml:space="preserve"> </w:t>
      </w:r>
      <w:r>
        <w:t xml:space="preserve">important</w:t>
      </w:r>
      <w:r>
        <w:t xml:space="preserve"> </w:t>
      </w:r>
      <w:r>
        <w:t xml:space="preserve">development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simplification in the use of RIS will help</w:t>
      </w:r>
      <w:r>
        <w:t xml:space="preserve"> </w:t>
      </w:r>
      <w:r>
        <w:t xml:space="preserve">vessel operators to accept digital solutions.</w:t>
      </w:r>
      <w:r>
        <w:t xml:space="preserve"> </w:t>
      </w:r>
      <w:r>
        <w:t xml:space="preserve">Furthermore, as reporting dangerous goods</w:t>
      </w:r>
      <w:r>
        <w:t xml:space="preserve"> </w:t>
      </w:r>
      <w:r>
        <w:t xml:space="preserve">through eFTI (PM8) will become mandatory it</w:t>
      </w:r>
      <w:r>
        <w:t xml:space="preserve"> </w:t>
      </w:r>
      <w:r>
        <w:t xml:space="preserve">will de facto increase the use of digital</w:t>
      </w:r>
      <w:r>
        <w:t xml:space="preserve"> </w:t>
      </w:r>
      <w:r>
        <w:t xml:space="preserve">systems.</w:t>
      </w:r>
      <w:r>
        <w:t xml:space="preserve"> </w:t>
      </w:r>
      <w:r>
        <w:t xml:space="preserve">The</w:t>
      </w:r>
      <w:r>
        <w:t xml:space="preserve"> </w:t>
      </w:r>
      <w:r>
        <w:t xml:space="preserve">technical</w:t>
      </w:r>
      <w:r>
        <w:t xml:space="preserve"> </w:t>
      </w:r>
      <w:r>
        <w:t xml:space="preserve">technical</w:t>
      </w:r>
      <w:r>
        <w:t xml:space="preserve"> </w:t>
      </w:r>
      <w:r>
        <w:t xml:space="preserve">specifications for links with other modes</w:t>
      </w:r>
      <w:r>
        <w:t xml:space="preserve"> </w:t>
      </w:r>
      <w:r>
        <w:t xml:space="preserve">(PM14) and those for inlands ports (PM12)</w:t>
      </w:r>
      <w:r>
        <w:t xml:space="preserve"> </w:t>
      </w:r>
      <w:r>
        <w:t xml:space="preserve">will further increase the digital options</w:t>
      </w:r>
      <w:r>
        <w:t xml:space="preserve"> </w:t>
      </w:r>
      <w:r>
        <w:t xml:space="preserve">available for RIS users.</w:t>
      </w:r>
      <w:r>
        <w:t xml:space="preserve"> </w:t>
      </w:r>
      <w:r>
        <w:t xml:space="preserve">Moderate positive impact on the uptake of</w:t>
      </w:r>
      <w:r>
        <w:t xml:space="preserve"> </w:t>
      </w:r>
      <w:r>
        <w:t xml:space="preserve">digital solutions.</w:t>
      </w:r>
      <w:r>
        <w:t xml:space="preserve"> </w:t>
      </w:r>
      <w:r>
        <w:t xml:space="preserve">PO-C will increase the uptake of digital</w:t>
      </w:r>
      <w:r>
        <w:t xml:space="preserve"> </w:t>
      </w:r>
      <w:r>
        <w:t xml:space="preserve">solutions relative to PO-B by introducing two</w:t>
      </w:r>
      <w:r>
        <w:t xml:space="preserve"> </w:t>
      </w:r>
      <w:r>
        <w:t xml:space="preserve">mandatory elements, namely, the required</w:t>
      </w:r>
      <w:r>
        <w:t xml:space="preserve"> </w:t>
      </w:r>
      <w:r>
        <w:t xml:space="preserve">reporting of voyage plans (PM5), and the</w:t>
      </w:r>
      <w:r>
        <w:t xml:space="preserve"> </w:t>
      </w:r>
      <w:r>
        <w:t xml:space="preserve">requirement to share information with inland</w:t>
      </w:r>
      <w:r>
        <w:t xml:space="preserve"> </w:t>
      </w:r>
      <w:r>
        <w:t xml:space="preserve">ports (PM13). Despite these measures, the</w:t>
      </w:r>
      <w:r>
        <w:t xml:space="preserve"> </w:t>
      </w:r>
      <w:r>
        <w:t xml:space="preserve">overall impact is still considered as moderate.</w:t>
      </w:r>
    </w:p>
    <w:p>
      <w:pPr>
        <w:pStyle w:val="BodyText"/>
      </w:pPr>
      <w:r>
        <w:t xml:space="preserve">160</w:t>
      </w:r>
      <w:r>
        <w:t xml:space="preserve"> </w:t>
      </w:r>
      <w:r>
        <w:t xml:space="preserve">ANNEX 9: OVERVIEW OF RIS</w:t>
      </w:r>
      <w:r>
        <w:t xml:space="preserve"> </w:t>
      </w:r>
      <w:r>
        <w:t xml:space="preserve">RIS are the information services to support traffic and transport management in inland</w:t>
      </w:r>
      <w:r>
        <w:t xml:space="preserve"> </w:t>
      </w:r>
      <w:r>
        <w:t xml:space="preserve">navigation258. RIS aim at contributing to a safe and efficient transport process and utilising the</w:t>
      </w:r>
      <w:r>
        <w:t xml:space="preserve"> </w:t>
      </w:r>
      <w:r>
        <w:t xml:space="preserve">inland waterways to their fullest extent. RIS are already in operation in manifold ways. RIS include</w:t>
      </w:r>
      <w:r>
        <w:t xml:space="preserve"> </w:t>
      </w:r>
      <w:r>
        <w:t xml:space="preserve">interfaces with other transport modes on sea, roads and railways. Under the current legal framework,</w:t>
      </w:r>
      <w:r>
        <w:t xml:space="preserve"> </w:t>
      </w:r>
      <w:r>
        <w:t xml:space="preserve">RIS does not include business to business commercial activities, but should be open to interface</w:t>
      </w:r>
      <w:r>
        <w:t xml:space="preserve"> </w:t>
      </w:r>
      <w:r>
        <w:t xml:space="preserve">with such activities. RIS collect, process, assess and disseminate fairway, traffic and transport</w:t>
      </w:r>
      <w:r>
        <w:t xml:space="preserve"> </w:t>
      </w:r>
      <w:r>
        <w:t xml:space="preserve">information so that they provide the following services:</w:t>
      </w:r>
      <w:r>
        <w:br/>
      </w:r>
      <w:r>
        <w:t xml:space="preserve">• Fairway Information Services: Fairway259 information is one-way information: shore to ship</w:t>
      </w:r>
      <w:r>
        <w:t xml:space="preserve"> </w:t>
      </w:r>
      <w:r>
        <w:t xml:space="preserve">or shore to stakeholder’s office and includes geographical, hydrological and administrative</w:t>
      </w:r>
      <w:r>
        <w:t xml:space="preserve"> </w:t>
      </w:r>
      <w:r>
        <w:t xml:space="preserve">information related to the waterway infrastructure and fairways in the RIS area that is required by</w:t>
      </w:r>
      <w:r>
        <w:t xml:space="preserve"> </w:t>
      </w:r>
      <w:r>
        <w:t xml:space="preserve">the RIS users to plan, execute and monitor a voyage.</w:t>
      </w:r>
      <w:r>
        <w:t xml:space="preserve"> </w:t>
      </w:r>
      <w:r>
        <w:t xml:space="preserve">• Traffic Information Services: information to support the safety and efficiency of traffic and</w:t>
      </w:r>
      <w:r>
        <w:t xml:space="preserve"> </w:t>
      </w:r>
      <w:r>
        <w:t xml:space="preserve">navigation on inland waterways.</w:t>
      </w:r>
      <w:r>
        <w:t xml:space="preserve"> </w:t>
      </w:r>
      <w:r>
        <w:t xml:space="preserve">• Traffic Management: operational service that supports traffic management processes in inland</w:t>
      </w:r>
      <w:r>
        <w:t xml:space="preserve"> </w:t>
      </w:r>
      <w:r>
        <w:t xml:space="preserve">navigation.</w:t>
      </w:r>
      <w:r>
        <w:t xml:space="preserve"> </w:t>
      </w:r>
      <w:r>
        <w:t xml:space="preserve">• Calamity Abatement Support: operational service that facilitates the actions necessary to limit</w:t>
      </w:r>
      <w:r>
        <w:t xml:space="preserve"> </w:t>
      </w:r>
      <w:r>
        <w:t xml:space="preserve">the consequences of a calamity (or accidents and incidents).</w:t>
      </w:r>
      <w:r>
        <w:t xml:space="preserve"> </w:t>
      </w:r>
      <w:r>
        <w:t xml:space="preserve">• Information for Transport Logistics: operational service that supports transport logistic</w:t>
      </w:r>
      <w:r>
        <w:t xml:space="preserve"> </w:t>
      </w:r>
      <w:r>
        <w:t xml:space="preserve">processes in inland navigation.</w:t>
      </w:r>
      <w:r>
        <w:t xml:space="preserve"> </w:t>
      </w:r>
      <w:r>
        <w:t xml:space="preserve">• Information for Law Compliance: facilitates legal compliance for the waterway users and</w:t>
      </w:r>
      <w:r>
        <w:t xml:space="preserve"> </w:t>
      </w:r>
      <w:r>
        <w:t xml:space="preserve">supports relevant agencies responsible for inland navigation law enforcement.</w:t>
      </w:r>
      <w:r>
        <w:t xml:space="preserve"> </w:t>
      </w:r>
      <w:r>
        <w:t xml:space="preserve">• Statistics: information on traffic and transport in inland navigation that is required to support</w:t>
      </w:r>
      <w:r>
        <w:t xml:space="preserve"> </w:t>
      </w:r>
      <w:r>
        <w:t xml:space="preserve">statistical processes.</w:t>
      </w:r>
      <w:r>
        <w:t xml:space="preserve"> </w:t>
      </w:r>
      <w:r>
        <w:t xml:space="preserve">• Waterway Charges and Harbour Dues: information needed to facilitate the calculation and</w:t>
      </w:r>
      <w:r>
        <w:t xml:space="preserve"> </w:t>
      </w:r>
      <w:r>
        <w:t xml:space="preserve">collection of waterway charges and harbour dues.</w:t>
      </w:r>
      <w:r>
        <w:t xml:space="preserve"> </w:t>
      </w:r>
      <w:r>
        <w:t xml:space="preserve">The provision of RIS is based on four key technologies described below, and their relationship with</w:t>
      </w:r>
      <w:r>
        <w:t xml:space="preserve"> </w:t>
      </w:r>
      <w:r>
        <w:t xml:space="preserve">the services is summarised below:</w:t>
      </w:r>
      <w:r>
        <w:t xml:space="preserve"> </w:t>
      </w:r>
      <w:r>
        <w:t xml:space="preserve">• Inland Electronic Chart Display and Information System (Inland ECDIS): on-board</w:t>
      </w:r>
      <w:r>
        <w:t xml:space="preserve"> </w:t>
      </w:r>
      <w:r>
        <w:t xml:space="preserve">computer system for the display of electronic inland navigation charts and additional information</w:t>
      </w:r>
      <w:r>
        <w:t xml:space="preserve"> </w:t>
      </w:r>
      <w:r>
        <w:t xml:space="preserve">on the vessel’s environment, contributing to the safety and efficiency of inland navigation by</w:t>
      </w:r>
      <w:r>
        <w:t xml:space="preserve"> </w:t>
      </w:r>
      <w:r>
        <w:t xml:space="preserve">reducing the workload of the skipper and increasing situational awareness.</w:t>
      </w:r>
      <w:r>
        <w:br/>
      </w:r>
      <w:r>
        <w:t xml:space="preserve">• Notices to Skippers (NtS): The Notices to Skippers serve to communicate information from</w:t>
      </w:r>
      <w:r>
        <w:t xml:space="preserve"> </w:t>
      </w:r>
      <w:r>
        <w:t xml:space="preserve">national and local fairway authorities regarding the waterway, such as the status of the inland</w:t>
      </w:r>
      <w:r>
        <w:t xml:space="preserve"> </w:t>
      </w:r>
      <w:r>
        <w:t xml:space="preserve">waterway infrastructure (i.e. bridges and locks), failures of aids to navigation, temporary</w:t>
      </w:r>
      <w:r>
        <w:t xml:space="preserve"> </w:t>
      </w:r>
      <w:r>
        <w:t xml:space="preserve">blockages of waterway sections or other types of infrastructure, works, water level and water</w:t>
      </w:r>
      <w:r>
        <w:t xml:space="preserve"> </w:t>
      </w:r>
      <w:r>
        <w:t xml:space="preserve">depth information, ice information and weather messages.</w:t>
      </w:r>
      <w:r>
        <w:br/>
      </w:r>
      <w:r>
        <w:t xml:space="preserve">• Electronic Ship Reporting International (ERI): ERI enables electronic data interchange for</w:t>
      </w:r>
      <w:r>
        <w:t xml:space="preserve"> </w:t>
      </w:r>
      <w:r>
        <w:t xml:space="preserve">reporting purposes to and between competent authorities.</w:t>
      </w:r>
    </w:p>
    <w:p>
      <w:pPr>
        <w:pStyle w:val="BodyText"/>
      </w:pPr>
      <w:r>
        <w:t xml:space="preserve">258 Inland navigation relates to all types of inland waterways such as rivers, canals, lakes, inland ports, etc. For</w:t>
      </w:r>
      <w:r>
        <w:t xml:space="preserve"> </w:t>
      </w:r>
      <w:r>
        <w:t xml:space="preserve">simplicity, the terms rivers or waterways may be used in this impact assessment report, but they should be</w:t>
      </w:r>
      <w:r>
        <w:t xml:space="preserve"> </w:t>
      </w:r>
      <w:r>
        <w:t xml:space="preserve">understood as referring to the overall inland waterways.</w:t>
      </w:r>
      <w:r>
        <w:t xml:space="preserve"> </w:t>
      </w:r>
      <w:r>
        <w:t xml:space="preserve">259 The fairway is the navigable channel in a body of water.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• Vessel Tracking and Tracing System (VTT): VTT supports on-board navigation, Vessel</w:t>
      </w:r>
      <w:r>
        <w:t xml:space="preserve"> </w:t>
      </w:r>
      <w:r>
        <w:t xml:space="preserve">Traffic Management (VTM) from shore, calamity abatement, transport management,</w:t>
      </w:r>
      <w:r>
        <w:t xml:space="preserve"> </w:t>
      </w:r>
      <w:r>
        <w:t xml:space="preserve">enforcement and waterway dues and port infrastructure charges260.</w:t>
      </w:r>
      <w:r>
        <w:br/>
      </w:r>
      <w:r>
        <w:t xml:space="preserve">Figure 27: Relation between RIS and RIS key technologies</w:t>
      </w:r>
    </w:p>
    <w:p>
      <w:pPr>
        <w:pStyle w:val="BodyText"/>
      </w:pPr>
      <w:r>
        <w:t xml:space="preserve">Source: PIANC (2011) Guidelines and Recommendations for River Information Services</w:t>
      </w:r>
      <w:r>
        <w:t xml:space="preserve"> </w:t>
      </w:r>
      <w:r>
        <w:t xml:space="preserve">Besides the RIS key technologies, RIS relies on basic technologies (such as radar and</w:t>
      </w:r>
      <w:r>
        <w:t xml:space="preserve"> </w:t>
      </w:r>
      <w:r>
        <w:t xml:space="preserve">radiotelephone services), which, for many decades, have been vital to navigation.</w:t>
      </w:r>
      <w:r>
        <w:t xml:space="preserve"> </w:t>
      </w:r>
      <w:r>
        <w:t xml:space="preserve">The current RIS structure and its interconnection with other systems is summarised in Figure 28.</w:t>
      </w:r>
    </w:p>
    <w:p>
      <w:pPr>
        <w:pStyle w:val="BodyText"/>
      </w:pPr>
      <w:r>
        <w:t xml:space="preserve">260 This information exchange is supported by Inland AIS (Automatic Identification System), a broadcast system</w:t>
      </w:r>
      <w:r>
        <w:t xml:space="preserve"> </w:t>
      </w:r>
      <w:r>
        <w:t xml:space="preserve">based on the transmission of very high frequency radio signals between shipborne AIS stations (mobile stations)</w:t>
      </w:r>
      <w:r>
        <w:t xml:space="preserve"> </w:t>
      </w:r>
      <w:r>
        <w:t xml:space="preserve">and shore AIS stations. Each type of transmission is standardised to be transmitted and received by Inland AIS</w:t>
      </w:r>
      <w:r>
        <w:t xml:space="preserve"> </w:t>
      </w:r>
      <w:r>
        <w:t xml:space="preserve">equipment.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Figure 28: RIS technologies and interconnections with other systems</w:t>
      </w:r>
    </w:p>
    <w:p>
      <w:pPr>
        <w:pStyle w:val="BodyText"/>
      </w:pPr>
      <w:r>
        <w:t xml:space="preserve">Source: European Commission (2017): Digital inland waterway areas. Towards a digital inland waterway area</w:t>
      </w:r>
      <w:r>
        <w:t xml:space="preserve"> </w:t>
      </w:r>
      <w:r>
        <w:t xml:space="preserve">and digital multimodal nodes, Final report; Note: The dotted lines indicate mandatory</w:t>
      </w:r>
      <w:r>
        <w:t xml:space="preserve"> </w:t>
      </w:r>
      <w:r>
        <w:t xml:space="preserve">systems/technologies/data exchanges which are widely implemented and used; the dotted lines indicate</w:t>
      </w:r>
      <w:r>
        <w:t xml:space="preserve"> </w:t>
      </w:r>
      <w:r>
        <w:t xml:space="preserve">systems/technologies/data exchanges used by some actors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2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2026-07-31T16:48:26Z</dcterms:created>
  <dcterms:modified xsi:type="dcterms:W3CDTF">2026-07-31T16:48:26Z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