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18.4.2024</w:t>
      </w:r>
      <w:r>
        <w:br/>
      </w:r>
      <w:r>
        <w:t xml:space="preserve">SWD(2024) 62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COMMISSION REGULATION (EU) …/…</w:t>
      </w:r>
    </w:p>
    <w:p>
      <w:pPr>
        <w:pStyle w:val="BodyText"/>
      </w:pPr>
      <w:r>
        <w:t xml:space="preserve">implementing Directive 2009/125/EC of the European Parliament and of the Council as</w:t>
      </w:r>
      <w:r>
        <w:t xml:space="preserve"> </w:t>
      </w:r>
      <w:r>
        <w:t xml:space="preserve">regards ecodesign requirements for local space heaters and separate related controls</w:t>
      </w:r>
      <w:r>
        <w:t xml:space="preserve"> </w:t>
      </w:r>
      <w:r>
        <w:t xml:space="preserve">and repealing Regulation (EU) 2015/1188</w:t>
      </w:r>
    </w:p>
    <w:p>
      <w:pPr>
        <w:pStyle w:val="BodyText"/>
      </w:pPr>
      <w:r>
        <w:t xml:space="preserve">{C(2024) 1732 final} - {SEC(2024) 124 final} - {SWD(2024) 65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………………………………. 7</w:t>
      </w:r>
      <w:r>
        <w:t xml:space="preserve"> </w:t>
      </w:r>
      <w:r>
        <w:t xml:space="preserve">1.1. EU energy and climate objectives …………………………………………………………… 7</w:t>
      </w:r>
      <w:r>
        <w:t xml:space="preserve"> </w:t>
      </w:r>
      <w:r>
        <w:t xml:space="preserve">1.2. The contribution of Ecodesign and Energy labelling …………………………………. 8</w:t>
      </w:r>
      <w:r>
        <w:t xml:space="preserve"> </w:t>
      </w:r>
      <w:r>
        <w:t xml:space="preserve">1.3. Legal context of the impact assessment …………………………………………………… 9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……………………………………………………………………………. 10</w:t>
      </w:r>
      <w:r>
        <w:t xml:space="preserve"> </w:t>
      </w:r>
      <w:r>
        <w:t xml:space="preserve">2.1. What are the problems? ……………………………………………………………………….. 10</w:t>
      </w:r>
      <w:r>
        <w:t xml:space="preserve"> </w:t>
      </w:r>
      <w:r>
        <w:t xml:space="preserve">2.1.1. The first key problem: missed in-use energy savings from local space</w:t>
      </w:r>
      <w:r>
        <w:t xml:space="preserve"> </w:t>
      </w:r>
      <w:r>
        <w:t xml:space="preserve">heaters ……………………………………………………………………………………………….. 10</w:t>
      </w:r>
      <w:r>
        <w:t xml:space="preserve"> </w:t>
      </w:r>
      <w:r>
        <w:t xml:space="preserve">2.1.2. The second key problem: market failures due to lack of regulatory</w:t>
      </w:r>
      <w:r>
        <w:t xml:space="preserve"> </w:t>
      </w:r>
      <w:r>
        <w:t xml:space="preserve">provisions on circular economy …………………………………………………………….. 11</w:t>
      </w:r>
      <w:r>
        <w:t xml:space="preserve"> </w:t>
      </w:r>
      <w:r>
        <w:t xml:space="preserve">2.2. What are the problem drivers? ……………………………………………………………… 11</w:t>
      </w:r>
      <w:r>
        <w:t xml:space="preserve"> </w:t>
      </w:r>
      <w:r>
        <w:t xml:space="preserve">2.2.1. Unclear scope of the LSH Regulation ……………………………………………………. 11</w:t>
      </w:r>
      <w:r>
        <w:t xml:space="preserve"> </w:t>
      </w:r>
      <w:r>
        <w:t xml:space="preserve">2.2.2. Restrictive scope of the LSH Regulation ……………………………………………….. 12</w:t>
      </w:r>
      <w:r>
        <w:t xml:space="preserve"> </w:t>
      </w:r>
      <w:r>
        <w:t xml:space="preserve">2.2.3. Inadequate definitions concerning gas and liquid fuel local space heaters . 13</w:t>
      </w:r>
      <w:r>
        <w:t xml:space="preserve"> </w:t>
      </w:r>
      <w:r>
        <w:t xml:space="preserve">2.2.4. Circular economy: insufficient availability of spare parts ………………………… 13</w:t>
      </w:r>
      <w:r>
        <w:t xml:space="preserve"> </w:t>
      </w:r>
      <w:r>
        <w:t xml:space="preserve">2.2.5. Circular economy: lack of rules on upgradability of controllers ………………… 13</w:t>
      </w:r>
      <w:r>
        <w:t xml:space="preserve"> </w:t>
      </w:r>
      <w:r>
        <w:t xml:space="preserve">2.2.6. Circular economy: incomplete information on the end-of-life of appliances . 13</w:t>
      </w:r>
      <w:r>
        <w:t xml:space="preserve"> </w:t>
      </w:r>
      <w:r>
        <w:t xml:space="preserve">2.3. How likely is the problem to persist? …………………………………………………….. 14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 14</w:t>
      </w:r>
      <w:r>
        <w:t xml:space="preserve"> </w:t>
      </w:r>
      <w:r>
        <w:t xml:space="preserve">3.1. Legal basis …………………………………………………………………………………………. 14</w:t>
      </w:r>
      <w:r>
        <w:t xml:space="preserve"> </w:t>
      </w:r>
      <w:r>
        <w:t xml:space="preserve">3.2. Subsidiarity: Necessity of EU action ……………………………………………………… 14</w:t>
      </w:r>
      <w:r>
        <w:t xml:space="preserve"> </w:t>
      </w:r>
      <w:r>
        <w:t xml:space="preserve">3.3. Subsidiarity: Added value of EU action …………………………………………………. 15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…………………………………………….. 15</w:t>
      </w:r>
      <w:r>
        <w:t xml:space="preserve"> </w:t>
      </w:r>
      <w:r>
        <w:t xml:space="preserve">4.1. General objectives ………………………………………………………………………………. 15</w:t>
      </w:r>
      <w:r>
        <w:t xml:space="preserve"> </w:t>
      </w:r>
      <w:r>
        <w:t xml:space="preserve">4.2. Specific objectives ………………………………………………………………………………. 15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 16</w:t>
      </w:r>
      <w:r>
        <w:t xml:space="preserve"> </w:t>
      </w:r>
      <w:r>
        <w:t xml:space="preserve">5.1. What is the baseline from which options are assessed? ……………………………. 17</w:t>
      </w:r>
      <w:r>
        <w:t xml:space="preserve"> </w:t>
      </w:r>
      <w:r>
        <w:t xml:space="preserve">5.2. Business As Usual (BAU) scenario ……………………………………………………….. 17</w:t>
      </w:r>
      <w:r>
        <w:t xml:space="preserve"> </w:t>
      </w:r>
      <w:r>
        <w:t xml:space="preserve">5.2.1. Sales and stock …………………………………………………………………………………… 17</w:t>
      </w:r>
      <w:r>
        <w:t xml:space="preserve"> </w:t>
      </w:r>
      <w:r>
        <w:t xml:space="preserve">5.2.2. Energy consumption ……………………………………………………………………………. 18</w:t>
      </w:r>
      <w:r>
        <w:t xml:space="preserve"> </w:t>
      </w:r>
      <w:r>
        <w:t xml:space="preserve">5.2.3. Environmental aspects …………………………………………………………………………. 19</w:t>
      </w:r>
      <w:r>
        <w:t xml:space="preserve"> </w:t>
      </w:r>
      <w:r>
        <w:t xml:space="preserve">5.2.4. Economic aspects ……………………………………………………………………………….. 20</w:t>
      </w:r>
      <w:r>
        <w:t xml:space="preserve"> </w:t>
      </w:r>
      <w:r>
        <w:t xml:space="preserve">5.2.5. Social impacts …………………………………………………………………………………….. 20</w:t>
      </w:r>
      <w:r>
        <w:t xml:space="preserve"> </w:t>
      </w:r>
      <w:r>
        <w:t xml:space="preserve">5.3. Description of the policy options ………………………………………………………….. 20</w:t>
      </w:r>
      <w:r>
        <w:t xml:space="preserve"> </w:t>
      </w:r>
      <w:r>
        <w:t xml:space="preserve">5.3.1. Policy option 1 (BAU): Business as usual ……………………………………………… 21</w:t>
      </w:r>
      <w:r>
        <w:t xml:space="preserve"> </w:t>
      </w:r>
      <w:r>
        <w:t xml:space="preserve">5.3.2. Policy option 2 (PO2): Clarifying and expanding the scope ……………………… 22</w:t>
      </w:r>
      <w:r>
        <w:t xml:space="preserve"> </w:t>
      </w:r>
      <w:r>
        <w:t xml:space="preserve">5.3.3. Policy option 3 (PO3): defining ecodesign limits for low power modes …….. 23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5.3.4. Policy option 4 (PO4): circular economy ……………………………………………….. 23</w:t>
      </w:r>
      <w:r>
        <w:t xml:space="preserve"> </w:t>
      </w:r>
      <w:r>
        <w:t xml:space="preserve">5.4. Options discarded at an early stage ……………………………………………………….. 25</w:t>
      </w:r>
      <w:r>
        <w:t xml:space="preserve"> </w:t>
      </w:r>
      <w:r>
        <w:t xml:space="preserve">5.4.1. Voluntary agreement by the industry …………………………………………………….. 25</w:t>
      </w:r>
      <w:r>
        <w:t xml:space="preserve"> </w:t>
      </w:r>
      <w:r>
        <w:t xml:space="preserve">5.4.2. Mandatory third party certification ……………………………………………………….. 26</w:t>
      </w:r>
      <w:r>
        <w:t xml:space="preserve"> </w:t>
      </w:r>
      <w:r>
        <w:t xml:space="preserve">5.4.3. Modification of the verification tolerances …………………………………………….. 26</w:t>
      </w:r>
      <w:r>
        <w:t xml:space="preserve"> </w:t>
      </w:r>
      <w:r>
        <w:t xml:space="preserve">5.4.4. Introduction of stricter ecodesign requirements and NOx emission limits ….. 26</w:t>
      </w:r>
      <w:r>
        <w:t xml:space="preserve"> </w:t>
      </w:r>
      <w:r>
        <w:t xml:space="preserve">5.4.5. Removing the conversion coefficient (CC) from the calculations of the</w:t>
      </w:r>
      <w:r>
        <w:t xml:space="preserve"> </w:t>
      </w:r>
      <w:r>
        <w:t xml:space="preserve">energy efficiency ………………………………………………………………………………… 27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 27</w:t>
      </w:r>
      <w:r>
        <w:t xml:space="preserve"> </w:t>
      </w:r>
      <w:r>
        <w:t xml:space="preserve">6.1. Environmental impacts ………………………………………………………………………… 28</w:t>
      </w:r>
      <w:r>
        <w:t xml:space="preserve"> </w:t>
      </w:r>
      <w:r>
        <w:t xml:space="preserve">6.2. Economic impacts ………………………………………………………………………………. 30</w:t>
      </w:r>
      <w:r>
        <w:t xml:space="preserve"> </w:t>
      </w:r>
      <w:r>
        <w:t xml:space="preserve">6.2.1. Business turnover ……………………………………………………………………………….. 30</w:t>
      </w:r>
      <w:r>
        <w:t xml:space="preserve"> </w:t>
      </w:r>
      <w:r>
        <w:t xml:space="preserve">6.2.2. Consumer expenditure …………………………………………………………………………. 30</w:t>
      </w:r>
      <w:r>
        <w:t xml:space="preserve"> </w:t>
      </w:r>
      <w:r>
        <w:t xml:space="preserve">6.2.3. Costs …………………………………………………………………………………………………. 31</w:t>
      </w:r>
      <w:r>
        <w:t xml:space="preserve"> </w:t>
      </w:r>
      <w:r>
        <w:t xml:space="preserve">6.3. Social impacts. Employment ………………………………………………………………… 32</w:t>
      </w:r>
      <w:r>
        <w:t xml:space="preserve"> </w:t>
      </w:r>
      <w:r>
        <w:t xml:space="preserve">6.4. Affordability (payback period) ……………………………………………………………… 33</w:t>
      </w:r>
      <w:r>
        <w:t xml:space="preserve"> </w:t>
      </w:r>
      <w:r>
        <w:t xml:space="preserve">6.5. Burden reduction ………………………………………………………………………………… 33</w:t>
      </w:r>
      <w:r>
        <w:t xml:space="preserve"> </w:t>
      </w:r>
      <w:r>
        <w:t xml:space="preserve">6.6. SMEs ………………………………………………………………………………………………… 34</w:t>
      </w:r>
      <w:r>
        <w:t xml:space="preserve"> </w:t>
      </w:r>
      <w:r>
        <w:t xml:space="preserve">6.7. Geographical impacts ………………………………………………………………………….. 34</w:t>
      </w:r>
      <w:r>
        <w:t xml:space="preserve"> </w:t>
      </w:r>
      <w:r>
        <w:t xml:space="preserve">6.8. Impacts of current geopolitical instability ………………………………………………. 35</w:t>
      </w:r>
      <w:r>
        <w:t xml:space="preserve"> </w:t>
      </w:r>
      <w:r>
        <w:t xml:space="preserve">6.9. Summary of impacts ……………………………………………………………………………. 35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 36</w:t>
      </w:r>
      <w:r>
        <w:t xml:space="preserve"> </w:t>
      </w:r>
      <w:r>
        <w:t xml:space="preserve">7.1. Effectiveness ………………………………………………………………………………………. 36</w:t>
      </w:r>
      <w:r>
        <w:t xml:space="preserve"> </w:t>
      </w:r>
      <w:r>
        <w:t xml:space="preserve">7.2. Efficiency ………………………………………………………………………………………….. 37</w:t>
      </w:r>
      <w:r>
        <w:t xml:space="preserve"> </w:t>
      </w:r>
      <w:r>
        <w:t xml:space="preserve">7.3. Coherence with other EU policies and legislative framework …………………… 38</w:t>
      </w:r>
      <w:r>
        <w:t xml:space="preserve"> </w:t>
      </w:r>
      <w:r>
        <w:t xml:space="preserve">7.3.1. Coherence with the overarching objectives of EU policies ……………………….. 38</w:t>
      </w:r>
      <w:r>
        <w:t xml:space="preserve"> </w:t>
      </w:r>
      <w:r>
        <w:t xml:space="preserve">7.3.2. Coherence with Article 15(5) of the Ecodesign Framework Directive ……….. 38</w:t>
      </w:r>
      <w:r>
        <w:t xml:space="preserve"> </w:t>
      </w:r>
      <w:r>
        <w:t xml:space="preserve">7.3.3. Coherence with the subsidiarity and proportionality principles …………………. 38</w:t>
      </w:r>
      <w:r>
        <w:t xml:space="preserve"> </w:t>
      </w:r>
      <w:r>
        <w:t xml:space="preserve">7.3.4. Overall coherence assessment ………………………………………………………………. 39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 39</w:t>
      </w:r>
      <w:r>
        <w:t xml:space="preserve"> </w:t>
      </w:r>
      <w:r>
        <w:t xml:space="preserve">8.1. Preferred policy option ………………………………………………………………………… 39</w:t>
      </w:r>
      <w:r>
        <w:t xml:space="preserve"> </w:t>
      </w:r>
      <w:r>
        <w:t xml:space="preserve">8.2. REFIT (simplification and improved efficiency) …………………………………….. 41</w:t>
      </w:r>
      <w:r>
        <w:t xml:space="preserve"> </w:t>
      </w:r>
      <w:r>
        <w:t xml:space="preserve">8.3. Application of the ‘one in, one out’ approach …………………………………………. 41</w:t>
      </w:r>
      <w:r>
        <w:t xml:space="preserve"> </w:t>
      </w:r>
      <w:r>
        <w:t xml:space="preserve">8.4. Overview in the context of current energy prices ……………………………………. 41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……. 42</w:t>
      </w:r>
      <w:r>
        <w:t xml:space="preserve"> </w:t>
      </w:r>
      <w:r>
        <w:t xml:space="preserve">ANNEX 1: PROCEDURAL INFORMATION ………………………………………………………. 44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………………………….. 44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………………………………………………………….. 44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 44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………………………………………………. 44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ANNEX 2: STAKEHOLDER CONSULTATION (SYNOPSIS REPORT) ……………….. 45</w:t>
      </w:r>
      <w:r>
        <w:t xml:space="preserve"> </w:t>
      </w:r>
      <w:r>
        <w:t xml:space="preserve">1.</w:t>
      </w:r>
      <w:r>
        <w:t xml:space="preserve"> </w:t>
      </w:r>
      <w:r>
        <w:t xml:space="preserve">REVIEW STUDY AND STAKEHOLDER CONSULTATION ………………… 45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FORUM ………………………………………………………………….. 45</w:t>
      </w:r>
      <w:r>
        <w:t xml:space="preserve"> </w:t>
      </w:r>
      <w:r>
        <w:t xml:space="preserve">3.</w:t>
      </w:r>
      <w:r>
        <w:t xml:space="preserve"> </w:t>
      </w:r>
      <w:r>
        <w:t xml:space="preserve">STAKEHOLDER</w:t>
      </w:r>
      <w:r>
        <w:t xml:space="preserve"> </w:t>
      </w:r>
      <w:r>
        <w:t xml:space="preserve">COMMENTS</w:t>
      </w:r>
      <w:r>
        <w:t xml:space="preserve"> </w:t>
      </w:r>
      <w:r>
        <w:t xml:space="preserve">DURING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CONSULTATION FORUM ………………………………………………………………….. 45</w:t>
      </w:r>
      <w:r>
        <w:t xml:space="preserve"> </w:t>
      </w:r>
      <w:r>
        <w:t xml:space="preserve">4.</w:t>
      </w:r>
      <w:r>
        <w:t xml:space="preserve"> </w:t>
      </w:r>
      <w:r>
        <w:t xml:space="preserve">PUBLICATION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FOR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STAKEHOLDERS FEEDBACK ……………………………………………………………. 50</w:t>
      </w:r>
      <w:r>
        <w:t xml:space="preserve"> </w:t>
      </w:r>
      <w:r>
        <w:t xml:space="preserve">5.</w:t>
      </w:r>
      <w:r>
        <w:t xml:space="preserve"> </w:t>
      </w:r>
      <w:r>
        <w:t xml:space="preserve">SECOND MEETING OF THE CONSULTATION FORUM ON 10</w:t>
      </w:r>
      <w:r>
        <w:t xml:space="preserve"> </w:t>
      </w:r>
      <w:r>
        <w:t xml:space="preserve">MARCH 2022 ……………………………………………………………………………………… 50</w:t>
      </w:r>
      <w:r>
        <w:t xml:space="preserve"> </w:t>
      </w:r>
      <w:r>
        <w:t xml:space="preserve">ANNEX 3: WHO IS AFFECTED AND HOW? ……………………………………………………… 51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……………………………. 51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…………………………………………….. 51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……………………….. 53</w:t>
      </w:r>
      <w:r>
        <w:t xml:space="preserve"> </w:t>
      </w:r>
      <w:r>
        <w:t xml:space="preserve">ANNEX 4: ANALYTICAL METHODS ……………………………………………………………….. 54</w:t>
      </w:r>
      <w:r>
        <w:t xml:space="preserve"> </w:t>
      </w:r>
      <w:r>
        <w:t xml:space="preserve">1.</w:t>
      </w:r>
      <w:r>
        <w:t xml:space="preserve"> </w:t>
      </w:r>
      <w:r>
        <w:t xml:space="preserve">SALES ………………………………………………………………………………………………… 54</w:t>
      </w:r>
      <w:r>
        <w:t xml:space="preserve"> </w:t>
      </w:r>
      <w:r>
        <w:t xml:space="preserve">2.</w:t>
      </w:r>
      <w:r>
        <w:t xml:space="preserve"> </w:t>
      </w:r>
      <w:r>
        <w:t xml:space="preserve">STOCK ……………………………………………………………………………………………….. 56</w:t>
      </w:r>
      <w:r>
        <w:t xml:space="preserve"> </w:t>
      </w:r>
      <w:r>
        <w:t xml:space="preserve">3.</w:t>
      </w:r>
      <w:r>
        <w:t xml:space="preserve"> </w:t>
      </w:r>
      <w:r>
        <w:t xml:space="preserve">TURNOVER AND EMPLOYMENT ……………………………………………………… 58</w:t>
      </w:r>
      <w:r>
        <w:t xml:space="preserve"> </w:t>
      </w:r>
      <w:r>
        <w:t xml:space="preserve">4.</w:t>
      </w:r>
      <w:r>
        <w:t xml:space="preserve"> </w:t>
      </w:r>
      <w:r>
        <w:t xml:space="preserve">DATA INPUT ……………………………………………………………………………………… 59</w:t>
      </w:r>
      <w:r>
        <w:t xml:space="preserve"> </w:t>
      </w:r>
      <w:r>
        <w:t xml:space="preserve">4.1. Product price ………………………………………………………………………………………. 60</w:t>
      </w:r>
      <w:r>
        <w:t xml:space="preserve"> </w:t>
      </w:r>
      <w:r>
        <w:t xml:space="preserve">4.1.1. On price elasticity ……………………………………………………………………………….. 61</w:t>
      </w:r>
      <w:r>
        <w:t xml:space="preserve"> </w:t>
      </w:r>
      <w:r>
        <w:t xml:space="preserve">4.2. Energy data input: EU Reference Scenario 2020 (REF2020) ……………………. 61</w:t>
      </w:r>
      <w:r>
        <w:t xml:space="preserve"> </w:t>
      </w:r>
      <w:r>
        <w:t xml:space="preserve">4.2.1. Fuel costs …………………………………………………………………………………………… 62</w:t>
      </w:r>
      <w:r>
        <w:t xml:space="preserve"> </w:t>
      </w:r>
      <w:r>
        <w:t xml:space="preserve">4.2.2. Fuel emission factors …………………………………………………………………………… 62</w:t>
      </w:r>
      <w:r>
        <w:t xml:space="preserve"> </w:t>
      </w:r>
      <w:r>
        <w:t xml:space="preserve">4.3. Employment factors …………………………………………………………………………….. 63</w:t>
      </w:r>
      <w:r>
        <w:t xml:space="preserve"> </w:t>
      </w:r>
      <w:r>
        <w:t xml:space="preserve">4.4. Mark-up factors ………………………………………………………………………………….. 63</w:t>
      </w:r>
      <w:r>
        <w:t xml:space="preserve"> </w:t>
      </w:r>
      <w:r>
        <w:t xml:space="preserve">4.5. Use hours …………………………………………………………………………………………… 63</w:t>
      </w:r>
      <w:r>
        <w:t xml:space="preserve"> </w:t>
      </w:r>
      <w:r>
        <w:t xml:space="preserve">4.6. Average heat output …………………………………………………………………………….. 65</w:t>
      </w:r>
      <w:r>
        <w:t xml:space="preserve"> </w:t>
      </w:r>
      <w:r>
        <w:t xml:space="preserve">4.7. Average efficiency ………………………………………………………………………………. 65</w:t>
      </w:r>
      <w:r>
        <w:t xml:space="preserve"> </w:t>
      </w:r>
      <w:r>
        <w:t xml:space="preserve">4.8. Material input …………………………………………………………………………………….. 66</w:t>
      </w:r>
      <w:r>
        <w:t xml:space="preserve"> </w:t>
      </w:r>
      <w:r>
        <w:t xml:space="preserve">5.</w:t>
      </w:r>
      <w:r>
        <w:t xml:space="preserve"> </w:t>
      </w:r>
      <w:r>
        <w:t xml:space="preserve">MAIN ASSUMPTIONS FOR THE MODELLING ………………………………….. 68</w:t>
      </w:r>
      <w:r>
        <w:t xml:space="preserve"> </w:t>
      </w:r>
      <w:r>
        <w:t xml:space="preserve">ANNEX 5: ADDITIONAL INFORMATION ON THE IMPACTS OF THE</w:t>
      </w:r>
      <w:r>
        <w:t xml:space="preserve"> </w:t>
      </w:r>
      <w:r>
        <w:t xml:space="preserve">MEASURES ……………………………………………………………………………………………….. 70</w:t>
      </w:r>
      <w:r>
        <w:t xml:space="preserve"> </w:t>
      </w:r>
      <w:r>
        <w:t xml:space="preserve">1.</w:t>
      </w:r>
      <w:r>
        <w:t xml:space="preserve"> </w:t>
      </w:r>
      <w:r>
        <w:t xml:space="preserve">FURTHER INSIGHT ON THE ANALYSIS OF THE IMPACTS</w:t>
      </w:r>
      <w:r>
        <w:t xml:space="preserve"> </w:t>
      </w:r>
      <w:r>
        <w:t xml:space="preserve">ASSESSED IN SECTION 6 OF THE IA ………………………………………………… 70</w:t>
      </w:r>
      <w:r>
        <w:t xml:space="preserve"> </w:t>
      </w:r>
      <w:r>
        <w:t xml:space="preserve">1.1. Environmental impacts ………………………………………………………………………… 70</w:t>
      </w:r>
      <w:r>
        <w:t xml:space="preserve"> </w:t>
      </w:r>
      <w:r>
        <w:t xml:space="preserve">1.1.1. In-use energy consumption …………………………………………………………………… 70</w:t>
      </w:r>
      <w:r>
        <w:t xml:space="preserve"> </w:t>
      </w:r>
      <w:r>
        <w:t xml:space="preserve">1.1.2. Primary energy consumption ………………………………………………………………… 71</w:t>
      </w:r>
      <w:r>
        <w:t xml:space="preserve"> </w:t>
      </w:r>
      <w:r>
        <w:t xml:space="preserve">1.1.3. Greenhouse gas emissions reduction ……………………………………………………… 71</w:t>
      </w:r>
      <w:r>
        <w:t xml:space="preserve"> </w:t>
      </w:r>
      <w:r>
        <w:t xml:space="preserve">1.2. Economic impacts ………………………………………………………………………………. 72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1.2.1. Turnover ……………………………………………………………………………………………. 72</w:t>
      </w:r>
      <w:r>
        <w:t xml:space="preserve"> </w:t>
      </w:r>
      <w:r>
        <w:t xml:space="preserve">1.2.2. Consumer expenditure …………………………………………………………………………. 73</w:t>
      </w:r>
      <w:r>
        <w:t xml:space="preserve"> </w:t>
      </w:r>
      <w:r>
        <w:t xml:space="preserve">2.</w:t>
      </w:r>
      <w:r>
        <w:t xml:space="preserve"> </w:t>
      </w:r>
      <w:r>
        <w:t xml:space="preserve">RESOURCE efficiency ANALYSIS ………………………………………………………. 73</w:t>
      </w:r>
      <w:r>
        <w:t xml:space="preserve"> </w:t>
      </w:r>
      <w:r>
        <w:t xml:space="preserve">2.1. Water consumption savings ………………………………………………………………….. 73</w:t>
      </w:r>
      <w:r>
        <w:t xml:space="preserve"> </w:t>
      </w:r>
      <w:r>
        <w:t xml:space="preserve">2.2. Waste reduction ………………………………………………………………………………….. 74</w:t>
      </w:r>
      <w:r>
        <w:t xml:space="preserve"> </w:t>
      </w:r>
      <w:r>
        <w:t xml:space="preserve">ANNEX 6: ANALYSIS OF CURRENT ECODESIGN REQUIREMENTS FOR</w:t>
      </w:r>
      <w:r>
        <w:t xml:space="preserve"> </w:t>
      </w:r>
      <w:r>
        <w:t xml:space="preserve">LOCAL SPACE HEATERS …………………………………………………………………………. 76</w:t>
      </w:r>
      <w:r>
        <w:t xml:space="preserve"> </w:t>
      </w:r>
      <w:r>
        <w:t xml:space="preserve">1.</w:t>
      </w:r>
      <w:r>
        <w:t xml:space="preserve"> </w:t>
      </w:r>
      <w:r>
        <w:t xml:space="preserve">EFFECTIVENESS ……………………………………………………………………………….. 76</w:t>
      </w:r>
      <w:r>
        <w:t xml:space="preserve"> </w:t>
      </w:r>
      <w:r>
        <w:t xml:space="preserve">1.1. Energy savings ……………………………………………………………………………………. 77</w:t>
      </w:r>
      <w:r>
        <w:t xml:space="preserve"> </w:t>
      </w:r>
      <w:r>
        <w:t xml:space="preserve">1.2. NOx emissions ……………………………………………………………………………………. 79</w:t>
      </w:r>
      <w:r>
        <w:t xml:space="preserve"> </w:t>
      </w:r>
      <w:r>
        <w:t xml:space="preserve">2.</w:t>
      </w:r>
      <w:r>
        <w:t xml:space="preserve"> </w:t>
      </w:r>
      <w:r>
        <w:t xml:space="preserve">EFFICIENCY ………………………………………………………………………………………. 79</w:t>
      </w:r>
      <w:r>
        <w:t xml:space="preserve"> </w:t>
      </w:r>
      <w:r>
        <w:t xml:space="preserve">3.</w:t>
      </w:r>
      <w:r>
        <w:t xml:space="preserve"> </w:t>
      </w:r>
      <w:r>
        <w:t xml:space="preserve">Relevance ………………………………………………………………………………………….. 81</w:t>
      </w:r>
      <w:r>
        <w:t xml:space="preserve"> </w:t>
      </w:r>
      <w:r>
        <w:t xml:space="preserve">ANNEX 7: SOME MEASURES THAT DO NOT ENTAIL ANY DIRECT</w:t>
      </w:r>
      <w:r>
        <w:t xml:space="preserve"> </w:t>
      </w:r>
      <w:r>
        <w:t xml:space="preserve">ENVIRONMENTAL OR ECONOMIC IMPACT …………………………………………… 83</w:t>
      </w:r>
      <w:r>
        <w:t xml:space="preserve"> </w:t>
      </w:r>
      <w:r>
        <w:t xml:space="preserve">1.</w:t>
      </w:r>
      <w:r>
        <w:t xml:space="preserve"> </w:t>
      </w:r>
      <w:r>
        <w:t xml:space="preserve">REPHRASING THE OVERALL DEFINITION OF LOCAL SPACE</w:t>
      </w:r>
      <w:r>
        <w:t xml:space="preserve"> </w:t>
      </w:r>
      <w:r>
        <w:t xml:space="preserve">HEATERS …………………………………………………………………………………………… 83</w:t>
      </w:r>
      <w:r>
        <w:t xml:space="preserve"> </w:t>
      </w:r>
      <w:r>
        <w:t xml:space="preserve">2.</w:t>
      </w:r>
      <w:r>
        <w:t xml:space="preserve"> </w:t>
      </w:r>
      <w:r>
        <w:t xml:space="preserve">CHANGING THE DEFINITION OF AIR-HEATING APPLIANCES ……….. 83</w:t>
      </w:r>
      <w:r>
        <w:t xml:space="preserve"> </w:t>
      </w:r>
      <w:r>
        <w:t xml:space="preserve">3.</w:t>
      </w:r>
      <w:r>
        <w:t xml:space="preserve"> </w:t>
      </w:r>
      <w:r>
        <w:t xml:space="preserve">CHANGE THE DEFINITION OF “ELECTRIC PORTABLE HEATERS” … 84</w:t>
      </w:r>
      <w:r>
        <w:t xml:space="preserve"> </w:t>
      </w:r>
      <w:r>
        <w:t xml:space="preserve">4.</w:t>
      </w:r>
      <w:r>
        <w:t xml:space="preserve"> </w:t>
      </w:r>
      <w:r>
        <w:t xml:space="preserve">REMOVE THE “ELECTRIC RADIANT HEATER” CATEGORY …………… 84</w:t>
      </w:r>
      <w:r>
        <w:t xml:space="preserve"> </w:t>
      </w:r>
      <w:r>
        <w:t xml:space="preserve">5.</w:t>
      </w:r>
      <w:r>
        <w:t xml:space="preserve"> </w:t>
      </w:r>
      <w:r>
        <w:t xml:space="preserve">CHANGE THE DEFINITIONS FOR LUMINOUS LOCAL SPACE</w:t>
      </w:r>
      <w:r>
        <w:t xml:space="preserve"> </w:t>
      </w:r>
      <w:r>
        <w:t xml:space="preserve">HEATER AND TUBE LOCAL SPACE HEATER …………………………………… 85</w:t>
      </w:r>
      <w:r>
        <w:t xml:space="preserve"> </w:t>
      </w:r>
      <w:r>
        <w:t xml:space="preserve">6.</w:t>
      </w:r>
      <w:r>
        <w:t xml:space="preserve"> </w:t>
      </w:r>
      <w:r>
        <w:t xml:space="preserve">UPDATE OF THE CC-FACTOR TO 2.1 ………………………………………………… 85</w:t>
      </w:r>
      <w:r>
        <w:t xml:space="preserve"> </w:t>
      </w:r>
      <w:r>
        <w:t xml:space="preserve">ANNEX 8: SENSITIVITY ANALYSIS ………………………………………………………………… 86</w:t>
      </w:r>
      <w:r>
        <w:t xml:space="preserve"> </w:t>
      </w:r>
      <w:r>
        <w:t xml:space="preserve">1.</w:t>
      </w:r>
      <w:r>
        <w:t xml:space="preserve"> </w:t>
      </w:r>
      <w:r>
        <w:t xml:space="preserve">DATA INPUTS FROM THE MIX SCENARIO ………………………………………. 86</w:t>
      </w:r>
      <w:r>
        <w:t xml:space="preserve"> </w:t>
      </w:r>
      <w:r>
        <w:t xml:space="preserve">2.</w:t>
      </w:r>
      <w:r>
        <w:t xml:space="preserve"> </w:t>
      </w:r>
      <w:r>
        <w:t xml:space="preserve">EFFECT OF FUEL PRICES: CONSUMER EXPENDITURE …………………… 87</w:t>
      </w:r>
      <w:r>
        <w:t xml:space="preserve"> </w:t>
      </w:r>
      <w:r>
        <w:t xml:space="preserve">3.</w:t>
      </w:r>
      <w:r>
        <w:t xml:space="preserve"> </w:t>
      </w:r>
      <w:r>
        <w:t xml:space="preserve">EFFECT OF LOW CARBON ELECTRICITY: GHG EMISSIONS …………… 88</w:t>
      </w:r>
      <w:r>
        <w:t xml:space="preserve"> </w:t>
      </w:r>
      <w:r>
        <w:t xml:space="preserve">4.</w:t>
      </w:r>
      <w:r>
        <w:t xml:space="preserve"> </w:t>
      </w:r>
      <w:r>
        <w:t xml:space="preserve">EFFECT OF RENOVATION RATES: ENERGY CONSUMPTION,</w:t>
      </w:r>
      <w:r>
        <w:t xml:space="preserve"> </w:t>
      </w:r>
      <w:r>
        <w:t xml:space="preserve">GHG EMISSIONS, AND END USER EXPENDITURE …………………………… 89</w:t>
      </w:r>
      <w:r>
        <w:t xml:space="preserve"> </w:t>
      </w:r>
      <w:r>
        <w:t xml:space="preserve">ANNEX 9: SME TEST ……………………………………………………………………………………….. 91</w:t>
      </w:r>
      <w:r>
        <w:t xml:space="preserve"> </w:t>
      </w:r>
      <w:r>
        <w:t xml:space="preserve">1.</w:t>
      </w:r>
      <w:r>
        <w:t xml:space="preserve"> </w:t>
      </w:r>
      <w:r>
        <w:t xml:space="preserve">IDENTIFICATION OF THE AFFECTED BUSINESSES ………………………… 91</w:t>
      </w:r>
      <w:r>
        <w:t xml:space="preserve"> </w:t>
      </w:r>
      <w:r>
        <w:t xml:space="preserve">2.</w:t>
      </w:r>
      <w:r>
        <w:t xml:space="preserve"> </w:t>
      </w:r>
      <w:r>
        <w:t xml:space="preserve">THRESHOLD QUESTION: TO WHAT EXTENT IS THE INITIATIVE</w:t>
      </w:r>
      <w:r>
        <w:t xml:space="preserve"> </w:t>
      </w:r>
      <w:r>
        <w:t xml:space="preserve">RELEVANT FOR SMES? …………………………………………………………………….. 91</w:t>
      </w:r>
      <w:r>
        <w:t xml:space="preserve"> </w:t>
      </w:r>
      <w:r>
        <w:t xml:space="preserve">ANNEX 10: MULTI-CRITERIA ANALYSIS ……………………………………………………….. 93</w:t>
      </w:r>
      <w:r>
        <w:t xml:space="preserve"> </w:t>
      </w:r>
      <w:r>
        <w:t xml:space="preserve">1.</w:t>
      </w:r>
      <w:r>
        <w:t xml:space="preserve"> </w:t>
      </w:r>
      <w:r>
        <w:t xml:space="preserve">MULTI-CRITERIA</w:t>
      </w:r>
      <w:r>
        <w:t xml:space="preserve"> </w:t>
      </w:r>
      <w:r>
        <w:t xml:space="preserve">DECISION</w:t>
      </w:r>
      <w:r>
        <w:t xml:space="preserve"> </w:t>
      </w:r>
      <w:r>
        <w:t xml:space="preserve">ANALYSIS</w:t>
      </w:r>
      <w:r>
        <w:t xml:space="preserve"> </w:t>
      </w:r>
      <w:r>
        <w:t xml:space="preserve">METHODOLOGY:</w:t>
      </w:r>
      <w:r>
        <w:t xml:space="preserve"> </w:t>
      </w:r>
      <w:r>
        <w:t xml:space="preserve">BASIC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SOCIAL</w:t>
      </w:r>
      <w:r>
        <w:t xml:space="preserve"> </w:t>
      </w:r>
      <w:r>
        <w:t xml:space="preserve">MULTI-CRITERIA</w:t>
      </w:r>
      <w:r>
        <w:t xml:space="preserve"> </w:t>
      </w:r>
      <w:r>
        <w:t xml:space="preserve">EVALUATION (SMCE) METHODOLOGICAL FRAMEWORK AND</w:t>
      </w:r>
      <w:r>
        <w:t xml:space="preserve"> </w:t>
      </w:r>
      <w:r>
        <w:t xml:space="preserve">SOFTWARE TOOL ……………………………………………………………………………… 93</w:t>
      </w:r>
      <w:r>
        <w:t xml:space="preserve"> </w:t>
      </w:r>
      <w:r>
        <w:t xml:space="preserve">2.</w:t>
      </w:r>
      <w:r>
        <w:t xml:space="preserve"> </w:t>
      </w:r>
      <w:r>
        <w:t xml:space="preserve">FIRST STEP: MULTI-CRITERIA ANALYSIS FOR PO2………………………… 95</w:t>
      </w:r>
      <w:r>
        <w:t xml:space="preserve"> </w:t>
      </w:r>
      <w:r>
        <w:t xml:space="preserve">2.1. Justification of the score for the qualitative criteria …………………………………. 96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2.2. Result of the multi-criteria analysis ……………………………………………………….. 96</w:t>
      </w:r>
      <w:r>
        <w:t xml:space="preserve"> </w:t>
      </w:r>
      <w:r>
        <w:t xml:space="preserve">3.</w:t>
      </w:r>
      <w:r>
        <w:t xml:space="preserve"> </w:t>
      </w:r>
      <w:r>
        <w:t xml:space="preserve">SECOND STEP: MULTI-CRITERIA ANALYSIS FOR A PREFERRED</w:t>
      </w:r>
      <w:r>
        <w:t xml:space="preserve"> </w:t>
      </w:r>
      <w:r>
        <w:t xml:space="preserve">POLICY OPTION COMBINING PO2F, PO3 AND PO4A ……………………… 103</w:t>
      </w:r>
      <w:r>
        <w:t xml:space="preserve"> </w:t>
      </w:r>
      <w:r>
        <w:t xml:space="preserve">ANNEX 11: THE ECODESIGN AND ENERGY LABELLING FRAMEWORK ……. 108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BAU</w:t>
      </w:r>
      <w:r>
        <w:t xml:space="preserve"> </w:t>
      </w:r>
      <w:r>
        <w:t xml:space="preserve">Business-as-usual (describing a scenario without any further intervention)</w:t>
      </w:r>
      <w:r>
        <w:t xml:space="preserve"> </w:t>
      </w:r>
      <w:r>
        <w:t xml:space="preserve">CBA</w:t>
      </w:r>
      <w:r>
        <w:t xml:space="preserve"> </w:t>
      </w:r>
      <w:r>
        <w:t xml:space="preserve">Cost-benefit analysis</w:t>
      </w:r>
      <w:r>
        <w:t xml:space="preserve"> </w:t>
      </w:r>
      <w:r>
        <w:t xml:space="preserve">CC</w:t>
      </w:r>
      <w:r>
        <w:t xml:space="preserve"> </w:t>
      </w:r>
      <w:r>
        <w:t xml:space="preserve">Conversion Coefficient</w:t>
      </w:r>
      <w:r>
        <w:t xml:space="preserve"> </w:t>
      </w:r>
      <w:r>
        <w:t xml:space="preserve">CEAP</w:t>
      </w:r>
      <w:r>
        <w:t xml:space="preserve"> </w:t>
      </w:r>
      <w:r>
        <w:t xml:space="preserve">Circular Economy Action Plan</w:t>
      </w:r>
      <w:r>
        <w:t xml:space="preserve"> </w:t>
      </w:r>
      <w:r>
        <w:t xml:space="preserve">CTP</w:t>
      </w:r>
      <w:r>
        <w:t xml:space="preserve"> </w:t>
      </w:r>
      <w:r>
        <w:t xml:space="preserve">Climate Target Plan</w:t>
      </w:r>
      <w:r>
        <w:t xml:space="preserve"> </w:t>
      </w:r>
      <w:r>
        <w:t xml:space="preserve">DoC</w:t>
      </w:r>
      <w:r>
        <w:t xml:space="preserve"> </w:t>
      </w:r>
      <w:r>
        <w:t xml:space="preserve">Declaration of Conformity</w:t>
      </w:r>
      <w:r>
        <w:t xml:space="preserve"> </w:t>
      </w:r>
      <w:r>
        <w:t xml:space="preserve">EED</w:t>
      </w:r>
      <w:r>
        <w:t xml:space="preserve"> </w:t>
      </w:r>
      <w:r>
        <w:t xml:space="preserve">Energy Efficiency Directive</w:t>
      </w:r>
      <w:r>
        <w:t xml:space="preserve"> </w:t>
      </w:r>
      <w:r>
        <w:t xml:space="preserve">EPBD</w:t>
      </w:r>
      <w:r>
        <w:t xml:space="preserve"> </w:t>
      </w:r>
      <w:r>
        <w:t xml:space="preserve">Energy Performance of Buildings Directive</w:t>
      </w:r>
      <w:r>
        <w:t xml:space="preserve"> </w:t>
      </w:r>
      <w:r>
        <w:t xml:space="preserve">EPREL</w:t>
      </w:r>
      <w:r>
        <w:t xml:space="preserve"> </w:t>
      </w:r>
      <w:r>
        <w:t xml:space="preserve">European Product Registry for Energy Labelling</w:t>
      </w:r>
      <w:r>
        <w:t xml:space="preserve"> </w:t>
      </w:r>
      <w:r>
        <w:t xml:space="preserve">ESPR</w:t>
      </w:r>
      <w:r>
        <w:t xml:space="preserve"> </w:t>
      </w:r>
      <w:r>
        <w:t xml:space="preserve">Ecodesign for Sustainable Products Regulation</w:t>
      </w:r>
      <w:r>
        <w:t xml:space="preserve"> </w:t>
      </w:r>
      <w:r>
        <w:t xml:space="preserve">GAR</w:t>
      </w:r>
      <w:r>
        <w:t xml:space="preserve"> </w:t>
      </w:r>
      <w:r>
        <w:t xml:space="preserve">Gas Appliances Regulation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IPCC</w:t>
      </w:r>
      <w:r>
        <w:t xml:space="preserve"> </w:t>
      </w:r>
      <w:r>
        <w:t xml:space="preserve">Intergovernmental Panel on Climate Change</w:t>
      </w:r>
      <w:r>
        <w:t xml:space="preserve"> </w:t>
      </w:r>
      <w:r>
        <w:t xml:space="preserve">HDD</w:t>
      </w:r>
      <w:r>
        <w:t xml:space="preserve"> </w:t>
      </w:r>
      <w:r>
        <w:t xml:space="preserve">Heating Degree Days</w:t>
      </w:r>
      <w:r>
        <w:t xml:space="preserve"> </w:t>
      </w:r>
      <w:r>
        <w:t xml:space="preserve">LSH</w:t>
      </w:r>
      <w:r>
        <w:t xml:space="preserve"> </w:t>
      </w:r>
      <w:r>
        <w:t xml:space="preserve">Local Space Heater</w:t>
      </w:r>
      <w:r>
        <w:t xml:space="preserve"> </w:t>
      </w:r>
      <w:r>
        <w:t xml:space="preserve">MEErP</w:t>
      </w:r>
      <w:r>
        <w:t xml:space="preserve"> </w:t>
      </w:r>
      <w:r>
        <w:t xml:space="preserve">Methodology for the Ecodesign of Energy-related Products</w:t>
      </w:r>
      <w:r>
        <w:t xml:space="preserve"> </w:t>
      </w:r>
      <w:r>
        <w:t xml:space="preserve">MSA</w:t>
      </w:r>
      <w:r>
        <w:t xml:space="preserve"> </w:t>
      </w:r>
      <w:r>
        <w:t xml:space="preserve">Market Surveillance Authority</w:t>
      </w:r>
      <w:r>
        <w:br/>
      </w:r>
      <w:r>
        <w:t xml:space="preserve">MTOE</w:t>
      </w:r>
      <w:r>
        <w:t xml:space="preserve"> </w:t>
      </w:r>
      <w:r>
        <w:t xml:space="preserve">Million tonnes of oil equivalent</w:t>
      </w:r>
      <w:r>
        <w:t xml:space="preserve"> </w:t>
      </w:r>
      <w:r>
        <w:t xml:space="preserve">NCEP</w:t>
      </w:r>
      <w:r>
        <w:t xml:space="preserve"> </w:t>
      </w:r>
      <w:r>
        <w:t xml:space="preserve">National and Climate Energy Plans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RED</w:t>
      </w:r>
      <w:r>
        <w:t xml:space="preserve"> </w:t>
      </w:r>
      <w:r>
        <w:t xml:space="preserve">Renewable Energy Directive</w:t>
      </w:r>
      <w:r>
        <w:t xml:space="preserve"> </w:t>
      </w:r>
      <w:r>
        <w:t xml:space="preserve">REF2020</w:t>
      </w:r>
      <w:r>
        <w:t xml:space="preserve"> </w:t>
      </w:r>
      <w:r>
        <w:t xml:space="preserve">EU Reference Scenario 2020</w:t>
      </w:r>
      <w:r>
        <w:t xml:space="preserve"> </w:t>
      </w:r>
      <w:r>
        <w:t xml:space="preserve">R&amp;D</w:t>
      </w:r>
      <w:r>
        <w:br/>
      </w:r>
      <w:r>
        <w:t xml:space="preserve">Research and Development</w:t>
      </w:r>
      <w:r>
        <w:br/>
      </w:r>
      <w:r>
        <w:t xml:space="preserve">SDGs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SMCE</w:t>
      </w:r>
      <w:r>
        <w:t xml:space="preserve"> </w:t>
      </w:r>
      <w:r>
        <w:t xml:space="preserve">Social Multi-criteria Evaluation</w:t>
      </w:r>
      <w:r>
        <w:t xml:space="preserve"> </w:t>
      </w:r>
      <w:r>
        <w:t xml:space="preserve">SME’s</w:t>
      </w:r>
      <w:r>
        <w:t xml:space="preserve"> </w:t>
      </w:r>
      <w:r>
        <w:t xml:space="preserve">Small and Medium Enterprises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EU energy and climate objectives</w:t>
      </w:r>
      <w:r>
        <w:t xml:space="preserve"> </w:t>
      </w:r>
      <w:r>
        <w:t xml:space="preserve">The EU has longstanding objectives to increase energy efficiency and to reduce its greenhouse gas</w:t>
      </w:r>
      <w:r>
        <w:t xml:space="preserve"> </w:t>
      </w:r>
      <w:r>
        <w:t xml:space="preserve">emissions. These go along with other objectives to reduce its environmental impacts. In December</w:t>
      </w:r>
      <w:r>
        <w:t xml:space="preserve"> </w:t>
      </w:r>
      <w:r>
        <w:t xml:space="preserve">2019, the Commission presented the European Green Deal1 to strengthen these objectives and as</w:t>
      </w:r>
      <w:r>
        <w:t xml:space="preserve"> </w:t>
      </w:r>
      <w:r>
        <w:t xml:space="preserve">the cornerstone of its strategy to fulfil the United Nation’s 2030 Agenda for Sustainable</w:t>
      </w:r>
      <w:r>
        <w:t xml:space="preserve"> </w:t>
      </w:r>
      <w:r>
        <w:t xml:space="preserve">Development2. In September 2020, it presented a Climate Target Plan (CTP) for 20303, showing</w:t>
      </w:r>
      <w:r>
        <w:t xml:space="preserve"> </w:t>
      </w:r>
      <w:r>
        <w:t xml:space="preserve">the need for a higher contribution of energy efficiency and renewable energy to achieve a net 55%</w:t>
      </w:r>
      <w:r>
        <w:t xml:space="preserve"> </w:t>
      </w:r>
      <w:r>
        <w:t xml:space="preserve">GHG emission reduction most cost-effectively, in line with the Paris Agreement. The European</w:t>
      </w:r>
      <w:r>
        <w:t xml:space="preserve"> </w:t>
      </w:r>
      <w:r>
        <w:t xml:space="preserve">Parliament and Council subsequently agreed to achieve this level of reduction in GHG emissions.</w:t>
      </w:r>
      <w:r>
        <w:t xml:space="preserve"> </w:t>
      </w:r>
      <w:r>
        <w:t xml:space="preserve">The Commission followed this by adopting the EU “Fit for 55” package4 aiming to achieve the</w:t>
      </w:r>
      <w:r>
        <w:t xml:space="preserve"> </w:t>
      </w:r>
      <w:r>
        <w:t xml:space="preserve">neceessary cut in GHG emissions.</w:t>
      </w:r>
      <w:r>
        <w:t xml:space="preserve"> </w:t>
      </w:r>
      <w:r>
        <w:t xml:space="preserve">One pillar of the CTP and subsequently the ‘Fit for 55’ package is energy efficiency. A revision of</w:t>
      </w:r>
      <w:r>
        <w:t xml:space="preserve"> </w:t>
      </w:r>
      <w:r>
        <w:t xml:space="preserve">the Energy Efficiency Directive (EED)5 to increase the overall ambition was proposed. This would</w:t>
      </w:r>
      <w:r>
        <w:t xml:space="preserve"> </w:t>
      </w:r>
      <w:r>
        <w:t xml:space="preserve">require Member States to enhance their National Energy and Climate Plans (NECPs) to achieve at</w:t>
      </w:r>
      <w:r>
        <w:t xml:space="preserve"> </w:t>
      </w:r>
      <w:r>
        <w:t xml:space="preserve">least an overall 9% reduction in EU energy consumption in 2030 compared to the reference6. The</w:t>
      </w:r>
      <w:r>
        <w:t xml:space="preserve"> </w:t>
      </w:r>
      <w:r>
        <w:t xml:space="preserve">EED itself contains limited energy saving measures and in addition to Member State actions,</w:t>
      </w:r>
      <w:r>
        <w:t xml:space="preserve"> </w:t>
      </w:r>
      <w:r>
        <w:t xml:space="preserve">additional measures at EU level are needed7. In this context, the ecodesign and energy labelling</w:t>
      </w:r>
      <w:r>
        <w:t xml:space="preserve"> </w:t>
      </w:r>
      <w:r>
        <w:t xml:space="preserve">rules for products arise as important instruments to realise EU’s energy and decarbonisation</w:t>
      </w:r>
      <w:r>
        <w:t xml:space="preserve"> </w:t>
      </w:r>
      <w:r>
        <w:t xml:space="preserve">objectives8.</w:t>
      </w:r>
      <w:r>
        <w:t xml:space="preserve"> </w:t>
      </w:r>
      <w:r>
        <w:t xml:space="preserve">Another pillar of the European Green Deal is a more circular economy. The new Circular Economy</w:t>
      </w:r>
      <w:r>
        <w:t xml:space="preserve"> </w:t>
      </w:r>
      <w:r>
        <w:t xml:space="preserve">Action Plan9 sets out steps to work towards this. It aims to reduce product environmental impacts</w:t>
      </w:r>
      <w:r>
        <w:t xml:space="preserve"> </w:t>
      </w:r>
      <w:r>
        <w:t xml:space="preserve">for example through promoting longer product lives, greater resource efficiency and enhancing</w:t>
      </w:r>
      <w:r>
        <w:t xml:space="preserve"> </w:t>
      </w:r>
      <w:r>
        <w:t xml:space="preserve">recycling and recycled content. Certain of these aspects can be addressed through measures under</w:t>
      </w:r>
      <w:r>
        <w:t xml:space="preserve"> </w:t>
      </w:r>
      <w:r>
        <w:t xml:space="preserve">the Ecodesign Directive since decisions made at design can influence the product’s life span and</w:t>
      </w:r>
      <w:r>
        <w:t xml:space="preserve"> </w:t>
      </w:r>
      <w:r>
        <w:t xml:space="preserve">ease of maintenance, repair, reuse, upgrade, recyclability and waste handling. The Ecodesign</w:t>
      </w:r>
      <w:r>
        <w:t xml:space="preserve"> </w:t>
      </w:r>
      <w:r>
        <w:t xml:space="preserve">Working Plan 2016-2019 identified ecodesign measures’ potential to contribute to circular</w:t>
      </w:r>
      <w:r>
        <w:t xml:space="preserve"> </w:t>
      </w:r>
      <w:r>
        <w:t xml:space="preserve">economy objectives and subsequent supporting studies have systematically considered resource</w:t>
      </w:r>
      <w:r>
        <w:t xml:space="preserve"> </w:t>
      </w:r>
      <w:r>
        <w:t xml:space="preserve">efficiency aspects.</w:t>
      </w:r>
      <w:r>
        <w:br/>
      </w:r>
      <w:r>
        <w:t xml:space="preserve">Reducing energy use and promoting the circular economy are also important for many other</w:t>
      </w:r>
      <w:r>
        <w:t xml:space="preserve"> </w:t>
      </w:r>
      <w:r>
        <w:t xml:space="preserve">reasons10. Lower energy use reduces the EU’s energy import dependence and improves energy</w:t>
      </w:r>
      <w:r>
        <w:t xml:space="preserve"> </w:t>
      </w:r>
      <w:r>
        <w:t xml:space="preserve">security, aspects that are particularly relevant in the current context of continuous increase of</w:t>
      </w:r>
      <w:r>
        <w:t xml:space="preserve"> </w:t>
      </w:r>
      <w:r>
        <w:t xml:space="preserve">energy prices. On 8 March 2022, the Commission published its Communication “RepowerEU:</w:t>
      </w:r>
    </w:p>
    <w:p>
      <w:pPr>
        <w:pStyle w:val="BodyText"/>
      </w:pPr>
      <w:r>
        <w:t xml:space="preserve">1 The European Green Deal, COM(2019) 640 final.</w:t>
      </w:r>
      <w:r>
        <w:t xml:space="preserve"> </w:t>
      </w:r>
      <w:r>
        <w:t xml:space="preserve">2 Transforming our world: the 2030 Agenda for Sustainable Development.</w:t>
      </w:r>
      <w:r>
        <w:t xml:space="preserve"> </w:t>
      </w:r>
      <w:r>
        <w:t xml:space="preserve">3 Stepping up Europe’s 2030 climate ambition. Investing in a climate-neutral future for the benefit of our people</w:t>
      </w:r>
      <w:r>
        <w:t xml:space="preserve"> </w:t>
      </w:r>
      <w:r>
        <w:t xml:space="preserve">(COM/2020/562 final).</w:t>
      </w:r>
      <w:r>
        <w:t xml:space="preserve"> </w:t>
      </w:r>
      <w:r>
        <w:t xml:space="preserve">4 ‘Fit for 55’: delivering the EU’s 2030 Climate Target on the way to climate neutrality, COM(2021) 550 final.</w:t>
      </w:r>
      <w:r>
        <w:t xml:space="preserve"> </w:t>
      </w:r>
      <w:r>
        <w:t xml:space="preserve">5 Proposal for a Directive of the European Parliament and of the Council on energy efficiency, COM(2021) 558 final.</w:t>
      </w:r>
      <w:r>
        <w:t xml:space="preserve"> </w:t>
      </w:r>
      <w:r>
        <w:t xml:space="preserve">6 EU reference scenario 2020 - Publications Office of the EU (europa.eu).</w:t>
      </w:r>
      <w:r>
        <w:t xml:space="preserve"> </w:t>
      </w:r>
      <w:r>
        <w:t xml:space="preserve">7 These additional measures include not only ecodesign and energy labelling but also the EU ETS, vehicle CO2</w:t>
      </w:r>
      <w:r>
        <w:t xml:space="preserve"> </w:t>
      </w:r>
      <w:r>
        <w:t xml:space="preserve">legislation and the Energy Performance of Buildings Directive.</w:t>
      </w:r>
      <w:r>
        <w:t xml:space="preserve"> </w:t>
      </w:r>
      <w:r>
        <w:t xml:space="preserve">8 An explanation of the framework legislation is provided in annex 11.</w:t>
      </w:r>
      <w:r>
        <w:t xml:space="preserve"> </w:t>
      </w:r>
      <w:r>
        <w:t xml:space="preserve">9 Circular Economy Action Plan for a more competitive Europe, COM(2020) 98.</w:t>
      </w:r>
      <w:r>
        <w:t xml:space="preserve"> </w:t>
      </w:r>
      <w:r>
        <w:t xml:space="preserve">https://eur-lex.europa.eu/legal-content/EN/TXT/PDF/?uri=CELEX:52015DC0614&amp;from=EN.</w:t>
      </w:r>
      <w:r>
        <w:t xml:space="preserve"> </w:t>
      </w:r>
      <w:r>
        <w:t xml:space="preserve">10 https://www.odyssee-mure.eu/data-tools/multiple-benefits-energy-efficiency.html.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Joint European action for more affordable, secure and sustainable energy”11, one of its pillars is the</w:t>
      </w:r>
      <w:r>
        <w:t xml:space="preserve"> </w:t>
      </w:r>
      <w:r>
        <w:t xml:space="preserve">reduction of EU dependence on fossil fuels by energy savings and boosting energy efficiency.</w:t>
      </w:r>
      <w:r>
        <w:t xml:space="preserve"> </w:t>
      </w:r>
      <w:r>
        <w:t xml:space="preserve">Ecodesign and energy labelling contribute to improved air quality and support energy system</w:t>
      </w:r>
      <w:r>
        <w:t xml:space="preserve"> </w:t>
      </w:r>
      <w:r>
        <w:t xml:space="preserve">integration and the alleviation of energy poverty. It is also expected to lead to the creation of jobs,</w:t>
      </w:r>
      <w:r>
        <w:t xml:space="preserve"> </w:t>
      </w:r>
      <w:r>
        <w:t xml:space="preserve">encourage innovation and support and facilitate economic growth12. Both energy savings and</w:t>
      </w:r>
      <w:r>
        <w:t xml:space="preserve"> </w:t>
      </w:r>
      <w:r>
        <w:t xml:space="preserve">promoting the circular economy lead to reduced environmental damage from materials extraction</w:t>
      </w:r>
      <w:r>
        <w:t xml:space="preserve"> </w:t>
      </w:r>
      <w:r>
        <w:t xml:space="preserve">and resource efficiency. Most of these co-benefits are difficult to quantify, but are well known and</w:t>
      </w:r>
      <w:r>
        <w:t xml:space="preserve"> </w:t>
      </w:r>
      <w:r>
        <w:t xml:space="preserve">perceived by society.</w:t>
      </w:r>
      <w:r>
        <w:t xml:space="preserve"> </w:t>
      </w:r>
      <w:r>
        <w:t xml:space="preserve">In March 2022 the Commission adopted the ESPR (Ecodesign for Sustainable Products Regulation)</w:t>
      </w:r>
      <w:r>
        <w:t xml:space="preserve"> </w:t>
      </w:r>
      <w:r>
        <w:t xml:space="preserve">a proposal to replace the Ecodesign Framework Directive13, which will expand the scope of</w:t>
      </w:r>
      <w:r>
        <w:t xml:space="preserve"> </w:t>
      </w:r>
      <w:r>
        <w:t xml:space="preserve">ecodesign from energy-related products to any kind of physical good that is placed on the market,</w:t>
      </w:r>
      <w:r>
        <w:t xml:space="preserve"> </w:t>
      </w:r>
      <w:r>
        <w:t xml:space="preserve">with some exceptions that are set out in the ESPR itself. Ecodesign product regulations adopted</w:t>
      </w:r>
      <w:r>
        <w:t xml:space="preserve"> </w:t>
      </w:r>
      <w:r>
        <w:t xml:space="preserve">under the existing Directive would nevertheless continue in force until repealed. When the</w:t>
      </w:r>
      <w:r>
        <w:t xml:space="preserve"> </w:t>
      </w:r>
      <w:r>
        <w:t xml:space="preserve">proposed legislation is eventually adopted future amendments to existing product regulations would</w:t>
      </w:r>
      <w:r>
        <w:t xml:space="preserve"> </w:t>
      </w:r>
      <w:r>
        <w:t xml:space="preserve">be carried out under its framework. The adoption of the ESPR is expected to have little influence on</w:t>
      </w:r>
      <w:r>
        <w:t xml:space="preserve"> </w:t>
      </w:r>
      <w:r>
        <w:t xml:space="preserve">the results of this IA, as it is further explained in section 5.</w:t>
      </w:r>
      <w:r>
        <w:t xml:space="preserve"> </w:t>
      </w:r>
      <w:r>
        <w:t xml:space="preserve">1.2.</w:t>
      </w:r>
      <w:r>
        <w:t xml:space="preserve"> </w:t>
      </w:r>
      <w:r>
        <w:t xml:space="preserve">The contribution of Ecodesign and Energy labelling</w:t>
      </w:r>
      <w:r>
        <w:t xml:space="preserve"> </w:t>
      </w:r>
      <w:r>
        <w:t xml:space="preserve">There are market barriers that hamper the introduction and uptake of more energy efficient and</w:t>
      </w:r>
      <w:r>
        <w:t xml:space="preserve"> </w:t>
      </w:r>
      <w:r>
        <w:t xml:space="preserve">more long lasting products. It is desirable for policies to address these barriers since they lead, from</w:t>
      </w:r>
      <w:r>
        <w:t xml:space="preserve"> </w:t>
      </w:r>
      <w:r>
        <w:t xml:space="preserve">the point of view of the consumer and society, to unrealised economically viable energy savings.</w:t>
      </w:r>
      <w:r>
        <w:t xml:space="preserve"> </w:t>
      </w:r>
      <w:r>
        <w:t xml:space="preserve">Behavioural failures refer to the cognitive limitations and biases that prevent consumers and</w:t>
      </w:r>
      <w:r>
        <w:t xml:space="preserve"> </w:t>
      </w:r>
      <w:r>
        <w:t xml:space="preserve">investors to appreciate rationally the benefits of energy efficiency14. Market failures arise from the</w:t>
      </w:r>
      <w:r>
        <w:t xml:space="preserve"> </w:t>
      </w:r>
      <w:r>
        <w:t xml:space="preserve">fact that many impacts and aspects of energy supply or resource use are not brought into market</w:t>
      </w:r>
      <w:r>
        <w:t xml:space="preserve"> </w:t>
      </w:r>
      <w:r>
        <w:t xml:space="preserve">prices15. Market barriers such as lack of information and awareness or financing challenges result in</w:t>
      </w:r>
      <w:r>
        <w:t xml:space="preserve"> </w:t>
      </w:r>
      <w:r>
        <w:t xml:space="preserve">economically rational energy savings not being realised or more sustainable choices not being</w:t>
      </w:r>
      <w:r>
        <w:t xml:space="preserve"> </w:t>
      </w:r>
      <w:r>
        <w:t xml:space="preserve">made.</w:t>
      </w:r>
      <w:r>
        <w:br/>
      </w:r>
      <w:r>
        <w:t xml:space="preserve">The EU Ecodesign Directive aims to address these barriers by setting performance requirements to</w:t>
      </w:r>
      <w:r>
        <w:t xml:space="preserve"> </w:t>
      </w:r>
      <w:r>
        <w:t xml:space="preserve">remove the worst performing products from the market. The assessment aims to ensure that the</w:t>
      </w:r>
      <w:r>
        <w:t xml:space="preserve"> </w:t>
      </w:r>
      <w:r>
        <w:t xml:space="preserve">minimum requirements are set at the level of Least Lifecycle Consumer Cost. These harmonised</w:t>
      </w:r>
      <w:r>
        <w:t xml:space="preserve"> </w:t>
      </w:r>
      <w:r>
        <w:t xml:space="preserve">requirements have specifically addressed energy efficiency and have led to significant reductions in</w:t>
      </w:r>
      <w:r>
        <w:t xml:space="preserve"> </w:t>
      </w:r>
      <w:r>
        <w:t xml:space="preserve">energy use of household and industrial products. Being set at EU level, they have avoided</w:t>
      </w:r>
      <w:r>
        <w:t xml:space="preserve"> </w:t>
      </w:r>
      <w:r>
        <w:t xml:space="preserve">subjecting industry to multiple national rules.</w:t>
      </w:r>
      <w:r>
        <w:t xml:space="preserve"> </w:t>
      </w:r>
      <w:r>
        <w:t xml:space="preserve">Energy labelling rules complement ecodesign requirements. These provide information to</w:t>
      </w:r>
      <w:r>
        <w:t xml:space="preserve"> </w:t>
      </w:r>
      <w:r>
        <w:t xml:space="preserve">consumers with the aim of encouraging them to purchase products that have a better energy</w:t>
      </w:r>
      <w:r>
        <w:t xml:space="preserve"> </w:t>
      </w:r>
      <w:r>
        <w:t xml:space="preserve">performance than the minimum. This has helped consumers to reduce their energy bills by easily</w:t>
      </w:r>
      <w:r>
        <w:t xml:space="preserve"> </w:t>
      </w:r>
      <w:r>
        <w:t xml:space="preserve">identifying and comparing more energy efficient appliances. Nearly 80 % of the EU public</w:t>
      </w:r>
      <w:r>
        <w:t xml:space="preserve"> </w:t>
      </w:r>
      <w:r>
        <w:t xml:space="preserve">recognise the label and say it has influenced their purchase decision16.</w:t>
      </w:r>
    </w:p>
    <w:p>
      <w:pPr>
        <w:pStyle w:val="BodyText"/>
      </w:pPr>
      <w:r>
        <w:t xml:space="preserve">11 EUR-Lex - 52022DC0108 - FR - EUR-Lex (europa.eu)</w:t>
      </w:r>
      <w:r>
        <w:t xml:space="preserve"> </w:t>
      </w:r>
      <w:r>
        <w:t xml:space="preserve">12 https://combi-project.eu/2018/06/22/combi-results-overview-policy-conclusions/</w:t>
      </w:r>
      <w:r>
        <w:br/>
      </w:r>
      <w:r>
        <w:t xml:space="preserve">13 Directive 2009/125/EC of the European Parliament and of the Council of 21 October 2009 establishing a framework</w:t>
      </w:r>
      <w:r>
        <w:t xml:space="preserve"> </w:t>
      </w:r>
      <w:r>
        <w:t xml:space="preserve">for the setting of ecodesign requirements for energy-related products (OJ L 285, 31.10.2009, p.10)</w:t>
      </w:r>
      <w:r>
        <w:t xml:space="preserve"> </w:t>
      </w:r>
      <w:r>
        <w:t xml:space="preserve">14 DellaValle N., Bertoldi P. (2021) “Toward a more situated energy efficiency policy agenda”.</w:t>
      </w:r>
      <w:r>
        <w:t xml:space="preserve"> </w:t>
      </w:r>
      <w:r>
        <w:t xml:space="preserve">15 E.g. impacts on air pollution, biodiversity, resource use, climate change and energy security</w:t>
      </w:r>
      <w:r>
        <w:br/>
      </w:r>
      <w:r>
        <w:t xml:space="preserve">16Special Eurobarometer 492. “Europeans’ attitudes on energy policy report. European Commission September 2019.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The impact of these measures are estimated through the Ecodesign Impact Accounting17. It is</w:t>
      </w:r>
      <w:r>
        <w:t xml:space="preserve"> </w:t>
      </w:r>
      <w:r>
        <w:t xml:space="preserve">estimated that in 2020 the combined ecodesign and energy labelling measures contributed a quarter</w:t>
      </w:r>
      <w:r>
        <w:t xml:space="preserve"> </w:t>
      </w:r>
      <w:r>
        <w:t xml:space="preserve">of the energy savings and a third of the greenhouse gas emissions reductions to achieve the EU’s</w:t>
      </w:r>
      <w:r>
        <w:t xml:space="preserve"> </w:t>
      </w:r>
      <w:r>
        <w:t xml:space="preserve">20-20-20 climate and energy policy goals.</w:t>
      </w:r>
      <w:r>
        <w:br/>
      </w:r>
      <w:r>
        <w:t xml:space="preserve">The benefits of ecodesign and energy labelling are not limited to the EU energy and environmental</w:t>
      </w:r>
      <w:r>
        <w:t xml:space="preserve"> </w:t>
      </w:r>
      <w:r>
        <w:t xml:space="preserve">goals but they also contribute to some of the 17 Sustainable Development Goals (SDGs) adopted by</w:t>
      </w:r>
      <w:r>
        <w:t xml:space="preserve"> </w:t>
      </w:r>
      <w:r>
        <w:t xml:space="preserve">the UN. By reducing in-use energy consumption and the subsequent environmental impacts such as</w:t>
      </w:r>
      <w:r>
        <w:t xml:space="preserve"> </w:t>
      </w:r>
      <w:r>
        <w:t xml:space="preserve">GHG emissions or acidification, ecodesign and energy labelling contribute to SDG 7 (affordable</w:t>
      </w:r>
      <w:r>
        <w:t xml:space="preserve"> </w:t>
      </w:r>
      <w:r>
        <w:t xml:space="preserve">and clean energy), SDG 8 (Decent work and economig growth), SDG 10 (reduced inequalities),</w:t>
      </w:r>
      <w:r>
        <w:t xml:space="preserve"> </w:t>
      </w:r>
      <w:r>
        <w:t xml:space="preserve">SDG 11 (sustainable cities and communities) and SDG 13 (climate action). In particular the</w:t>
      </w:r>
      <w:r>
        <w:t xml:space="preserve"> </w:t>
      </w:r>
      <w:r>
        <w:t xml:space="preserve">following targets included in the abovementioned SDGs are addressed: target 7.3 (double the</w:t>
      </w:r>
      <w:r>
        <w:t xml:space="preserve"> </w:t>
      </w:r>
      <w:r>
        <w:t xml:space="preserve">improvement of energy efficiency), target 8.4 (improve resource efficiency in consumption and</w:t>
      </w:r>
      <w:r>
        <w:t xml:space="preserve"> </w:t>
      </w:r>
      <w:r>
        <w:t xml:space="preserve">production), target 10.1 (reduce income inequalities) by reducing the consumer’s energy bill and</w:t>
      </w:r>
      <w:r>
        <w:t xml:space="preserve"> </w:t>
      </w:r>
      <w:r>
        <w:t xml:space="preserve">notably for those in situation of energy poverty, target 11.6 (reduce the environmental impact of</w:t>
      </w:r>
      <w:r>
        <w:t xml:space="preserve"> </w:t>
      </w:r>
      <w:r>
        <w:t xml:space="preserve">cities) and target 13.1 (strengthen resilience and adaptative capacity to climate-related hazards). In</w:t>
      </w:r>
      <w:r>
        <w:t xml:space="preserve"> </w:t>
      </w:r>
      <w:r>
        <w:t xml:space="preserve">addition, circular economy measures under ecodesign also contribute to the following SDGs and</w:t>
      </w:r>
      <w:r>
        <w:t xml:space="preserve"> </w:t>
      </w:r>
      <w:r>
        <w:t xml:space="preserve">targets: the abovementioned targets 8.4 and 11.6 by lengthening the lifetime of the product,</w:t>
      </w:r>
      <w:r>
        <w:t xml:space="preserve"> </w:t>
      </w:r>
      <w:r>
        <w:t xml:space="preserve">reducing waste and increasing recyclability and SDG 12 (responsible consumption and production)</w:t>
      </w:r>
      <w:r>
        <w:t xml:space="preserve"> </w:t>
      </w:r>
      <w:r>
        <w:t xml:space="preserve">and in particular its targets 12.2 (sustainable management and use of natural resources) and 12.5</w:t>
      </w:r>
      <w:r>
        <w:t xml:space="preserve"> </w:t>
      </w:r>
      <w:r>
        <w:t xml:space="preserve">(substantially reduce waste generation).</w:t>
      </w:r>
      <w:r>
        <w:br/>
      </w:r>
      <w:r>
        <w:t xml:space="preserve">Annex 3 further elaborates on SDGs, explaining how the proposed measures contribute to them and</w:t>
      </w:r>
      <w:r>
        <w:t xml:space="preserve"> </w:t>
      </w:r>
      <w:r>
        <w:t xml:space="preserve">providing a quantitative estimation of that contribution.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 of the impact assessment</w:t>
      </w:r>
      <w:r>
        <w:t xml:space="preserve"> </w:t>
      </w:r>
      <w:r>
        <w:t xml:space="preserve">Following an assessment and preparatory study, local space heaters were regulated under the</w:t>
      </w:r>
      <w:r>
        <w:t xml:space="preserve"> </w:t>
      </w:r>
      <w:r>
        <w:t xml:space="preserve">Ecodesign Framework Directive through Commission Regulation (EU) 2015/1188 on ecodesign</w:t>
      </w:r>
      <w:r>
        <w:t xml:space="preserve"> </w:t>
      </w:r>
      <w:r>
        <w:t xml:space="preserve">requirements for local space heaters18 (hereafter the LSH Regulation). At the time of adoption, the</w:t>
      </w:r>
      <w:r>
        <w:t xml:space="preserve"> </w:t>
      </w:r>
      <w:r>
        <w:t xml:space="preserve">ecodesign and energy labelling requirements for local space heaters were estimated to achieve</w:t>
      </w:r>
      <w:r>
        <w:t xml:space="preserve"> </w:t>
      </w:r>
      <w:r>
        <w:t xml:space="preserve">energy savings of approximately 3,8 Mtoe and related GHG emission reductions of 6,7 MtCO2eq</w:t>
      </w:r>
      <w:r>
        <w:t xml:space="preserve"> </w:t>
      </w:r>
      <w:r>
        <w:t xml:space="preserve">by 2020.</w:t>
      </w:r>
      <w:r>
        <w:t xml:space="preserve"> </w:t>
      </w:r>
      <w:r>
        <w:t xml:space="preserve">Article 7 of the LSH Regulation, mandates a review of the Regulation, in particular regarding the</w:t>
      </w:r>
      <w:r>
        <w:t xml:space="preserve"> </w:t>
      </w:r>
      <w:r>
        <w:t xml:space="preserve">possibility to set stricter requirements for energy efficiency and NOx emissions, the modification of</w:t>
      </w:r>
      <w:r>
        <w:t xml:space="preserve"> </w:t>
      </w:r>
      <w:r>
        <w:t xml:space="preserve">the verification tolerances of Annex IV, the validity of the correction factors and the</w:t>
      </w:r>
      <w:r>
        <w:t xml:space="preserve"> </w:t>
      </w:r>
      <w:r>
        <w:t xml:space="preserve">appropriateness of introducing third-party certification. Consequently a review of the LSH</w:t>
      </w:r>
      <w:r>
        <w:t xml:space="preserve"> </w:t>
      </w:r>
      <w:r>
        <w:t xml:space="preserve">Regulation was included in the Ecodesign Working Plan 2016-201919. This noted that the review</w:t>
      </w:r>
      <w:r>
        <w:t xml:space="preserve"> </w:t>
      </w:r>
      <w:r>
        <w:t xml:space="preserve">would also assess aspects relevant to the circular economy. The review has been carried out through</w:t>
      </w:r>
      <w:r>
        <w:t xml:space="preserve"> </w:t>
      </w:r>
      <w:r>
        <w:t xml:space="preserve">a review study20 and this impact assessment21.</w:t>
      </w:r>
    </w:p>
    <w:p>
      <w:pPr>
        <w:pStyle w:val="BodyText"/>
      </w:pPr>
      <w:r>
        <w:t xml:space="preserve">17 Ecodesign impact accounting annual report 2020</w:t>
      </w:r>
      <w:r>
        <w:t xml:space="preserve"> </w:t>
      </w:r>
      <w:r>
        <w:t xml:space="preserve">18 Commission Regulation (EU) 2015/1188 of 28 April 2015 implementing Directive 2009/125/EC of the European</w:t>
      </w:r>
      <w:r>
        <w:t xml:space="preserve"> </w:t>
      </w:r>
      <w:r>
        <w:t xml:space="preserve">Parliament and of the Council with regard to ecodesign requirements for local space heaters (OJ L 193, 21.7.2015, p. </w:t>
      </w:r>
      <w:r>
        <w:t xml:space="preserve"> </w:t>
      </w:r>
      <w:r>
        <w:t xml:space="preserve">76)</w:t>
      </w:r>
      <w:r>
        <w:t xml:space="preserve"> </w:t>
      </w:r>
      <w:r>
        <w:t xml:space="preserve">19 Communication from the Commission Ecodesign Working Plan. COM(2016) 773 final, Brussels, 30 November</w:t>
      </w:r>
      <w:r>
        <w:t xml:space="preserve"> </w:t>
      </w:r>
      <w:r>
        <w:t xml:space="preserve">2016. (Ecodesign Working Plan 2016-2019)</w:t>
      </w:r>
      <w:r>
        <w:t xml:space="preserve"> </w:t>
      </w:r>
      <w:r>
        <w:t xml:space="preserve">20 Review study on Local Space Heaters, Final Report, Viegand Maagøe and Danish Technical Institute, May 2019 for</w:t>
      </w:r>
      <w:r>
        <w:t xml:space="preserve"> </w:t>
      </w:r>
      <w:r>
        <w:t xml:space="preserve">the European Commission. Final report _ Local space heaters - VM15052019.pdf (applia-europe.eu).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2.1.1. The first key problem: missed in-use energy savings from local space heaters</w:t>
      </w:r>
      <w:r>
        <w:br/>
      </w:r>
      <w:r>
        <w:t xml:space="preserve">The EU Reference Scenario 2020 projects energy consumption to be reduced to 1.124 Mtoe of</w:t>
      </w:r>
      <w:r>
        <w:t xml:space="preserve"> </w:t>
      </w:r>
      <w:r>
        <w:t xml:space="preserve">primary energy and 864 Mtoe of final energy in 2030, which is insufficient to attain the energy</w:t>
      </w:r>
      <w:r>
        <w:t xml:space="preserve"> </w:t>
      </w:r>
      <w:r>
        <w:t xml:space="preserve">efficiency target under the fit-for-55 package. As indicated above, the draft revision of the EED sets</w:t>
      </w:r>
      <w:r>
        <w:t xml:space="preserve"> </w:t>
      </w:r>
      <w:r>
        <w:t xml:space="preserve">out an additional binding reduction of 9% of energy consumption in the EU from energy efficiency</w:t>
      </w:r>
      <w:r>
        <w:t xml:space="preserve"> </w:t>
      </w:r>
      <w:r>
        <w:t xml:space="preserve">measures, which would bring the energy consumption down to 1.023 Mtoe of primary energy and</w:t>
      </w:r>
      <w:r>
        <w:t xml:space="preserve"> </w:t>
      </w:r>
      <w:r>
        <w:t xml:space="preserve">787 Mtoe of final energy by 2030.</w:t>
      </w:r>
      <w:r>
        <w:br/>
      </w:r>
      <w:r>
        <w:t xml:space="preserve">The revised EED will mandate Member States to lay down measures at national level to</w:t>
      </w:r>
      <w:r>
        <w:t xml:space="preserve"> </w:t>
      </w:r>
      <w:r>
        <w:t xml:space="preserve">collectively contribute to the EU binding target, thus underscoring the importance of co-</w:t>
      </w:r>
      <w:r>
        <w:t xml:space="preserve"> </w:t>
      </w:r>
      <w:r>
        <w:t xml:space="preserve">responsibility among Member States to reach the global EU energy and climate goals. This</w:t>
      </w:r>
      <w:r>
        <w:t xml:space="preserve"> </w:t>
      </w:r>
      <w:r>
        <w:t xml:space="preserve">approach entails the risk that some Member States may not fully realise their national objectives</w:t>
      </w:r>
      <w:r>
        <w:t xml:space="preserve"> </w:t>
      </w:r>
      <w:r>
        <w:t xml:space="preserve">and therefore jeopardise the achievement of the 9% target. Ecodesign and energy labelling</w:t>
      </w:r>
      <w:r>
        <w:t xml:space="preserve"> </w:t>
      </w:r>
      <w:r>
        <w:t xml:space="preserve">measures (which unlike measures in the scope of the EED have the advantage of being directly</w:t>
      </w:r>
      <w:r>
        <w:t xml:space="preserve"> </w:t>
      </w:r>
      <w:r>
        <w:t xml:space="preserve">applicable across the EU) must contribute to that 9% by reducing energy consumption on top of the</w:t>
      </w:r>
      <w:r>
        <w:t xml:space="preserve"> </w:t>
      </w:r>
      <w:r>
        <w:t xml:space="preserve">reductions achieved under EED.</w:t>
      </w:r>
      <w:r>
        <w:br/>
      </w:r>
      <w:r>
        <w:t xml:space="preserve">The modelled in-use energy consumption from local space heaters was 15 Mtoe in 202022, 1,7% of</w:t>
      </w:r>
      <w:r>
        <w:t xml:space="preserve"> </w:t>
      </w:r>
      <w:r>
        <w:t xml:space="preserve">EU total final energy consumption and 4% of the final energy consumption of households and</w:t>
      </w:r>
      <w:r>
        <w:t xml:space="preserve"> </w:t>
      </w:r>
      <w:r>
        <w:t xml:space="preserve">services. In view of this it is desirable to maximise further cost-effective increases in the energy</w:t>
      </w:r>
      <w:r>
        <w:t xml:space="preserve"> </w:t>
      </w:r>
      <w:r>
        <w:t xml:space="preserve">efficiency of local space heaters.</w:t>
      </w:r>
      <w:r>
        <w:br/>
      </w:r>
      <w:r>
        <w:t xml:space="preserve">Section 1.5 of the review study indicates that there could be potential for further energy efficiency</w:t>
      </w:r>
      <w:r>
        <w:t xml:space="preserve"> </w:t>
      </w:r>
      <w:r>
        <w:t xml:space="preserve">gains through addressing a number of aspects of the current LSH Regulation. In this respect, the</w:t>
      </w:r>
      <w:r>
        <w:t xml:space="preserve"> </w:t>
      </w:r>
      <w:r>
        <w:t xml:space="preserve">review study concludes that the LSH Regulation presents barriers that impede gaining further</w:t>
      </w:r>
      <w:r>
        <w:t xml:space="preserve"> </w:t>
      </w:r>
      <w:r>
        <w:t xml:space="preserve">energy savings because the legislative scope does not clearly delimit the types of local space</w:t>
      </w:r>
      <w:r>
        <w:t xml:space="preserve"> </w:t>
      </w:r>
      <w:r>
        <w:t xml:space="preserve">heaters that must fulfil the ecodesign requirements.</w:t>
      </w:r>
      <w:r>
        <w:br/>
      </w:r>
      <w:r>
        <w:t xml:space="preserve">The contribution of local space heaters to EU energy efficiency objectives can be enhanced by</w:t>
      </w:r>
      <w:r>
        <w:t xml:space="preserve"> </w:t>
      </w:r>
      <w:r>
        <w:t xml:space="preserve">clarifying and moderately broadening the scope of the legislation, without technological</w:t>
      </w:r>
      <w:r>
        <w:t xml:space="preserve"> </w:t>
      </w:r>
      <w:r>
        <w:t xml:space="preserve">improvement. In fact, section 4.5.3 of the review study identifies that technology is mature and</w:t>
      </w:r>
      <w:r>
        <w:t xml:space="preserve"> </w:t>
      </w:r>
      <w:r>
        <w:t xml:space="preserve">unlikely to yield significant energy efficiency improvements, in particular for electric heaters.</w:t>
      </w:r>
      <w:r>
        <w:t xml:space="preserve"> </w:t>
      </w:r>
      <w:r>
        <w:t xml:space="preserve">Options for achieving better efficiency all relate to fitting the heaters with suitable controllers.</w:t>
      </w:r>
      <w:r>
        <w:t xml:space="preserve"> </w:t>
      </w:r>
      <w:r>
        <w:t xml:space="preserve">Further, section 6 of the review study assesses the possibilities for energy efficiency improvements,</w:t>
      </w:r>
      <w:r>
        <w:t xml:space="preserve"> </w:t>
      </w:r>
      <w:r>
        <w:t xml:space="preserve">which may come from either automatic programming or control accuracy, both linked to the use of</w:t>
      </w:r>
      <w:r>
        <w:t xml:space="preserve"> </w:t>
      </w:r>
      <w:r>
        <w:t xml:space="preserve">controllers but not to the improvement of the heating technology in itself. There is therefore little to</w:t>
      </w:r>
    </w:p>
    <w:p>
      <w:pPr>
        <w:pStyle w:val="BodyText"/>
      </w:pPr>
      <w:r>
        <w:t xml:space="preserve">21 The current review of the LSH Regulation does not consist of a back-to-back evaluation and impact assessment</w:t>
      </w:r>
      <w:r>
        <w:t xml:space="preserve"> </w:t>
      </w:r>
      <w:r>
        <w:t xml:space="preserve">according to the Better Regulation Guidelines. This is because the review of the LSH Regulation started in 2017, and at</w:t>
      </w:r>
      <w:r>
        <w:t xml:space="preserve"> </w:t>
      </w:r>
      <w:r>
        <w:t xml:space="preserve">that time the commonly used methodology for the reviews of the legislation on ecodesign and energy labelling</w:t>
      </w:r>
      <w:r>
        <w:t xml:space="preserve"> </w:t>
      </w:r>
      <w:r>
        <w:t xml:space="preserve">consisted of a review study and a later impact assessment. The approach was known and accepted at the time, and has</w:t>
      </w:r>
      <w:r>
        <w:t xml:space="preserve"> </w:t>
      </w:r>
      <w:r>
        <w:t xml:space="preserve">also been used for a number of other reviews still in the pipeline for consideration by the Board in 2022 and 2023.</w:t>
      </w:r>
      <w:r>
        <w:t xml:space="preserve"> </w:t>
      </w:r>
      <w:r>
        <w:t xml:space="preserve">However, DG ENER has decided to gradually change this practice so that new reviews starting as of 2022 will align</w:t>
      </w:r>
      <w:r>
        <w:t xml:space="preserve"> </w:t>
      </w:r>
      <w:r>
        <w:t xml:space="preserve">fully to the standard Better Regulation process, and will integrate what was formerly known as review studies in back-</w:t>
      </w:r>
      <w:r>
        <w:t xml:space="preserve"> </w:t>
      </w:r>
      <w:r>
        <w:t xml:space="preserve">to-back evaluations and impact assessments. The first case where this new approach will be used is the review of the</w:t>
      </w:r>
      <w:r>
        <w:t xml:space="preserve"> </w:t>
      </w:r>
      <w:r>
        <w:t xml:space="preserve">External Power Supply Regulation.</w:t>
      </w:r>
      <w:r>
        <w:t xml:space="preserve"> </w:t>
      </w:r>
      <w:r>
        <w:t xml:space="preserve">22 From EU Reference Scenario 2020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do in terms of technological evolution, and priority should be given to removing the</w:t>
      </w:r>
      <w:r>
        <w:t xml:space="preserve"> </w:t>
      </w:r>
      <w:r>
        <w:t xml:space="preserve">abovementioned legislative barriers rather than on setting new energy efficiency limits, to ensure</w:t>
      </w:r>
      <w:r>
        <w:t xml:space="preserve"> </w:t>
      </w:r>
      <w:r>
        <w:t xml:space="preserve">that current heaters are coupled with the appropriate controllers.</w:t>
      </w:r>
      <w:r>
        <w:t xml:space="preserve"> </w:t>
      </w:r>
      <w:r>
        <w:t xml:space="preserve">Besides preventing the realisation of energy savings, the lack of clarity of the scope results in</w:t>
      </w:r>
      <w:r>
        <w:t xml:space="preserve"> </w:t>
      </w:r>
      <w:r>
        <w:t xml:space="preserve">unnecessary burden for manufacturers and Market Surveillance Authorities (MSAs). For</w:t>
      </w:r>
      <w:r>
        <w:t xml:space="preserve"> </w:t>
      </w:r>
      <w:r>
        <w:t xml:space="preserve">manufacturers, the unclear scope generates competitive disadvantages between manufacturers</w:t>
      </w:r>
      <w:r>
        <w:t xml:space="preserve"> </w:t>
      </w:r>
      <w:r>
        <w:t xml:space="preserve">whose products are compliant with the ecodesign rules and those whose products are not, resulting</w:t>
      </w:r>
      <w:r>
        <w:t xml:space="preserve"> </w:t>
      </w:r>
      <w:r>
        <w:t xml:space="preserve">in extra costs for compliant manufacturers and hindering access to the market in equal conditions.</w:t>
      </w:r>
      <w:r>
        <w:t xml:space="preserve"> </w:t>
      </w:r>
      <w:r>
        <w:t xml:space="preserve">These excess costs are quantified in section 6.5. On the side of MSAs, there is loss of time and</w:t>
      </w:r>
      <w:r>
        <w:t xml:space="preserve"> </w:t>
      </w:r>
      <w:r>
        <w:t xml:space="preserve">resources on the selection of the products to be controlled because of the uncertainty about the</w:t>
      </w:r>
      <w:r>
        <w:t xml:space="preserve"> </w:t>
      </w:r>
      <w:r>
        <w:t xml:space="preserve">inclusion or not in the scope of the LSH Regulation of specific product categories like underfloor</w:t>
      </w:r>
      <w:r>
        <w:t xml:space="preserve"> </w:t>
      </w:r>
      <w:r>
        <w:t xml:space="preserve">heaters. Both industry and Member States declare that the current scope of the LSH Regulation is a</w:t>
      </w:r>
      <w:r>
        <w:t xml:space="preserve"> </w:t>
      </w:r>
      <w:r>
        <w:t xml:space="preserve">source of confusion among manufacturers on the one hand, which are not sure about whether their</w:t>
      </w:r>
      <w:r>
        <w:t xml:space="preserve"> </w:t>
      </w:r>
      <w:r>
        <w:t xml:space="preserve">products must or not fulfil the ecodesign rules, and national authorities on the other hand, which are</w:t>
      </w:r>
      <w:r>
        <w:t xml:space="preserve"> </w:t>
      </w:r>
      <w:r>
        <w:t xml:space="preserve">frequently engaged in discussions with manufacturers about whether their products are in the scope</w:t>
      </w:r>
      <w:r>
        <w:t xml:space="preserve"> </w:t>
      </w:r>
      <w:r>
        <w:t xml:space="preserve">of the LSH Regulation and would consequently be subject to market surveillance.</w:t>
      </w:r>
      <w:r>
        <w:t xml:space="preserve"> </w:t>
      </w:r>
      <w:r>
        <w:t xml:space="preserve">2.1.2. The second key problem: market failures due to lack of regulatory provisions</w:t>
      </w:r>
      <w:r>
        <w:t xml:space="preserve"> </w:t>
      </w:r>
      <w:r>
        <w:t xml:space="preserve">on circular economy</w:t>
      </w:r>
      <w:r>
        <w:t xml:space="preserve"> </w:t>
      </w:r>
      <w:r>
        <w:t xml:space="preserve">The lack of regulatory provisions on circular economy lead to negative environmental effects that</w:t>
      </w:r>
      <w:r>
        <w:t xml:space="preserve"> </w:t>
      </w:r>
      <w:r>
        <w:t xml:space="preserve">are not internalised in the price of local space heaters. This means that industry does not receive</w:t>
      </w:r>
      <w:r>
        <w:t xml:space="preserve"> </w:t>
      </w:r>
      <w:r>
        <w:t xml:space="preserve">sufficiently strong signals to incorporate resource efficiency criteria in the design and manufacture</w:t>
      </w:r>
      <w:r>
        <w:t xml:space="preserve"> </w:t>
      </w:r>
      <w:r>
        <w:t xml:space="preserve">of their products. In addition, circular economy and climate and energy policies like energy</w:t>
      </w:r>
      <w:r>
        <w:t xml:space="preserve"> </w:t>
      </w:r>
      <w:r>
        <w:t xml:space="preserve">efficiency, have not always been well integrated. For instance, the IPCC’s Summaries for Policy</w:t>
      </w:r>
      <w:r>
        <w:t xml:space="preserve"> </w:t>
      </w:r>
      <w:r>
        <w:t xml:space="preserve">Makers hardly mentioned circularity or resource efficiency as a decarbonisation option, and the first</w:t>
      </w:r>
      <w:r>
        <w:t xml:space="preserve"> </w:t>
      </w:r>
      <w:r>
        <w:t xml:space="preserve">Circular Economy Action Plan of 2015 vaguely mentioned climate change while acknowledging</w:t>
      </w:r>
      <w:r>
        <w:t xml:space="preserve"> </w:t>
      </w:r>
      <w:r>
        <w:t xml:space="preserve">that “to date ecodesign requirements have mainly targeted energy efficiency”. Nowadays, scientific</w:t>
      </w:r>
      <w:r>
        <w:t xml:space="preserve"> </w:t>
      </w:r>
      <w:r>
        <w:t xml:space="preserve">literature has demonstrated the connection between circular economy, energy savings and climate</w:t>
      </w:r>
      <w:r>
        <w:t xml:space="preserve"> </w:t>
      </w:r>
      <w:r>
        <w:t xml:space="preserve">change, thanks to studies like Material Economics’ and Sitra’s, entitled The circular economy – A</w:t>
      </w:r>
      <w:r>
        <w:t xml:space="preserve"> </w:t>
      </w:r>
      <w:r>
        <w:t xml:space="preserve">powerful force for climate mitigation (2018)23, from the UN’s International Resources Panel2425</w:t>
      </w:r>
      <w:r>
        <w:br/>
      </w:r>
      <w:r>
        <w:t xml:space="preserve">and the Commission’s analysis for the Long-Term Strategic Vision to reduce GHG emissions. Now</w:t>
      </w:r>
      <w:r>
        <w:t xml:space="preserve"> </w:t>
      </w:r>
      <w:r>
        <w:t xml:space="preserve">these interlinkages are acknowledged at both scientific and policy levels, notably under the</w:t>
      </w:r>
      <w:r>
        <w:t xml:space="preserve"> </w:t>
      </w:r>
      <w:r>
        <w:t xml:space="preserve">European Green Deal and its initiatives (e.g. Renovation Wave, EPBD revision).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Unclear scope of the LSH Regulation</w:t>
      </w:r>
      <w:r>
        <w:t xml:space="preserve"> </w:t>
      </w:r>
      <w:r>
        <w:t xml:space="preserve">Slave heaters are defined in the LSH Regulation as local space heaters that are not capable of</w:t>
      </w:r>
      <w:r>
        <w:t xml:space="preserve"> </w:t>
      </w:r>
      <w:r>
        <w:t xml:space="preserve">autonomous operation and need to receive signals from an external master controller that is not</w:t>
      </w:r>
      <w:r>
        <w:t xml:space="preserve"> </w:t>
      </w:r>
      <w:r>
        <w:t xml:space="preserve">part of the product. As explained in section 1.5.2 of the review study, slave heaters are explicitly</w:t>
      </w:r>
    </w:p>
    <w:p>
      <w:pPr>
        <w:pStyle w:val="BodyText"/>
      </w:pPr>
      <w:r>
        <w:t xml:space="preserve">23 Material Economics and SITRA (2018) The circular economy – A powerful force for climate mitigation. Stockholm,</w:t>
      </w:r>
      <w:r>
        <w:t xml:space="preserve"> </w:t>
      </w:r>
      <w:r>
        <w:t xml:space="preserve">Material Economics Sverige AB. In: https://media.sitra.fi/2018/06/12132041/the-circular-economy-a-powerful-force-</w:t>
      </w:r>
      <w:r>
        <w:t xml:space="preserve"> </w:t>
      </w:r>
      <w:r>
        <w:t xml:space="preserve">for-climate-mitigation.pdf</w:t>
      </w:r>
      <w:r>
        <w:t xml:space="preserve"> </w:t>
      </w:r>
      <w:r>
        <w:t xml:space="preserve">24 UNEP (2017) Resource Efficiency: Potential and Economic Implications. Nairobi: UN Environment. In:</w:t>
      </w:r>
      <w:r>
        <w:t xml:space="preserve"> </w:t>
      </w:r>
      <w:r>
        <w:t xml:space="preserve">http://www.resourcepanel.org/reports/resource-efficiency</w:t>
      </w:r>
      <w:r>
        <w:t xml:space="preserve"> </w:t>
      </w:r>
      <w:r>
        <w:t xml:space="preserve">25 IRP (2020) Resource Efficiency and Climate Change: Material Efficiency Strategies for a Low-Carbon Future.</w:t>
      </w:r>
      <w:r>
        <w:t xml:space="preserve"> </w:t>
      </w:r>
      <w:r>
        <w:t xml:space="preserve">Hertwich, E., Lifset, R., Pauliuk, S., Heeren, N. A report of the International Resource Panel. Nairobi: United Nations</w:t>
      </w:r>
      <w:r>
        <w:t xml:space="preserve"> </w:t>
      </w:r>
      <w:r>
        <w:t xml:space="preserve">Environment Programme.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excluded from the scope of the LSH Regulation based on the assumption that they would be</w:t>
      </w:r>
      <w:r>
        <w:t xml:space="preserve"> </w:t>
      </w:r>
      <w:r>
        <w:t xml:space="preserve">connected to general heating systems (e.g. for an entire building) by means of central controllers</w:t>
      </w:r>
      <w:r>
        <w:t xml:space="preserve"> </w:t>
      </w:r>
      <w:r>
        <w:t xml:space="preserve">that incorporate the necessary functions to make the full system compliant with the LSH</w:t>
      </w:r>
      <w:r>
        <w:t xml:space="preserve"> </w:t>
      </w:r>
      <w:r>
        <w:t xml:space="preserve">Regulation. Nevertheless, the exclusion of slave heaters from the scope of the LSH Regulation is a</w:t>
      </w:r>
      <w:r>
        <w:t xml:space="preserve"> </w:t>
      </w:r>
      <w:r>
        <w:t xml:space="preserve">source of confusion and conflict between manufacturers and MSAs.</w:t>
      </w:r>
      <w:r>
        <w:br/>
      </w:r>
      <w:r>
        <w:t xml:space="preserve">First, the review study points out in section 1.5.2 that stakeholders have different opinions on</w:t>
      </w:r>
      <w:r>
        <w:t xml:space="preserve"> </w:t>
      </w:r>
      <w:r>
        <w:t xml:space="preserve">whether underfloor heaters are slave heaters and should therefore be excluded from the scope of</w:t>
      </w:r>
      <w:r>
        <w:t xml:space="preserve"> </w:t>
      </w:r>
      <w:r>
        <w:t xml:space="preserve">the LSH Regulation. Contrary to the definition of slave heaters, many underfloor heaters such as</w:t>
      </w:r>
      <w:r>
        <w:t xml:space="preserve"> </w:t>
      </w:r>
      <w:r>
        <w:t xml:space="preserve">heating cables, do not get any signal from the controller because they are simple resistors that do</w:t>
      </w:r>
      <w:r>
        <w:t xml:space="preserve"> </w:t>
      </w:r>
      <w:r>
        <w:t xml:space="preserve">not have the capacity to receive and interpret any electronic signal, but are just connected to a</w:t>
      </w:r>
      <w:r>
        <w:t xml:space="preserve"> </w:t>
      </w:r>
      <w:r>
        <w:t xml:space="preserve">thermostat that autonomously switches on and off the current. These underfloor heaters are</w:t>
      </w:r>
      <w:r>
        <w:t xml:space="preserve"> </w:t>
      </w:r>
      <w:r>
        <w:t xml:space="preserve">therefore not slave heaters, but they are placed on the market as such and are therefore exempted</w:t>
      </w:r>
      <w:r>
        <w:t xml:space="preserve"> </w:t>
      </w:r>
      <w:r>
        <w:t xml:space="preserve">from the ecodesign measures.</w:t>
      </w:r>
      <w:r>
        <w:br/>
      </w:r>
      <w:r>
        <w:t xml:space="preserve">Second, there are also doubts about whether electric towel heaters, also called towel rails, are in</w:t>
      </w:r>
      <w:r>
        <w:t xml:space="preserve"> </w:t>
      </w:r>
      <w:r>
        <w:t xml:space="preserve">the scope of the LSH Regulation. This is because the LSH Regulation considers local space heaters</w:t>
      </w:r>
      <w:r>
        <w:t xml:space="preserve"> </w:t>
      </w:r>
      <w:r>
        <w:t xml:space="preserve">as devices whose purpose is to ensure the thermal comfort of human beings. As explained in</w:t>
      </w:r>
      <w:r>
        <w:t xml:space="preserve"> </w:t>
      </w:r>
      <w:r>
        <w:t xml:space="preserve">section 1.5 of the review study, towel rails are not only intended to heat towels but also to heat the</w:t>
      </w:r>
      <w:r>
        <w:t xml:space="preserve"> </w:t>
      </w:r>
      <w:r>
        <w:t xml:space="preserve">space in which they are placed. In reality, most towel heaters are designed with enough power to</w:t>
      </w:r>
      <w:r>
        <w:t xml:space="preserve"> </w:t>
      </w:r>
      <w:r>
        <w:t xml:space="preserve">easily heat most bathrooms without any additional heat source. There are national differences, but</w:t>
      </w:r>
      <w:r>
        <w:t xml:space="preserve"> </w:t>
      </w:r>
      <w:r>
        <w:t xml:space="preserve">particularly in Member States with high shares of electric heating like France, towel heaters fulfil</w:t>
      </w:r>
      <w:r>
        <w:t xml:space="preserve"> </w:t>
      </w:r>
      <w:r>
        <w:t xml:space="preserve">this double purpose of heating towels and room at the same time. However, only around 10%26 of</w:t>
      </w:r>
      <w:r>
        <w:t xml:space="preserve"> </w:t>
      </w:r>
      <w:r>
        <w:t xml:space="preserve">towel rails are compliant because the majority of products are declared as intended exclusively to</w:t>
      </w:r>
      <w:r>
        <w:t xml:space="preserve"> </w:t>
      </w:r>
      <w:r>
        <w:t xml:space="preserve">heat towels and therefore do not fulfil the ecodesign rules. Apart from the missed energy savings,</w:t>
      </w:r>
      <w:r>
        <w:t xml:space="preserve"> </w:t>
      </w:r>
      <w:r>
        <w:t xml:space="preserve">section 1.5.2 of the review study indicates that this situation creates a distortion between those</w:t>
      </w:r>
      <w:r>
        <w:t xml:space="preserve"> </w:t>
      </w:r>
      <w:r>
        <w:t xml:space="preserve">manufacturers that consider the product in the scope and those for whom towel rails are outside of</w:t>
      </w:r>
      <w:r>
        <w:t xml:space="preserve"> </w:t>
      </w:r>
      <w:r>
        <w:t xml:space="preserve">the scope.</w:t>
      </w:r>
      <w:r>
        <w:t xml:space="preserve"> </w:t>
      </w:r>
      <w:r>
        <w:t xml:space="preserve">Finally, many local space heaters are placed on the market separately from the controller just to</w:t>
      </w:r>
      <w:r>
        <w:t xml:space="preserve"> </w:t>
      </w:r>
      <w:r>
        <w:t xml:space="preserve">escape the application of the LSH Regulation.</w:t>
      </w:r>
      <w:r>
        <w:br/>
      </w:r>
      <w:r>
        <w:t xml:space="preserve">2.2.2. Restrictive scope of the LSH Regulation</w:t>
      </w:r>
      <w:r>
        <w:t xml:space="preserve"> </w:t>
      </w:r>
      <w:r>
        <w:t xml:space="preserve">The LSH Regulation excludes tube heaters27 above 120 kW heat output power. As explained in</w:t>
      </w:r>
      <w:r>
        <w:t xml:space="preserve"> </w:t>
      </w:r>
      <w:r>
        <w:t xml:space="preserve">section 1.5.3 of the review study there is a historic reason for this exclusion, namely that the LSH</w:t>
      </w:r>
      <w:r>
        <w:t xml:space="preserve"> </w:t>
      </w:r>
      <w:r>
        <w:t xml:space="preserve">Regulation follows the same approach as the EN 416 standard, which also excluded tube heaters</w:t>
      </w:r>
      <w:r>
        <w:t xml:space="preserve"> </w:t>
      </w:r>
      <w:r>
        <w:t xml:space="preserve">above 120 kW before it was amended. Nevertheless, the latest version of the standard now includes</w:t>
      </w:r>
      <w:r>
        <w:t xml:space="preserve"> </w:t>
      </w:r>
      <w:r>
        <w:t xml:space="preserve">tube heaters between 120 and 300 kW, whose potential energy savings are significant enough to</w:t>
      </w:r>
      <w:r>
        <w:t xml:space="preserve"> </w:t>
      </w:r>
      <w:r>
        <w:t xml:space="preserve">include those devices in the scope of the LSH Regulation, ensuring also coherence with the tests</w:t>
      </w:r>
      <w:r>
        <w:t xml:space="preserve"> </w:t>
      </w:r>
      <w:r>
        <w:t xml:space="preserve">and results set in the standards for these products.</w:t>
      </w:r>
      <w:r>
        <w:br/>
      </w:r>
      <w:r>
        <w:t xml:space="preserve">The LSH Regulation is also restrictive with respect to low power modes. The formula for the</w:t>
      </w:r>
      <w:r>
        <w:t xml:space="preserve"> </w:t>
      </w:r>
      <w:r>
        <w:t xml:space="preserve">calculation of the seasonal space heating energy efficiency of local space heaters includes a</w:t>
      </w:r>
      <w:r>
        <w:t xml:space="preserve"> </w:t>
      </w:r>
      <w:r>
        <w:t xml:space="preserve">correction factor called F(4), which accounts for electric heater energy consumption in standby</w:t>
      </w:r>
    </w:p>
    <w:p>
      <w:pPr>
        <w:pStyle w:val="BodyText"/>
      </w:pPr>
      <w:r>
        <w:t xml:space="preserve">26 Estimation from the review study based on stakeholder inputs</w:t>
      </w:r>
      <w:r>
        <w:t xml:space="preserve"> </w:t>
      </w:r>
      <w:r>
        <w:t xml:space="preserve">27 Tube heaters are defined in the LSH Regulation as a local space heater using gaseous or liquid fuel, which is</w:t>
      </w:r>
      <w:r>
        <w:t xml:space="preserve"> </w:t>
      </w:r>
      <w:r>
        <w:t xml:space="preserve">equipped with a burner; which is to be installed above head level, near the subjects to be heated, which heats the space</w:t>
      </w:r>
      <w:r>
        <w:t xml:space="preserve"> </w:t>
      </w:r>
      <w:r>
        <w:t xml:space="preserve">primarily by infrared radiation from the tube or tubes heated by the internal passage of products of combustion and of</w:t>
      </w:r>
      <w:r>
        <w:t xml:space="preserve"> </w:t>
      </w:r>
      <w:r>
        <w:t xml:space="preserve">which the products of combustion are to be evacuated through a flue duct.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mode. Nevertheless, according to section 6.5 of the review study, most local space heaters rarely</w:t>
      </w:r>
      <w:r>
        <w:t xml:space="preserve"> </w:t>
      </w:r>
      <w:r>
        <w:t xml:space="preserve">have a mode that can be identified as “standby” as defined in the LSH Regulation, leading the</w:t>
      </w:r>
      <w:r>
        <w:t xml:space="preserve"> </w:t>
      </w:r>
      <w:r>
        <w:t xml:space="preserve">manufacturer to declare F(4) as zero even if many local space heaters feature low power modes</w:t>
      </w:r>
      <w:r>
        <w:t xml:space="preserve"> </w:t>
      </w:r>
      <w:r>
        <w:t xml:space="preserve">other than standby, that are not defined in the LSH Regulation but consume energy anyway and</w:t>
      </w:r>
      <w:r>
        <w:t xml:space="preserve"> </w:t>
      </w:r>
      <w:r>
        <w:t xml:space="preserve">lead to concealed energy consumption. This is the case of idle mode, off mode and networked</w:t>
      </w:r>
      <w:r>
        <w:t xml:space="preserve"> </w:t>
      </w:r>
      <w:r>
        <w:t xml:space="preserve">standby mode28. The restriction of the LSH Regulation to standby mode therefore leaves low</w:t>
      </w:r>
      <w:r>
        <w:t xml:space="preserve"> </w:t>
      </w:r>
      <w:r>
        <w:t xml:space="preserve">power modes unregulated.</w:t>
      </w:r>
      <w:r>
        <w:t xml:space="preserve"> </w:t>
      </w:r>
      <w:r>
        <w:t xml:space="preserve">2.2.3. Inadequate definitions concerning gas and liquid fuel local space heaters</w:t>
      </w:r>
      <w:r>
        <w:t xml:space="preserve"> </w:t>
      </w:r>
      <w:r>
        <w:t xml:space="preserve">As explained in section 1.5.3 of the review study, some stakeholders have claimed that the terms</w:t>
      </w:r>
      <w:r>
        <w:t xml:space="preserve"> </w:t>
      </w:r>
      <w:r>
        <w:t xml:space="preserve">used to define the different types of gas and liquid heaters are not aligned with the market. In this</w:t>
      </w:r>
      <w:r>
        <w:t xml:space="preserve"> </w:t>
      </w:r>
      <w:r>
        <w:t xml:space="preserve">respect, the LSH Regulation differentiates between “open fronted” and “closed fronted” as being</w:t>
      </w:r>
      <w:r>
        <w:t xml:space="preserve"> </w:t>
      </w:r>
      <w:r>
        <w:t xml:space="preserve">equivalent to open combustion and closed combustion respectively. But they are not the same. A</w:t>
      </w:r>
      <w:r>
        <w:t xml:space="preserve"> </w:t>
      </w:r>
      <w:r>
        <w:t xml:space="preserve">heater can be closed fronted but feature open or closed combustion, depending on whether the air</w:t>
      </w:r>
      <w:r>
        <w:t xml:space="preserve"> </w:t>
      </w:r>
      <w:r>
        <w:t xml:space="preserve">necessary for combustion is taken from the heated room or from the open air through a flue duct. In</w:t>
      </w:r>
      <w:r>
        <w:t xml:space="preserve"> </w:t>
      </w:r>
      <w:r>
        <w:t xml:space="preserve">fact, the definition of open fronted given in the LSH Regulation has led some manufacturers to</w:t>
      </w:r>
      <w:r>
        <w:t xml:space="preserve"> </w:t>
      </w:r>
      <w:r>
        <w:t xml:space="preserve">place on the market as open fronted, heaters that are in reality closed fronted/open combustion,</w:t>
      </w:r>
      <w:r>
        <w:t xml:space="preserve"> </w:t>
      </w:r>
      <w:r>
        <w:t xml:space="preserve">whose energy efficiency requirements should be more stringent The inadequacy of the definitions</w:t>
      </w:r>
      <w:r>
        <w:t xml:space="preserve"> </w:t>
      </w:r>
      <w:r>
        <w:t xml:space="preserve">results therefore in lost energy savings.</w:t>
      </w:r>
      <w:r>
        <w:br/>
      </w:r>
      <w:r>
        <w:t xml:space="preserve">2.2.4. Circular economy: insufficient availability of spare parts</w:t>
      </w:r>
      <w:r>
        <w:t xml:space="preserve"> </w:t>
      </w:r>
      <w:r>
        <w:t xml:space="preserve">A 2016 study carried out for DG Environment29 shows that the availability and prices of spare parts</w:t>
      </w:r>
      <w:r>
        <w:t xml:space="preserve"> </w:t>
      </w:r>
      <w:r>
        <w:t xml:space="preserve">are among the major barriers to reparability. Spare parts are usually not available or it takes a long</w:t>
      </w:r>
      <w:r>
        <w:t xml:space="preserve"> </w:t>
      </w:r>
      <w:r>
        <w:t xml:space="preserve">time to deliver them, creating the incentive to get rid of the product and replace it instead of</w:t>
      </w:r>
      <w:r>
        <w:t xml:space="preserve"> </w:t>
      </w:r>
      <w:r>
        <w:t xml:space="preserve">repairing it. Some producers deliver spare parts only to their partners, thus hindering competition</w:t>
      </w:r>
      <w:r>
        <w:t xml:space="preserve"> </w:t>
      </w:r>
      <w:r>
        <w:t xml:space="preserve">among the latter and independent repairers.</w:t>
      </w:r>
      <w:r>
        <w:br/>
      </w:r>
      <w:r>
        <w:t xml:space="preserve">2.2.5. Circular economy: lack of rules on upgradability of controllers</w:t>
      </w:r>
      <w:r>
        <w:t xml:space="preserve"> </w:t>
      </w:r>
      <w:r>
        <w:t xml:space="preserve">Used but well-functioning heaters may be unnecessarily replaced because their controllers and</w:t>
      </w:r>
      <w:r>
        <w:t xml:space="preserve"> </w:t>
      </w:r>
      <w:r>
        <w:t xml:space="preserve">functions are not upgradeable. Redesigning products whose controllers can be replaced by more</w:t>
      </w:r>
      <w:r>
        <w:t xml:space="preserve"> </w:t>
      </w:r>
      <w:r>
        <w:t xml:space="preserve">functional and efficient ones, would diminish the number of old devices that are scrapped and</w:t>
      </w:r>
      <w:r>
        <w:t xml:space="preserve"> </w:t>
      </w:r>
      <w:r>
        <w:t xml:space="preserve">would also improve the energy efficiency of those old devices. No advances in the heater</w:t>
      </w:r>
      <w:r>
        <w:t xml:space="preserve"> </w:t>
      </w:r>
      <w:r>
        <w:t xml:space="preserve">technology itself are expected, but future efficiency gains could be realised due to more efficient</w:t>
      </w:r>
      <w:r>
        <w:t xml:space="preserve"> </w:t>
      </w:r>
      <w:r>
        <w:t xml:space="preserve">controllers, if it was possible to upgrade the controller.</w:t>
      </w:r>
      <w:r>
        <w:t xml:space="preserve"> </w:t>
      </w:r>
      <w:r>
        <w:t xml:space="preserve">2.2.6. Circular economy: incomplete information on the end-of-life of appliances</w:t>
      </w:r>
      <w:r>
        <w:t xml:space="preserve"> </w:t>
      </w:r>
      <w:r>
        <w:t xml:space="preserve">Analyses carried out during the review study show benefits of providing recyclers with sufficient</w:t>
      </w:r>
      <w:r>
        <w:t xml:space="preserve"> </w:t>
      </w:r>
      <w:r>
        <w:t xml:space="preserve">and good quality information related to the recycling and disposal of heaters, in order to maximise</w:t>
      </w:r>
      <w:r>
        <w:t xml:space="preserve"> </w:t>
      </w:r>
      <w:r>
        <w:t xml:space="preserve">material recovery and therefore reduce the costs of recycling.</w:t>
      </w:r>
      <w:r>
        <w:br/>
      </w:r>
      <w:r>
        <w:t xml:space="preserve">According to the review study, local space heaters are rather simple devices, and their material</w:t>
      </w:r>
      <w:r>
        <w:t xml:space="preserve"> </w:t>
      </w:r>
      <w:r>
        <w:t xml:space="preserve">composition consists mostly of different types of metals. Metals are highly recyclable compared to</w:t>
      </w:r>
      <w:r>
        <w:t xml:space="preserve"> </w:t>
      </w:r>
      <w:r>
        <w:t xml:space="preserve">other materials, which gives a high recycling rate for local space heaters, above 87%. In spite of</w:t>
      </w:r>
    </w:p>
    <w:p>
      <w:pPr>
        <w:pStyle w:val="BodyText"/>
      </w:pPr>
      <w:r>
        <w:t xml:space="preserve">28 As defined in commission Regulation (EU) No 801/2013, OJ L 225, 23.8.2013, p. 1–12</w:t>
      </w:r>
      <w:r>
        <w:br/>
      </w:r>
      <w:r>
        <w:t xml:space="preserve">29 Monier, V., et. al., Study on socioeconomic impacts of increased reparability</w:t>
      </w:r>
      <w:r>
        <w:br/>
      </w:r>
      <w:r>
        <w:t xml:space="preserve">Final report, Deloitte the EC DG ENV, 2016.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being relatively easier to recycle than other appliances, local space heaters are becoming gradually</w:t>
      </w:r>
      <w:r>
        <w:t xml:space="preserve"> </w:t>
      </w:r>
      <w:r>
        <w:t xml:space="preserve">more complex in terms of electronics, and detailed information for the recovery of electronic</w:t>
      </w:r>
      <w:r>
        <w:t xml:space="preserve"> </w:t>
      </w:r>
      <w:r>
        <w:t xml:space="preserve">components should be provided. Electronic components are particularly interesting for recycling</w:t>
      </w:r>
      <w:r>
        <w:t xml:space="preserve"> </w:t>
      </w:r>
      <w:r>
        <w:t xml:space="preserve">because they contain high added value materials.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Further energy savings from local space heaters do not depend on breakthrough technological</w:t>
      </w:r>
      <w:r>
        <w:t xml:space="preserve"> </w:t>
      </w:r>
      <w:r>
        <w:t xml:space="preserve">improvements that would naturally replace the existing stock, but rather on reducing energy</w:t>
      </w:r>
      <w:r>
        <w:t xml:space="preserve"> </w:t>
      </w:r>
      <w:r>
        <w:t xml:space="preserve">consumption by fitting heaters with suitable controllers that already exist in the market. In the</w:t>
      </w:r>
      <w:r>
        <w:t xml:space="preserve"> </w:t>
      </w:r>
      <w:r>
        <w:t xml:space="preserve">absence of an amendment to the LSH Regulation, in-use energy savings will stagnate because out-</w:t>
      </w:r>
      <w:r>
        <w:t xml:space="preserve"> </w:t>
      </w:r>
      <w:r>
        <w:t xml:space="preserve">of-scope products will continue to be fitted with unsuitable controllers impeding further reduction</w:t>
      </w:r>
      <w:r>
        <w:t xml:space="preserve"> </w:t>
      </w:r>
      <w:r>
        <w:t xml:space="preserve">of energy consumption.</w:t>
      </w:r>
      <w:r>
        <w:br/>
      </w:r>
      <w:r>
        <w:t xml:space="preserve">As far as circular economy, the repair activity of local space heaters is currently inexistent</w:t>
      </w:r>
      <w:r>
        <w:t xml:space="preserve"> </w:t>
      </w:r>
      <w:r>
        <w:t xml:space="preserve">according to stakeholder information and there is no driver that could reverse this situation in the</w:t>
      </w:r>
      <w:r>
        <w:t xml:space="preserve"> </w:t>
      </w:r>
      <w:r>
        <w:t xml:space="preserve">coming years.</w:t>
      </w:r>
      <w:r>
        <w:br/>
      </w:r>
      <w:r>
        <w:t xml:space="preserve">It can therefore be concluded that the problems will persist in the absence of any intervention.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 114 of the Treaty on the Functioning of the European Union (TFEU) is the legal base for</w:t>
      </w:r>
      <w:r>
        <w:t xml:space="preserve"> </w:t>
      </w:r>
      <w:r>
        <w:t xml:space="preserve">measures related to the functioning of the internal market and therefore constitutes the legal base</w:t>
      </w:r>
      <w:r>
        <w:t xml:space="preserve"> </w:t>
      </w:r>
      <w:r>
        <w:t xml:space="preserve">for the Ecodesign Framework Directive30 and the derived legislation such as the LSH Regulation.</w:t>
      </w:r>
      <w:r>
        <w:br/>
      </w:r>
      <w:r>
        <w:t xml:space="preserve">In addition, the Ecodesign Framework Directive lays down a set of criteria to identify energy-</w:t>
      </w:r>
      <w:r>
        <w:t xml:space="preserve"> </w:t>
      </w:r>
      <w:r>
        <w:t xml:space="preserve">related products that may be subject to ecodesign measures. According to the review study, local</w:t>
      </w:r>
      <w:r>
        <w:t xml:space="preserve"> </w:t>
      </w:r>
      <w:r>
        <w:t xml:space="preserve">space heaters are eligible on the basis of the potential energy savings that can still be achieved</w:t>
      </w:r>
      <w:r>
        <w:t xml:space="preserve"> </w:t>
      </w:r>
      <w:r>
        <w:t xml:space="preserve">through the introduction of additional cost-effective measures.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LSH Regulation hinders the level playing field for manufacturers across the EU by creating a</w:t>
      </w:r>
      <w:r>
        <w:t xml:space="preserve"> </w:t>
      </w:r>
      <w:r>
        <w:t xml:space="preserve">competitive disadvantage between those manufacturers that fulfil the ecodesign rules in force and</w:t>
      </w:r>
      <w:r>
        <w:t xml:space="preserve"> </w:t>
      </w:r>
      <w:r>
        <w:t xml:space="preserve">those who do not. The good functioning of the internal market for local space heaters needs to be</w:t>
      </w:r>
      <w:r>
        <w:t xml:space="preserve"> </w:t>
      </w:r>
      <w:r>
        <w:t xml:space="preserve">assured through EU action by modifying the scope of the LSH Regulation. Otherwise Member</w:t>
      </w:r>
      <w:r>
        <w:t xml:space="preserve"> </w:t>
      </w:r>
      <w:r>
        <w:t xml:space="preserve">States could make different interpretations of that scope and could hinder the placing of specific</w:t>
      </w:r>
      <w:r>
        <w:t xml:space="preserve"> </w:t>
      </w:r>
      <w:r>
        <w:t xml:space="preserve">products on their respective national markets on the basis of their diverging interpretations.</w:t>
      </w:r>
      <w:r>
        <w:br/>
      </w:r>
      <w:r>
        <w:t xml:space="preserve">Further, the contribution of ecodesign to the Green Deal objectives, in particular to the achievement</w:t>
      </w:r>
      <w:r>
        <w:t xml:space="preserve"> </w:t>
      </w:r>
      <w:r>
        <w:t xml:space="preserve">of carbon neutrality by 2050 and the mobilisation of industry for a clean and circular economy,</w:t>
      </w:r>
      <w:r>
        <w:t xml:space="preserve"> </w:t>
      </w:r>
      <w:r>
        <w:t xml:space="preserve">would be undermined if collective EU action is not taken on the efficiency of energy-related</w:t>
      </w:r>
      <w:r>
        <w:t xml:space="preserve"> </w:t>
      </w:r>
      <w:r>
        <w:t xml:space="preserve">products such as local space heaters.</w:t>
      </w:r>
    </w:p>
    <w:p>
      <w:pPr>
        <w:pStyle w:val="BodyText"/>
      </w:pPr>
      <w:r>
        <w:t xml:space="preserve">30 Directive 2009/125/EC of the European Parliament and of the Council of 21 October 2009 establishing a framework</w:t>
      </w:r>
      <w:r>
        <w:t xml:space="preserve"> </w:t>
      </w:r>
      <w:r>
        <w:t xml:space="preserve">for the setting of ecodesign requirements for energy-related products (OJ L 285, 31.10.2009, p.10)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Ecodesign measures contribute to the global EU energy and climate objectives by setting</w:t>
      </w:r>
      <w:r>
        <w:t xml:space="preserve"> </w:t>
      </w:r>
      <w:r>
        <w:t xml:space="preserve">requirements that influence the characteristics of energy related products. In this respect, the</w:t>
      </w:r>
      <w:r>
        <w:t xml:space="preserve"> </w:t>
      </w:r>
      <w:r>
        <w:t xml:space="preserve">approach from ecodesign requirements is different than the approach from other EU energy and</w:t>
      </w:r>
      <w:r>
        <w:t xml:space="preserve"> </w:t>
      </w:r>
      <w:r>
        <w:t xml:space="preserve">climate legal acts such as EED, EPBD31 and RED32, which are based on the implementation by</w:t>
      </w:r>
      <w:r>
        <w:t xml:space="preserve"> </w:t>
      </w:r>
      <w:r>
        <w:t xml:space="preserve">Member States of solutions based on existing technologies, but do not directly require the</w:t>
      </w:r>
      <w:r>
        <w:t xml:space="preserve"> </w:t>
      </w:r>
      <w:r>
        <w:t xml:space="preserve">development of the technologies themselves. Direct EU action through ecodesign rules reinforce</w:t>
      </w:r>
      <w:r>
        <w:t xml:space="preserve"> </w:t>
      </w:r>
      <w:r>
        <w:t xml:space="preserve">therefore the actions taken at national level. Ecodesign measures can only be addressed at EU level</w:t>
      </w:r>
      <w:r>
        <w:t xml:space="preserve"> </w:t>
      </w:r>
      <w:r>
        <w:t xml:space="preserve">since they act directly on the product, where uniformity needs to be assured to avoid different</w:t>
      </w:r>
      <w:r>
        <w:t xml:space="preserve"> </w:t>
      </w:r>
      <w:r>
        <w:t xml:space="preserve">national rules undermining the EU internal market for that product.</w:t>
      </w:r>
      <w:r>
        <w:br/>
      </w:r>
      <w:r>
        <w:t xml:space="preserve">In addition, the modification of the LSH Regulation can enhance the efficiency of MSAs. Ifthe</w:t>
      </w:r>
      <w:r>
        <w:t xml:space="preserve"> </w:t>
      </w:r>
      <w:r>
        <w:t xml:space="preserve">scope of the LSH Regulation is clarified, MSA’s will spend less time selecting the products subject</w:t>
      </w:r>
      <w:r>
        <w:t xml:space="preserve"> </w:t>
      </w:r>
      <w:r>
        <w:t xml:space="preserve">to inspection and will not need to discuss with industry the application of the ecodesign rules to</w:t>
      </w:r>
      <w:r>
        <w:t xml:space="preserve"> </w:t>
      </w:r>
      <w:r>
        <w:t xml:space="preserve">specific product sub-groups.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is to contribute to the EU’s energy and environmental objectives set in the</w:t>
      </w:r>
      <w:r>
        <w:t xml:space="preserve"> </w:t>
      </w:r>
      <w:r>
        <w:t xml:space="preserve">TFEU. There are various possible synergies within this overall objective. The TFEU states that the</w:t>
      </w:r>
      <w:r>
        <w:t xml:space="preserve"> </w:t>
      </w:r>
      <w:r>
        <w:t xml:space="preserve">aim of the EU energy policy includes ensuring security of energy supply and promoting energy</w:t>
      </w:r>
      <w:r>
        <w:t xml:space="preserve"> </w:t>
      </w:r>
      <w:r>
        <w:t xml:space="preserve">efficiency and energy saving. Lower energy consumption is usually accompanied by a reduction in</w:t>
      </w:r>
      <w:r>
        <w:t xml:space="preserve"> </w:t>
      </w:r>
      <w:r>
        <w:t xml:space="preserve">other environmental impacts including GHG and pollutant emissions as well as lower resource use</w:t>
      </w:r>
      <w:r>
        <w:t xml:space="preserve"> </w:t>
      </w:r>
      <w:r>
        <w:t xml:space="preserve">and extraction.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are aimed at correcting the problems identified in section 2:</w:t>
      </w:r>
      <w:r>
        <w:br/>
      </w:r>
      <w:r>
        <w:t xml:space="preserve">1) Capture in-use cost-efficient energy savings from local space heaters ;</w:t>
      </w:r>
      <w:r>
        <w:t xml:space="preserve"> </w:t>
      </w:r>
      <w:r>
        <w:t xml:space="preserve">2) Contribute towards a circular economy by addressing premature obsolescence of local space</w:t>
      </w:r>
      <w:r>
        <w:t xml:space="preserve"> </w:t>
      </w:r>
      <w:r>
        <w:t xml:space="preserve">heaters;</w:t>
      </w:r>
      <w:r>
        <w:t xml:space="preserve"> </w:t>
      </w:r>
      <w:r>
        <w:t xml:space="preserve">3) Reduce administrative burden in relation to ecodesign of local space heaters.</w:t>
      </w:r>
      <w:r>
        <w:t xml:space="preserve"> </w:t>
      </w:r>
      <w:r>
        <w:t xml:space="preserve">There are possible trade-offs between these objectives. The main ones are:</w:t>
      </w:r>
      <w:r>
        <w:br/>
      </w:r>
      <w:r>
        <w:t xml:space="preserve">-</w:t>
      </w:r>
      <w:r>
        <w:t xml:space="preserve"> </w:t>
      </w:r>
      <w:r>
        <w:t xml:space="preserve">Measures to increase energy efficiency might require more materials to be used for the products</w:t>
      </w:r>
      <w:r>
        <w:t xml:space="preserve"> </w:t>
      </w:r>
      <w:r>
        <w:t xml:space="preserve">or materials that have bigger impacts. These trade-offs will be captured by the EcoReport tool33</w:t>
      </w:r>
    </w:p>
    <w:p>
      <w:pPr>
        <w:pStyle w:val="BodyText"/>
      </w:pPr>
      <w:r>
        <w:t xml:space="preserve">31 Directive (EU) 2010/31/EU of the European Parliament and of the Council of 19 May 2010 on the energy</w:t>
      </w:r>
      <w:r>
        <w:t xml:space="preserve"> </w:t>
      </w:r>
      <w:r>
        <w:t xml:space="preserve">performance of buildings (OJ L 153, 18.6.2010, p.13)</w:t>
      </w:r>
      <w:r>
        <w:t xml:space="preserve"> </w:t>
      </w:r>
      <w:r>
        <w:t xml:space="preserve">32 Directive (EU) 2018/2001 of the European Parliament and of the Council of 11 December 2018 on the promotion of</w:t>
      </w:r>
      <w:r>
        <w:t xml:space="preserve"> </w:t>
      </w:r>
      <w:r>
        <w:t xml:space="preserve">the use of energy from renewable sources (OJ L 382, 21.12.2018, p.82)</w:t>
      </w:r>
      <w:r>
        <w:t xml:space="preserve"> </w:t>
      </w:r>
      <w:r>
        <w:t xml:space="preserve">33The Ecoreport tool is a Commission tool developed in Excel by VHK specifically intended to calculate the</w:t>
      </w:r>
      <w:r>
        <w:t xml:space="preserve"> </w:t>
      </w:r>
      <w:r>
        <w:t xml:space="preserve">environmental impacts of the production and use of energy-related products on the basis of the materials that they</w:t>
      </w:r>
      <w:r>
        <w:t xml:space="preserve"> </w:t>
      </w:r>
      <w:r>
        <w:t xml:space="preserve">incorporate and their quantities</w:t>
      </w:r>
      <w:r>
        <w:br/>
      </w:r>
      <w:r>
        <w:t xml:space="preserve">https://www.eup-</w:t>
      </w:r>
      <w:r>
        <w:t xml:space="preserve"> </w:t>
      </w:r>
      <w:r>
        <w:t xml:space="preserve">network.de/fileadmin/user_upload/Produktgruppen/Methodology_prep_study/MEErP_study_by_vhk/20110819_Ecore</w:t>
      </w:r>
      <w:r>
        <w:t xml:space="preserve"> </w:t>
      </w:r>
      <w:r>
        <w:t xml:space="preserve">port_2011_MEErP.xls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and presented in Annex 5. The effect will probably be small since the use phase dominates the</w:t>
      </w:r>
      <w:r>
        <w:t xml:space="preserve"> </w:t>
      </w:r>
      <w:r>
        <w:t xml:space="preserve">impacts for these appliances.</w:t>
      </w:r>
      <w:r>
        <w:t xml:space="preserve"> </w:t>
      </w:r>
      <w:r>
        <w:t xml:space="preserve">-</w:t>
      </w:r>
      <w:r>
        <w:t xml:space="preserve"> </w:t>
      </w:r>
      <w:r>
        <w:t xml:space="preserve">Measures to reduce the material consumed in the manufacture of local space heaters might lead</w:t>
      </w:r>
      <w:r>
        <w:t xml:space="preserve"> </w:t>
      </w:r>
      <w:r>
        <w:t xml:space="preserve">to more energy and material consumption in the use phase if they result in a longer lifetime of</w:t>
      </w:r>
      <w:r>
        <w:t xml:space="preserve"> </w:t>
      </w:r>
      <w:r>
        <w:t xml:space="preserve">less efficient local space heaters. However, this effect is likely to be relatively small since there</w:t>
      </w:r>
      <w:r>
        <w:t xml:space="preserve"> </w:t>
      </w:r>
      <w:r>
        <w:t xml:space="preserve">is limited potential for increasing the in-use energy efficiency of these appliances. This is</w:t>
      </w:r>
      <w:r>
        <w:t xml:space="preserve"> </w:t>
      </w:r>
      <w:r>
        <w:t xml:space="preserve">explained in section 7.1.</w:t>
      </w:r>
      <w:r>
        <w:t xml:space="preserve"> </w:t>
      </w:r>
      <w:r>
        <w:t xml:space="preserve">-</w:t>
      </w:r>
      <w:r>
        <w:t xml:space="preserve"> </w:t>
      </w:r>
      <w:r>
        <w:t xml:space="preserve">Measures to extend the scope of appliances covered by requirements flowing from objective 1</w:t>
      </w:r>
      <w:r>
        <w:t xml:space="preserve"> </w:t>
      </w:r>
      <w:r>
        <w:t xml:space="preserve">or 2 may lead to a greater administrative burden. Similarly, additional requirements responding</w:t>
      </w:r>
      <w:r>
        <w:t xml:space="preserve"> </w:t>
      </w:r>
      <w:r>
        <w:t xml:space="preserve">to these objectives might add to the burden.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The available policy options focus on the achievement of the general and specific objectives</w:t>
      </w:r>
      <w:r>
        <w:t xml:space="preserve"> </w:t>
      </w:r>
      <w:r>
        <w:t xml:space="preserve">through the implementation of measures that maximise the contribution of local space heaters to</w:t>
      </w:r>
      <w:r>
        <w:t xml:space="preserve"> </w:t>
      </w:r>
      <w:r>
        <w:t xml:space="preserve">energy efficiency without imposing significant burden to manufacturers or costs to end-users, as set</w:t>
      </w:r>
      <w:r>
        <w:t xml:space="preserve"> </w:t>
      </w:r>
      <w:r>
        <w:t xml:space="preserve">out in Article 15(5) of the Ecodesign Framework Directive. Figure 5-1 shows the overall</w:t>
      </w:r>
      <w:r>
        <w:t xml:space="preserve"> </w:t>
      </w:r>
      <w:r>
        <w:t xml:space="preserve">intervention logic and the links between drivers, problems, objectives and measures.</w:t>
      </w:r>
    </w:p>
    <w:p>
      <w:pPr>
        <w:pStyle w:val="BodyText"/>
      </w:pPr>
      <w:r>
        <w:t xml:space="preserve">Figure 5-1. Schematic overview of drivers, problems, objectives and measures and their interlinkage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The policy options have been designed on the basis of the input provided in section 7 of the review</w:t>
      </w:r>
      <w:r>
        <w:t xml:space="preserve"> </w:t>
      </w:r>
      <w:r>
        <w:t xml:space="preserve">study, and notably section 7.1.1 on scope clarifications and section 7.1.3 on changing the</w:t>
      </w:r>
      <w:r>
        <w:t xml:space="preserve"> </w:t>
      </w:r>
      <w:r>
        <w:t xml:space="preserve">calculation of the correction factor (F4) accounting for the presence of low power modes. The main</w:t>
      </w:r>
      <w:r>
        <w:t xml:space="preserve"> </w:t>
      </w:r>
      <w:r>
        <w:t xml:space="preserve">focus is on the correction of deficiencies of the current legal framework by eliminating loopholes</w:t>
      </w:r>
      <w:r>
        <w:t xml:space="preserve"> </w:t>
      </w:r>
      <w:r>
        <w:t xml:space="preserve">currently used to sidestep the application of the ecodesign rules. For circular economy measures the</w:t>
      </w:r>
      <w:r>
        <w:t xml:space="preserve"> </w:t>
      </w:r>
      <w:r>
        <w:t xml:space="preserve">input provided in section 6.7 of the review study on resource efficiency options has been taken into</w:t>
      </w:r>
      <w:r>
        <w:t xml:space="preserve"> </w:t>
      </w:r>
      <w:r>
        <w:t xml:space="preserve">account.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electricity prices, carbon intensity and building renovation rate that are used as input to this</w:t>
      </w:r>
      <w:r>
        <w:t xml:space="preserve"> </w:t>
      </w:r>
      <w:r>
        <w:t xml:space="preserve">impact assessment are taken from the EU Reference Scenario 2020 (REF2020). REF2020 projects</w:t>
      </w:r>
      <w:r>
        <w:t xml:space="preserve"> </w:t>
      </w:r>
      <w:r>
        <w:t xml:space="preserve">EU and Member States energy developments up to 2050, on the basis of current global and EU</w:t>
      </w:r>
      <w:r>
        <w:t xml:space="preserve"> </w:t>
      </w:r>
      <w:r>
        <w:t xml:space="preserve">market trends and incorporating the effect of the “Clean Energy for All Europeans Package”34.</w:t>
      </w:r>
      <w:r>
        <w:t xml:space="preserve"> </w:t>
      </w:r>
      <w:r>
        <w:t xml:space="preserve">Policies that are not legally implemented are not part of REF2020. More details about further input</w:t>
      </w:r>
      <w:r>
        <w:t xml:space="preserve"> </w:t>
      </w:r>
      <w:r>
        <w:t xml:space="preserve">data and analytical models are provided in Annex 4.</w:t>
      </w:r>
      <w:r>
        <w:br/>
      </w:r>
      <w:r>
        <w:t xml:space="preserve">As in the review study, it has been assumed that all products in the scope of the LSH Regulation</w:t>
      </w:r>
      <w:r>
        <w:t xml:space="preserve"> </w:t>
      </w:r>
      <w:r>
        <w:t xml:space="preserve">will be compliant with the energy efficiency limits as from the date of application, namely June</w:t>
      </w:r>
      <w:r>
        <w:t xml:space="preserve"> </w:t>
      </w:r>
      <w:r>
        <w:t xml:space="preserve">2025, but efficiencies will not exceed those minimum requirements. This approach has been</w:t>
      </w:r>
      <w:r>
        <w:t xml:space="preserve"> </w:t>
      </w:r>
      <w:r>
        <w:t xml:space="preserve">confirmed by stakeholders participating in the IA, and is consistent with the expectations for the</w:t>
      </w:r>
      <w:r>
        <w:t xml:space="preserve"> </w:t>
      </w:r>
      <w:r>
        <w:t xml:space="preserve">next years of small efficiency gains per product unit due to the maturity of the current technology.</w:t>
      </w:r>
      <w:r>
        <w:br/>
      </w:r>
      <w:r>
        <w:t xml:space="preserve">As indicated in section 1.1, it is expected that the effect of the future ESPR on the baseline will be</w:t>
      </w:r>
      <w:r>
        <w:t xml:space="preserve"> </w:t>
      </w:r>
      <w:r>
        <w:t xml:space="preserve">modest. First, the new products in scope of the ESPR do not consume energy during their use, and</w:t>
      </w:r>
      <w:r>
        <w:t xml:space="preserve"> </w:t>
      </w:r>
      <w:r>
        <w:t xml:space="preserve">therefore the increase in energy in scope will primarily relate to embedded energy (manufacture,</w:t>
      </w:r>
      <w:r>
        <w:t xml:space="preserve"> </w:t>
      </w:r>
      <w:r>
        <w:t xml:space="preserve">distribution and EoL of products), which is only 0,7% of the energy use during the lifecycle of local</w:t>
      </w:r>
      <w:r>
        <w:t xml:space="preserve"> </w:t>
      </w:r>
      <w:r>
        <w:t xml:space="preserve">space heaters. Second, the embedded energy will not all be consumed in the EU but will be shared</w:t>
      </w:r>
      <w:r>
        <w:t xml:space="preserve"> </w:t>
      </w:r>
      <w:r>
        <w:t xml:space="preserve">between EU and non-EU countries depending on the split of production. Third, EU producers are</w:t>
      </w:r>
      <w:r>
        <w:t xml:space="preserve"> </w:t>
      </w:r>
      <w:r>
        <w:t xml:space="preserve">subject to ETS pricing and other regulatory measures that mean that they are likely to have less</w:t>
      </w:r>
      <w:r>
        <w:t xml:space="preserve"> </w:t>
      </w:r>
      <w:r>
        <w:t xml:space="preserve">room for improvement compared to non-EU producers. Finally, the time frame to agree the ESPR,</w:t>
      </w:r>
      <w:r>
        <w:t xml:space="preserve"> </w:t>
      </w:r>
      <w:r>
        <w:t xml:space="preserve">develop and adopt secondary legislation and for it to come in force will mean that substantial</w:t>
      </w:r>
      <w:r>
        <w:t xml:space="preserve"> </w:t>
      </w:r>
      <w:r>
        <w:t xml:space="preserve">impacts could not be expected for the next ten years. All these factors mean that any changes</w:t>
      </w:r>
      <w:r>
        <w:t xml:space="preserve"> </w:t>
      </w:r>
      <w:r>
        <w:t xml:space="preserve">caused by the ESPR to the EU energy baseline for local space heaters can be expected to be</w:t>
      </w:r>
      <w:r>
        <w:t xml:space="preserve"> </w:t>
      </w:r>
      <w:r>
        <w:t xml:space="preserve">minimal. Major differences from the BAU explained in section 5.2 will come from the current</w:t>
      </w:r>
      <w:r>
        <w:t xml:space="preserve"> </w:t>
      </w:r>
      <w:r>
        <w:t xml:space="preserve">situation of high energy prices rather than from the new scope of the ESPR.</w:t>
      </w:r>
      <w:r>
        <w:br/>
      </w:r>
      <w:r>
        <w:t xml:space="preserve">5.2.</w:t>
      </w:r>
      <w:r>
        <w:t xml:space="preserve"> </w:t>
      </w:r>
      <w:r>
        <w:t xml:space="preserve">Business As Usual (BAU) scenario</w:t>
      </w:r>
      <w:r>
        <w:t xml:space="preserve"> </w:t>
      </w:r>
      <w:r>
        <w:t xml:space="preserve">5.2.1. Sales and stock</w:t>
      </w:r>
      <w:r>
        <w:t xml:space="preserve"> </w:t>
      </w:r>
      <w:r>
        <w:t xml:space="preserve">Under the baseline, sales and stock of electric heaters remain rather stable from 2020, around 17</w:t>
      </w:r>
      <w:r>
        <w:t xml:space="preserve"> </w:t>
      </w:r>
      <w:r>
        <w:t xml:space="preserve">million units and 251 million units respectively. Sales and stock of gaseous and liquid fuel heaters</w:t>
      </w:r>
      <w:r>
        <w:t xml:space="preserve"> </w:t>
      </w:r>
      <w:r>
        <w:t xml:space="preserve">have already dropped due to BREXIT and they are expected to go down further due to increasing</w:t>
      </w:r>
      <w:r>
        <w:t xml:space="preserve"> </w:t>
      </w:r>
      <w:r>
        <w:t xml:space="preserve">sales of wood burning stoves, which are outside the scope of the LSH Regulation, as well as many</w:t>
      </w:r>
      <w:r>
        <w:t xml:space="preserve"> </w:t>
      </w:r>
      <w:r>
        <w:t xml:space="preserve">homes replacing gas-fired local heaters with gas central heating. The influence of gaseous and</w:t>
      </w:r>
      <w:r>
        <w:t xml:space="preserve"> </w:t>
      </w:r>
      <w:r>
        <w:t xml:space="preserve">liquid fuel heaters is not very significant because they make up only 0,7% of the stock and 0,4% of</w:t>
      </w:r>
      <w:r>
        <w:t xml:space="preserve"> </w:t>
      </w:r>
      <w:r>
        <w:t xml:space="preserve">sales. The stability of the projected electric heater sales means that business turnover will remain</w:t>
      </w:r>
      <w:r>
        <w:t xml:space="preserve"> </w:t>
      </w:r>
      <w:r>
        <w:t xml:space="preserve">stable until 2050.</w:t>
      </w:r>
    </w:p>
    <w:p>
      <w:pPr>
        <w:pStyle w:val="BodyText"/>
      </w:pPr>
      <w:r>
        <w:t xml:space="preserve">34 Clean Energy for all Europeans Package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Figure 5-2. Total sales and stock development for all local space heaters from 2010 to 2050</w:t>
      </w:r>
      <w:r>
        <w:t xml:space="preserve"> </w:t>
      </w:r>
      <w:r>
        <w:t xml:space="preserve">5.2.2. Energy consumption</w:t>
      </w:r>
      <w:r>
        <w:t xml:space="preserve"> </w:t>
      </w:r>
      <w:r>
        <w:t xml:space="preserve">In-use energy consumption of local space heaters is the energy consumed during the use of the</w:t>
      </w:r>
      <w:r>
        <w:t xml:space="preserve"> </w:t>
      </w:r>
      <w:r>
        <w:t xml:space="preserve">appliance. Under the baseline, in-use energy is expected to decrease 34% between 2020 and 2050,</w:t>
      </w:r>
      <w:r>
        <w:t xml:space="preserve"> </w:t>
      </w:r>
      <w:r>
        <w:t xml:space="preserve">split in two phases. From 2016 to 2030 reduction of energy consumption is largely due to energy</w:t>
      </w:r>
      <w:r>
        <w:t xml:space="preserve"> </w:t>
      </w:r>
      <w:r>
        <w:t xml:space="preserve">efficiency requirements brought by the current LSH Regulation. However, the continued savings</w:t>
      </w:r>
      <w:r>
        <w:t xml:space="preserve"> </w:t>
      </w:r>
      <w:r>
        <w:t xml:space="preserve">after 2030 are primarily caused by a decrease in heating demand as result of the rise of</w:t>
      </w:r>
      <w:r>
        <w:t xml:space="preserve"> </w:t>
      </w:r>
      <w:r>
        <w:t xml:space="preserve">temperatures due to climate change and the better insulation of buildings. The heating load is</w:t>
      </w:r>
      <w:r>
        <w:t xml:space="preserve"> </w:t>
      </w:r>
      <w:r>
        <w:t xml:space="preserve">projected to decrease around 19% from 2030 to 2050, half due to decreased Heating Degree Days</w:t>
      </w:r>
      <w:r>
        <w:t xml:space="preserve"> </w:t>
      </w:r>
      <w:r>
        <w:t xml:space="preserve">(HDDs)35 and half due to increased average building insulation36. The HDD reduction is not</w:t>
      </w:r>
      <w:r>
        <w:t xml:space="preserve"> </w:t>
      </w:r>
      <w:r>
        <w:t xml:space="preserve">expected to modify the number of units sold, but rather the time that heaters are turned on.</w:t>
      </w:r>
    </w:p>
    <w:p>
      <w:pPr>
        <w:pStyle w:val="BodyText"/>
      </w:pPr>
      <w:r>
        <w:t xml:space="preserve">Figure 5-3. In-use energy consumption for all local space heaters in the BAU scenario</w:t>
      </w:r>
      <w:r>
        <w:t xml:space="preserve"> </w:t>
      </w:r>
      <w:r>
        <w:t xml:space="preserve">Primary energy in turn, accounts for both in-use and embedded energy (energy used during</w:t>
      </w:r>
      <w:r>
        <w:t xml:space="preserve"> </w:t>
      </w:r>
      <w:r>
        <w:t xml:space="preserve">production, distribution and EoL processing). For local space heaters, primary energy follows the</w:t>
      </w:r>
      <w:r>
        <w:t xml:space="preserve"> </w:t>
      </w:r>
      <w:r>
        <w:t xml:space="preserve">same trend as in-use energy, since embedded energy is 0,7% of total energy and barely changes</w:t>
      </w:r>
      <w:r>
        <w:t xml:space="preserve"> </w:t>
      </w:r>
      <w:r>
        <w:t xml:space="preserve">under BAU. In absolute numbers primary energy is approximately twice the in-use energy, as the</w:t>
      </w:r>
    </w:p>
    <w:p>
      <w:pPr>
        <w:pStyle w:val="BodyText"/>
      </w:pPr>
      <w:r>
        <w:t xml:space="preserve">35 Based on Eurostat data: Heating degree days by country - annual data [nrg_chdd_a]</w:t>
      </w:r>
      <w:r>
        <w:t xml:space="preserve"> </w:t>
      </w:r>
      <w:r>
        <w:t xml:space="preserve">36 Based on the EU Reference 2020 scenario, Sheet: RESID_Renovation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Stock, in million units</w:t>
      </w:r>
      <w:r>
        <w:t xml:space="preserve"> </w:t>
      </w:r>
      <w:r>
        <w:t xml:space="preserve">Sales, in million units</w:t>
      </w:r>
      <w:r>
        <w:t xml:space="preserve"> </w:t>
      </w:r>
      <w:r>
        <w:t xml:space="preserve">Total sales</w:t>
      </w:r>
      <w:r>
        <w:t xml:space="preserve"> </w:t>
      </w:r>
      <w:r>
        <w:t xml:space="preserve">Stock</w:t>
      </w:r>
      <w:r>
        <w:t xml:space="preserve"> </w:t>
      </w:r>
      <w:r>
        <w:t xml:space="preserve">100</w:t>
      </w:r>
      <w:r>
        <w:t xml:space="preserve"> </w:t>
      </w:r>
      <w:r>
        <w:t xml:space="preserve">110</w:t>
      </w:r>
      <w:r>
        <w:t xml:space="preserve"> </w:t>
      </w:r>
      <w:r>
        <w:t xml:space="preserve">120</w:t>
      </w:r>
      <w:r>
        <w:t xml:space="preserve"> </w:t>
      </w:r>
      <w:r>
        <w:t xml:space="preserve">130</w:t>
      </w:r>
      <w:r>
        <w:t xml:space="preserve"> </w:t>
      </w:r>
      <w:r>
        <w:t xml:space="preserve">140</w:t>
      </w:r>
      <w:r>
        <w:t xml:space="preserve"> </w:t>
      </w:r>
      <w:r>
        <w:t xml:space="preserve">150</w:t>
      </w:r>
      <w:r>
        <w:t xml:space="preserve"> </w:t>
      </w:r>
      <w:r>
        <w:t xml:space="preserve">160</w:t>
      </w:r>
      <w:r>
        <w:t xml:space="preserve"> </w:t>
      </w:r>
      <w:r>
        <w:t xml:space="preserve">170</w:t>
      </w:r>
      <w:r>
        <w:t xml:space="preserve"> </w:t>
      </w:r>
      <w:r>
        <w:t xml:space="preserve">180</w:t>
      </w:r>
      <w:r>
        <w:t xml:space="preserve"> </w:t>
      </w:r>
      <w:r>
        <w:t xml:space="preserve">190</w:t>
      </w:r>
      <w:r>
        <w:t xml:space="preserve"> </w:t>
      </w:r>
      <w:r>
        <w:t xml:space="preserve">200</w:t>
      </w:r>
      <w:r>
        <w:t xml:space="preserve"> </w:t>
      </w:r>
      <w:r>
        <w:t xml:space="preserve">210</w:t>
      </w:r>
      <w:r>
        <w:t xml:space="preserve"> </w:t>
      </w:r>
      <w:r>
        <w:t xml:space="preserve">220</w:t>
      </w:r>
      <w:r>
        <w:t xml:space="preserve"> </w:t>
      </w:r>
      <w:r>
        <w:t xml:space="preserve">TWh/year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energy consumption from electric heaters, which accounts for more than 99% of the stock, must be</w:t>
      </w:r>
      <w:r>
        <w:t xml:space="preserve"> </w:t>
      </w:r>
      <w:r>
        <w:t xml:space="preserve">multiplied by a CC=2,1 to account for the energy losses in the conversion process from primary</w:t>
      </w:r>
      <w:r>
        <w:t xml:space="preserve"> </w:t>
      </w:r>
      <w:r>
        <w:t xml:space="preserve">energy to electricity.</w:t>
      </w:r>
      <w:r>
        <w:t xml:space="preserve"> </w:t>
      </w:r>
      <w:r>
        <w:t xml:space="preserve">In-use energy consumption (TWh/year)</w:t>
      </w:r>
      <w:r>
        <w:t xml:space="preserve"> </w:t>
      </w:r>
      <w:r>
        <w:t xml:space="preserve">Primary energy consumption (embedded + in-</w:t>
      </w:r>
      <w:r>
        <w:t xml:space="preserve"> </w:t>
      </w:r>
      <w:r>
        <w:t xml:space="preserve">use) in Mtoe/year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172</w:t>
      </w:r>
      <w:r>
        <w:t xml:space="preserve"> </w:t>
      </w:r>
      <w:r>
        <w:t xml:space="preserve">140</w:t>
      </w:r>
      <w:r>
        <w:t xml:space="preserve"> </w:t>
      </w:r>
      <w:r>
        <w:t xml:space="preserve">123</w:t>
      </w:r>
      <w:r>
        <w:t xml:space="preserve"> </w:t>
      </w:r>
      <w:r>
        <w:t xml:space="preserve">114</w:t>
      </w:r>
      <w:r>
        <w:t xml:space="preserve"> </w:t>
      </w:r>
      <w:r>
        <w:t xml:space="preserve">30</w:t>
      </w:r>
      <w:r>
        <w:t xml:space="preserve"> </w:t>
      </w:r>
      <w:r>
        <w:t xml:space="preserve">25</w:t>
      </w:r>
      <w:r>
        <w:t xml:space="preserve"> </w:t>
      </w:r>
      <w:r>
        <w:t xml:space="preserve">22</w:t>
      </w:r>
      <w:r>
        <w:t xml:space="preserve"> </w:t>
      </w:r>
      <w:r>
        <w:t xml:space="preserve">20</w:t>
      </w:r>
      <w:r>
        <w:t xml:space="preserve"> </w:t>
      </w:r>
      <w:r>
        <w:t xml:space="preserve">Table 5-2. Expected final and primary energy consumption for BAU</w:t>
      </w:r>
      <w:r>
        <w:t xml:space="preserve"> </w:t>
      </w:r>
      <w:r>
        <w:t xml:space="preserve">5.2.3. Environmental aspects</w:t>
      </w:r>
      <w:r>
        <w:t xml:space="preserve"> </w:t>
      </w:r>
      <w:r>
        <w:t xml:space="preserve">5.2.3.1.Greenhouse gas emissions</w:t>
      </w:r>
      <w:r>
        <w:t xml:space="preserve"> </w:t>
      </w:r>
      <w:r>
        <w:t xml:space="preserve">GHG emissions shown in table 5-2 are for the full lifecycle and include embedded emissions from</w:t>
      </w:r>
      <w:r>
        <w:t xml:space="preserve"> </w:t>
      </w:r>
      <w:r>
        <w:t xml:space="preserve">production, distribution and end-of-life. Under BAU, GHG emissions reduce by 43% from 2020 to</w:t>
      </w:r>
      <w:r>
        <w:t xml:space="preserve"> </w:t>
      </w:r>
      <w:r>
        <w:t xml:space="preserve">2030 and by 79% to 2050. GHG emissions reductions follow therefore a steeper downward curve</w:t>
      </w:r>
      <w:r>
        <w:t xml:space="preserve"> </w:t>
      </w:r>
      <w:r>
        <w:t xml:space="preserve">than energy reduction commented in 5.2.2, due to the expected reduction in GHG intensity of the</w:t>
      </w:r>
      <w:r>
        <w:t xml:space="preserve"> </w:t>
      </w:r>
      <w:r>
        <w:t xml:space="preserve">electricity mix. GHG emissions reductions level off by 2040 as the major share of carbon-free</w:t>
      </w:r>
      <w:r>
        <w:t xml:space="preserve"> </w:t>
      </w:r>
      <w:r>
        <w:t xml:space="preserve">electricity generation has already been implemented, in contrast with energy consumption that</w:t>
      </w:r>
      <w:r>
        <w:t xml:space="preserve"> </w:t>
      </w:r>
      <w:r>
        <w:t xml:space="preserve">continues reducing.</w:t>
      </w:r>
    </w:p>
    <w:p>
      <w:pPr>
        <w:pStyle w:val="BodyText"/>
      </w:pPr>
      <w:r>
        <w:t xml:space="preserve">GHG emissions embedded and during use</w:t>
      </w:r>
      <w:r>
        <w:t xml:space="preserve"> </w:t>
      </w:r>
      <w:r>
        <w:t xml:space="preserve">[MT CO2-eq./year]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BAU</w:t>
      </w:r>
      <w:r>
        <w:t xml:space="preserve"> </w:t>
      </w:r>
      <w:r>
        <w:t xml:space="preserve">37</w:t>
      </w:r>
      <w:r>
        <w:t xml:space="preserve"> </w:t>
      </w:r>
      <w:r>
        <w:t xml:space="preserve">21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Table 5-2. Expected GHG emissions for BAU</w:t>
      </w:r>
    </w:p>
    <w:p>
      <w:pPr>
        <w:pStyle w:val="BodyText"/>
      </w:pPr>
      <w:r>
        <w:t xml:space="preserve">Figure 5-4. GHG emissions from the use phase of local space heaters in the BAU scenario</w:t>
      </w:r>
      <w:r>
        <w:t xml:space="preserve"> </w:t>
      </w:r>
      <w:r>
        <w:t xml:space="preserve">5.2.3.2.Acidification</w:t>
      </w:r>
      <w:r>
        <w:br/>
      </w:r>
      <w:r>
        <w:t xml:space="preserve">As for GHG emissions, acidification impacts cover both the use phase and manufacturing,</w:t>
      </w:r>
      <w:r>
        <w:t xml:space="preserve"> </w:t>
      </w:r>
      <w:r>
        <w:t xml:space="preserve">distribution and end of life. The current level of acidification emissions (2020 data) is about 165 kt</w:t>
      </w:r>
      <w:r>
        <w:t xml:space="preserve"> </w:t>
      </w:r>
      <w:r>
        <w:t xml:space="preserve">SO2eq per year. As shown in table 5-3, under BAU this is expected to have decreased by 43% by</w:t>
      </w:r>
      <w:r>
        <w:t xml:space="preserve"> </w:t>
      </w:r>
      <w:r>
        <w:t xml:space="preserve">2030. The acidification emissions have a similar trend to GHG-emissions, since they are primarily</w:t>
      </w:r>
      <w:r>
        <w:t xml:space="preserve"> </w:t>
      </w:r>
      <w:r>
        <w:t xml:space="preserve">linked to fossil electricity production.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MT CO2-eq./year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Acidification</w:t>
      </w:r>
      <w:r>
        <w:t xml:space="preserve"> </w:t>
      </w:r>
      <w:r>
        <w:t xml:space="preserve">[kt SO2eq./year]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BAU</w:t>
      </w:r>
      <w:r>
        <w:t xml:space="preserve"> </w:t>
      </w:r>
      <w:r>
        <w:t xml:space="preserve">165</w:t>
      </w:r>
      <w:r>
        <w:br/>
      </w:r>
      <w:r>
        <w:t xml:space="preserve">94</w:t>
      </w:r>
      <w:r>
        <w:t xml:space="preserve"> </w:t>
      </w:r>
      <w:r>
        <w:t xml:space="preserve">48</w:t>
      </w:r>
      <w:r>
        <w:br/>
      </w:r>
      <w:r>
        <w:t xml:space="preserve">38</w:t>
      </w:r>
      <w:r>
        <w:br/>
      </w:r>
      <w:r>
        <w:t xml:space="preserve">Table 5-3. Expected acidification for BAU</w:t>
      </w:r>
      <w:r>
        <w:t xml:space="preserve"> </w:t>
      </w:r>
      <w:r>
        <w:t xml:space="preserve">5.2.4. Economic aspects</w:t>
      </w:r>
      <w:r>
        <w:t xml:space="preserve"> </w:t>
      </w:r>
      <w:r>
        <w:t xml:space="preserve">5.2.4.1.Business turnover</w:t>
      </w:r>
      <w:r>
        <w:t xml:space="preserve"> </w:t>
      </w:r>
      <w:r>
        <w:t xml:space="preserve">The yearly turnover of the various business sectors related to local space heaters are expected to be</w:t>
      </w:r>
      <w:r>
        <w:t xml:space="preserve"> </w:t>
      </w:r>
      <w:r>
        <w:t xml:space="preserve">relatively static under BAU, since as explained in section 5.2.1, sales will remain stable throughout</w:t>
      </w:r>
      <w:r>
        <w:t xml:space="preserve"> </w:t>
      </w:r>
      <w:r>
        <w:t xml:space="preserve">the analysis period.</w:t>
      </w:r>
      <w:r>
        <w:t xml:space="preserve"> </w:t>
      </w:r>
      <w:r>
        <w:t xml:space="preserve">Turnover (M€/year)</w:t>
      </w:r>
    </w:p>
    <w:p>
      <w:pPr>
        <w:pStyle w:val="BodyText"/>
      </w:pPr>
      <w:r>
        <w:t xml:space="preserve">Manufacturer</w:t>
      </w:r>
      <w:r>
        <w:t xml:space="preserve"> </w:t>
      </w:r>
      <w:r>
        <w:t xml:space="preserve">Wholesale</w:t>
      </w:r>
      <w:r>
        <w:t xml:space="preserve"> </w:t>
      </w:r>
      <w:r>
        <w:t xml:space="preserve">Retail/repair &amp;</w:t>
      </w:r>
      <w:r>
        <w:t xml:space="preserve"> </w:t>
      </w:r>
      <w:r>
        <w:t xml:space="preserve">maintenance</w:t>
      </w:r>
      <w:r>
        <w:t xml:space="preserve"> </w:t>
      </w:r>
      <w:r>
        <w:t xml:space="preserve">Total</w:t>
      </w:r>
      <w:r>
        <w:br/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BAU</w:t>
      </w:r>
      <w:r>
        <w:t xml:space="preserve"> </w:t>
      </w:r>
      <w:r>
        <w:t xml:space="preserve">1.043</w:t>
      </w:r>
      <w:r>
        <w:t xml:space="preserve"> </w:t>
      </w:r>
      <w:r>
        <w:t xml:space="preserve">1.051</w:t>
      </w:r>
      <w:r>
        <w:t xml:space="preserve"> </w:t>
      </w:r>
      <w:r>
        <w:t xml:space="preserve">1.051</w:t>
      </w:r>
      <w:r>
        <w:t xml:space="preserve"> </w:t>
      </w:r>
      <w:r>
        <w:t xml:space="preserve">1.999</w:t>
      </w:r>
      <w:r>
        <w:t xml:space="preserve"> </w:t>
      </w:r>
      <w:r>
        <w:t xml:space="preserve">2.014</w:t>
      </w:r>
      <w:r>
        <w:t xml:space="preserve"> </w:t>
      </w:r>
      <w:r>
        <w:t xml:space="preserve">2.014</w:t>
      </w:r>
      <w:r>
        <w:t xml:space="preserve"> </w:t>
      </w:r>
      <w:r>
        <w:t xml:space="preserve">2.299</w:t>
      </w:r>
      <w:r>
        <w:t xml:space="preserve"> </w:t>
      </w:r>
      <w:r>
        <w:t xml:space="preserve">2.316</w:t>
      </w:r>
      <w:r>
        <w:t xml:space="preserve"> </w:t>
      </w:r>
      <w:r>
        <w:t xml:space="preserve">2.316</w:t>
      </w:r>
      <w:r>
        <w:t xml:space="preserve"> </w:t>
      </w:r>
      <w:r>
        <w:t xml:space="preserve">5.340</w:t>
      </w:r>
      <w:r>
        <w:t xml:space="preserve"> </w:t>
      </w:r>
      <w:r>
        <w:t xml:space="preserve">5.382</w:t>
      </w:r>
      <w:r>
        <w:t xml:space="preserve"> </w:t>
      </w:r>
      <w:r>
        <w:t xml:space="preserve">5.382</w:t>
      </w:r>
      <w:r>
        <w:t xml:space="preserve"> </w:t>
      </w:r>
      <w:r>
        <w:t xml:space="preserve">Table 5-4. Expected business turnover per year for BAU</w:t>
      </w:r>
      <w:r>
        <w:t xml:space="preserve"> </w:t>
      </w:r>
      <w:r>
        <w:t xml:space="preserve">5.2.4.2.Consumer expenditure</w:t>
      </w:r>
      <w:r>
        <w:t xml:space="preserve"> </w:t>
      </w:r>
      <w:r>
        <w:t xml:space="preserve">Consumer expenditure includes purchase costs (which in turn incorporate end-of-life costs that are</w:t>
      </w:r>
      <w:r>
        <w:t xml:space="preserve"> </w:t>
      </w:r>
      <w:r>
        <w:t xml:space="preserve">normally paid by the user through a levy at purchase), energy consumed during use, and repair and</w:t>
      </w:r>
      <w:r>
        <w:t xml:space="preserve"> </w:t>
      </w:r>
      <w:r>
        <w:t xml:space="preserve">maintenance costs. The consumer expenditure under BAU is expected to decrease by 10% by 2030</w:t>
      </w:r>
      <w:r>
        <w:t xml:space="preserve"> </w:t>
      </w:r>
      <w:r>
        <w:t xml:space="preserve">as shown in the table due to energy efficiency improvements, higher outdoor temperatures and</w:t>
      </w:r>
      <w:r>
        <w:t xml:space="preserve"> </w:t>
      </w:r>
      <w:r>
        <w:t xml:space="preserve">better insulation of buildings, as explained in section 5.1.</w:t>
      </w:r>
    </w:p>
    <w:p>
      <w:pPr>
        <w:pStyle w:val="BodyText"/>
      </w:pPr>
      <w:r>
        <w:t xml:space="preserve">Consumer expenditure</w:t>
      </w:r>
      <w:r>
        <w:br/>
      </w:r>
      <w:r>
        <w:t xml:space="preserve">[M€/year]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BAU</w:t>
      </w:r>
      <w:r>
        <w:t xml:space="preserve"> </w:t>
      </w:r>
      <w:r>
        <w:t xml:space="preserve">34.161</w:t>
      </w:r>
      <w:r>
        <w:t xml:space="preserve"> </w:t>
      </w:r>
      <w:r>
        <w:t xml:space="preserve">30.657</w:t>
      </w:r>
      <w:r>
        <w:t xml:space="preserve"> </w:t>
      </w:r>
      <w:r>
        <w:t xml:space="preserve">27.360</w:t>
      </w:r>
      <w:r>
        <w:t xml:space="preserve"> </w:t>
      </w:r>
      <w:r>
        <w:t xml:space="preserve">26.079</w:t>
      </w:r>
      <w:r>
        <w:t xml:space="preserve"> </w:t>
      </w:r>
      <w:r>
        <w:t xml:space="preserve">Table 5-5. Expected consumer expenditure for BAU</w:t>
      </w:r>
      <w:r>
        <w:t xml:space="preserve"> </w:t>
      </w:r>
      <w:r>
        <w:t xml:space="preserve">5.2.5. Social impacts</w:t>
      </w:r>
      <w:r>
        <w:t xml:space="preserve"> </w:t>
      </w:r>
      <w:r>
        <w:t xml:space="preserve">5.2.5.1.Employment</w:t>
      </w:r>
      <w:r>
        <w:t xml:space="preserve"> </w:t>
      </w:r>
      <w:r>
        <w:t xml:space="preserve">During the period after the financial crisis, from 2009 to 2014, the turnover for electric local space</w:t>
      </w:r>
      <w:r>
        <w:t xml:space="preserve"> </w:t>
      </w:r>
      <w:r>
        <w:t xml:space="preserve">heaters remained constant but employment, dropped at a rate of 3%. This is assumed to result from</w:t>
      </w:r>
      <w:r>
        <w:t xml:space="preserve"> </w:t>
      </w:r>
      <w:r>
        <w:t xml:space="preserve">productivity improvements. This trend is assumed to continue during the period under analysis.</w:t>
      </w:r>
      <w:r>
        <w:t xml:space="preserve"> </w:t>
      </w:r>
      <w:r>
        <w:t xml:space="preserve">Therefore even if the turnover of the sector under BAU remains stable, there is projected to be a</w:t>
      </w:r>
      <w:r>
        <w:t xml:space="preserve"> </w:t>
      </w:r>
      <w:r>
        <w:t xml:space="preserve">23% decrease in employment between 2020 and 2030.</w:t>
      </w:r>
      <w:r>
        <w:t xml:space="preserve"> </w:t>
      </w:r>
      <w:r>
        <w:t xml:space="preserve">5.2.5.2.Health and safety</w:t>
      </w:r>
      <w:r>
        <w:t xml:space="preserve"> </w:t>
      </w:r>
      <w:r>
        <w:t xml:space="preserve">There are no specific health and safety aspects related to BAU or the options assessed. Only gas</w:t>
      </w:r>
      <w:r>
        <w:t xml:space="preserve"> </w:t>
      </w:r>
      <w:r>
        <w:t xml:space="preserve">and liquid heaters raise concerns related to pollutant emissions and safe handling of fuel. However,</w:t>
      </w:r>
      <w:r>
        <w:t xml:space="preserve"> </w:t>
      </w:r>
      <w:r>
        <w:t xml:space="preserve">the options assessed in this impact assessment do not entail any relevant impacts.</w:t>
      </w:r>
      <w:r>
        <w:t xml:space="preserve"> </w:t>
      </w:r>
      <w:r>
        <w:t xml:space="preserve">5.3.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Policy options have been established through the review study. During this study communication</w:t>
      </w:r>
      <w:r>
        <w:t xml:space="preserve"> </w:t>
      </w:r>
      <w:r>
        <w:t xml:space="preserve">with stakeholders and market surveillance authorities identified a number of loopholes and other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needs for scope clarification. The study explored these issues further and the resulting options are</w:t>
      </w:r>
      <w:r>
        <w:t xml:space="preserve"> </w:t>
      </w:r>
      <w:r>
        <w:t xml:space="preserve">presented here.</w:t>
      </w:r>
      <w:r>
        <w:t xml:space="preserve"> </w:t>
      </w:r>
      <w:r>
        <w:t xml:space="preserve">The policy options will mostly affect manufacturers’ activity, who will need to adapt their products</w:t>
      </w:r>
      <w:r>
        <w:t xml:space="preserve"> </w:t>
      </w:r>
      <w:r>
        <w:t xml:space="preserve">to the new ecodesign requirements. Around 60 manufacturers are estimated to produce local space</w:t>
      </w:r>
      <w:r>
        <w:t xml:space="preserve"> </w:t>
      </w:r>
      <w:r>
        <w:t xml:space="preserve">heaters in the EU, 96% SMEs. Since no specific feedback on the policy options has been received</w:t>
      </w:r>
      <w:r>
        <w:t xml:space="preserve"> </w:t>
      </w:r>
      <w:r>
        <w:t xml:space="preserve">from SMEs during the elaboration of the review study and the IA, it has been considered that the</w:t>
      </w:r>
      <w:r>
        <w:t xml:space="preserve"> </w:t>
      </w:r>
      <w:r>
        <w:t xml:space="preserve">position of SMEs as regards the policy options is represented by the sector associations</w:t>
      </w:r>
      <w:r>
        <w:t xml:space="preserve"> </w:t>
      </w:r>
      <w:r>
        <w:t xml:space="preserve">participating in the process that are enumerated in section 5.4.1. Some big companies have</w:t>
      </w:r>
      <w:r>
        <w:t xml:space="preserve"> </w:t>
      </w:r>
      <w:r>
        <w:t xml:space="preserve">provided their opinion as individual entities, although most of the industry feedback comes from</w:t>
      </w:r>
      <w:r>
        <w:t xml:space="preserve"> </w:t>
      </w:r>
      <w:r>
        <w:t xml:space="preserve">the associations.</w:t>
      </w:r>
      <w:r>
        <w:br/>
      </w:r>
      <w:r>
        <w:t xml:space="preserve">For the purpose of the analysis, all policy options are considered to apply in mid-2025, two years</w:t>
      </w:r>
      <w:r>
        <w:t xml:space="preserve"> </w:t>
      </w:r>
      <w:r>
        <w:t xml:space="preserve">after the expected date of publication of the amendments to the LSH Regulation. Placing the date of</w:t>
      </w:r>
      <w:r>
        <w:t xml:space="preserve"> </w:t>
      </w:r>
      <w:r>
        <w:t xml:space="preserve">application in the middle of the year is a request from industry, which claims that the winter period</w:t>
      </w:r>
      <w:r>
        <w:t xml:space="preserve"> </w:t>
      </w:r>
      <w:r>
        <w:t xml:space="preserve">is more problematic for regulatory changes as it falls in the middle of the sales season. A two-year</w:t>
      </w:r>
      <w:r>
        <w:t xml:space="preserve"> </w:t>
      </w:r>
      <w:r>
        <w:t xml:space="preserve">transitional period will give time to industry to adapt to the new requirements, in particular for</w:t>
      </w:r>
      <w:r>
        <w:t xml:space="preserve"> </w:t>
      </w:r>
      <w:r>
        <w:t xml:space="preserve">those products that are currently out of the scope of the LSH Regulation but that will need to</w:t>
      </w:r>
      <w:r>
        <w:t xml:space="preserve"> </w:t>
      </w:r>
      <w:r>
        <w:t xml:space="preserve">comply with it after the legal amendment applies.</w:t>
      </w:r>
      <w:r>
        <w:br/>
      </w:r>
      <w:r>
        <w:t xml:space="preserve">Problems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Measures</w:t>
      </w:r>
      <w:r>
        <w:t xml:space="preserve"> </w:t>
      </w:r>
      <w:r>
        <w:t xml:space="preserve">Problem 1: missed in-use energy</w:t>
      </w:r>
      <w:r>
        <w:t xml:space="preserve"> </w:t>
      </w:r>
      <w:r>
        <w:t xml:space="preserve">savings from local space heaters due to</w:t>
      </w:r>
      <w:r>
        <w:t xml:space="preserve"> </w:t>
      </w:r>
      <w:r>
        <w:t xml:space="preserve">inadequate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LSH</w:t>
      </w:r>
      <w:r>
        <w:t xml:space="preserve"> </w:t>
      </w:r>
      <w:r>
        <w:t xml:space="preserve">Regulation</w:t>
      </w:r>
      <w:r>
        <w:t xml:space="preserve"> </w:t>
      </w:r>
      <w:r>
        <w:t xml:space="preserve">PO2:</w:t>
      </w:r>
      <w:r>
        <w:t xml:space="preserve"> </w:t>
      </w:r>
      <w:r>
        <w:t xml:space="preserve">clarifying</w:t>
      </w:r>
      <w:r>
        <w:t xml:space="preserve"> </w:t>
      </w:r>
      <w:r>
        <w:t xml:space="preserve">and</w:t>
      </w:r>
      <w:r>
        <w:t xml:space="preserve"> </w:t>
      </w:r>
      <w:r>
        <w:t xml:space="preserve">expanding the scope</w:t>
      </w:r>
      <w:r>
        <w:br/>
      </w:r>
      <w:r>
        <w:t xml:space="preserve">- PO2a. Removing the exemption for</w:t>
      </w:r>
      <w:r>
        <w:t xml:space="preserve"> </w:t>
      </w:r>
      <w:r>
        <w:t xml:space="preserve">slave heaters</w:t>
      </w:r>
      <w:r>
        <w:t xml:space="preserve"> </w:t>
      </w:r>
      <w:r>
        <w:t xml:space="preserve">- PO2b. Including towel heaters in the</w:t>
      </w:r>
      <w:r>
        <w:t xml:space="preserve"> </w:t>
      </w:r>
      <w:r>
        <w:t xml:space="preserve">scope of the LSH Regulation</w:t>
      </w:r>
      <w:r>
        <w:br/>
      </w:r>
      <w:r>
        <w:t xml:space="preserve">-</w:t>
      </w:r>
      <w:r>
        <w:t xml:space="preserve"> </w:t>
      </w:r>
      <w:r>
        <w:t xml:space="preserve">PO2c.</w:t>
      </w:r>
      <w:r>
        <w:t xml:space="preserve"> </w:t>
      </w:r>
      <w:r>
        <w:t xml:space="preserve">Including</w:t>
      </w:r>
      <w:r>
        <w:t xml:space="preserve"> </w:t>
      </w:r>
      <w:r>
        <w:t xml:space="preserve">tube</w:t>
      </w:r>
      <w:r>
        <w:t xml:space="preserve"> </w:t>
      </w:r>
      <w:r>
        <w:t xml:space="preserve">heaters</w:t>
      </w:r>
      <w:r>
        <w:t xml:space="preserve"> </w:t>
      </w:r>
      <w:r>
        <w:t xml:space="preserve">between 120 and 300 kW in the scope</w:t>
      </w:r>
      <w:r>
        <w:t xml:space="preserve"> </w:t>
      </w:r>
      <w:r>
        <w:t xml:space="preserve">of the LSH Regulation</w:t>
      </w:r>
      <w:r>
        <w:br/>
      </w:r>
      <w:r>
        <w:t xml:space="preserve">- PO2d. Adapting the definitions for</w:t>
      </w:r>
      <w:r>
        <w:t xml:space="preserve"> </w:t>
      </w:r>
      <w:r>
        <w:t xml:space="preserve">local space heaters using oil or gas</w:t>
      </w:r>
      <w:r>
        <w:t xml:space="preserve"> </w:t>
      </w:r>
      <w:r>
        <w:t xml:space="preserve">PO3:</w:t>
      </w:r>
      <w:r>
        <w:t xml:space="preserve"> </w:t>
      </w:r>
      <w:r>
        <w:t xml:space="preserve">ecodesign</w:t>
      </w:r>
      <w:r>
        <w:t xml:space="preserve"> </w:t>
      </w:r>
      <w:r>
        <w:t xml:space="preserve">measures on low power</w:t>
      </w:r>
      <w:r>
        <w:t xml:space="preserve"> </w:t>
      </w:r>
      <w:r>
        <w:t xml:space="preserve">modes</w:t>
      </w:r>
      <w:r>
        <w:t xml:space="preserve"> </w:t>
      </w:r>
      <w:r>
        <w:t xml:space="preserve">- Defining ecodesign limits for low</w:t>
      </w:r>
      <w:r>
        <w:t xml:space="preserve"> </w:t>
      </w:r>
      <w:r>
        <w:t xml:space="preserve">power modes</w:t>
      </w:r>
      <w:r>
        <w:t xml:space="preserve"> </w:t>
      </w:r>
      <w:r>
        <w:t xml:space="preserve">Problem</w:t>
      </w:r>
      <w:r>
        <w:t xml:space="preserve"> </w:t>
      </w:r>
      <w:r>
        <w:t xml:space="preserve">2:</w:t>
      </w:r>
      <w:r>
        <w:t xml:space="preserve"> </w:t>
      </w:r>
      <w:r>
        <w:t xml:space="preserve">insufficient</w:t>
      </w:r>
      <w:r>
        <w:t xml:space="preserve"> </w:t>
      </w:r>
      <w:r>
        <w:t xml:space="preserve">industry</w:t>
      </w:r>
      <w:r>
        <w:t xml:space="preserve"> </w:t>
      </w:r>
      <w:r>
        <w:t xml:space="preserve">measures</w:t>
      </w:r>
      <w:r>
        <w:t xml:space="preserve"> </w:t>
      </w:r>
      <w:r>
        <w:t xml:space="preserve">as</w:t>
      </w:r>
      <w:r>
        <w:t xml:space="preserve"> </w:t>
      </w:r>
      <w:r>
        <w:t xml:space="preserve">regards</w:t>
      </w:r>
      <w:r>
        <w:t xml:space="preserve"> </w:t>
      </w:r>
      <w:r>
        <w:t xml:space="preserve">of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PO4: circular economy</w:t>
      </w:r>
      <w:r>
        <w:t xml:space="preserve"> </w:t>
      </w:r>
      <w:r>
        <w:t xml:space="preserve">- PO4a. Including requirements on the</w:t>
      </w:r>
      <w:r>
        <w:t xml:space="preserve"> </w:t>
      </w:r>
      <w:r>
        <w:t xml:space="preserve">availability of spare parts and on</w:t>
      </w:r>
      <w:r>
        <w:t xml:space="preserve"> </w:t>
      </w:r>
      <w:r>
        <w:t xml:space="preserve">repair and maintenance information</w:t>
      </w:r>
      <w:r>
        <w:t xml:space="preserve"> </w:t>
      </w:r>
      <w:r>
        <w:t xml:space="preserve">-</w:t>
      </w:r>
      <w:r>
        <w:t xml:space="preserve"> </w:t>
      </w:r>
      <w:r>
        <w:t xml:space="preserve">PO4b.</w:t>
      </w:r>
      <w:r>
        <w:t xml:space="preserve"> </w:t>
      </w:r>
      <w:r>
        <w:t xml:space="preserve">Including</w:t>
      </w:r>
      <w:r>
        <w:t xml:space="preserve"> </w:t>
      </w:r>
      <w:r>
        <w:t xml:space="preserve">modularity</w:t>
      </w:r>
      <w:r>
        <w:t xml:space="preserve"> </w:t>
      </w:r>
      <w:r>
        <w:t xml:space="preserve">requirements and setting a 10-year</w:t>
      </w:r>
      <w:r>
        <w:t xml:space="preserve"> </w:t>
      </w:r>
      <w:r>
        <w:t xml:space="preserve">availability period of software updates</w:t>
      </w:r>
      <w:r>
        <w:t xml:space="preserve"> </w:t>
      </w:r>
      <w:r>
        <w:t xml:space="preserve">for Apps</w:t>
      </w:r>
      <w:r>
        <w:br/>
      </w:r>
      <w:r>
        <w:t xml:space="preserve">-</w:t>
      </w:r>
      <w:r>
        <w:t xml:space="preserve"> </w:t>
      </w:r>
      <w:r>
        <w:t xml:space="preserve">PO4c.</w:t>
      </w:r>
      <w:r>
        <w:t xml:space="preserve"> </w:t>
      </w:r>
      <w:r>
        <w:t xml:space="preserve">Including</w:t>
      </w:r>
      <w:r>
        <w:t xml:space="preserve"> </w:t>
      </w:r>
      <w:r>
        <w:t xml:space="preserve">end-of-life</w:t>
      </w:r>
      <w:r>
        <w:t xml:space="preserve"> </w:t>
      </w:r>
      <w:r>
        <w:t xml:space="preserve">information for improved disposal</w:t>
      </w:r>
      <w:r>
        <w:t xml:space="preserve"> </w:t>
      </w:r>
      <w:r>
        <w:t xml:space="preserve">Table 5-6. Correspondence between problems, policy options and measures</w:t>
      </w:r>
      <w:r>
        <w:t xml:space="preserve"> </w:t>
      </w:r>
      <w:r>
        <w:t xml:space="preserve">5.3.1. Policy option 1 (BAU): Business as usual</w:t>
      </w:r>
      <w:r>
        <w:t xml:space="preserve"> </w:t>
      </w:r>
      <w:r>
        <w:t xml:space="preserve">BAU corresponds to the baseline scenario explained in point 5.2.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5.3.2. Policy option 2 (PO2): Clarifying and expanding the scope</w:t>
      </w:r>
      <w:r>
        <w:t xml:space="preserve"> </w:t>
      </w:r>
      <w:r>
        <w:t xml:space="preserve">PO2 aims at fixing loopholes present in the LSH Regulation through the following measures:</w:t>
      </w:r>
      <w:r>
        <w:t xml:space="preserve"> </w:t>
      </w:r>
      <w:r>
        <w:t xml:space="preserve">-</w:t>
      </w:r>
      <w:r>
        <w:t xml:space="preserve"> </w:t>
      </w:r>
      <w:r>
        <w:t xml:space="preserve">PO2a. Removing the exemption for slave heaters, so that slave heaters come in the scope of the</w:t>
      </w:r>
      <w:r>
        <w:t xml:space="preserve"> </w:t>
      </w:r>
      <w:r>
        <w:t xml:space="preserve">LSH Regulation. This measure will bring about energy savings by broadening the scope of the</w:t>
      </w:r>
      <w:r>
        <w:t xml:space="preserve"> </w:t>
      </w:r>
      <w:r>
        <w:t xml:space="preserve">legislation and very importantly, by removing the legal loophole whereby heaters and the</w:t>
      </w:r>
      <w:r>
        <w:t xml:space="preserve"> </w:t>
      </w:r>
      <w:r>
        <w:t xml:space="preserve">corresponding controllers are sold separately in order to sidestep the application of the LSH</w:t>
      </w:r>
      <w:r>
        <w:t xml:space="preserve"> </w:t>
      </w:r>
      <w:r>
        <w:t xml:space="preserve">Regulation. For slave heaters and controllers sold separately, this measure must be</w:t>
      </w:r>
      <w:r>
        <w:t xml:space="preserve"> </w:t>
      </w:r>
      <w:r>
        <w:t xml:space="preserve">complemented with the mandatory provision of information to easily identify heaters and</w:t>
      </w:r>
      <w:r>
        <w:t xml:space="preserve"> </w:t>
      </w:r>
      <w:r>
        <w:t xml:space="preserve">controllers that can be installed together in order to comply with the ecodesign limits. Heaters</w:t>
      </w:r>
      <w:r>
        <w:t xml:space="preserve"> </w:t>
      </w:r>
      <w:r>
        <w:t xml:space="preserve">should therefore include product information about which controllers can be fitted to the slave</w:t>
      </w:r>
      <w:r>
        <w:t xml:space="preserve"> </w:t>
      </w:r>
      <w:r>
        <w:t xml:space="preserve">heater and which functions those controllers should feature in order to maximise energy</w:t>
      </w:r>
      <w:r>
        <w:t xml:space="preserve"> </w:t>
      </w:r>
      <w:r>
        <w:t xml:space="preserve">efficiency and likewise, controllers should include information about the type of local space</w:t>
      </w:r>
      <w:r>
        <w:t xml:space="preserve"> </w:t>
      </w:r>
      <w:r>
        <w:t xml:space="preserve">heater they are suitable for and their specific functions. This information should not only be</w:t>
      </w:r>
      <w:r>
        <w:t xml:space="preserve"> </w:t>
      </w:r>
      <w:r>
        <w:t xml:space="preserve">included in the user’s manual but also be visibly displayed on the packaging of the product and</w:t>
      </w:r>
      <w:r>
        <w:t xml:space="preserve"> </w:t>
      </w:r>
      <w:r>
        <w:t xml:space="preserve">as part of the product information provided on the Internet.</w:t>
      </w:r>
      <w:r>
        <w:t xml:space="preserve"> </w:t>
      </w:r>
      <w:r>
        <w:t xml:space="preserve">-</w:t>
      </w:r>
      <w:r>
        <w:t xml:space="preserve"> </w:t>
      </w:r>
      <w:r>
        <w:t xml:space="preserve">PO2b. Including towel heaters in the scope of the LSH Regulation: specific ecodesign limits</w:t>
      </w:r>
      <w:r>
        <w:t xml:space="preserve"> </w:t>
      </w:r>
      <w:r>
        <w:t xml:space="preserve">will apply to towel heaters, which should be nevertheless different for those with heat output ≥</w:t>
      </w:r>
      <w:r>
        <w:t xml:space="preserve"> </w:t>
      </w:r>
      <w:r>
        <w:t xml:space="preserve">250 W and those with heat output &lt; 250 W. Towel heaters with capacities ≥ 250 W are</w:t>
      </w:r>
      <w:r>
        <w:t xml:space="preserve"> </w:t>
      </w:r>
      <w:r>
        <w:t xml:space="preserve">powerful enough to heat large bathrooms as the only heat source, hence stricter requirements</w:t>
      </w:r>
      <w:r>
        <w:t xml:space="preserve"> </w:t>
      </w:r>
      <w:r>
        <w:t xml:space="preserve">should be set for these large heaters. For those below 250 W, as their capacity only allows for</w:t>
      </w:r>
      <w:r>
        <w:t xml:space="preserve"> </w:t>
      </w:r>
      <w:r>
        <w:t xml:space="preserve">heating smaller and well-insulated bathrooms and the cost of controllers needed to fill the</w:t>
      </w:r>
      <w:r>
        <w:t xml:space="preserve"> </w:t>
      </w:r>
      <w:r>
        <w:t xml:space="preserve">higher efficiency requirements could be too high compared to the current purchase cost of the</w:t>
      </w:r>
      <w:r>
        <w:t xml:space="preserve"> </w:t>
      </w:r>
      <w:r>
        <w:t xml:space="preserve">heaters, more lenient efficiency requirements should be set.</w:t>
      </w:r>
      <w:r>
        <w:br/>
      </w:r>
      <w:r>
        <w:t xml:space="preserve">-</w:t>
      </w:r>
      <w:r>
        <w:t xml:space="preserve"> </w:t>
      </w:r>
      <w:r>
        <w:t xml:space="preserve">PO2c. Including tube heaters between 120 and 300 kW in the scope of the LSH Regulation.</w:t>
      </w:r>
      <w:r>
        <w:br/>
      </w:r>
      <w:r>
        <w:t xml:space="preserve">-</w:t>
      </w:r>
      <w:r>
        <w:t xml:space="preserve"> </w:t>
      </w:r>
      <w:r>
        <w:t xml:space="preserve">PO2d. Adapting the definitions for local space heaters using oil or gas: a modification of the</w:t>
      </w:r>
      <w:r>
        <w:t xml:space="preserve"> </w:t>
      </w:r>
      <w:r>
        <w:t xml:space="preserve">definitions for open and closed-fronted local space heaters to better reflect the terminology used</w:t>
      </w:r>
      <w:r>
        <w:t xml:space="preserve"> </w:t>
      </w:r>
      <w:r>
        <w:t xml:space="preserve">by the industry and in the standards, thus reducing the risk of misinterpretation of the LSH</w:t>
      </w:r>
      <w:r>
        <w:t xml:space="preserve"> </w:t>
      </w:r>
      <w:r>
        <w:t xml:space="preserve">Regulation and ensuring that all the products inside the defined categories fulfil the ecodesign</w:t>
      </w:r>
      <w:r>
        <w:t xml:space="preserve"> </w:t>
      </w:r>
      <w:r>
        <w:t xml:space="preserve">criteria. Furthermore, by defining three instead of two categories for gas and liquid fuel local</w:t>
      </w:r>
      <w:r>
        <w:t xml:space="preserve"> </w:t>
      </w:r>
      <w:r>
        <w:t xml:space="preserve">space heaters, stricter and more fitting energy efficiency requirements could be set for each</w:t>
      </w:r>
      <w:r>
        <w:t xml:space="preserve"> </w:t>
      </w:r>
      <w:r>
        <w:t xml:space="preserve">group and consequently reduce energy consumption.</w:t>
      </w:r>
      <w:r>
        <w:br/>
      </w:r>
      <w:r>
        <w:t xml:space="preserve">Stakeholders’ views</w:t>
      </w:r>
      <w:r>
        <w:t xml:space="preserve"> </w:t>
      </w:r>
      <w:r>
        <w:t xml:space="preserve">Stakeholders generally support option PO2a, although manufacturers think that it is important to</w:t>
      </w:r>
      <w:r>
        <w:t xml:space="preserve"> </w:t>
      </w:r>
      <w:r>
        <w:t xml:space="preserve">reduce the wording of the complementary information about heaters and controllers to avoid</w:t>
      </w:r>
      <w:r>
        <w:t xml:space="preserve"> </w:t>
      </w:r>
      <w:r>
        <w:t xml:space="preserve">burdensome translations when exporting to different Member States. They also request the LSH</w:t>
      </w:r>
      <w:r>
        <w:t xml:space="preserve"> </w:t>
      </w:r>
      <w:r>
        <w:t xml:space="preserve">Regulation to spell out the information to be displayed on the product. Producers of heating cables</w:t>
      </w:r>
      <w:r>
        <w:t xml:space="preserve"> </w:t>
      </w:r>
      <w:r>
        <w:t xml:space="preserve">and mats expressed doubts about the benefit of mandating information on heaters sold without</w:t>
      </w:r>
      <w:r>
        <w:t xml:space="preserve"> </w:t>
      </w:r>
      <w:r>
        <w:t xml:space="preserve">controllers, as they already do it in the absence of a legal obligation. A large company doubted the</w:t>
      </w:r>
      <w:r>
        <w:t xml:space="preserve"> </w:t>
      </w:r>
      <w:r>
        <w:t xml:space="preserve">effectiveness of heater-controller combinations when they each come from a different</w:t>
      </w:r>
      <w:r>
        <w:t xml:space="preserve"> </w:t>
      </w:r>
      <w:r>
        <w:t xml:space="preserve">manufacturer, and requested the legislation to mandate manufacturers to develop a complete</w:t>
      </w:r>
      <w:r>
        <w:t xml:space="preserve"> </w:t>
      </w:r>
      <w:r>
        <w:t xml:space="preserve">solution to be placed on the market. Some stakeholders also suggested to adapt the scope of the</w:t>
      </w:r>
      <w:r>
        <w:t xml:space="preserve"> </w:t>
      </w:r>
      <w:r>
        <w:t xml:space="preserve">LSH Regulation so that controllers are specifically included, while others suggest just to add a</w:t>
      </w:r>
      <w:r>
        <w:t xml:space="preserve"> </w:t>
      </w:r>
      <w:r>
        <w:t xml:space="preserve">definition of controller. This is however not necessary because removing the exemption for slave</w:t>
      </w:r>
      <w:r>
        <w:t xml:space="preserve"> </w:t>
      </w:r>
      <w:r>
        <w:t xml:space="preserve">heaters already ensures that the whole system (heater + controller) fulfils the ecodesign</w:t>
      </w:r>
      <w:r>
        <w:t xml:space="preserve"> </w:t>
      </w:r>
      <w:r>
        <w:t xml:space="preserve">requirements, and because the calculation of the energy efficiency of a local space heater already</w:t>
      </w:r>
      <w:r>
        <w:t xml:space="preserve"> </w:t>
      </w:r>
      <w:r>
        <w:t xml:space="preserve">includes the effect of controllers.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Stakeholders, including industry associations and individual companies, agree with PO2b, PO2c</w:t>
      </w:r>
      <w:r>
        <w:t xml:space="preserve"> </w:t>
      </w:r>
      <w:r>
        <w:t xml:space="preserve">and PO2c. There are diverging views on the threshold for distinguishing small and large towel</w:t>
      </w:r>
      <w:r>
        <w:t xml:space="preserve"> </w:t>
      </w:r>
      <w:r>
        <w:t xml:space="preserve">heaters. A few NGOs argue that the limit should be 100 or 150W instead of 250W, because heaters</w:t>
      </w:r>
      <w:r>
        <w:t xml:space="preserve"> </w:t>
      </w:r>
      <w:r>
        <w:t xml:space="preserve">less powerful than 250W are capable of heating small, well-insulated bathrooms. Some industry</w:t>
      </w:r>
      <w:r>
        <w:t xml:space="preserve"> </w:t>
      </w:r>
      <w:r>
        <w:t xml:space="preserve">members, on the other hand, oppose including any requirements for towel heaters below 300 W. A</w:t>
      </w:r>
      <w:r>
        <w:t xml:space="preserve"> </w:t>
      </w:r>
      <w:r>
        <w:t xml:space="preserve">minority of stakeholders object to including towel heaters at all, arguing that the heat output is</w:t>
      </w:r>
      <w:r>
        <w:t xml:space="preserve"> </w:t>
      </w:r>
      <w:r>
        <w:t xml:space="preserve">enough to dry towels but not sufficient to maintain a level of human comfort for safety reasons</w:t>
      </w:r>
      <w:r>
        <w:t xml:space="preserve"> </w:t>
      </w:r>
      <w:r>
        <w:t xml:space="preserve">related to possible electric overloads. This opinion is not supported by market data, which show</w:t>
      </w:r>
      <w:r>
        <w:t xml:space="preserve"> </w:t>
      </w:r>
      <w:r>
        <w:t xml:space="preserve">output powers sufficient to heat a medium-sized room. The compromise generally accepted by</w:t>
      </w:r>
      <w:r>
        <w:t xml:space="preserve"> </w:t>
      </w:r>
      <w:r>
        <w:t xml:space="preserve">stakeholders is to set a thresthold at 250W, with more lenient requirements for heaters below that</w:t>
      </w:r>
      <w:r>
        <w:t xml:space="preserve"> </w:t>
      </w:r>
      <w:r>
        <w:t xml:space="preserve">threshold.</w:t>
      </w:r>
      <w:r>
        <w:t xml:space="preserve"> </w:t>
      </w:r>
      <w:r>
        <w:t xml:space="preserve">5.3.3. Policy option 3 (PO3): defining ecodesign limits for low power modes</w:t>
      </w:r>
      <w:r>
        <w:t xml:space="preserve"> </w:t>
      </w:r>
      <w:r>
        <w:t xml:space="preserve">In order to ensure an energy efficient behaviour of local space heaters in low power modes,</w:t>
      </w:r>
      <w:r>
        <w:t xml:space="preserve"> </w:t>
      </w:r>
      <w:r>
        <w:t xml:space="preserve">minimum values for standby (0,5W), off (0,2W), idle (0,1W) and network standby (2W) modes are</w:t>
      </w:r>
      <w:r>
        <w:t xml:space="preserve"> </w:t>
      </w:r>
      <w:r>
        <w:t xml:space="preserve">included and local space heaters would need to comply with those values in order to be placed on</w:t>
      </w:r>
      <w:r>
        <w:t xml:space="preserve"> </w:t>
      </w:r>
      <w:r>
        <w:t xml:space="preserve">the market. This is in line with other ecodesign regulations, like the washing machine regulation,</w:t>
      </w:r>
      <w:r>
        <w:t xml:space="preserve"> </w:t>
      </w:r>
      <w:r>
        <w:t xml:space="preserve">where similar adaptations have been made. At the same time, the F(4) factor should be removed</w:t>
      </w:r>
      <w:r>
        <w:t xml:space="preserve"> </w:t>
      </w:r>
      <w:r>
        <w:t xml:space="preserve">from the formula to calculate the seasonal energy efficiency of local space heaters because it</w:t>
      </w:r>
      <w:r>
        <w:t xml:space="preserve"> </w:t>
      </w:r>
      <w:r>
        <w:t xml:space="preserve">becomes irrelevant.</w:t>
      </w:r>
      <w:r>
        <w:br/>
      </w:r>
      <w:r>
        <w:t xml:space="preserve">Stakeholders’ views</w:t>
      </w:r>
      <w:r>
        <w:t xml:space="preserve"> </w:t>
      </w:r>
      <w:r>
        <w:t xml:space="preserve">No stakeholders oppose PO3. A large company has suggested setting a new F(4) applying to low</w:t>
      </w:r>
      <w:r>
        <w:t xml:space="preserve"> </w:t>
      </w:r>
      <w:r>
        <w:t xml:space="preserve">power modes additional to standby, but a majority support removing F(4) and setting instead new</w:t>
      </w:r>
      <w:r>
        <w:t xml:space="preserve"> </w:t>
      </w:r>
      <w:r>
        <w:t xml:space="preserve">minimum requirements for different additional low power modes which reflect more faithfully the</w:t>
      </w:r>
      <w:r>
        <w:t xml:space="preserve"> </w:t>
      </w:r>
      <w:r>
        <w:t xml:space="preserve">real behaviour of local space heaters.</w:t>
      </w:r>
      <w:r>
        <w:t xml:space="preserve"> </w:t>
      </w:r>
      <w:r>
        <w:t xml:space="preserve">5.3.4. Policy option 4 (PO4): circular economy</w:t>
      </w:r>
      <w:r>
        <w:t xml:space="preserve"> </w:t>
      </w:r>
      <w:r>
        <w:t xml:space="preserve">-</w:t>
      </w:r>
      <w:r>
        <w:t xml:space="preserve"> </w:t>
      </w:r>
      <w:r>
        <w:t xml:space="preserve">4a. Including requirements on the availability of spare parts and on repair and maintenance</w:t>
      </w:r>
      <w:r>
        <w:t xml:space="preserve"> </w:t>
      </w:r>
      <w:r>
        <w:t xml:space="preserve">information</w:t>
      </w:r>
      <w:r>
        <w:t xml:space="preserve"> </w:t>
      </w:r>
      <w:r>
        <w:t xml:space="preserve">Given the broad range of local space heaters and their different prices, the LSH Regulation could</w:t>
      </w:r>
      <w:r>
        <w:t xml:space="preserve"> </w:t>
      </w:r>
      <w:r>
        <w:t xml:space="preserve">include different lists of spare parts to be availablefor each of the following product sub-groups:</w:t>
      </w:r>
      <w:r>
        <w:br/>
      </w:r>
      <w:r>
        <w:t xml:space="preserve">- portable heaters;</w:t>
      </w:r>
      <w:r>
        <w:t xml:space="preserve"> </w:t>
      </w:r>
      <w:r>
        <w:t xml:space="preserve">- fixed heaters, towel heaters and underfloor heaters;</w:t>
      </w:r>
      <w:r>
        <w:t xml:space="preserve"> </w:t>
      </w:r>
      <w:r>
        <w:t xml:space="preserve">- storage appliances;</w:t>
      </w:r>
      <w:r>
        <w:t xml:space="preserve"> </w:t>
      </w:r>
      <w:r>
        <w:t xml:space="preserve">- electric visibly glowing radiant heaters;</w:t>
      </w:r>
      <w:r>
        <w:t xml:space="preserve"> </w:t>
      </w:r>
      <w:r>
        <w:t xml:space="preserve">- gas and liquid fuelled heaters.</w:t>
      </w:r>
      <w:r>
        <w:t xml:space="preserve"> </w:t>
      </w:r>
      <w:r>
        <w:t xml:space="preserve">The benefits of reparability for local space heaters need to be very carefully weighed. Section 6.7 of</w:t>
      </w:r>
      <w:r>
        <w:t xml:space="preserve"> </w:t>
      </w:r>
      <w:r>
        <w:t xml:space="preserve">the review study already concluded that resource-saving requirements might be counterproductive,</w:t>
      </w:r>
      <w:r>
        <w:t xml:space="preserve"> </w:t>
      </w:r>
      <w:r>
        <w:t xml:space="preserve">since:</w:t>
      </w:r>
      <w:r>
        <w:t xml:space="preserve"> </w:t>
      </w:r>
      <w:r>
        <w:t xml:space="preserve">-</w:t>
      </w:r>
      <w:r>
        <w:t xml:space="preserve"> </w:t>
      </w:r>
      <w:r>
        <w:t xml:space="preserve">Local space heaters lifetime l is already long for many sub-groups at around 15 years for</w:t>
      </w:r>
      <w:r>
        <w:t xml:space="preserve"> </w:t>
      </w:r>
      <w:r>
        <w:t xml:space="preserve">electric heaters (excluding the cheaper portable devices that average 9 years) and 20 years for</w:t>
      </w:r>
      <w:r>
        <w:t xml:space="preserve"> </w:t>
      </w:r>
      <w:r>
        <w:t xml:space="preserve">gas fuelled.</w:t>
      </w:r>
    </w:p>
    <w:bookmarkStart w:id="9" w:name="section"/>
    <w:p>
      <w:pPr>
        <w:pStyle w:val="Heading2"/>
      </w:pPr>
      <w:r>
        <w:t xml:space="preserve">24</w:t>
      </w:r>
    </w:p>
    <w:p>
      <w:pPr>
        <w:pStyle w:val="FirstParagraph"/>
      </w:pPr>
      <w:r>
        <w:t xml:space="preserve">If spare parts have to be available for a long period, for instance 20 years or more,</w:t>
      </w:r>
      <w:r>
        <w:t xml:space="preserve"> </w:t>
      </w:r>
      <w:r>
        <w:t xml:space="preserve">manufacturers may have to store spare parts that may never be used.</w:t>
      </w:r>
      <w:r>
        <w:t xml:space="preserve"> </w:t>
      </w:r>
      <w:r>
        <w:t xml:space="preserve">-</w:t>
      </w:r>
      <w:r>
        <w:t xml:space="preserve"> </w:t>
      </w:r>
      <w:r>
        <w:t xml:space="preserve">Consumers tend not to repair cheaper products, which are precisely the ones that feature lower</w:t>
      </w:r>
      <w:r>
        <w:t xml:space="preserve"> </w:t>
      </w:r>
      <w:r>
        <w:t xml:space="preserve">lifetimes, of around 9 years for portable heaters.</w:t>
      </w:r>
      <w:r>
        <w:t xml:space="preserve"> </w:t>
      </w:r>
      <w:r>
        <w:t xml:space="preserve">The lists of spare parts will therefore be limited to components whose replacement may be</w:t>
      </w:r>
      <w:r>
        <w:t xml:space="preserve"> </w:t>
      </w:r>
      <w:r>
        <w:t xml:space="preserve">considered by the user on the basis of the costs involved and the age of the product when it breaks</w:t>
      </w:r>
      <w:r>
        <w:t xml:space="preserve"> </w:t>
      </w:r>
      <w:r>
        <w:t xml:space="preserve">down. For safety reasons, the lists will also specify which parts should only be available for</w:t>
      </w:r>
      <w:r>
        <w:t xml:space="preserve"> </w:t>
      </w:r>
      <w:r>
        <w:t xml:space="preserve">professional repairers and which ones could also be available for users.</w:t>
      </w:r>
      <w:r>
        <w:br/>
      </w:r>
      <w:r>
        <w:t xml:space="preserve">Due to the above restrictions, the lists of spare parts have been developed in close cooperation with</w:t>
      </w:r>
      <w:r>
        <w:t xml:space="preserve"> </w:t>
      </w:r>
      <w:r>
        <w:t xml:space="preserve">APPLiA (Home Appliance Europe), the main representative of the sector.</w:t>
      </w:r>
      <w:r>
        <w:br/>
      </w:r>
      <w:r>
        <w:t xml:space="preserve">The listed spare parts should be available for 10 years (estimated average lifetime for the entire</w:t>
      </w:r>
      <w:r>
        <w:t xml:space="preserve"> </w:t>
      </w:r>
      <w:r>
        <w:t xml:space="preserve">product group) after the production of the model stops and have a maximum delivery time of 15</w:t>
      </w:r>
      <w:r>
        <w:t xml:space="preserve"> </w:t>
      </w:r>
      <w:r>
        <w:t xml:space="preserve">working days. Further, spare parts shall be easily removable with common available tools and</w:t>
      </w:r>
      <w:r>
        <w:t xml:space="preserve"> </w:t>
      </w:r>
      <w:r>
        <w:t xml:space="preserve">without permanent damage to the appliance.</w:t>
      </w:r>
      <w:r>
        <w:br/>
      </w:r>
      <w:r>
        <w:t xml:space="preserve">In addition, repair and maintenance information shall be provided by suppliers to independent</w:t>
      </w:r>
      <w:r>
        <w:t xml:space="preserve"> </w:t>
      </w:r>
      <w:r>
        <w:t xml:space="preserve">repairers.</w:t>
      </w:r>
      <w:r>
        <w:br/>
      </w:r>
      <w:r>
        <w:t xml:space="preserve">-</w:t>
      </w:r>
      <w:r>
        <w:t xml:space="preserve"> </w:t>
      </w:r>
      <w:r>
        <w:t xml:space="preserve">4b. Including modularity requirements and setting a 10-year availability period of software</w:t>
      </w:r>
      <w:r>
        <w:t xml:space="preserve"> </w:t>
      </w:r>
      <w:r>
        <w:t xml:space="preserve">updates for APPs</w:t>
      </w:r>
      <w:r>
        <w:t xml:space="preserve"> </w:t>
      </w:r>
      <w:r>
        <w:t xml:space="preserve">Redesigning products so that controllers can be replaced by more functional and efficient ones,</w:t>
      </w:r>
      <w:r>
        <w:t xml:space="preserve"> </w:t>
      </w:r>
      <w:r>
        <w:t xml:space="preserve">would diminish the number of old devices discarded and improve their energy efficiency. It would</w:t>
      </w:r>
      <w:r>
        <w:t xml:space="preserve"> </w:t>
      </w:r>
      <w:r>
        <w:t xml:space="preserve">also reduce repair costs because users could change the controller themselves.</w:t>
      </w:r>
      <w:r>
        <w:br/>
      </w:r>
      <w:r>
        <w:t xml:space="preserve">In addition, in line with the update of controllers, any Apps that are linked to them should also be</w:t>
      </w:r>
      <w:r>
        <w:t xml:space="preserve"> </w:t>
      </w:r>
      <w:r>
        <w:t xml:space="preserve">updated. Software update requirements can ensure that new versions of an App remain compatible</w:t>
      </w:r>
      <w:r>
        <w:t xml:space="preserve"> </w:t>
      </w:r>
      <w:r>
        <w:t xml:space="preserve">with older products, thus ensuring a long lifetime. Software updates should therefore be available</w:t>
      </w:r>
      <w:r>
        <w:t xml:space="preserve"> </w:t>
      </w:r>
      <w:r>
        <w:t xml:space="preserve">for 10 years after the production of a model stops.</w:t>
      </w:r>
      <w:r>
        <w:t xml:space="preserve"> </w:t>
      </w:r>
      <w:r>
        <w:t xml:space="preserve">-</w:t>
      </w:r>
      <w:r>
        <w:t xml:space="preserve"> </w:t>
      </w:r>
      <w:r>
        <w:t xml:space="preserve">4c. Including end-of-life information for improved disposal</w:t>
      </w:r>
      <w:r>
        <w:br/>
      </w:r>
      <w:r>
        <w:t xml:space="preserve">Information regarding dismantling the product and access to any of the components referred to in</w:t>
      </w:r>
      <w:r>
        <w:t xml:space="preserve"> </w:t>
      </w:r>
      <w:r>
        <w:t xml:space="preserve">point 1 of Annex VII of the WEEE Directive37, must be available on a free access website. This</w:t>
      </w:r>
      <w:r>
        <w:t xml:space="preserve"> </w:t>
      </w:r>
      <w:r>
        <w:t xml:space="preserve">information shall include the sequence of dismantling steps as well as the tools and technologies</w:t>
      </w:r>
      <w:r>
        <w:t xml:space="preserve"> </w:t>
      </w:r>
      <w:r>
        <w:t xml:space="preserve">needed to remove the targeted components. The end-of-life information shall be available until at</w:t>
      </w:r>
      <w:r>
        <w:t xml:space="preserve"> </w:t>
      </w:r>
      <w:r>
        <w:t xml:space="preserve">least 15 years after the placing on the market of the last unit of a product model.</w:t>
      </w:r>
      <w:r>
        <w:t xml:space="preserve"> </w:t>
      </w:r>
      <w:r>
        <w:t xml:space="preserve">Stakeholders’ views</w:t>
      </w:r>
      <w:r>
        <w:t xml:space="preserve"> </w:t>
      </w:r>
      <w:r>
        <w:t xml:space="preserve">Member States and NGOs support the availability of spare parts. Manufacturers did not oppose this</w:t>
      </w:r>
      <w:r>
        <w:t xml:space="preserve"> </w:t>
      </w:r>
      <w:r>
        <w:t xml:space="preserve">but raised the following issues:</w:t>
      </w:r>
    </w:p>
    <w:p>
      <w:pPr>
        <w:pStyle w:val="BodyText"/>
      </w:pPr>
      <w:r>
        <w:t xml:space="preserve">37 Directive 2012/19/EU of the European Parliament and of the Council of 4 July 2012 on waste electrical and</w:t>
      </w:r>
      <w:r>
        <w:t xml:space="preserve"> </w:t>
      </w:r>
      <w:r>
        <w:t xml:space="preserve">electronic equipment (WEEE) (OJ L 197, 24.7.2012, p. 38)</w:t>
      </w:r>
    </w:p>
    <w:bookmarkEnd w:id="9"/>
    <w:bookmarkStart w:id="12" w:name="section-1"/>
    <w:p>
      <w:pPr>
        <w:pStyle w:val="Heading2"/>
      </w:pPr>
      <w:r>
        <w:t xml:space="preserve">25</w:t>
      </w:r>
    </w:p>
    <w:p>
      <w:pPr>
        <w:pStyle w:val="FirstParagraph"/>
      </w:pPr>
      <w:r>
        <w:t xml:space="preserve">The delivery time for spare parts may be long due to the supply chain: consumers normally ask</w:t>
      </w:r>
      <w:r>
        <w:t xml:space="preserve"> </w:t>
      </w:r>
      <w:r>
        <w:t xml:space="preserve">an installer to deliver the part, who in turn needs to get if from the wholesaler, and the latter will</w:t>
      </w:r>
      <w:r>
        <w:t xml:space="preserve"> </w:t>
      </w:r>
      <w:r>
        <w:t xml:space="preserve">need to ask for it to the factory. All these steps add to the delivery time.</w:t>
      </w:r>
      <w:r>
        <w:br/>
      </w:r>
      <w:r>
        <w:t xml:space="preserve">-</w:t>
      </w:r>
      <w:r>
        <w:t xml:space="preserve"> </w:t>
      </w:r>
      <w:r>
        <w:t xml:space="preserve">The lists of spare parts should inform about which parts are available for professional repairers</w:t>
      </w:r>
      <w:r>
        <w:t xml:space="preserve"> </w:t>
      </w:r>
      <w:r>
        <w:t xml:space="preserve">and which ones can be fitted by the end user.</w:t>
      </w:r>
      <w:r>
        <w:t xml:space="preserve"> </w:t>
      </w:r>
      <w:r>
        <w:t xml:space="preserve">-</w:t>
      </w:r>
      <w:r>
        <w:t xml:space="preserve"> </w:t>
      </w:r>
      <w:r>
        <w:t xml:space="preserve">Most portable local space heaters are in the low-cost range (below 100 €). Repairing such</w:t>
      </w:r>
      <w:r>
        <w:t xml:space="preserve"> </w:t>
      </w:r>
      <w:r>
        <w:t xml:space="preserve">devices will exceed the cost of the product, making it counterproductive to provide spare parts.</w:t>
      </w:r>
      <w:r>
        <w:t xml:space="preserve"> </w:t>
      </w:r>
      <w:r>
        <w:t xml:space="preserve">In case of failure during the warranty period the whole product is returned and scrapped.</w:t>
      </w:r>
      <w:r>
        <w:br/>
      </w:r>
      <w:r>
        <w:t xml:space="preserve">-</w:t>
      </w:r>
      <w:r>
        <w:t xml:space="preserve"> </w:t>
      </w:r>
      <w:r>
        <w:t xml:space="preserve">Several components are integrated and soldered and should not be considered as reparable spare</w:t>
      </w:r>
      <w:r>
        <w:t xml:space="preserve"> </w:t>
      </w:r>
      <w:r>
        <w:t xml:space="preserve">parts – e.g. electronic displays and temperature sensors are integrated into thermostats.</w:t>
      </w:r>
      <w:r>
        <w:t xml:space="preserve"> </w:t>
      </w:r>
      <w:r>
        <w:t xml:space="preserve">No comments have been provided by stakeholders regarding end-of-life information.</w:t>
      </w:r>
      <w:r>
        <w:t xml:space="preserve"> </w:t>
      </w:r>
      <w:r>
        <w:t xml:space="preserve">APPLiA strongly contests the modularity option because it increases the complexity of housing</w:t>
      </w:r>
      <w:r>
        <w:t xml:space="preserve"> </w:t>
      </w:r>
      <w:r>
        <w:t xml:space="preserve">parts and connectors in order to fit controllers that will probably be used in only a few cases.</w:t>
      </w:r>
      <w:r>
        <w:t xml:space="preserve"> </w:t>
      </w:r>
      <w:r>
        <w:t xml:space="preserve">Furthermore, end users might replace their heater for many other reasons than the wish to get</w:t>
      </w:r>
      <w:r>
        <w:t xml:space="preserve"> </w:t>
      </w:r>
      <w:r>
        <w:t xml:space="preserve">enhanced control functions, e.g. design, general house renovation, or installing central heating to</w:t>
      </w:r>
      <w:r>
        <w:t xml:space="preserve"> </w:t>
      </w:r>
      <w:r>
        <w:t xml:space="preserve">replace local space heating. APPLiA points out that the costs of modularity can be very high and</w:t>
      </w:r>
      <w:r>
        <w:t xml:space="preserve"> </w:t>
      </w:r>
      <w:r>
        <w:t xml:space="preserve">thus significantly increase the price of the product.</w:t>
      </w:r>
      <w:r>
        <w:br/>
      </w:r>
      <w:r>
        <w:t xml:space="preserve">Finally, Member States and NGOs’ supported requirements for software updates. Industry did not</w:t>
      </w:r>
      <w:r>
        <w:t xml:space="preserve"> </w:t>
      </w:r>
      <w:r>
        <w:t xml:space="preserve">directly oppose this but opinions ranged from those stating that software updates are not a problem</w:t>
      </w:r>
      <w:r>
        <w:t xml:space="preserve"> </w:t>
      </w:r>
      <w:r>
        <w:t xml:space="preserve">to those that were more cautious, since the communication is often programmed with proprietary</w:t>
      </w:r>
      <w:r>
        <w:t xml:space="preserve"> </w:t>
      </w:r>
      <w:r>
        <w:t xml:space="preserve">protocols and, at some point in the lifetime of a heater, it becomes expensive to update a system if it</w:t>
      </w:r>
      <w:r>
        <w:t xml:space="preserve"> </w:t>
      </w:r>
      <w:r>
        <w:t xml:space="preserve">is being phased out.</w:t>
      </w:r>
      <w:r>
        <w:t xml:space="preserve"> </w:t>
      </w:r>
      <w:r>
        <w:t xml:space="preserve">5.4.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5.4.1. Voluntary agreement by the industry</w:t>
      </w:r>
      <w:r>
        <w:t xml:space="preserve"> </w:t>
      </w:r>
      <w:r>
        <w:t xml:space="preserve">According to the Ecodesign Framework Directive, voluntary agreements must be given priority</w:t>
      </w:r>
      <w:r>
        <w:t xml:space="preserve"> </w:t>
      </w:r>
      <w:r>
        <w:t xml:space="preserve">provided they meet the objectives in a faster and more cost-effective manner than implementing</w:t>
      </w:r>
      <w:r>
        <w:t xml:space="preserve"> </w:t>
      </w:r>
      <w:r>
        <w:t xml:space="preserve">acts. Further, Annex VIII of the Ecodesign Framework Directive sets out some indicative criteria</w:t>
      </w:r>
      <w:r>
        <w:t xml:space="preserve"> </w:t>
      </w:r>
      <w:r>
        <w:t xml:space="preserve">that self-regulatory initiatives must incorporate to be alternative to an implementing measure. One</w:t>
      </w:r>
      <w:r>
        <w:t xml:space="preserve"> </w:t>
      </w:r>
      <w:r>
        <w:t xml:space="preserve">of those criteria is representativeness, which means that industry and its associations taking part in a</w:t>
      </w:r>
      <w:r>
        <w:t xml:space="preserve"> </w:t>
      </w:r>
      <w:r>
        <w:t xml:space="preserve">self-regulatory action must represent a large majority of the relevant economic sector. Main</w:t>
      </w:r>
      <w:r>
        <w:t xml:space="preserve"> </w:t>
      </w:r>
      <w:r>
        <w:t xml:space="preserve">associations of the sector are APPLiA, EHI (European Heating Industry), HKI (Industrial</w:t>
      </w:r>
      <w:r>
        <w:t xml:space="preserve"> </w:t>
      </w:r>
      <w:r>
        <w:t xml:space="preserve">Association of House, Heating and Kitchen Technology), AIE (European Association of Electrical</w:t>
      </w:r>
      <w:r>
        <w:t xml:space="preserve"> </w:t>
      </w:r>
      <w:r>
        <w:t xml:space="preserve">Contractors), CEFACD (European Committee of Manufacturers of Domestic Heating and Cooking</w:t>
      </w:r>
      <w:r>
        <w:t xml:space="preserve"> </w:t>
      </w:r>
      <w:r>
        <w:t xml:space="preserve">Appliances), EUHA (Electric Underfloor Heating Appliances) and ELVHIS (European Leading</w:t>
      </w:r>
      <w:r>
        <w:t xml:space="preserve"> </w:t>
      </w:r>
      <w:r>
        <w:t xml:space="preserve">Association of Radiant Gas Heaters Manufacturers). The large amount of industry associations is</w:t>
      </w:r>
      <w:r>
        <w:t xml:space="preserve"> </w:t>
      </w:r>
      <w:r>
        <w:t xml:space="preserve">the consequence of the heterogeneity of the sector in terms of product groups. None of them have</w:t>
      </w:r>
      <w:r>
        <w:t xml:space="preserve"> </w:t>
      </w:r>
      <w:r>
        <w:t xml:space="preserve">shown willingness to undertake the leadership for a self-regulatory initiative in the different</w:t>
      </w:r>
      <w:r>
        <w:t xml:space="preserve"> </w:t>
      </w:r>
      <w:r>
        <w:t xml:space="preserve">comments and position papers submitted about the amendment to the LSH Regulation. It is</w:t>
      </w:r>
      <w:r>
        <w:t xml:space="preserve"> </w:t>
      </w:r>
      <w:r>
        <w:t xml:space="preserve">therefore not likely that a self-regulatory action would ever be operational.</w:t>
      </w:r>
      <w:r>
        <w:br/>
      </w:r>
      <w:r>
        <w:t xml:space="preserve">Further, the heterogeneity of the sector and the presence of a large number of SMEs would</w:t>
      </w:r>
      <w:r>
        <w:t xml:space="preserve"> </w:t>
      </w:r>
      <w:r>
        <w:t xml:space="preserve">undermine the effectiveness of self-regulation. While an industry agreement would be suitable for</w:t>
      </w:r>
      <w:r>
        <w:t xml:space="preserve"> </w:t>
      </w:r>
      <w:r>
        <w:t xml:space="preserve">sectors dominated by a small number of companies, or by companies located in a relatively reduced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geographical area, an EU-wide agreement on local space heaters covering the totality of companies,</w:t>
      </w:r>
      <w:r>
        <w:t xml:space="preserve"> </w:t>
      </w:r>
      <w:r>
        <w:t xml:space="preserve">many of them SMEs, would be complex to govern and would imply a high level of coordination</w:t>
      </w:r>
      <w:r>
        <w:t xml:space="preserve"> </w:t>
      </w:r>
      <w:r>
        <w:t xml:space="preserve">between associations, national authorities and Commission equipped with the appropriate</w:t>
      </w:r>
      <w:r>
        <w:t xml:space="preserve"> </w:t>
      </w:r>
      <w:r>
        <w:t xml:space="preserve">resources.</w:t>
      </w:r>
      <w:r>
        <w:br/>
      </w:r>
      <w:r>
        <w:t xml:space="preserve">On the basis of the foreseen complexity of implementation and lack of initiative by the private</w:t>
      </w:r>
      <w:r>
        <w:t xml:space="preserve"> </w:t>
      </w:r>
      <w:r>
        <w:t xml:space="preserve">sector to undertake such initiative, a voluntary agreement has been ruled out.</w:t>
      </w:r>
      <w:r>
        <w:br/>
      </w:r>
      <w:r>
        <w:t xml:space="preserve">5.4.2. Mandatory third party certification</w:t>
      </w:r>
      <w:r>
        <w:t xml:space="preserve"> </w:t>
      </w:r>
      <w:r>
        <w:t xml:space="preserve">The evaluation of the appropriateness to introduce third party certification for conformity</w:t>
      </w:r>
      <w:r>
        <w:t xml:space="preserve"> </w:t>
      </w:r>
      <w:r>
        <w:t xml:space="preserve">assessment is a legal mandate set out in Article 7 of the LSH Regulation. This evaluation has been</w:t>
      </w:r>
      <w:r>
        <w:t xml:space="preserve"> </w:t>
      </w:r>
      <w:r>
        <w:t xml:space="preserve">carried out in section 1.5.4 of the review study and is briefly explained here.</w:t>
      </w:r>
      <w:r>
        <w:br/>
      </w:r>
      <w:r>
        <w:t xml:space="preserve">The relevance of third party testing depends on the type of energy used by the heater. For electric</w:t>
      </w:r>
      <w:r>
        <w:t xml:space="preserve"> </w:t>
      </w:r>
      <w:r>
        <w:t xml:space="preserve">heaters, third-party certification seems unnecessary and disproportionate in the view of the</w:t>
      </w:r>
      <w:r>
        <w:t xml:space="preserve"> </w:t>
      </w:r>
      <w:r>
        <w:t xml:space="preserve">additional costs that it entails, because the energy efficiency tests do not leave room for</w:t>
      </w:r>
      <w:r>
        <w:t xml:space="preserve"> </w:t>
      </w:r>
      <w:r>
        <w:t xml:space="preserve">interpretation and deviations for testing that can be misused by the manufacturer. For gas and liquid</w:t>
      </w:r>
      <w:r>
        <w:t xml:space="preserve"> </w:t>
      </w:r>
      <w:r>
        <w:t xml:space="preserve">fuel heaters on the contrary, the large number of parameters to be adjusted (fuel quality, air flow</w:t>
      </w:r>
      <w:r>
        <w:t xml:space="preserve"> </w:t>
      </w:r>
      <w:r>
        <w:t xml:space="preserve">and flue duct settings) makes it easier for the manufacturer to adjust the test in order to get the best</w:t>
      </w:r>
      <w:r>
        <w:t xml:space="preserve"> </w:t>
      </w:r>
      <w:r>
        <w:t xml:space="preserve">possible result. Third party testing could thus be relevant for gas and liquid fuel heaters from a</w:t>
      </w:r>
      <w:r>
        <w:t xml:space="preserve"> </w:t>
      </w:r>
      <w:r>
        <w:t xml:space="preserve">technical point of view. Nevertheless, the application of third party conformity assessment just for</w:t>
      </w:r>
      <w:r>
        <w:t xml:space="preserve"> </w:t>
      </w:r>
      <w:r>
        <w:t xml:space="preserve">gas and liquid fuel heaters would entail the implementation of a burdensome procedure that would</w:t>
      </w:r>
      <w:r>
        <w:t xml:space="preserve"> </w:t>
      </w:r>
      <w:r>
        <w:t xml:space="preserve">not apply to electric heaters, and would therefore undermine the level playing field between both</w:t>
      </w:r>
      <w:r>
        <w:t xml:space="preserve"> </w:t>
      </w:r>
      <w:r>
        <w:t xml:space="preserve">types of devices by increasing the costs of non-electric heaters. Accreditation costs related to the</w:t>
      </w:r>
      <w:r>
        <w:t xml:space="preserve"> </w:t>
      </w:r>
      <w:r>
        <w:t xml:space="preserve">services provided by certification authorities (laboratories) are estimated to be between 2.500 and</w:t>
      </w:r>
      <w:r>
        <w:t xml:space="preserve"> </w:t>
      </w:r>
      <w:r>
        <w:t xml:space="preserve">3.000 €. Further, given the very low market share that gas and liquid fuel appliances represent, the</w:t>
      </w:r>
      <w:r>
        <w:t xml:space="preserve"> </w:t>
      </w:r>
      <w:r>
        <w:t xml:space="preserve">benefits of third party certification in terms of energy and GHG emission savings would be</w:t>
      </w:r>
      <w:r>
        <w:t xml:space="preserve"> </w:t>
      </w:r>
      <w:r>
        <w:t xml:space="preserve">minimal.</w:t>
      </w:r>
      <w:r>
        <w:br/>
      </w:r>
      <w:r>
        <w:t xml:space="preserve">Given the background above, third party certification has been ruled out.</w:t>
      </w:r>
      <w:r>
        <w:t xml:space="preserve"> </w:t>
      </w:r>
      <w:r>
        <w:t xml:space="preserve">5.4.3. Modification of the verification tolerances</w:t>
      </w:r>
      <w:r>
        <w:t xml:space="preserve"> </w:t>
      </w:r>
      <w:r>
        <w:t xml:space="preserve">The tolerances have been found to be in line with the accuracy of the current test methods and</w:t>
      </w:r>
      <w:r>
        <w:t xml:space="preserve"> </w:t>
      </w:r>
      <w:r>
        <w:t xml:space="preserve">should therefore remain.</w:t>
      </w:r>
      <w:r>
        <w:t xml:space="preserve"> </w:t>
      </w:r>
      <w:r>
        <w:t xml:space="preserve">5.4.4. Introduction of stricter ecodesign requirements and NOx emission limits</w:t>
      </w:r>
      <w:r>
        <w:t xml:space="preserve"> </w:t>
      </w:r>
      <w:r>
        <w:t xml:space="preserve">The objective of both PO2 and PO3 is to reduce in-use energy consumption. An alternative to both</w:t>
      </w:r>
      <w:r>
        <w:t xml:space="preserve"> </w:t>
      </w:r>
      <w:r>
        <w:t xml:space="preserve">policy options would have been to set stricter ecodesign limits by reducing the values of correction</w:t>
      </w:r>
      <w:r>
        <w:t xml:space="preserve"> </w:t>
      </w:r>
      <w:r>
        <w:t xml:space="preserve">factors F(2) and F(3), which are applied to the formula used for the calculation of the energy</w:t>
      </w:r>
      <w:r>
        <w:t xml:space="preserve"> </w:t>
      </w:r>
      <w:r>
        <w:t xml:space="preserve">efficiency from local space heaters. Section 7.1.2 of the review study discusses the possible</w:t>
      </w:r>
      <w:r>
        <w:t xml:space="preserve"> </w:t>
      </w:r>
      <w:r>
        <w:t xml:space="preserve">introduction of stricter ecodesign measures making it more difficult to reach the minimum energy</w:t>
      </w:r>
      <w:r>
        <w:t xml:space="preserve"> </w:t>
      </w:r>
      <w:r>
        <w:t xml:space="preserve">efficiencies set out in the legislation. Nevertheless, the review study concluded in section 7.2.2 that</w:t>
      </w:r>
      <w:r>
        <w:t xml:space="preserve"> </w:t>
      </w:r>
      <w:r>
        <w:t xml:space="preserve">a reduction of the correction factors should only be made when there is enough evidence about how</w:t>
      </w:r>
      <w:r>
        <w:t xml:space="preserve"> </w:t>
      </w:r>
      <w:r>
        <w:t xml:space="preserve">the current factors have performed. This was not the case when the review study was conducted</w:t>
      </w:r>
      <w:r>
        <w:t xml:space="preserve"> </w:t>
      </w:r>
      <w:r>
        <w:t xml:space="preserve">because by that time the current limits had been in force for an insufficient period, to carry out the</w:t>
      </w:r>
      <w:r>
        <w:t xml:space="preserve"> </w:t>
      </w:r>
      <w:r>
        <w:t xml:space="preserve">necessary assessment. Moreover, setting more demanding ecodesign requirements without first</w:t>
      </w:r>
      <w:r>
        <w:t xml:space="preserve"> </w:t>
      </w:r>
      <w:r>
        <w:t xml:space="preserve">removing the LSH Regulation’s loopholes would have reduced the effectiveness of the measure,</w:t>
      </w:r>
      <w:r>
        <w:t xml:space="preserve"> </w:t>
      </w:r>
      <w:r>
        <w:t xml:space="preserve">leading to wasted resources because the investments carried out by industry would not have been</w:t>
      </w:r>
      <w:r>
        <w:t xml:space="preserve"> </w:t>
      </w:r>
      <w:r>
        <w:t xml:space="preserve">fully productive and the burden costs calculated in section 6.5 would have remained or even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increased. It seemed therefore reasonable to focus on alternative measures that would not imply</w:t>
      </w:r>
      <w:r>
        <w:t xml:space="preserve"> </w:t>
      </w:r>
      <w:r>
        <w:t xml:space="preserve">setting new limits. For the same reason, stricter pollutant emission requirements have also been</w:t>
      </w:r>
      <w:r>
        <w:t xml:space="preserve"> </w:t>
      </w:r>
      <w:r>
        <w:t xml:space="preserve">discarded.</w:t>
      </w:r>
      <w:r>
        <w:br/>
      </w:r>
      <w:r>
        <w:t xml:space="preserve">A few NGO’s supported setting stricter energy efficiency and NOx emission requirements. The rest</w:t>
      </w:r>
      <w:r>
        <w:t xml:space="preserve"> </w:t>
      </w:r>
      <w:r>
        <w:t xml:space="preserve">of stakeholders, including industry associations and individual companies, proposed to keep the</w:t>
      </w:r>
      <w:r>
        <w:t xml:space="preserve"> </w:t>
      </w:r>
      <w:r>
        <w:t xml:space="preserve">current values and to assess the topic at the next review of the LSH Regulation.</w:t>
      </w:r>
      <w:r>
        <w:br/>
      </w:r>
      <w:r>
        <w:t xml:space="preserve">5.4.5. Removing the conversion coefficient (CC) from the calculations of the energy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CC is used to express final energy in terms of primary energy, which allows to compare heaters</w:t>
      </w:r>
      <w:r>
        <w:t xml:space="preserve"> </w:t>
      </w:r>
      <w:r>
        <w:t xml:space="preserve">using electricity to heaters using oil or gas. It has been argued that the CC adds complexity to the</w:t>
      </w:r>
      <w:r>
        <w:t xml:space="preserve"> </w:t>
      </w:r>
      <w:r>
        <w:t xml:space="preserve">calculation of the energy efficiency without really being representative of real efficiency, and</w:t>
      </w:r>
      <w:r>
        <w:t xml:space="preserve"> </w:t>
      </w:r>
      <w:r>
        <w:t xml:space="preserve">therefore it has been considered to remove the CC and focus exclusively on the consumption of</w:t>
      </w:r>
      <w:r>
        <w:t xml:space="preserve"> </w:t>
      </w:r>
      <w:r>
        <w:t xml:space="preserve">final energy.</w:t>
      </w:r>
      <w:r>
        <w:t xml:space="preserve"> </w:t>
      </w:r>
      <w:r>
        <w:t xml:space="preserve">Even though it is always desirable to reduce the complexity of the LSH Regulation, removing the</w:t>
      </w:r>
      <w:r>
        <w:t xml:space="preserve"> </w:t>
      </w:r>
      <w:r>
        <w:t xml:space="preserve">CC would make it impossible to compare electric heaters with oil and gas heaters, with a view to</w:t>
      </w:r>
      <w:r>
        <w:t xml:space="preserve"> </w:t>
      </w:r>
      <w:r>
        <w:t xml:space="preserve">the future possible inclusion of electric heaters in the energy label for local space heaters (currently</w:t>
      </w:r>
      <w:r>
        <w:t xml:space="preserve"> </w:t>
      </w:r>
      <w:r>
        <w:t xml:space="preserve">only fossil fuel heaters are in the scope of the energy label). Moreover, the CC is used in other EU</w:t>
      </w:r>
      <w:r>
        <w:t xml:space="preserve"> </w:t>
      </w:r>
      <w:r>
        <w:t xml:space="preserve">regulations and is widely accepted. The decision on its removal is therefore outside of the scope of</w:t>
      </w:r>
      <w:r>
        <w:t xml:space="preserve"> </w:t>
      </w:r>
      <w:r>
        <w:t xml:space="preserve">the revision of the LSH Regulation and, if adopted, should cover a number of regulations and not</w:t>
      </w:r>
      <w:r>
        <w:t xml:space="preserve"> </w:t>
      </w:r>
      <w:r>
        <w:t xml:space="preserve">only local space heaters.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describes the impacts of each policy option from the environmental, economic and</w:t>
      </w:r>
      <w:r>
        <w:t xml:space="preserve"> </w:t>
      </w:r>
      <w:r>
        <w:t xml:space="preserve">social points of view. Modelling principles follow the MEErP (Methodology for Ecodesign of</w:t>
      </w:r>
      <w:r>
        <w:t xml:space="preserve"> </w:t>
      </w:r>
      <w:r>
        <w:t xml:space="preserve">Energy-related Products)38. The analytical model, described in detail in Annex 4, has been</w:t>
      </w:r>
      <w:r>
        <w:t xml:space="preserve"> </w:t>
      </w:r>
      <w:r>
        <w:t xml:space="preserve">specifically developed for impact assessments by the external consultant Viegand Maagøe. The</w:t>
      </w:r>
      <w:r>
        <w:t xml:space="preserve"> </w:t>
      </w:r>
      <w:r>
        <w:t xml:space="preserve">assumptions provided in Annex 4 have been systematically crosschecked with stakeholders, in</w:t>
      </w:r>
      <w:r>
        <w:t xml:space="preserve"> </w:t>
      </w:r>
      <w:r>
        <w:t xml:space="preserve">particular with the industry. Future energy prices and financial rates follow the EU Reference</w:t>
      </w:r>
      <w:r>
        <w:t xml:space="preserve"> </w:t>
      </w:r>
      <w:r>
        <w:t xml:space="preserve">Scenario 2020.</w:t>
      </w:r>
      <w:r>
        <w:br/>
      </w:r>
      <w:r>
        <w:t xml:space="preserve">It is necessary to note that the data used for the modelling of the different scenarios present some</w:t>
      </w:r>
      <w:r>
        <w:t xml:space="preserve"> </w:t>
      </w:r>
      <w:r>
        <w:t xml:space="preserve">limitations, which are indicated here and explained in detail in Annex G of the review study and in</w:t>
      </w:r>
      <w:r>
        <w:t xml:space="preserve"> </w:t>
      </w:r>
      <w:r>
        <w:t xml:space="preserve">Annexes 1 and 4 of this IA.</w:t>
      </w:r>
      <w:r>
        <w:br/>
      </w:r>
      <w:r>
        <w:t xml:space="preserve">First, there is a lack of field data about the energy performance of local space heaters. Annex G of</w:t>
      </w:r>
      <w:r>
        <w:t xml:space="preserve"> </w:t>
      </w:r>
      <w:r>
        <w:t xml:space="preserve">the review study assumes that the efficiencies of all products in the scope of the LSH Regulation</w:t>
      </w:r>
      <w:r>
        <w:t xml:space="preserve"> </w:t>
      </w:r>
      <w:r>
        <w:t xml:space="preserve">will not exceed the minimum requirements. This assumption has also been taken in this IA. There is</w:t>
      </w:r>
      <w:r>
        <w:t xml:space="preserve"> </w:t>
      </w:r>
      <w:r>
        <w:t xml:space="preserve">no statistical information on products that perform better than needed and therefore the minimum</w:t>
      </w:r>
      <w:r>
        <w:t xml:space="preserve"> </w:t>
      </w:r>
      <w:r>
        <w:t xml:space="preserve">threshold has been taken for the estimation of the impacts. This seems to be an adequate</w:t>
      </w:r>
      <w:r>
        <w:t xml:space="preserve"> </w:t>
      </w:r>
      <w:r>
        <w:t xml:space="preserve">assumption because, as already pointed out, in the absence of technological improvements the in-</w:t>
      </w:r>
      <w:r>
        <w:t xml:space="preserve"> </w:t>
      </w:r>
      <w:r>
        <w:t xml:space="preserve">use energy savings per product unit are assumed to be rather modest.</w:t>
      </w:r>
    </w:p>
    <w:p>
      <w:pPr>
        <w:pStyle w:val="BodyText"/>
      </w:pPr>
      <w:r>
        <w:t xml:space="preserve">38 Material-efficiency Ecodesign Report and Module to the Methodology for the Ecodesign of Energy-related Products</w:t>
      </w:r>
      <w:r>
        <w:t xml:space="preserve"> </w:t>
      </w:r>
      <w:r>
        <w:t xml:space="preserve">(MEErP) PART 1: MATERIAL EFFICIENCY FOR ECODESIGN - Final report to the European Commission - DG</w:t>
      </w:r>
      <w:r>
        <w:t xml:space="preserve"> </w:t>
      </w:r>
      <w:r>
        <w:t xml:space="preserve">Enterprise and Industry 5 December 2013 (https://op.europa.eu/en/publication-detail/-/publication/b7650397-32f1-</w:t>
      </w:r>
      <w:r>
        <w:t xml:space="preserve"> </w:t>
      </w:r>
      <w:r>
        <w:t xml:space="preserve">436c-82c4-df39aef297a3)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Second, the sales data that have been purchased from a data provider are not broken down by</w:t>
      </w:r>
      <w:r>
        <w:t xml:space="preserve"> </w:t>
      </w:r>
      <w:r>
        <w:t xml:space="preserve">product category. Disaggregated sales figures were estimated by the consultant on the basis of</w:t>
      </w:r>
      <w:r>
        <w:t xml:space="preserve"> </w:t>
      </w:r>
      <w:r>
        <w:t xml:space="preserve">feedback from industry representatives, and in particular APPLiA. Disaggregated price data are</w:t>
      </w:r>
      <w:r>
        <w:t xml:space="preserve"> </w:t>
      </w:r>
      <w:r>
        <w:t xml:space="preserve">also not available. This shorcoming has been addressed by discussing the disaggregated prices in</w:t>
      </w:r>
      <w:r>
        <w:t xml:space="preserve"> </w:t>
      </w:r>
      <w:r>
        <w:t xml:space="preserve">the 2015 impact assessment with stakeholders and correcting the price-elasticity formula explained</w:t>
      </w:r>
      <w:r>
        <w:t xml:space="preserve"> </w:t>
      </w:r>
      <w:r>
        <w:t xml:space="preserve">in Annex 4.</w:t>
      </w:r>
      <w:r>
        <w:br/>
      </w:r>
      <w:r>
        <w:t xml:space="preserve">Third, there is little data about the impacts of circular economy measures. In view of this lack of</w:t>
      </w:r>
      <w:r>
        <w:t xml:space="preserve"> </w:t>
      </w:r>
      <w:r>
        <w:t xml:space="preserve">solid evidence, it has been assumed that resource efficiency measures increase the lifetime of a</w:t>
      </w:r>
      <w:r>
        <w:t xml:space="preserve"> </w:t>
      </w:r>
      <w:r>
        <w:t xml:space="preserve">number of product subgroups by 5%, that 20% of the products in these subgroups are repaired only</w:t>
      </w:r>
      <w:r>
        <w:t xml:space="preserve"> </w:t>
      </w:r>
      <w:r>
        <w:t xml:space="preserve">once over their lifetime and that the additional repair costs would be 20% of the product price. For</w:t>
      </w:r>
      <w:r>
        <w:t xml:space="preserve"> </w:t>
      </w:r>
      <w:r>
        <w:t xml:space="preserve">instance, some studies indicate a very large variation in the rates charged for spare parts and repair</w:t>
      </w:r>
      <w:r>
        <w:t xml:space="preserve"> </w:t>
      </w:r>
      <w:r>
        <w:t xml:space="preserve">services between different manufacturers and Member States, making it very difficult to determine</w:t>
      </w:r>
      <w:r>
        <w:t xml:space="preserve"> </w:t>
      </w:r>
      <w:r>
        <w:t xml:space="preserve">an average repair cost across the EU39. The assumptions are therefore based on estimations made by</w:t>
      </w:r>
      <w:r>
        <w:t xml:space="preserve"> </w:t>
      </w:r>
      <w:r>
        <w:t xml:space="preserve">the consultant on the basis of the characteristics of local space heaters, existing bibliography and</w:t>
      </w:r>
      <w:r>
        <w:t xml:space="preserve"> </w:t>
      </w:r>
      <w:r>
        <w:t xml:space="preserve">stakeholders input. In any case, changes in these assumptions have a negligible effect on total</w:t>
      </w:r>
      <w:r>
        <w:t xml:space="preserve"> </w:t>
      </w:r>
      <w:r>
        <w:t xml:space="preserve">energy figures, because resource efficiency measures mostly affect embedded energy, and this only</w:t>
      </w:r>
      <w:r>
        <w:t xml:space="preserve"> </w:t>
      </w:r>
      <w:r>
        <w:t xml:space="preserve">accounts for 0,7% of the total local space heater energy consumption .</w:t>
      </w:r>
      <w:r>
        <w:br/>
      </w:r>
      <w:r>
        <w:t xml:space="preserve">Fourth, there is no specific data on production costs because industry does not make them available.</w:t>
      </w:r>
      <w:r>
        <w:t xml:space="preserve"> </w:t>
      </w:r>
      <w:r>
        <w:t xml:space="preserve">Compliance costs have therefore not been calculated on the basis of production costs but on the</w:t>
      </w:r>
      <w:r>
        <w:t xml:space="preserve"> </w:t>
      </w:r>
      <w:r>
        <w:t xml:space="preserve">basis of manufacturer turnover, by subtracting from the manufacturer turnover for a specific policy</w:t>
      </w:r>
      <w:r>
        <w:t xml:space="preserve"> </w:t>
      </w:r>
      <w:r>
        <w:t xml:space="preserve">measure and year, the manufacturer turnover under BAU in the same year. This would imply the</w:t>
      </w:r>
      <w:r>
        <w:t xml:space="preserve"> </w:t>
      </w:r>
      <w:r>
        <w:t xml:space="preserve">assumption that local space heater market develops as a perfectly competitive market where profits</w:t>
      </w:r>
      <w:r>
        <w:t xml:space="preserve"> </w:t>
      </w:r>
      <w:r>
        <w:t xml:space="preserve">are zero. Although this is a simplification, it seems acceptable in the view of the high level of</w:t>
      </w:r>
      <w:r>
        <w:t xml:space="preserve"> </w:t>
      </w:r>
      <w:r>
        <w:t xml:space="preserve">competition in the sector (around 60 manufacturers with 96% SMEs as indicated in section 5.3) and</w:t>
      </w:r>
      <w:r>
        <w:t xml:space="preserve"> </w:t>
      </w:r>
      <w:r>
        <w:t xml:space="preserve">the low level of innovation, which tends to reduce product differentiation.</w:t>
      </w:r>
      <w:r>
        <w:t xml:space="preserve"> </w:t>
      </w:r>
      <w:r>
        <w:t xml:space="preserve">The fifth and last important limitation is that PO4c impacts have not been quantified due to the lack</w:t>
      </w:r>
      <w:r>
        <w:t xml:space="preserve"> </w:t>
      </w:r>
      <w:r>
        <w:t xml:space="preserve">of data on how the recycling process would improve as result of better information on</w:t>
      </w:r>
      <w:r>
        <w:t xml:space="preserve"> </w:t>
      </w:r>
      <w:r>
        <w:t xml:space="preserve">recoverability and recyclability. The impact of PO4c will be anyway very small, first because local</w:t>
      </w:r>
      <w:r>
        <w:t xml:space="preserve"> </w:t>
      </w:r>
      <w:r>
        <w:t xml:space="preserve">space heaters are nowadays highly recyclable, and second because embedded energy accounts only</w:t>
      </w:r>
      <w:r>
        <w:t xml:space="preserve"> </w:t>
      </w:r>
      <w:r>
        <w:t xml:space="preserve">for 0,7% of the total energy use, as pointed out above. The measure is mostly intended to improve</w:t>
      </w:r>
      <w:r>
        <w:t xml:space="preserve"> </w:t>
      </w:r>
      <w:r>
        <w:t xml:space="preserve">recoverability of electronic components, which will be increasingly present in the appliance sector</w:t>
      </w:r>
      <w:r>
        <w:t xml:space="preserve"> </w:t>
      </w:r>
      <w:r>
        <w:t xml:space="preserve">as result of technological updates to the product.</w:t>
      </w:r>
      <w:r>
        <w:t xml:space="preserve"> </w:t>
      </w:r>
      <w:r>
        <w:t xml:space="preserve">6.1.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section addresses the variation of energy consumption due to the application of the different</w:t>
      </w:r>
      <w:r>
        <w:t xml:space="preserve"> </w:t>
      </w:r>
      <w:r>
        <w:t xml:space="preserve">measures and the subsequent change in GHG and acidification emissions. Other environmental</w:t>
      </w:r>
      <w:r>
        <w:t xml:space="preserve"> </w:t>
      </w:r>
      <w:r>
        <w:t xml:space="preserve">impacts are addressed in Annex 5.</w:t>
      </w:r>
      <w:r>
        <w:t xml:space="preserve"> </w:t>
      </w:r>
      <w:r>
        <w:t xml:space="preserve">The measures in PO2 and PO3 reduce only in-use energy and not embedded energy.</w:t>
      </w:r>
      <w:r>
        <w:t xml:space="preserve"> </w:t>
      </w:r>
      <w:r>
        <w:t xml:space="preserve">PO2a, PO2b and PO2c measures result in the type of heaters addressed by the respective measures</w:t>
      </w:r>
      <w:r>
        <w:t xml:space="preserve"> </w:t>
      </w:r>
      <w:r>
        <w:t xml:space="preserve">to be included in the scope of the LSH Regulation. PO2d results in a redistribution of the existing</w:t>
      </w:r>
      <w:r>
        <w:t xml:space="preserve"> </w:t>
      </w:r>
      <w:r>
        <w:t xml:space="preserve">products that are already in the scope towards categories with higher energy efficiencies. The main</w:t>
      </w:r>
      <w:r>
        <w:t xml:space="preserve"> </w:t>
      </w:r>
      <w:r>
        <w:t xml:space="preserve">difference in terms of impacts between these four measures is due to the number of products</w:t>
      </w:r>
      <w:r>
        <w:t xml:space="preserve"> </w:t>
      </w:r>
      <w:r>
        <w:t xml:space="preserve">affected rather than the energy efficiency gained per unit of product, since the policy options are</w:t>
      </w:r>
    </w:p>
    <w:p>
      <w:pPr>
        <w:pStyle w:val="BodyText"/>
      </w:pPr>
      <w:r>
        <w:t xml:space="preserve">39 See Annex 6, Section 6.2.2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not targetting the increase of energy efficiency per unit. In this respect, PO2a is the option that</w:t>
      </w:r>
      <w:r>
        <w:t xml:space="preserve"> </w:t>
      </w:r>
      <w:r>
        <w:t xml:space="preserve">would have the biggest impact from all four, as it includes 63% of the products affected by the</w:t>
      </w:r>
      <w:r>
        <w:t xml:space="preserve"> </w:t>
      </w:r>
      <w:r>
        <w:t xml:space="preserve">measures. PO2b would include 11%, PO2c 0,02% and PO2d 0,3%.</w:t>
      </w:r>
      <w:r>
        <w:t xml:space="preserve"> </w:t>
      </w:r>
      <w:r>
        <w:t xml:space="preserve">PO3 lays down minimum values for low power modes that local space heaters would need to</w:t>
      </w:r>
      <w:r>
        <w:t xml:space="preserve"> </w:t>
      </w:r>
      <w:r>
        <w:t xml:space="preserve">comply with. PO3 applies to all electric heaters and therefore to 99% of the total sales. However, as</w:t>
      </w:r>
      <w:r>
        <w:t xml:space="preserve"> </w:t>
      </w:r>
      <w:r>
        <w:t xml:space="preserve">the consumption of low power modes is very low in comparison with active modes (0,5% of energy</w:t>
      </w:r>
      <w:r>
        <w:t xml:space="preserve"> </w:t>
      </w:r>
      <w:r>
        <w:t xml:space="preserve">efficiency increase has been considered for PO3 in comparison with the 3,75% for PO2a, PO2b and</w:t>
      </w:r>
      <w:r>
        <w:t xml:space="preserve"> </w:t>
      </w:r>
      <w:r>
        <w:t xml:space="preserve">PO2c, as indicated in section 5 of Annex 4), PO3 generates a relatively modest yearly reduction of</w:t>
      </w:r>
      <w:r>
        <w:t xml:space="preserve"> </w:t>
      </w:r>
      <w:r>
        <w:t xml:space="preserve">in-use energy consumption.</w:t>
      </w:r>
      <w:r>
        <w:t xml:space="preserve"> </w:t>
      </w:r>
      <w:r>
        <w:t xml:space="preserve">PO4a is expected to have no effect on certain types of heaters that are either too cheap to be</w:t>
      </w:r>
      <w:r>
        <w:t xml:space="preserve"> </w:t>
      </w:r>
      <w:r>
        <w:t xml:space="preserve">repaired such as portable heaters, or would only be retired for a major cause such as a house</w:t>
      </w:r>
      <w:r>
        <w:t xml:space="preserve"> </w:t>
      </w:r>
      <w:r>
        <w:t xml:space="preserve">renovation, like for instance electric underfloor heaters or open to chimney gas heaters. For other</w:t>
      </w:r>
      <w:r>
        <w:t xml:space="preserve"> </w:t>
      </w:r>
      <w:r>
        <w:t xml:space="preserve">product subgroups, the availability of spare parts is expected to moderately extend the lifetime by</w:t>
      </w:r>
      <w:r>
        <w:t xml:space="preserve"> </w:t>
      </w:r>
      <w:r>
        <w:t xml:space="preserve">5%. This will result in a small reduction of sales and production, and therefore in the embedded</w:t>
      </w:r>
      <w:r>
        <w:t xml:space="preserve"> </w:t>
      </w:r>
      <w:r>
        <w:t xml:space="preserve">energy needed to produce the heaters. Because the benefits of spare parts availability are only</w:t>
      </w:r>
      <w:r>
        <w:t xml:space="preserve"> </w:t>
      </w:r>
      <w:r>
        <w:t xml:space="preserve">realised in the long-term, when old devices need to be replaced by new ones, the abovementioned</w:t>
      </w:r>
      <w:r>
        <w:t xml:space="preserve"> </w:t>
      </w:r>
      <w:r>
        <w:t xml:space="preserve">reductions only occur from 2040 onwards.</w:t>
      </w:r>
      <w:r>
        <w:br/>
      </w:r>
      <w:r>
        <w:t xml:space="preserve">Finally, PO4b decreases both in-use and embedded energy consumption. This is because</w:t>
      </w:r>
      <w:r>
        <w:t xml:space="preserve"> </w:t>
      </w:r>
      <w:r>
        <w:t xml:space="preserve">modularity reduces in-use energy by fitting better performing controllers and also reduces</w:t>
      </w:r>
      <w:r>
        <w:t xml:space="preserve"> </w:t>
      </w:r>
      <w:r>
        <w:t xml:space="preserve">embedded energy by extending the lifetime of the products.</w:t>
      </w:r>
      <w:r>
        <w:br/>
      </w:r>
      <w:r>
        <w:t xml:space="preserve">Tables 6-1 and 6-2 show the main environmental impacts for all the measures.</w:t>
      </w:r>
    </w:p>
    <w:p>
      <w:pPr>
        <w:pStyle w:val="BodyText"/>
      </w:pPr>
      <w:r>
        <w:t xml:space="preserve">In-use energy savings vs BAU40</w:t>
      </w:r>
      <w:r>
        <w:t xml:space="preserve"> </w:t>
      </w:r>
      <w:r>
        <w:t xml:space="preserve">Primary energy savings vs BAU</w:t>
      </w:r>
      <w:r>
        <w:t xml:space="preserve"> </w:t>
      </w:r>
      <w:r>
        <w:t xml:space="preserve">Yearly savings (Twh/year)</w:t>
      </w:r>
      <w:r>
        <w:t xml:space="preserve"> </w:t>
      </w:r>
      <w:r>
        <w:t xml:space="preserve">Cumulative savings (Twh)</w:t>
      </w:r>
      <w:r>
        <w:t xml:space="preserve"> </w:t>
      </w:r>
      <w:r>
        <w:t xml:space="preserve">Yearly savings (Mtoe/year)</w:t>
      </w:r>
      <w:r>
        <w:t xml:space="preserve"> </w:t>
      </w:r>
      <w:r>
        <w:t xml:space="preserve">Cumulative savings (Mtoe)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PO2a</w:t>
      </w:r>
      <w:r>
        <w:t xml:space="preserve"> </w:t>
      </w:r>
      <w:r>
        <w:t xml:space="preserve">1,99</w:t>
      </w:r>
      <w:r>
        <w:t xml:space="preserve"> </w:t>
      </w:r>
      <w:r>
        <w:t xml:space="preserve">4,09</w:t>
      </w:r>
      <w:r>
        <w:t xml:space="preserve"> </w:t>
      </w:r>
      <w:r>
        <w:t xml:space="preserve">4,69</w:t>
      </w:r>
      <w:r>
        <w:t xml:space="preserve"> </w:t>
      </w:r>
      <w:r>
        <w:t xml:space="preserve">7,94</w:t>
      </w:r>
      <w:r>
        <w:t xml:space="preserve"> </w:t>
      </w:r>
      <w:r>
        <w:t xml:space="preserve">40,63</w:t>
      </w:r>
      <w:r>
        <w:t xml:space="preserve"> </w:t>
      </w:r>
      <w:r>
        <w:t xml:space="preserve">85,25</w:t>
      </w:r>
      <w:r>
        <w:t xml:space="preserve"> </w:t>
      </w:r>
      <w:r>
        <w:t xml:space="preserve">0,359</w:t>
      </w:r>
      <w:r>
        <w:t xml:space="preserve"> </w:t>
      </w:r>
      <w:r>
        <w:t xml:space="preserve">0,739</w:t>
      </w:r>
      <w:r>
        <w:t xml:space="preserve"> </w:t>
      </w:r>
      <w:r>
        <w:t xml:space="preserve">0,847</w:t>
      </w:r>
      <w:r>
        <w:t xml:space="preserve"> </w:t>
      </w:r>
      <w:r>
        <w:t xml:space="preserve">1,434</w:t>
      </w:r>
      <w:r>
        <w:t xml:space="preserve"> </w:t>
      </w:r>
      <w:r>
        <w:t xml:space="preserve">7,337</w:t>
      </w:r>
      <w:r>
        <w:t xml:space="preserve"> </w:t>
      </w:r>
      <w:r>
        <w:t xml:space="preserve">15,393</w:t>
      </w:r>
      <w:r>
        <w:t xml:space="preserve"> </w:t>
      </w:r>
      <w:r>
        <w:t xml:space="preserve">PO2b</w:t>
      </w:r>
      <w:r>
        <w:t xml:space="preserve"> </w:t>
      </w:r>
      <w:r>
        <w:t xml:space="preserve">0,48</w:t>
      </w:r>
      <w:r>
        <w:t xml:space="preserve"> </w:t>
      </w:r>
      <w:r>
        <w:t xml:space="preserve">0,93</w:t>
      </w:r>
      <w:r>
        <w:t xml:space="preserve"> </w:t>
      </w:r>
      <w:r>
        <w:t xml:space="preserve">0,88</w:t>
      </w:r>
      <w:r>
        <w:t xml:space="preserve"> </w:t>
      </w:r>
      <w:r>
        <w:t xml:space="preserve">1,89</w:t>
      </w:r>
      <w:r>
        <w:t xml:space="preserve"> </w:t>
      </w:r>
      <w:r>
        <w:t xml:space="preserve">9,53</w:t>
      </w:r>
      <w:r>
        <w:t xml:space="preserve"> </w:t>
      </w:r>
      <w:r>
        <w:t xml:space="preserve">18,65</w:t>
      </w:r>
      <w:r>
        <w:t xml:space="preserve"> </w:t>
      </w:r>
      <w:r>
        <w:t xml:space="preserve">0,086</w:t>
      </w:r>
      <w:r>
        <w:t xml:space="preserve"> </w:t>
      </w:r>
      <w:r>
        <w:t xml:space="preserve">0,167</w:t>
      </w:r>
      <w:r>
        <w:t xml:space="preserve"> </w:t>
      </w:r>
      <w:r>
        <w:t xml:space="preserve">0,159</w:t>
      </w:r>
      <w:r>
        <w:t xml:space="preserve"> </w:t>
      </w:r>
      <w:r>
        <w:t xml:space="preserve">0,341</w:t>
      </w:r>
      <w:r>
        <w:t xml:space="preserve"> </w:t>
      </w:r>
      <w:r>
        <w:t xml:space="preserve">1,721</w:t>
      </w:r>
      <w:r>
        <w:t xml:space="preserve"> </w:t>
      </w:r>
      <w:r>
        <w:t xml:space="preserve">3,367</w:t>
      </w:r>
      <w:r>
        <w:t xml:space="preserve"> </w:t>
      </w:r>
      <w:r>
        <w:t xml:space="preserve">PO2c</w:t>
      </w:r>
      <w:r>
        <w:t xml:space="preserve"> </w:t>
      </w:r>
      <w:r>
        <w:t xml:space="preserve">0,03</w:t>
      </w:r>
      <w:r>
        <w:t xml:space="preserve"> </w:t>
      </w:r>
      <w:r>
        <w:t xml:space="preserve">0,06</w:t>
      </w:r>
      <w:r>
        <w:t xml:space="preserve"> </w:t>
      </w:r>
      <w:r>
        <w:t xml:space="preserve">0,07</w:t>
      </w:r>
      <w:r>
        <w:t xml:space="preserve"> </w:t>
      </w:r>
      <w:r>
        <w:t xml:space="preserve">0,11</w:t>
      </w:r>
      <w:r>
        <w:t xml:space="preserve"> </w:t>
      </w:r>
      <w:r>
        <w:t xml:space="preserve">0,59</w:t>
      </w:r>
      <w:r>
        <w:t xml:space="preserve"> </w:t>
      </w:r>
      <w:r>
        <w:t xml:space="preserve">1,29</w:t>
      </w:r>
      <w:r>
        <w:t xml:space="preserve"> </w:t>
      </w:r>
      <w:r>
        <w:t xml:space="preserve">0,002</w:t>
      </w:r>
      <w:r>
        <w:t xml:space="preserve"> </w:t>
      </w:r>
      <w:r>
        <w:t xml:space="preserve">0,005</w:t>
      </w:r>
      <w:r>
        <w:t xml:space="preserve"> </w:t>
      </w:r>
      <w:r>
        <w:t xml:space="preserve">0,006</w:t>
      </w:r>
      <w:r>
        <w:t xml:space="preserve"> </w:t>
      </w:r>
      <w:r>
        <w:t xml:space="preserve">0,010</w:t>
      </w:r>
      <w:r>
        <w:t xml:space="preserve"> </w:t>
      </w:r>
      <w:r>
        <w:t xml:space="preserve">0,051</w:t>
      </w:r>
      <w:r>
        <w:t xml:space="preserve"> </w:t>
      </w:r>
      <w:r>
        <w:t xml:space="preserve">0,111</w:t>
      </w:r>
      <w:r>
        <w:t xml:space="preserve"> </w:t>
      </w:r>
      <w:r>
        <w:t xml:space="preserve">PO2d</w:t>
      </w:r>
      <w:r>
        <w:t xml:space="preserve"> </w:t>
      </w:r>
      <w:r>
        <w:t xml:space="preserve">0,06</w:t>
      </w:r>
      <w:r>
        <w:t xml:space="preserve"> </w:t>
      </w:r>
      <w:r>
        <w:t xml:space="preserve">0,12</w:t>
      </w:r>
      <w:r>
        <w:t xml:space="preserve"> </w:t>
      </w:r>
      <w:r>
        <w:t xml:space="preserve">0,14</w:t>
      </w:r>
      <w:r>
        <w:t xml:space="preserve"> </w:t>
      </w:r>
      <w:r>
        <w:t xml:space="preserve">0,22</w:t>
      </w:r>
      <w:r>
        <w:t xml:space="preserve"> </w:t>
      </w:r>
      <w:r>
        <w:t xml:space="preserve">1,17</w:t>
      </w:r>
      <w:r>
        <w:t xml:space="preserve"> </w:t>
      </w:r>
      <w:r>
        <w:t xml:space="preserve">2,56</w:t>
      </w:r>
      <w:r>
        <w:t xml:space="preserve"> </w:t>
      </w:r>
      <w:r>
        <w:t xml:space="preserve">0,005</w:t>
      </w:r>
      <w:r>
        <w:t xml:space="preserve"> </w:t>
      </w:r>
      <w:r>
        <w:t xml:space="preserve">0,011</w:t>
      </w:r>
      <w:r>
        <w:t xml:space="preserve"> </w:t>
      </w:r>
      <w:r>
        <w:t xml:space="preserve">0,012</w:t>
      </w:r>
      <w:r>
        <w:t xml:space="preserve"> </w:t>
      </w:r>
      <w:r>
        <w:t xml:space="preserve">0,019</w:t>
      </w:r>
      <w:r>
        <w:t xml:space="preserve"> </w:t>
      </w:r>
      <w:r>
        <w:t xml:space="preserve">0,101</w:t>
      </w:r>
      <w:r>
        <w:t xml:space="preserve"> </w:t>
      </w:r>
      <w:r>
        <w:t xml:space="preserve">0,220</w:t>
      </w:r>
      <w:r>
        <w:t xml:space="preserve"> </w:t>
      </w:r>
      <w:r>
        <w:t xml:space="preserve">PO3</w:t>
      </w:r>
      <w:r>
        <w:t xml:space="preserve"> </w:t>
      </w:r>
      <w:r>
        <w:t xml:space="preserve">0,19</w:t>
      </w:r>
      <w:r>
        <w:t xml:space="preserve"> </w:t>
      </w:r>
      <w:r>
        <w:t xml:space="preserve">0,33</w:t>
      </w:r>
      <w:r>
        <w:t xml:space="preserve"> </w:t>
      </w:r>
      <w:r>
        <w:t xml:space="preserve">0,32</w:t>
      </w:r>
      <w:r>
        <w:t xml:space="preserve"> </w:t>
      </w:r>
      <w:r>
        <w:t xml:space="preserve">0,81</w:t>
      </w:r>
      <w:r>
        <w:t xml:space="preserve"> </w:t>
      </w:r>
      <w:r>
        <w:t xml:space="preserve">3,62</w:t>
      </w:r>
      <w:r>
        <w:t xml:space="preserve"> </w:t>
      </w:r>
      <w:r>
        <w:t xml:space="preserve">6,89</w:t>
      </w:r>
      <w:r>
        <w:t xml:space="preserve"> </w:t>
      </w:r>
      <w:r>
        <w:t xml:space="preserve">0,035</w:t>
      </w:r>
      <w:r>
        <w:t xml:space="preserve"> </w:t>
      </w:r>
      <w:r>
        <w:t xml:space="preserve">0,059</w:t>
      </w:r>
      <w:r>
        <w:t xml:space="preserve"> </w:t>
      </w:r>
      <w:r>
        <w:t xml:space="preserve">0,058</w:t>
      </w:r>
      <w:r>
        <w:t xml:space="preserve"> </w:t>
      </w:r>
      <w:r>
        <w:t xml:space="preserve">0,147</w:t>
      </w:r>
      <w:r>
        <w:t xml:space="preserve"> </w:t>
      </w:r>
      <w:r>
        <w:t xml:space="preserve">0,654</w:t>
      </w:r>
      <w:r>
        <w:t xml:space="preserve"> </w:t>
      </w:r>
      <w:r>
        <w:t xml:space="preserve">1,244</w:t>
      </w:r>
      <w:r>
        <w:t xml:space="preserve"> </w:t>
      </w:r>
      <w:r>
        <w:t xml:space="preserve">PO4a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0,000</w:t>
      </w:r>
      <w:r>
        <w:t xml:space="preserve"> </w:t>
      </w:r>
      <w:r>
        <w:t xml:space="preserve">0,005</w:t>
      </w:r>
      <w:r>
        <w:t xml:space="preserve"> </w:t>
      </w:r>
      <w:r>
        <w:t xml:space="preserve">0,005</w:t>
      </w:r>
      <w:r>
        <w:t xml:space="preserve"> </w:t>
      </w:r>
      <w:r>
        <w:t xml:space="preserve">0,000</w:t>
      </w:r>
      <w:r>
        <w:t xml:space="preserve"> </w:t>
      </w:r>
      <w:r>
        <w:t xml:space="preserve">0,005</w:t>
      </w:r>
      <w:r>
        <w:t xml:space="preserve"> </w:t>
      </w:r>
      <w:r>
        <w:t xml:space="preserve">0,052</w:t>
      </w:r>
      <w:r>
        <w:t xml:space="preserve"> </w:t>
      </w:r>
      <w:r>
        <w:t xml:space="preserve">PO4b</w:t>
      </w:r>
      <w:r>
        <w:t xml:space="preserve"> </w:t>
      </w:r>
      <w:r>
        <w:t xml:space="preserve">0,02</w:t>
      </w:r>
      <w:r>
        <w:t xml:space="preserve"> </w:t>
      </w:r>
      <w:r>
        <w:t xml:space="preserve">0,03</w:t>
      </w:r>
      <w:r>
        <w:t xml:space="preserve"> </w:t>
      </w:r>
      <w:r>
        <w:t xml:space="preserve">0,03</w:t>
      </w:r>
      <w:r>
        <w:t xml:space="preserve"> </w:t>
      </w:r>
      <w:r>
        <w:t xml:space="preserve">0,07</w:t>
      </w:r>
      <w:r>
        <w:t xml:space="preserve"> </w:t>
      </w:r>
      <w:r>
        <w:t xml:space="preserve">0,36</w:t>
      </w:r>
      <w:r>
        <w:t xml:space="preserve"> </w:t>
      </w:r>
      <w:r>
        <w:t xml:space="preserve">0,71</w:t>
      </w:r>
      <w:r>
        <w:t xml:space="preserve"> </w:t>
      </w:r>
      <w:r>
        <w:t xml:space="preserve">0,003</w:t>
      </w:r>
      <w:r>
        <w:t xml:space="preserve"> </w:t>
      </w:r>
      <w:r>
        <w:t xml:space="preserve">0,008</w:t>
      </w:r>
      <w:r>
        <w:t xml:space="preserve"> </w:t>
      </w:r>
      <w:r>
        <w:t xml:space="preserve">0,008</w:t>
      </w:r>
      <w:r>
        <w:t xml:space="preserve"> </w:t>
      </w:r>
      <w:r>
        <w:t xml:space="preserve">0,013</w:t>
      </w:r>
      <w:r>
        <w:t xml:space="preserve"> </w:t>
      </w:r>
      <w:r>
        <w:t xml:space="preserve">0,072</w:t>
      </w:r>
      <w:r>
        <w:t xml:space="preserve"> </w:t>
      </w:r>
      <w:r>
        <w:t xml:space="preserve">0,150</w:t>
      </w:r>
      <w:r>
        <w:t xml:space="preserve"> </w:t>
      </w:r>
      <w:r>
        <w:t xml:space="preserve">Table 6-1. Energy savings for each measure</w:t>
      </w:r>
    </w:p>
    <w:p>
      <w:pPr>
        <w:pStyle w:val="BodyText"/>
      </w:pPr>
      <w:r>
        <w:t xml:space="preserve">Greenhouse gas emissions (embedded + in-use)</w:t>
      </w:r>
      <w:r>
        <w:t xml:space="preserve"> </w:t>
      </w:r>
      <w:r>
        <w:t xml:space="preserve">Acidification</w:t>
      </w:r>
      <w:r>
        <w:t xml:space="preserve"> </w:t>
      </w:r>
      <w:r>
        <w:t xml:space="preserve">Yearly savings</w:t>
      </w:r>
      <w:r>
        <w:t xml:space="preserve"> </w:t>
      </w:r>
      <w:r>
        <w:t xml:space="preserve">(MtCO2eq/year)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(MtCO2eq)</w:t>
      </w:r>
      <w:r>
        <w:t xml:space="preserve"> </w:t>
      </w:r>
      <w:r>
        <w:t xml:space="preserve">Yearly savings</w:t>
      </w:r>
      <w:r>
        <w:t xml:space="preserve"> </w:t>
      </w:r>
      <w:r>
        <w:t xml:space="preserve">(tSO2eq/year)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(tSO2eq)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PO2a</w:t>
      </w:r>
      <w:r>
        <w:t xml:space="preserve"> </w:t>
      </w:r>
      <w:r>
        <w:t xml:space="preserve">0,284</w:t>
      </w:r>
      <w:r>
        <w:t xml:space="preserve"> </w:t>
      </w:r>
      <w:r>
        <w:t xml:space="preserve">0,308</w:t>
      </w:r>
      <w:r>
        <w:t xml:space="preserve"> </w:t>
      </w:r>
      <w:r>
        <w:t xml:space="preserve">0,286</w:t>
      </w:r>
      <w:r>
        <w:t xml:space="preserve"> </w:t>
      </w:r>
      <w:r>
        <w:t xml:space="preserve">1,245</w:t>
      </w:r>
      <w:r>
        <w:t xml:space="preserve"> </w:t>
      </w:r>
      <w:r>
        <w:t xml:space="preserve">4,583</w:t>
      </w:r>
      <w:r>
        <w:t xml:space="preserve"> </w:t>
      </w:r>
      <w:r>
        <w:t xml:space="preserve">7,528</w:t>
      </w:r>
      <w:r>
        <w:t xml:space="preserve"> </w:t>
      </w:r>
      <w:r>
        <w:t xml:space="preserve">1.255</w:t>
      </w:r>
      <w:r>
        <w:t xml:space="preserve"> </w:t>
      </w:r>
      <w:r>
        <w:t xml:space="preserve">1.365</w:t>
      </w:r>
      <w:r>
        <w:t xml:space="preserve"> </w:t>
      </w:r>
      <w:r>
        <w:t xml:space="preserve">1.267</w:t>
      </w:r>
      <w:r>
        <w:t xml:space="preserve"> </w:t>
      </w:r>
      <w:r>
        <w:t xml:space="preserve">5.512</w:t>
      </w:r>
      <w:r>
        <w:t xml:space="preserve"> </w:t>
      </w:r>
      <w:r>
        <w:t xml:space="preserve">20.284</w:t>
      </w:r>
      <w:r>
        <w:t xml:space="preserve"> </w:t>
      </w:r>
      <w:r>
        <w:t xml:space="preserve">33.318</w:t>
      </w:r>
      <w:r>
        <w:t xml:space="preserve"> </w:t>
      </w:r>
      <w:r>
        <w:t xml:space="preserve">PO2b</w:t>
      </w:r>
      <w:r>
        <w:t xml:space="preserve"> </w:t>
      </w:r>
      <w:r>
        <w:t xml:space="preserve">0,068</w:t>
      </w:r>
      <w:r>
        <w:t xml:space="preserve"> </w:t>
      </w:r>
      <w:r>
        <w:t xml:space="preserve">0,070</w:t>
      </w:r>
      <w:r>
        <w:t xml:space="preserve"> </w:t>
      </w:r>
      <w:r>
        <w:t xml:space="preserve">0,054</w:t>
      </w:r>
      <w:r>
        <w:t xml:space="preserve"> </w:t>
      </w:r>
      <w:r>
        <w:t xml:space="preserve">0,295</w:t>
      </w:r>
      <w:r>
        <w:t xml:space="preserve"> </w:t>
      </w:r>
      <w:r>
        <w:t xml:space="preserve">1,078</w:t>
      </w:r>
      <w:r>
        <w:t xml:space="preserve"> </w:t>
      </w:r>
      <w:r>
        <w:t xml:space="preserve">1,682</w:t>
      </w:r>
      <w:r>
        <w:t xml:space="preserve"> </w:t>
      </w:r>
      <w:r>
        <w:t xml:space="preserve">300</w:t>
      </w:r>
      <w:r>
        <w:t xml:space="preserve"> </w:t>
      </w:r>
      <w:r>
        <w:t xml:space="preserve">309</w:t>
      </w:r>
      <w:r>
        <w:t xml:space="preserve"> </w:t>
      </w:r>
      <w:r>
        <w:t xml:space="preserve">238</w:t>
      </w:r>
      <w:r>
        <w:t xml:space="preserve"> </w:t>
      </w:r>
      <w:r>
        <w:t xml:space="preserve">1.306</w:t>
      </w:r>
      <w:r>
        <w:t xml:space="preserve"> </w:t>
      </w:r>
      <w:r>
        <w:t xml:space="preserve">4.769</w:t>
      </w:r>
      <w:r>
        <w:t xml:space="preserve"> </w:t>
      </w:r>
      <w:r>
        <w:t xml:space="preserve">7.445</w:t>
      </w:r>
      <w:r>
        <w:t xml:space="preserve"> </w:t>
      </w:r>
      <w:r>
        <w:t xml:space="preserve">PO2c</w:t>
      </w:r>
      <w:r>
        <w:t xml:space="preserve"> </w:t>
      </w:r>
      <w:r>
        <w:t xml:space="preserve">0,006</w:t>
      </w:r>
      <w:r>
        <w:t xml:space="preserve"> </w:t>
      </w:r>
      <w:r>
        <w:t xml:space="preserve">0,012</w:t>
      </w:r>
      <w:r>
        <w:t xml:space="preserve"> </w:t>
      </w:r>
      <w:r>
        <w:t xml:space="preserve">0,014</w:t>
      </w:r>
      <w:r>
        <w:t xml:space="preserve"> </w:t>
      </w:r>
      <w:r>
        <w:t xml:space="preserve">0,022</w:t>
      </w:r>
      <w:r>
        <w:t xml:space="preserve"> </w:t>
      </w:r>
      <w:r>
        <w:t xml:space="preserve">0,117</w:t>
      </w:r>
      <w:r>
        <w:t xml:space="preserve"> </w:t>
      </w:r>
      <w:r>
        <w:t xml:space="preserve">0,254</w:t>
      </w:r>
      <w:r>
        <w:t xml:space="preserve"> </w:t>
      </w:r>
      <w:r>
        <w:t xml:space="preserve">25</w:t>
      </w:r>
      <w:r>
        <w:t xml:space="preserve"> </w:t>
      </w:r>
      <w:r>
        <w:t xml:space="preserve">54</w:t>
      </w:r>
      <w:r>
        <w:t xml:space="preserve"> </w:t>
      </w:r>
      <w:r>
        <w:t xml:space="preserve">62</w:t>
      </w:r>
      <w:r>
        <w:t xml:space="preserve"> </w:t>
      </w:r>
      <w:r>
        <w:t xml:space="preserve">98</w:t>
      </w:r>
      <w:r>
        <w:t xml:space="preserve"> </w:t>
      </w:r>
      <w:r>
        <w:t xml:space="preserve">517</w:t>
      </w:r>
      <w:r>
        <w:t xml:space="preserve"> </w:t>
      </w:r>
      <w:r>
        <w:t xml:space="preserve">1.126</w:t>
      </w:r>
      <w:r>
        <w:t xml:space="preserve"> </w:t>
      </w:r>
      <w:r>
        <w:t xml:space="preserve">PO2d</w:t>
      </w:r>
      <w:r>
        <w:t xml:space="preserve"> </w:t>
      </w:r>
      <w:r>
        <w:t xml:space="preserve">0,012</w:t>
      </w:r>
      <w:r>
        <w:t xml:space="preserve"> </w:t>
      </w:r>
      <w:r>
        <w:t xml:space="preserve">0,025</w:t>
      </w:r>
      <w:r>
        <w:t xml:space="preserve"> </w:t>
      </w:r>
      <w:r>
        <w:t xml:space="preserve">0,029</w:t>
      </w:r>
      <w:r>
        <w:t xml:space="preserve"> </w:t>
      </w:r>
      <w:r>
        <w:t xml:space="preserve">0,046</w:t>
      </w:r>
      <w:r>
        <w:t xml:space="preserve"> </w:t>
      </w:r>
      <w:r>
        <w:t xml:space="preserve">0,240</w:t>
      </w:r>
      <w:r>
        <w:t xml:space="preserve"> </w:t>
      </w:r>
      <w:r>
        <w:t xml:space="preserve">0,523</w:t>
      </w:r>
      <w:r>
        <w:t xml:space="preserve"> </w:t>
      </w:r>
      <w:r>
        <w:t xml:space="preserve">51</w:t>
      </w:r>
      <w:r>
        <w:t xml:space="preserve"> </w:t>
      </w:r>
      <w:r>
        <w:t xml:space="preserve">112</w:t>
      </w:r>
      <w:r>
        <w:t xml:space="preserve"> </w:t>
      </w:r>
      <w:r>
        <w:t xml:space="preserve">128</w:t>
      </w:r>
      <w:r>
        <w:t xml:space="preserve"> </w:t>
      </w:r>
      <w:r>
        <w:t xml:space="preserve">202</w:t>
      </w:r>
      <w:r>
        <w:t xml:space="preserve"> </w:t>
      </w:r>
      <w:r>
        <w:t xml:space="preserve">1.062</w:t>
      </w:r>
      <w:r>
        <w:t xml:space="preserve"> </w:t>
      </w:r>
      <w:r>
        <w:t xml:space="preserve">2.314</w:t>
      </w:r>
      <w:r>
        <w:t xml:space="preserve"> </w:t>
      </w:r>
      <w:r>
        <w:t xml:space="preserve">PO3</w:t>
      </w:r>
      <w:r>
        <w:t xml:space="preserve"> </w:t>
      </w:r>
      <w:r>
        <w:t xml:space="preserve">0,027</w:t>
      </w:r>
      <w:r>
        <w:t xml:space="preserve"> </w:t>
      </w:r>
      <w:r>
        <w:t xml:space="preserve">0,025</w:t>
      </w:r>
      <w:r>
        <w:t xml:space="preserve"> </w:t>
      </w:r>
      <w:r>
        <w:t xml:space="preserve">0,020</w:t>
      </w:r>
      <w:r>
        <w:t xml:space="preserve"> </w:t>
      </w:r>
      <w:r>
        <w:t xml:space="preserve">0,128</w:t>
      </w:r>
      <w:r>
        <w:t xml:space="preserve"> </w:t>
      </w:r>
      <w:r>
        <w:t xml:space="preserve">0,418</w:t>
      </w:r>
      <w:r>
        <w:t xml:space="preserve"> </w:t>
      </w:r>
      <w:r>
        <w:t xml:space="preserve">0,634</w:t>
      </w:r>
      <w:r>
        <w:t xml:space="preserve"> </w:t>
      </w:r>
      <w:r>
        <w:t xml:space="preserve">121</w:t>
      </w:r>
      <w:r>
        <w:t xml:space="preserve"> </w:t>
      </w:r>
      <w:r>
        <w:t xml:space="preserve">109</w:t>
      </w:r>
      <w:r>
        <w:t xml:space="preserve"> </w:t>
      </w:r>
      <w:r>
        <w:t xml:space="preserve">86</w:t>
      </w:r>
      <w:r>
        <w:t xml:space="preserve"> </w:t>
      </w:r>
      <w:r>
        <w:t xml:space="preserve">567</w:t>
      </w:r>
      <w:r>
        <w:t xml:space="preserve"> </w:t>
      </w:r>
      <w:r>
        <w:t xml:space="preserve">1.850</w:t>
      </w:r>
      <w:r>
        <w:t xml:space="preserve"> </w:t>
      </w:r>
      <w:r>
        <w:t xml:space="preserve">2.807</w:t>
      </w:r>
      <w:r>
        <w:t xml:space="preserve"> </w:t>
      </w:r>
      <w:r>
        <w:t xml:space="preserve">PO4a</w:t>
      </w:r>
      <w:r>
        <w:t xml:space="preserve"> </w:t>
      </w:r>
      <w:r>
        <w:t xml:space="preserve">0,000</w:t>
      </w:r>
      <w:r>
        <w:t xml:space="preserve"> </w:t>
      </w:r>
      <w:r>
        <w:t xml:space="preserve">0,012</w:t>
      </w:r>
      <w:r>
        <w:t xml:space="preserve"> </w:t>
      </w:r>
      <w:r>
        <w:t xml:space="preserve">0,012</w:t>
      </w:r>
      <w:r>
        <w:t xml:space="preserve"> </w:t>
      </w:r>
      <w:r>
        <w:t xml:space="preserve">0,000</w:t>
      </w:r>
      <w:r>
        <w:t xml:space="preserve"> </w:t>
      </w:r>
      <w:r>
        <w:t xml:space="preserve">0,012</w:t>
      </w:r>
      <w:r>
        <w:t xml:space="preserve"> </w:t>
      </w:r>
      <w:r>
        <w:t xml:space="preserve">0,132</w:t>
      </w:r>
      <w:r>
        <w:t xml:space="preserve"> </w:t>
      </w:r>
      <w:r>
        <w:t xml:space="preserve">0</w:t>
      </w:r>
      <w:r>
        <w:t xml:space="preserve"> </w:t>
      </w:r>
      <w:r>
        <w:t xml:space="preserve">68</w:t>
      </w:r>
      <w:r>
        <w:t xml:space="preserve"> </w:t>
      </w:r>
      <w:r>
        <w:t xml:space="preserve">69</w:t>
      </w:r>
      <w:r>
        <w:t xml:space="preserve"> </w:t>
      </w:r>
      <w:r>
        <w:t xml:space="preserve">0</w:t>
      </w:r>
      <w:r>
        <w:t xml:space="preserve"> </w:t>
      </w:r>
      <w:r>
        <w:t xml:space="preserve">68</w:t>
      </w:r>
      <w:r>
        <w:t xml:space="preserve"> </w:t>
      </w:r>
      <w:r>
        <w:t xml:space="preserve">750</w:t>
      </w:r>
      <w:r>
        <w:t xml:space="preserve"> </w:t>
      </w:r>
      <w:r>
        <w:t xml:space="preserve">PO4b</w:t>
      </w:r>
      <w:r>
        <w:t xml:space="preserve"> </w:t>
      </w:r>
      <w:r>
        <w:t xml:space="preserve">0,003</w:t>
      </w:r>
      <w:r>
        <w:t xml:space="preserve"> </w:t>
      </w:r>
      <w:r>
        <w:t xml:space="preserve">0,007</w:t>
      </w:r>
      <w:r>
        <w:t xml:space="preserve"> </w:t>
      </w:r>
      <w:r>
        <w:t xml:space="preserve">0,006</w:t>
      </w:r>
      <w:r>
        <w:t xml:space="preserve"> </w:t>
      </w:r>
      <w:r>
        <w:t xml:space="preserve">0,011</w:t>
      </w:r>
      <w:r>
        <w:t xml:space="preserve"> </w:t>
      </w:r>
      <w:r>
        <w:t xml:space="preserve">0,057</w:t>
      </w:r>
      <w:r>
        <w:t xml:space="preserve"> </w:t>
      </w:r>
      <w:r>
        <w:t xml:space="preserve">0,123</w:t>
      </w:r>
      <w:r>
        <w:t xml:space="preserve"> </w:t>
      </w:r>
      <w:r>
        <w:t xml:space="preserve">12</w:t>
      </w:r>
      <w:r>
        <w:t xml:space="preserve"> </w:t>
      </w:r>
      <w:r>
        <w:t xml:space="preserve">35</w:t>
      </w:r>
      <w:r>
        <w:t xml:space="preserve"> </w:t>
      </w:r>
      <w:r>
        <w:t xml:space="preserve">33</w:t>
      </w:r>
      <w:r>
        <w:t xml:space="preserve"> </w:t>
      </w:r>
      <w:r>
        <w:t xml:space="preserve">50</w:t>
      </w:r>
      <w:r>
        <w:t xml:space="preserve"> </w:t>
      </w:r>
      <w:r>
        <w:t xml:space="preserve">269</w:t>
      </w:r>
      <w:r>
        <w:t xml:space="preserve"> </w:t>
      </w:r>
      <w:r>
        <w:t xml:space="preserve">608</w:t>
      </w:r>
      <w:r>
        <w:t xml:space="preserve"> </w:t>
      </w:r>
      <w:r>
        <w:t xml:space="preserve">Table 6-2. Savings on GHG emissions and acidification for each measure</w:t>
      </w:r>
    </w:p>
    <w:p>
      <w:pPr>
        <w:pStyle w:val="BodyText"/>
      </w:pPr>
      <w:r>
        <w:t xml:space="preserve">40 In this table, primary energy includes both in-use energy and embedded energy from production, distribution and</w:t>
      </w:r>
      <w:r>
        <w:t xml:space="preserve"> </w:t>
      </w:r>
      <w:r>
        <w:t xml:space="preserve">end-of-life phases, i.e. all life cycle phases.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6.2.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6.2.1. Business turnover</w:t>
      </w:r>
      <w:r>
        <w:t xml:space="preserve"> </w:t>
      </w:r>
      <w:r>
        <w:t xml:space="preserve">To calculate the business turnover it is assumed that the costs of adaptation of the product to the</w:t>
      </w:r>
      <w:r>
        <w:t xml:space="preserve"> </w:t>
      </w:r>
      <w:r>
        <w:t xml:space="preserve">legislation will be fully passed on to consumers as higher product prices. Business turnover is</w:t>
      </w:r>
      <w:r>
        <w:t xml:space="preserve"> </w:t>
      </w:r>
      <w:r>
        <w:t xml:space="preserve">obtained as follows: first, the 2020 prices per product subgroup estimated as explained in the</w:t>
      </w:r>
      <w:r>
        <w:t xml:space="preserve"> </w:t>
      </w:r>
      <w:r>
        <w:t xml:space="preserve">introductory part of section 6, are entered in the price-efficiency elasticity formula explained in</w:t>
      </w:r>
      <w:r>
        <w:t xml:space="preserve"> </w:t>
      </w:r>
      <w:r>
        <w:t xml:space="preserve">Annex 4, to obtain the evolution over time of the purchase cost per unit for each product subgroup.</w:t>
      </w:r>
      <w:r>
        <w:t xml:space="preserve"> </w:t>
      </w:r>
      <w:r>
        <w:t xml:space="preserve">The elasticity formula makes purchase costs dependent on the energy efficiency of each product, as</w:t>
      </w:r>
      <w:r>
        <w:t xml:space="preserve"> </w:t>
      </w:r>
      <w:r>
        <w:t xml:space="preserve">higher efficiencies will enable higher prices. The unitary price per year and product subgroup is</w:t>
      </w:r>
      <w:r>
        <w:t xml:space="preserve"> </w:t>
      </w:r>
      <w:r>
        <w:t xml:space="preserve">then multiplied by the expected sales each year to get a total purchase cost per year and per product</w:t>
      </w:r>
      <w:r>
        <w:t xml:space="preserve"> </w:t>
      </w:r>
      <w:r>
        <w:t xml:space="preserve">subgroup. Then the purchase costs for all subgroups are added in order to obtain a total purchase</w:t>
      </w:r>
      <w:r>
        <w:t xml:space="preserve"> </w:t>
      </w:r>
      <w:r>
        <w:t xml:space="preserve">cost, which will be the turnover for the respective year. The last step is to multiply the turnover by a</w:t>
      </w:r>
      <w:r>
        <w:t xml:space="preserve"> </w:t>
      </w:r>
      <w:r>
        <w:t xml:space="preserve">mark-up factor depending on whether the turnover corresponds to the manufacturer, the wholesale</w:t>
      </w:r>
      <w:r>
        <w:t xml:space="preserve"> </w:t>
      </w:r>
      <w:r>
        <w:t xml:space="preserve">agent or the retailer. Mark-up factors are given in section 4.4 of Annex 4.</w:t>
      </w:r>
      <w:r>
        <w:br/>
      </w:r>
      <w:r>
        <w:t xml:space="preserve">Applying this methodology results in the turnover for the different measures displayed in table 6-3.</w:t>
      </w:r>
      <w:r>
        <w:t xml:space="preserve"> </w:t>
      </w:r>
      <w:r>
        <w:t xml:space="preserve">PO2 and PO3 increase turnover in the short term due to in-use energy efficiency improvements</w:t>
      </w:r>
      <w:r>
        <w:t xml:space="preserve"> </w:t>
      </w:r>
      <w:r>
        <w:t xml:space="preserve">being realised as from the date of application of the LSH Regulation. This increase of turnover is</w:t>
      </w:r>
      <w:r>
        <w:t xml:space="preserve"> </w:t>
      </w:r>
      <w:r>
        <w:t xml:space="preserve">one-off, because it is due to the new products that enter the scope of the legislation by its date of</w:t>
      </w:r>
      <w:r>
        <w:t xml:space="preserve"> </w:t>
      </w:r>
      <w:r>
        <w:t xml:space="preserve">application, and levels off afterwards because sales remain steady. PO4a in turn does not have any</w:t>
      </w:r>
      <w:r>
        <w:t xml:space="preserve"> </w:t>
      </w:r>
      <w:r>
        <w:t xml:space="preserve">effect in the short term but it decreases turnover in the long term, as old products are being updated</w:t>
      </w:r>
      <w:r>
        <w:t xml:space="preserve"> </w:t>
      </w:r>
      <w:r>
        <w:t xml:space="preserve">or repaired. This impact is to some extent compensated by an increase in repair activities. PO4b</w:t>
      </w:r>
      <w:r>
        <w:t xml:space="preserve"> </w:t>
      </w:r>
      <w:r>
        <w:t xml:space="preserve">presents a hybrid behaviour, since the turnover increases in the short term due to the need to adapt</w:t>
      </w:r>
      <w:r>
        <w:t xml:space="preserve"> </w:t>
      </w:r>
      <w:r>
        <w:t xml:space="preserve">the products design to modularity requirements, but it decreases in the long term because the fitting</w:t>
      </w:r>
      <w:r>
        <w:t xml:space="preserve"> </w:t>
      </w:r>
      <w:r>
        <w:t xml:space="preserve">of upgraded of controllers extends the lifetime of the equipment.</w:t>
      </w:r>
      <w:r>
        <w:t xml:space="preserve"> </w:t>
      </w:r>
      <w:r>
        <w:t xml:space="preserve">Quantitatively, the substantial adaptations of the product required by PO4b produce a very large</w:t>
      </w:r>
      <w:r>
        <w:t xml:space="preserve"> </w:t>
      </w:r>
      <w:r>
        <w:t xml:space="preserve">increase in turnover, but will also result in much higher user expenses as addressed in the following</w:t>
      </w:r>
      <w:r>
        <w:t xml:space="preserve"> </w:t>
      </w:r>
      <w:r>
        <w:t xml:space="preserve">section. The change in turnover due to PO2a is also large, because of the number of units affected</w:t>
      </w:r>
      <w:r>
        <w:t xml:space="preserve"> </w:t>
      </w:r>
      <w:r>
        <w:t xml:space="preserve">and the cost of fitting better controllers. The rest of the options present less significant changes.</w:t>
      </w:r>
    </w:p>
    <w:p>
      <w:pPr>
        <w:pStyle w:val="BodyText"/>
      </w:pPr>
      <w:r>
        <w:t xml:space="preserve">Turnover (M€)</w:t>
      </w:r>
      <w:r>
        <w:t xml:space="preserve"> </w:t>
      </w:r>
      <w:r>
        <w:t xml:space="preserve">Manufacturer</w:t>
      </w:r>
      <w:r>
        <w:t xml:space="preserve"> </w:t>
      </w:r>
      <w:r>
        <w:t xml:space="preserve">Wholesale</w:t>
      </w:r>
      <w:r>
        <w:t xml:space="preserve"> </w:t>
      </w:r>
      <w:r>
        <w:t xml:space="preserve">Retail/Repair &amp;</w:t>
      </w:r>
      <w:r>
        <w:t xml:space="preserve"> </w:t>
      </w:r>
      <w:r>
        <w:t xml:space="preserve">Main.</w:t>
      </w:r>
      <w:r>
        <w:t xml:space="preserve"> </w:t>
      </w:r>
      <w:r>
        <w:t xml:space="preserve">Total</w:t>
      </w:r>
      <w:r>
        <w:t xml:space="preserve"> </w:t>
      </w:r>
      <w:r>
        <w:t xml:space="preserve">Change</w:t>
      </w:r>
      <w:r>
        <w:t xml:space="preserve"> </w:t>
      </w:r>
      <w:r>
        <w:t xml:space="preserve">vs (BAU)</w:t>
      </w:r>
      <w:r>
        <w:t xml:space="preserve"> </w:t>
      </w:r>
      <w:r>
        <w:t xml:space="preserve">Change vs</w:t>
      </w:r>
      <w:r>
        <w:t xml:space="preserve"> </w:t>
      </w:r>
      <w:r>
        <w:t xml:space="preserve">(BAU)</w:t>
      </w:r>
      <w:r>
        <w:br/>
      </w:r>
      <w:r>
        <w:t xml:space="preserve">2020</w:t>
      </w:r>
      <w:r>
        <w:br/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2020</w:t>
      </w:r>
      <w:r>
        <w:br/>
      </w:r>
      <w:r>
        <w:t xml:space="preserve">2030</w:t>
      </w:r>
      <w:r>
        <w:t xml:space="preserve"> </w:t>
      </w:r>
      <w:r>
        <w:t xml:space="preserve">2050 2020 2030 2050</w:t>
      </w:r>
      <w:r>
        <w:t xml:space="preserve"> </w:t>
      </w:r>
      <w:r>
        <w:t xml:space="preserve">2020 2030 2050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PO2a</w:t>
      </w:r>
      <w:r>
        <w:t xml:space="preserve"> </w:t>
      </w:r>
      <w:r>
        <w:t xml:space="preserve">1.043 1.106</w:t>
      </w:r>
      <w:r>
        <w:t xml:space="preserve"> </w:t>
      </w:r>
      <w:r>
        <w:t xml:space="preserve">1.106</w:t>
      </w:r>
      <w:r>
        <w:t xml:space="preserve"> </w:t>
      </w:r>
      <w:r>
        <w:t xml:space="preserve">1.999</w:t>
      </w:r>
      <w:r>
        <w:t xml:space="preserve"> </w:t>
      </w:r>
      <w:r>
        <w:t xml:space="preserve">2.119</w:t>
      </w:r>
      <w:r>
        <w:t xml:space="preserve"> </w:t>
      </w:r>
      <w:r>
        <w:t xml:space="preserve">2.119 2.299 2.437 2.437</w:t>
      </w:r>
      <w:r>
        <w:t xml:space="preserve"> </w:t>
      </w:r>
      <w:r>
        <w:t xml:space="preserve">5.340 5.662 5.662</w:t>
      </w:r>
      <w:r>
        <w:t xml:space="preserve"> </w:t>
      </w:r>
      <w:r>
        <w:t xml:space="preserve">280</w:t>
      </w:r>
      <w:r>
        <w:t xml:space="preserve"> </w:t>
      </w:r>
      <w:r>
        <w:t xml:space="preserve">280</w:t>
      </w:r>
      <w:r>
        <w:t xml:space="preserve"> </w:t>
      </w:r>
      <w:r>
        <w:t xml:space="preserve">PO2b</w:t>
      </w:r>
      <w:r>
        <w:t xml:space="preserve"> </w:t>
      </w:r>
      <w:r>
        <w:t xml:space="preserve">1.043 1.066</w:t>
      </w:r>
      <w:r>
        <w:t xml:space="preserve"> </w:t>
      </w:r>
      <w:r>
        <w:t xml:space="preserve">1.066</w:t>
      </w:r>
      <w:r>
        <w:t xml:space="preserve"> </w:t>
      </w:r>
      <w:r>
        <w:t xml:space="preserve">1.999</w:t>
      </w:r>
      <w:r>
        <w:t xml:space="preserve"> </w:t>
      </w:r>
      <w:r>
        <w:t xml:space="preserve">2.043</w:t>
      </w:r>
      <w:r>
        <w:t xml:space="preserve"> </w:t>
      </w:r>
      <w:r>
        <w:t xml:space="preserve">2.043 2.299 2.349 2.349</w:t>
      </w:r>
      <w:r>
        <w:t xml:space="preserve"> </w:t>
      </w:r>
      <w:r>
        <w:t xml:space="preserve">5.340 5.458 5.458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PO2c</w:t>
      </w:r>
      <w:r>
        <w:t xml:space="preserve"> </w:t>
      </w:r>
      <w:r>
        <w:t xml:space="preserve">1.043 1.051</w:t>
      </w:r>
      <w:r>
        <w:t xml:space="preserve"> </w:t>
      </w:r>
      <w:r>
        <w:t xml:space="preserve">1.051</w:t>
      </w:r>
      <w:r>
        <w:t xml:space="preserve"> </w:t>
      </w:r>
      <w:r>
        <w:t xml:space="preserve">1.999</w:t>
      </w:r>
      <w:r>
        <w:t xml:space="preserve"> </w:t>
      </w:r>
      <w:r>
        <w:t xml:space="preserve">2.014</w:t>
      </w:r>
      <w:r>
        <w:t xml:space="preserve"> </w:t>
      </w:r>
      <w:r>
        <w:t xml:space="preserve">2.014 2.299 2.317 2.317</w:t>
      </w:r>
      <w:r>
        <w:t xml:space="preserve"> </w:t>
      </w:r>
      <w:r>
        <w:t xml:space="preserve">5.340 5.382 5.382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PO2d</w:t>
      </w:r>
      <w:r>
        <w:t xml:space="preserve"> </w:t>
      </w:r>
      <w:r>
        <w:t xml:space="preserve">1.043 1.056</w:t>
      </w:r>
      <w:r>
        <w:t xml:space="preserve"> </w:t>
      </w:r>
      <w:r>
        <w:t xml:space="preserve">1.056</w:t>
      </w:r>
      <w:r>
        <w:t xml:space="preserve"> </w:t>
      </w:r>
      <w:r>
        <w:t xml:space="preserve">1.999</w:t>
      </w:r>
      <w:r>
        <w:t xml:space="preserve"> </w:t>
      </w:r>
      <w:r>
        <w:t xml:space="preserve">2.024</w:t>
      </w:r>
      <w:r>
        <w:t xml:space="preserve"> </w:t>
      </w:r>
      <w:r>
        <w:t xml:space="preserve">2.024 2.299 2.327 2.327</w:t>
      </w:r>
      <w:r>
        <w:t xml:space="preserve"> </w:t>
      </w:r>
      <w:r>
        <w:t xml:space="preserve">5.340 5.407 5.407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PO3</w:t>
      </w:r>
      <w:r>
        <w:t xml:space="preserve"> </w:t>
      </w:r>
      <w:r>
        <w:t xml:space="preserve">1.043 1.055</w:t>
      </w:r>
      <w:r>
        <w:t xml:space="preserve"> </w:t>
      </w:r>
      <w:r>
        <w:t xml:space="preserve">1.055</w:t>
      </w:r>
      <w:r>
        <w:t xml:space="preserve"> </w:t>
      </w:r>
      <w:r>
        <w:t xml:space="preserve">1.999</w:t>
      </w:r>
      <w:r>
        <w:t xml:space="preserve"> </w:t>
      </w:r>
      <w:r>
        <w:t xml:space="preserve">2.021</w:t>
      </w:r>
      <w:r>
        <w:t xml:space="preserve"> </w:t>
      </w:r>
      <w:r>
        <w:t xml:space="preserve">2.021 2.299 2.324 2.324</w:t>
      </w:r>
      <w:r>
        <w:t xml:space="preserve"> </w:t>
      </w:r>
      <w:r>
        <w:t xml:space="preserve">5.340 5.400 5.400</w:t>
      </w:r>
      <w:r>
        <w:t xml:space="preserve"> </w:t>
      </w:r>
      <w:r>
        <w:t xml:space="preserve">18</w:t>
      </w:r>
      <w:r>
        <w:t xml:space="preserve"> </w:t>
      </w:r>
      <w:r>
        <w:t xml:space="preserve">18</w:t>
      </w:r>
      <w:r>
        <w:t xml:space="preserve"> </w:t>
      </w:r>
      <w:r>
        <w:t xml:space="preserve">PO4a</w:t>
      </w:r>
      <w:r>
        <w:t xml:space="preserve"> </w:t>
      </w:r>
      <w:r>
        <w:t xml:space="preserve">1.043 1.051</w:t>
      </w:r>
      <w:r>
        <w:t xml:space="preserve"> </w:t>
      </w:r>
      <w:r>
        <w:t xml:space="preserve">1.016</w:t>
      </w:r>
      <w:r>
        <w:t xml:space="preserve"> </w:t>
      </w:r>
      <w:r>
        <w:t xml:space="preserve">1.999</w:t>
      </w:r>
      <w:r>
        <w:t xml:space="preserve"> </w:t>
      </w:r>
      <w:r>
        <w:t xml:space="preserve">2.014</w:t>
      </w:r>
      <w:r>
        <w:t xml:space="preserve"> </w:t>
      </w:r>
      <w:r>
        <w:t xml:space="preserve">1.948 2.299 2.316 2.240</w:t>
      </w:r>
      <w:r>
        <w:t xml:space="preserve"> </w:t>
      </w:r>
      <w:r>
        <w:t xml:space="preserve">5.340 5.382 5.204</w:t>
      </w:r>
      <w:r>
        <w:t xml:space="preserve"> </w:t>
      </w:r>
      <w:r>
        <w:t xml:space="preserve">0</w:t>
      </w:r>
      <w:r>
        <w:t xml:space="preserve"> </w:t>
      </w:r>
      <w:r>
        <w:t xml:space="preserve">-178</w:t>
      </w:r>
      <w:r>
        <w:t xml:space="preserve"> </w:t>
      </w:r>
      <w:r>
        <w:t xml:space="preserve">PO4b</w:t>
      </w:r>
      <w:r>
        <w:t xml:space="preserve"> </w:t>
      </w:r>
      <w:r>
        <w:t xml:space="preserve">1.043 1.136</w:t>
      </w:r>
      <w:r>
        <w:t xml:space="preserve"> </w:t>
      </w:r>
      <w:r>
        <w:t xml:space="preserve">1.127</w:t>
      </w:r>
      <w:r>
        <w:t xml:space="preserve"> </w:t>
      </w:r>
      <w:r>
        <w:t xml:space="preserve">1.999</w:t>
      </w:r>
      <w:r>
        <w:t xml:space="preserve"> </w:t>
      </w:r>
      <w:r>
        <w:t xml:space="preserve">2.177</w:t>
      </w:r>
      <w:r>
        <w:t xml:space="preserve"> </w:t>
      </w:r>
      <w:r>
        <w:t xml:space="preserve">2.161 2.299 2.503 2.485</w:t>
      </w:r>
      <w:r>
        <w:t xml:space="preserve"> </w:t>
      </w:r>
      <w:r>
        <w:t xml:space="preserve">5.340 5.816 5.773</w:t>
      </w:r>
      <w:r>
        <w:t xml:space="preserve"> </w:t>
      </w:r>
      <w:r>
        <w:t xml:space="preserve">434</w:t>
      </w:r>
      <w:r>
        <w:t xml:space="preserve"> </w:t>
      </w:r>
      <w:r>
        <w:t xml:space="preserve">391</w:t>
      </w:r>
      <w:r>
        <w:t xml:space="preserve"> </w:t>
      </w:r>
      <w:r>
        <w:t xml:space="preserve">Table 6-3. Total turnover and turnover changes for each measure</w:t>
      </w:r>
      <w:r>
        <w:t xml:space="preserve"> </w:t>
      </w:r>
      <w:r>
        <w:t xml:space="preserve">6.2.2. Consumer expenditure</w:t>
      </w:r>
      <w:r>
        <w:t xml:space="preserve"> </w:t>
      </w:r>
      <w:r>
        <w:t xml:space="preserve">As indicated in section 6.2.1, it has been assumed that the level of cost pass-through from</w:t>
      </w:r>
      <w:r>
        <w:t xml:space="preserve"> </w:t>
      </w:r>
      <w:r>
        <w:t xml:space="preserve">manufacturer to end-user is 100%. Consequently, consumer expenditure per year for each measure</w:t>
      </w:r>
      <w:r>
        <w:t xml:space="preserve"> </w:t>
      </w:r>
      <w:r>
        <w:t xml:space="preserve">has been calculated by summing the yearly purchase costs calculated in section 6.2.1 to the repair</w:t>
      </w:r>
      <w:r>
        <w:t xml:space="preserve"> </w:t>
      </w:r>
      <w:r>
        <w:t xml:space="preserve">and maintenance costs, and subtracting the in-use energy savings.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The impacts of the different measures on consumer expenditure are displayed in Table 6-4. The</w:t>
      </w:r>
      <w:r>
        <w:t xml:space="preserve"> </w:t>
      </w:r>
      <w:r>
        <w:t xml:space="preserve">large PO2a savings are due to the large amount of products included in the scope, whose in-use</w:t>
      </w:r>
      <w:r>
        <w:t xml:space="preserve"> </w:t>
      </w:r>
      <w:r>
        <w:t xml:space="preserve">energy savings will offset the initial purchase costs. PO4b on the contrary, does not offset the</w:t>
      </w:r>
      <w:r>
        <w:t xml:space="preserve"> </w:t>
      </w:r>
      <w:r>
        <w:t xml:space="preserve">important product price increase with energy savings, resulting in a significant net loss for the</w:t>
      </w:r>
      <w:r>
        <w:t xml:space="preserve"> </w:t>
      </w:r>
      <w:r>
        <w:t xml:space="preserve">consumer. This is also true for PO2d, although in this case the reduction in consumer savings is less</w:t>
      </w:r>
      <w:r>
        <w:t xml:space="preserve"> </w:t>
      </w:r>
      <w:r>
        <w:t xml:space="preserve">marked. The rest of the measures yield consumer savings that are smaller than PO2a, either due to a</w:t>
      </w:r>
      <w:r>
        <w:t xml:space="preserve"> </w:t>
      </w:r>
      <w:r>
        <w:t xml:space="preserve">more limited scope as it is the case of PO2b, or to both a more limited scope and smaller savings</w:t>
      </w:r>
      <w:r>
        <w:t xml:space="preserve"> </w:t>
      </w:r>
      <w:r>
        <w:t xml:space="preserve">per unit as in the case of PO2c and PO3.</w:t>
      </w:r>
    </w:p>
    <w:p>
      <w:pPr>
        <w:pStyle w:val="BodyText"/>
      </w:pPr>
      <w:r>
        <w:t xml:space="preserve">Consumer savings</w:t>
      </w:r>
      <w:r>
        <w:t xml:space="preserve"> </w:t>
      </w:r>
      <w:r>
        <w:t xml:space="preserve">Increase of purchase costs</w:t>
      </w:r>
      <w:r>
        <w:t xml:space="preserve"> </w:t>
      </w:r>
      <w:r>
        <w:t xml:space="preserve">over BAU in 2025 (%)</w:t>
      </w:r>
      <w:r>
        <w:t xml:space="preserve"> </w:t>
      </w:r>
      <w:r>
        <w:t xml:space="preserve">Savings vs BAU [M€/year]</w:t>
      </w:r>
      <w:r>
        <w:t xml:space="preserve"> </w:t>
      </w:r>
      <w:r>
        <w:t xml:space="preserve">Cumulative savings vs BAU [M€]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PO2a</w:t>
      </w:r>
      <w:r>
        <w:t xml:space="preserve"> </w:t>
      </w:r>
      <w:r>
        <w:t xml:space="preserve">5,81</w:t>
      </w:r>
      <w:r>
        <w:t xml:space="preserve"> </w:t>
      </w:r>
      <w:r>
        <w:t xml:space="preserve">270</w:t>
      </w:r>
      <w:r>
        <w:t xml:space="preserve"> </w:t>
      </w:r>
      <w:r>
        <w:t xml:space="preserve">704</w:t>
      </w:r>
      <w:r>
        <w:t xml:space="preserve"> </w:t>
      </w:r>
      <w:r>
        <w:t xml:space="preserve">849</w:t>
      </w:r>
      <w:r>
        <w:t xml:space="preserve"> </w:t>
      </w:r>
      <w:r>
        <w:t xml:space="preserve">630</w:t>
      </w:r>
      <w:r>
        <w:t xml:space="preserve"> </w:t>
      </w:r>
      <w:r>
        <w:t xml:space="preserve">5.963</w:t>
      </w:r>
      <w:r>
        <w:t xml:space="preserve"> </w:t>
      </w:r>
      <w:r>
        <w:t xml:space="preserve">13.850</w:t>
      </w:r>
      <w:r>
        <w:t xml:space="preserve"> </w:t>
      </w:r>
      <w:r>
        <w:t xml:space="preserve">PO2b</w:t>
      </w:r>
      <w:r>
        <w:t xml:space="preserve"> </w:t>
      </w:r>
      <w:r>
        <w:t xml:space="preserve">1,65</w:t>
      </w:r>
      <w:r>
        <w:t xml:space="preserve"> </w:t>
      </w:r>
      <w:r>
        <w:t xml:space="preserve">60</w:t>
      </w:r>
      <w:r>
        <w:t xml:space="preserve"> </w:t>
      </w:r>
      <w:r>
        <w:t xml:space="preserve">153</w:t>
      </w:r>
      <w:r>
        <w:t xml:space="preserve"> </w:t>
      </w:r>
      <w:r>
        <w:t xml:space="preserve">148</w:t>
      </w:r>
      <w:r>
        <w:t xml:space="preserve"> </w:t>
      </w:r>
      <w:r>
        <w:t xml:space="preserve">110</w:t>
      </w:r>
      <w:r>
        <w:t xml:space="preserve"> </w:t>
      </w:r>
      <w:r>
        <w:t xml:space="preserve">1.302</w:t>
      </w:r>
      <w:r>
        <w:t xml:space="preserve"> </w:t>
      </w:r>
      <w:r>
        <w:t xml:space="preserve">2.815</w:t>
      </w:r>
      <w:r>
        <w:t xml:space="preserve"> </w:t>
      </w:r>
      <w:r>
        <w:t xml:space="preserve">PO2c</w:t>
      </w:r>
      <w:r>
        <w:t xml:space="preserve"> </w:t>
      </w:r>
      <w:r>
        <w:t xml:space="preserve">0,04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22</w:t>
      </w:r>
      <w:r>
        <w:t xml:space="preserve"> </w:t>
      </w:r>
      <w:r>
        <w:t xml:space="preserve">53</w:t>
      </w:r>
      <w:r>
        <w:t xml:space="preserve"> </w:t>
      </w:r>
      <w:r>
        <w:t xml:space="preserve">PO2d</w:t>
      </w:r>
      <w:r>
        <w:t xml:space="preserve"> </w:t>
      </w:r>
      <w:r>
        <w:t xml:space="preserve">0,56</w:t>
      </w:r>
      <w:r>
        <w:t xml:space="preserve"> </w:t>
      </w:r>
      <w:r>
        <w:t xml:space="preserve">-9</w:t>
      </w:r>
      <w:r>
        <w:t xml:space="preserve"> </w:t>
      </w:r>
      <w:r>
        <w:t xml:space="preserve">-3</w:t>
      </w:r>
      <w:r>
        <w:t xml:space="preserve"> </w:t>
      </w:r>
      <w:r>
        <w:t xml:space="preserve">-1</w:t>
      </w:r>
      <w:r>
        <w:t xml:space="preserve"> </w:t>
      </w:r>
      <w:r>
        <w:t xml:space="preserve">-77</w:t>
      </w:r>
      <w:r>
        <w:t xml:space="preserve"> </w:t>
      </w:r>
      <w:r>
        <w:t xml:space="preserve">-135</w:t>
      </w:r>
      <w:r>
        <w:t xml:space="preserve"> </w:t>
      </w:r>
      <w:r>
        <w:t xml:space="preserve">-149</w:t>
      </w:r>
      <w:r>
        <w:t xml:space="preserve"> </w:t>
      </w:r>
      <w:r>
        <w:t xml:space="preserve">PO3</w:t>
      </w:r>
      <w:r>
        <w:t xml:space="preserve"> </w:t>
      </w:r>
      <w:r>
        <w:t xml:space="preserve">0,35</w:t>
      </w:r>
      <w:r>
        <w:t xml:space="preserve"> </w:t>
      </w:r>
      <w:r>
        <w:t xml:space="preserve">30</w:t>
      </w:r>
      <w:r>
        <w:t xml:space="preserve"> </w:t>
      </w:r>
      <w:r>
        <w:t xml:space="preserve">58</w:t>
      </w:r>
      <w:r>
        <w:t xml:space="preserve"> </w:t>
      </w:r>
      <w:r>
        <w:t xml:space="preserve">58</w:t>
      </w:r>
      <w:r>
        <w:t xml:space="preserve"> </w:t>
      </w:r>
      <w:r>
        <w:t xml:space="preserve">102</w:t>
      </w:r>
      <w:r>
        <w:t xml:space="preserve"> </w:t>
      </w:r>
      <w:r>
        <w:t xml:space="preserve">589</w:t>
      </w:r>
      <w:r>
        <w:t xml:space="preserve"> </w:t>
      </w:r>
      <w:r>
        <w:t xml:space="preserve">1.177</w:t>
      </w:r>
      <w:r>
        <w:t xml:space="preserve"> </w:t>
      </w:r>
      <w:r>
        <w:t xml:space="preserve">PO4a</w:t>
      </w:r>
      <w:r>
        <w:t xml:space="preserve"> </w:t>
      </w:r>
      <w:r>
        <w:t xml:space="preserve">0,00</w:t>
      </w:r>
      <w:r>
        <w:t xml:space="preserve"> </w:t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18</w:t>
      </w:r>
      <w:r>
        <w:t xml:space="preserve"> </w:t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199</w:t>
      </w:r>
      <w:r>
        <w:t xml:space="preserve"> </w:t>
      </w:r>
      <w:r>
        <w:t xml:space="preserve">PO4b</w:t>
      </w:r>
      <w:r>
        <w:t xml:space="preserve"> </w:t>
      </w:r>
      <w:r>
        <w:t xml:space="preserve">8,06</w:t>
      </w:r>
      <w:r>
        <w:t xml:space="preserve"> </w:t>
      </w:r>
      <w:r>
        <w:t xml:space="preserve">-222</w:t>
      </w:r>
      <w:r>
        <w:t xml:space="preserve"> </w:t>
      </w:r>
      <w:r>
        <w:t xml:space="preserve">-301</w:t>
      </w:r>
      <w:r>
        <w:t xml:space="preserve"> </w:t>
      </w:r>
      <w:r>
        <w:t xml:space="preserve">-301</w:t>
      </w:r>
      <w:r>
        <w:t xml:space="preserve"> </w:t>
      </w:r>
      <w:r>
        <w:t xml:space="preserve">-1.337</w:t>
      </w:r>
      <w:r>
        <w:t xml:space="preserve"> </w:t>
      </w:r>
      <w:r>
        <w:t xml:space="preserve">-3.934</w:t>
      </w:r>
      <w:r>
        <w:t xml:space="preserve"> </w:t>
      </w:r>
      <w:r>
        <w:t xml:space="preserve">-6.943</w:t>
      </w:r>
      <w:r>
        <w:t xml:space="preserve"> </w:t>
      </w:r>
      <w:r>
        <w:t xml:space="preserve">Table 6-4. Consumer savings for each measure</w:t>
      </w:r>
      <w:r>
        <w:t xml:space="preserve"> </w:t>
      </w:r>
      <w:r>
        <w:t xml:space="preserve">6.2.3. Costs</w:t>
      </w:r>
      <w:r>
        <w:t xml:space="preserve"> </w:t>
      </w:r>
      <w:r>
        <w:t xml:space="preserve">6.2.3.1.Compliance costs</w:t>
      </w:r>
      <w:r>
        <w:t xml:space="preserve"> </w:t>
      </w:r>
      <w:r>
        <w:t xml:space="preserve">As indicated in the introductory part of section 6, total compliance costs in a specific year have</w:t>
      </w:r>
      <w:r>
        <w:t xml:space="preserve"> </w:t>
      </w:r>
      <w:r>
        <w:t xml:space="preserve">been calculated by subtracting the manufacturer turnover for BAU from the manufacturer turnover</w:t>
      </w:r>
      <w:r>
        <w:t xml:space="preserve"> </w:t>
      </w:r>
      <w:r>
        <w:t xml:space="preserve">for that specific year and policy measure. Compliance costs per unit result from dividing the</w:t>
      </w:r>
      <w:r>
        <w:t xml:space="preserve"> </w:t>
      </w:r>
      <w:r>
        <w:t xml:space="preserve">compliance costs by the yearly sales.</w:t>
      </w:r>
    </w:p>
    <w:p>
      <w:pPr>
        <w:pStyle w:val="BodyText"/>
      </w:pPr>
      <w:r>
        <w:t xml:space="preserve">Compliance costs (M€/year)</w:t>
      </w:r>
      <w:r>
        <w:t xml:space="preserve"> </w:t>
      </w:r>
      <w:r>
        <w:t xml:space="preserve">Unitary compliance</w:t>
      </w:r>
      <w:r>
        <w:t xml:space="preserve"> </w:t>
      </w:r>
      <w:r>
        <w:t xml:space="preserve">costs (€/unit per year)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PO2a</w:t>
      </w:r>
      <w:r>
        <w:t xml:space="preserve"> </w:t>
      </w:r>
      <w:r>
        <w:t xml:space="preserve">54,73</w:t>
      </w:r>
      <w:r>
        <w:t xml:space="preserve"> </w:t>
      </w:r>
      <w:r>
        <w:t xml:space="preserve">54,73</w:t>
      </w:r>
      <w:r>
        <w:t xml:space="preserve"> </w:t>
      </w:r>
      <w:r>
        <w:t xml:space="preserve">3,20</w:t>
      </w:r>
      <w:r>
        <w:t xml:space="preserve"> </w:t>
      </w:r>
      <w:r>
        <w:t xml:space="preserve">3,20</w:t>
      </w:r>
      <w:r>
        <w:t xml:space="preserve"> </w:t>
      </w:r>
      <w:r>
        <w:t xml:space="preserve">PO2b</w:t>
      </w:r>
      <w:r>
        <w:t xml:space="preserve"> </w:t>
      </w:r>
      <w:r>
        <w:t xml:space="preserve">14,87</w:t>
      </w:r>
      <w:r>
        <w:t xml:space="preserve"> </w:t>
      </w:r>
      <w:r>
        <w:t xml:space="preserve">14,87</w:t>
      </w:r>
      <w:r>
        <w:t xml:space="preserve"> </w:t>
      </w:r>
      <w:r>
        <w:t xml:space="preserve">0,87</w:t>
      </w:r>
      <w:r>
        <w:t xml:space="preserve"> </w:t>
      </w:r>
      <w:r>
        <w:t xml:space="preserve">0,87</w:t>
      </w:r>
      <w:r>
        <w:t xml:space="preserve"> </w:t>
      </w:r>
      <w:r>
        <w:t xml:space="preserve">PO2c</w:t>
      </w:r>
      <w:r>
        <w:t xml:space="preserve"> </w:t>
      </w:r>
      <w:r>
        <w:t xml:space="preserve">0,09</w:t>
      </w:r>
      <w:r>
        <w:t xml:space="preserve"> </w:t>
      </w:r>
      <w:r>
        <w:t xml:space="preserve">0,09</w:t>
      </w:r>
      <w:r>
        <w:t xml:space="preserve"> </w:t>
      </w:r>
      <w:r>
        <w:t xml:space="preserve">0,01</w:t>
      </w:r>
      <w:r>
        <w:t xml:space="preserve"> </w:t>
      </w:r>
      <w:r>
        <w:t xml:space="preserve">0,01</w:t>
      </w:r>
      <w:r>
        <w:t xml:space="preserve"> </w:t>
      </w:r>
      <w:r>
        <w:t xml:space="preserve">PO2d</w:t>
      </w:r>
      <w:r>
        <w:t xml:space="preserve"> </w:t>
      </w:r>
      <w:r>
        <w:t xml:space="preserve">4,99</w:t>
      </w:r>
      <w:r>
        <w:t xml:space="preserve"> </w:t>
      </w:r>
      <w:r>
        <w:t xml:space="preserve">4,99</w:t>
      </w:r>
      <w:r>
        <w:t xml:space="preserve"> </w:t>
      </w:r>
      <w:r>
        <w:t xml:space="preserve">0,29</w:t>
      </w:r>
      <w:r>
        <w:t xml:space="preserve"> </w:t>
      </w:r>
      <w:r>
        <w:t xml:space="preserve">0,29</w:t>
      </w:r>
      <w:r>
        <w:t xml:space="preserve"> </w:t>
      </w:r>
      <w:r>
        <w:t xml:space="preserve">PO3</w:t>
      </w:r>
      <w:r>
        <w:t xml:space="preserve"> </w:t>
      </w:r>
      <w:r>
        <w:t xml:space="preserve">3,63</w:t>
      </w:r>
      <w:r>
        <w:t xml:space="preserve"> </w:t>
      </w:r>
      <w:r>
        <w:t xml:space="preserve">3,63</w:t>
      </w:r>
      <w:r>
        <w:t xml:space="preserve"> </w:t>
      </w:r>
      <w:r>
        <w:t xml:space="preserve">0,21</w:t>
      </w:r>
      <w:r>
        <w:t xml:space="preserve"> </w:t>
      </w:r>
      <w:r>
        <w:t xml:space="preserve">0,21</w:t>
      </w:r>
      <w:r>
        <w:t xml:space="preserve"> </w:t>
      </w:r>
      <w:r>
        <w:t xml:space="preserve">PO4a</w:t>
      </w:r>
      <w:r>
        <w:t xml:space="preserve"> </w:t>
      </w:r>
      <w:r>
        <w:t xml:space="preserve">0,00</w:t>
      </w:r>
      <w:r>
        <w:t xml:space="preserve"> </w:t>
      </w:r>
      <w:r>
        <w:t xml:space="preserve">-34,64</w:t>
      </w:r>
      <w:r>
        <w:t xml:space="preserve"> </w:t>
      </w:r>
      <w:r>
        <w:t xml:space="preserve">0,00</w:t>
      </w:r>
      <w:r>
        <w:t xml:space="preserve"> </w:t>
      </w:r>
      <w:r>
        <w:t xml:space="preserve">-2,02</w:t>
      </w:r>
      <w:r>
        <w:t xml:space="preserve"> </w:t>
      </w:r>
      <w:r>
        <w:t xml:space="preserve">PO4b</w:t>
      </w:r>
      <w:r>
        <w:t xml:space="preserve"> </w:t>
      </w:r>
      <w:r>
        <w:t xml:space="preserve">84,75</w:t>
      </w:r>
      <w:r>
        <w:t xml:space="preserve"> </w:t>
      </w:r>
      <w:r>
        <w:t xml:space="preserve">76,44</w:t>
      </w:r>
      <w:r>
        <w:t xml:space="preserve"> </w:t>
      </w:r>
      <w:r>
        <w:t xml:space="preserve">4,95</w:t>
      </w:r>
      <w:r>
        <w:t xml:space="preserve"> </w:t>
      </w:r>
      <w:r>
        <w:t xml:space="preserve">4,47</w:t>
      </w:r>
      <w:r>
        <w:t xml:space="preserve"> </w:t>
      </w:r>
      <w:r>
        <w:t xml:space="preserve">Table 6-5. Compliance cost for each measure</w:t>
      </w:r>
      <w:r>
        <w:t xml:space="preserve"> </w:t>
      </w:r>
      <w:r>
        <w:t xml:space="preserve">6.2.3.2.Administrative costs</w:t>
      </w:r>
      <w:r>
        <w:t xml:space="preserve"> </w:t>
      </w:r>
      <w:r>
        <w:t xml:space="preserve">Administrative costs are defined as those costs borne by businesses, citizens, civil society</w:t>
      </w:r>
      <w:r>
        <w:t xml:space="preserve"> </w:t>
      </w:r>
      <w:r>
        <w:t xml:space="preserve">organisations and public authorities as a result of administrative activities performed to comply</w:t>
      </w:r>
      <w:r>
        <w:t xml:space="preserve"> </w:t>
      </w:r>
      <w:r>
        <w:t xml:space="preserve">with administrative obligations included in legal rules.</w:t>
      </w:r>
      <w:r>
        <w:t xml:space="preserve"> </w:t>
      </w:r>
      <w:r>
        <w:t xml:space="preserve">There will be extra although minor administrative costs linked to the adoption of the proposed</w:t>
      </w:r>
      <w:r>
        <w:t xml:space="preserve"> </w:t>
      </w:r>
      <w:r>
        <w:t xml:space="preserve">measures for the products in the scope. Administrative costs are split among the costs of updating</w:t>
      </w:r>
      <w:r>
        <w:t xml:space="preserve"> </w:t>
      </w:r>
      <w:r>
        <w:t xml:space="preserve">the Declaration of Conformity (DoC) to the new requirements, which would apply to models</w:t>
      </w:r>
      <w:r>
        <w:t xml:space="preserve"> </w:t>
      </w:r>
      <w:r>
        <w:t xml:space="preserve">currently in the scope, and costs of making a new DoC, which would apply to models that would</w:t>
      </w:r>
      <w:r>
        <w:t xml:space="preserve"> </w:t>
      </w:r>
      <w:r>
        <w:t xml:space="preserve">fall in scope for the first time. For the former 0,50 hours effort has been estimated , and for the</w:t>
      </w:r>
      <w:r>
        <w:t xml:space="preserve"> </w:t>
      </w:r>
      <w:r>
        <w:t xml:space="preserve">latter 1 hour. Those times are multiplied respectively by the estimated number of models already in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the scope41 and by the estimated number of new models in the future scope for each measure. The</w:t>
      </w:r>
      <w:r>
        <w:t xml:space="preserve"> </w:t>
      </w:r>
      <w:r>
        <w:t xml:space="preserve">two results are multiplied by the EU average hourly labour cost for 2021 (32€/h, the latest</w:t>
      </w:r>
      <w:r>
        <w:t xml:space="preserve"> </w:t>
      </w:r>
      <w:r>
        <w:t xml:space="preserve">available) and summed42. These will be one-off costs incurred in 2025, the year of application of</w:t>
      </w:r>
      <w:r>
        <w:t xml:space="preserve"> </w:t>
      </w:r>
      <w:r>
        <w:t xml:space="preserve">the Regulation, as the DoC will only need to be issued once.</w:t>
      </w:r>
      <w:r>
        <w:br/>
      </w:r>
      <w:r>
        <w:t xml:space="preserve">All models in the current scope will need a DoC update regardless of the measure considered, as it</w:t>
      </w:r>
      <w:r>
        <w:t xml:space="preserve"> </w:t>
      </w:r>
      <w:r>
        <w:t xml:space="preserve">will at least be necessary to refer to the new legal background. Only PO2a, PO2b and PO2c add</w:t>
      </w:r>
      <w:r>
        <w:t xml:space="preserve"> </w:t>
      </w:r>
      <w:r>
        <w:t xml:space="preserve">new models to the scope and the administrative costs therefore increase compared to the remaining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New models in</w:t>
      </w:r>
      <w:r>
        <w:t xml:space="preserve"> </w:t>
      </w:r>
      <w:r>
        <w:t xml:space="preserve">scope</w:t>
      </w:r>
      <w:r>
        <w:t xml:space="preserve"> </w:t>
      </w:r>
      <w:r>
        <w:t xml:space="preserve">Models in</w:t>
      </w:r>
      <w:r>
        <w:t xml:space="preserve"> </w:t>
      </w:r>
      <w:r>
        <w:t xml:space="preserve">current scope</w:t>
      </w:r>
      <w:r>
        <w:t xml:space="preserve"> </w:t>
      </w:r>
      <w:r>
        <w:t xml:space="preserve">Cost issuing new DoC for new</w:t>
      </w:r>
      <w:r>
        <w:t xml:space="preserve"> </w:t>
      </w:r>
      <w:r>
        <w:t xml:space="preserve">models in scope(€)</w:t>
      </w:r>
      <w:r>
        <w:t xml:space="preserve"> </w:t>
      </w:r>
      <w:r>
        <w:t xml:space="preserve">Costs update DoC for models in</w:t>
      </w:r>
      <w:r>
        <w:t xml:space="preserve"> </w:t>
      </w:r>
      <w:r>
        <w:t xml:space="preserve">current scope (€)</w:t>
      </w:r>
      <w:r>
        <w:t xml:space="preserve"> </w:t>
      </w:r>
      <w:r>
        <w:t xml:space="preserve">Total (€)</w:t>
      </w:r>
      <w:r>
        <w:t xml:space="preserve"> </w:t>
      </w:r>
      <w:r>
        <w:t xml:space="preserve">PO2a</w:t>
      </w:r>
      <w:r>
        <w:t xml:space="preserve"> </w:t>
      </w:r>
      <w:r>
        <w:t xml:space="preserve">11.013</w:t>
      </w:r>
      <w:r>
        <w:t xml:space="preserve"> </w:t>
      </w:r>
      <w:r>
        <w:t xml:space="preserve">45.112</w:t>
      </w:r>
      <w:r>
        <w:t xml:space="preserve"> </w:t>
      </w:r>
      <w:r>
        <w:t xml:space="preserve">352.416</w:t>
      </w:r>
      <w:r>
        <w:t xml:space="preserve"> </w:t>
      </w:r>
      <w:r>
        <w:t xml:space="preserve">721.792</w:t>
      </w:r>
      <w:r>
        <w:t xml:space="preserve"> </w:t>
      </w:r>
      <w:r>
        <w:t xml:space="preserve">1.071.208</w:t>
      </w:r>
      <w:r>
        <w:t xml:space="preserve"> </w:t>
      </w:r>
      <w:r>
        <w:t xml:space="preserve">PO2b</w:t>
      </w:r>
      <w:r>
        <w:t xml:space="preserve"> </w:t>
      </w:r>
      <w:r>
        <w:t xml:space="preserve">6.174</w:t>
      </w:r>
      <w:r>
        <w:t xml:space="preserve"> </w:t>
      </w:r>
      <w:r>
        <w:t xml:space="preserve">45.112</w:t>
      </w:r>
      <w:r>
        <w:t xml:space="preserve"> </w:t>
      </w:r>
      <w:r>
        <w:t xml:space="preserve">197.568</w:t>
      </w:r>
      <w:r>
        <w:t xml:space="preserve"> </w:t>
      </w:r>
      <w:r>
        <w:t xml:space="preserve">721.792</w:t>
      </w:r>
      <w:r>
        <w:t xml:space="preserve"> </w:t>
      </w:r>
      <w:r>
        <w:t xml:space="preserve">919.360</w:t>
      </w:r>
      <w:r>
        <w:t xml:space="preserve"> </w:t>
      </w:r>
      <w:r>
        <w:t xml:space="preserve">PO2c</w:t>
      </w:r>
      <w:r>
        <w:t xml:space="preserve"> </w:t>
      </w:r>
      <w:r>
        <w:t xml:space="preserve">1</w:t>
      </w:r>
      <w:r>
        <w:t xml:space="preserve"> </w:t>
      </w:r>
      <w:r>
        <w:t xml:space="preserve">45.112</w:t>
      </w:r>
      <w:r>
        <w:t xml:space="preserve"> </w:t>
      </w:r>
      <w:r>
        <w:t xml:space="preserve">32</w:t>
      </w:r>
      <w:r>
        <w:t xml:space="preserve"> </w:t>
      </w:r>
      <w:r>
        <w:t xml:space="preserve">721.792</w:t>
      </w:r>
      <w:r>
        <w:t xml:space="preserve"> </w:t>
      </w:r>
      <w:r>
        <w:t xml:space="preserve">721.824</w:t>
      </w:r>
      <w:r>
        <w:t xml:space="preserve"> </w:t>
      </w:r>
      <w:r>
        <w:t xml:space="preserve">PO2d</w:t>
      </w:r>
      <w:r>
        <w:t xml:space="preserve"> </w:t>
      </w:r>
      <w:r>
        <w:t xml:space="preserve">0</w:t>
      </w:r>
      <w:r>
        <w:t xml:space="preserve"> </w:t>
      </w:r>
      <w:r>
        <w:t xml:space="preserve">45.112</w:t>
      </w:r>
      <w:r>
        <w:t xml:space="preserve"> </w:t>
      </w:r>
      <w:r>
        <w:t xml:space="preserve">0</w:t>
      </w:r>
      <w:r>
        <w:t xml:space="preserve"> </w:t>
      </w:r>
      <w:r>
        <w:t xml:space="preserve">721.792</w:t>
      </w:r>
      <w:r>
        <w:t xml:space="preserve"> </w:t>
      </w:r>
      <w:r>
        <w:t xml:space="preserve">721.792</w:t>
      </w:r>
      <w:r>
        <w:t xml:space="preserve"> </w:t>
      </w:r>
      <w:r>
        <w:t xml:space="preserve">PO3</w:t>
      </w:r>
      <w:r>
        <w:t xml:space="preserve"> </w:t>
      </w:r>
      <w:r>
        <w:t xml:space="preserve">0</w:t>
      </w:r>
      <w:r>
        <w:t xml:space="preserve"> </w:t>
      </w:r>
      <w:r>
        <w:t xml:space="preserve">45.112</w:t>
      </w:r>
      <w:r>
        <w:t xml:space="preserve"> </w:t>
      </w:r>
      <w:r>
        <w:t xml:space="preserve">0</w:t>
      </w:r>
      <w:r>
        <w:t xml:space="preserve"> </w:t>
      </w:r>
      <w:r>
        <w:t xml:space="preserve">721.792</w:t>
      </w:r>
      <w:r>
        <w:t xml:space="preserve"> </w:t>
      </w:r>
      <w:r>
        <w:t xml:space="preserve">721.792</w:t>
      </w:r>
      <w:r>
        <w:t xml:space="preserve"> </w:t>
      </w:r>
      <w:r>
        <w:t xml:space="preserve">PO4a</w:t>
      </w:r>
      <w:r>
        <w:t xml:space="preserve"> </w:t>
      </w:r>
      <w:r>
        <w:t xml:space="preserve">0</w:t>
      </w:r>
      <w:r>
        <w:t xml:space="preserve"> </w:t>
      </w:r>
      <w:r>
        <w:t xml:space="preserve">45.112</w:t>
      </w:r>
      <w:r>
        <w:t xml:space="preserve"> </w:t>
      </w:r>
      <w:r>
        <w:t xml:space="preserve">0</w:t>
      </w:r>
      <w:r>
        <w:t xml:space="preserve"> </w:t>
      </w:r>
      <w:r>
        <w:t xml:space="preserve">721.792</w:t>
      </w:r>
      <w:r>
        <w:t xml:space="preserve"> </w:t>
      </w:r>
      <w:r>
        <w:t xml:space="preserve">721.792</w:t>
      </w:r>
      <w:r>
        <w:t xml:space="preserve"> </w:t>
      </w:r>
      <w:r>
        <w:t xml:space="preserve">PO4b</w:t>
      </w:r>
      <w:r>
        <w:t xml:space="preserve"> </w:t>
      </w:r>
      <w:r>
        <w:t xml:space="preserve">0</w:t>
      </w:r>
      <w:r>
        <w:t xml:space="preserve"> </w:t>
      </w:r>
      <w:r>
        <w:t xml:space="preserve">45.112</w:t>
      </w:r>
      <w:r>
        <w:t xml:space="preserve"> </w:t>
      </w:r>
      <w:r>
        <w:t xml:space="preserve">0</w:t>
      </w:r>
      <w:r>
        <w:t xml:space="preserve"> </w:t>
      </w:r>
      <w:r>
        <w:t xml:space="preserve">721.792</w:t>
      </w:r>
      <w:r>
        <w:t xml:space="preserve"> </w:t>
      </w:r>
      <w:r>
        <w:t xml:space="preserve">721.792</w:t>
      </w:r>
      <w:r>
        <w:t xml:space="preserve"> </w:t>
      </w:r>
      <w:r>
        <w:t xml:space="preserve">Table 6-6. Administrative costs by measure</w:t>
      </w:r>
      <w:r>
        <w:t xml:space="preserve"> </w:t>
      </w:r>
      <w:r>
        <w:t xml:space="preserve">6.2.3.3.Other additional costs</w:t>
      </w:r>
      <w:r>
        <w:t xml:space="preserve"> </w:t>
      </w:r>
      <w:r>
        <w:t xml:space="preserve">For PO4c, other additional minor costs for manufacturers will be to make available repair and</w:t>
      </w:r>
      <w:r>
        <w:t xml:space="preserve"> </w:t>
      </w:r>
      <w:r>
        <w:t xml:space="preserve">maintenance information, as well as information on recycling. Manufacturers will however be able</w:t>
      </w:r>
      <w:r>
        <w:t xml:space="preserve"> </w:t>
      </w:r>
      <w:r>
        <w:t xml:space="preserve">to offset the additional cost by charging a proportionate fee to repairers in compensation for the</w:t>
      </w:r>
      <w:r>
        <w:t xml:space="preserve"> </w:t>
      </w:r>
      <w:r>
        <w:t xml:space="preserve">provision of information.</w:t>
      </w:r>
      <w:r>
        <w:t xml:space="preserve"> </w:t>
      </w:r>
      <w:r>
        <w:t xml:space="preserve">For PO4a, it will also be necessary to update the information on the manufacturers’ or importers’</w:t>
      </w:r>
      <w:r>
        <w:t xml:space="preserve"> </w:t>
      </w:r>
      <w:r>
        <w:t xml:space="preserve">websites regarding availability of spare parts. The LSH Regulation already requires certain</w:t>
      </w:r>
      <w:r>
        <w:t xml:space="preserve"> </w:t>
      </w:r>
      <w:r>
        <w:t xml:space="preserve">information to be provided on websites and in technical documentation, therefore it is assumed that</w:t>
      </w:r>
      <w:r>
        <w:t xml:space="preserve"> </w:t>
      </w:r>
      <w:r>
        <w:t xml:space="preserve">the additional information could be provided at negligible extra cost.</w:t>
      </w:r>
      <w:r>
        <w:t xml:space="preserve"> </w:t>
      </w:r>
      <w:r>
        <w:t xml:space="preserve">6.3.</w:t>
      </w:r>
      <w:r>
        <w:t xml:space="preserve"> </w:t>
      </w:r>
      <w:r>
        <w:t xml:space="preserve">Social impacts. Employment</w:t>
      </w:r>
      <w:r>
        <w:t xml:space="preserve"> </w:t>
      </w:r>
      <w:r>
        <w:t xml:space="preserve">A good understanding of the employment effects of the measures would require general</w:t>
      </w:r>
      <w:r>
        <w:t xml:space="preserve"> </w:t>
      </w:r>
      <w:r>
        <w:t xml:space="preserve">equilibrium economic modelling. In any case, the likely effect is small enough to be difficult to</w:t>
      </w:r>
      <w:r>
        <w:t xml:space="preserve"> </w:t>
      </w:r>
      <w:r>
        <w:t xml:space="preserve">identify with any certainty at the economy-wide level. The dominant economic impact is expected</w:t>
      </w:r>
      <w:r>
        <w:t xml:space="preserve"> </w:t>
      </w:r>
      <w:r>
        <w:t xml:space="preserve">to arise from the avoided expenditure on energy by consumers due to the improved performance of</w:t>
      </w:r>
      <w:r>
        <w:t xml:space="preserve"> </w:t>
      </w:r>
      <w:r>
        <w:t xml:space="preserve">the products, resulting in a net saving that will be spent in other areas of the economy. Although it</w:t>
      </w:r>
      <w:r>
        <w:t xml:space="preserve"> </w:t>
      </w:r>
      <w:r>
        <w:t xml:space="preserve">cannot capture many of the likely interactions, a first indication of the scale of the effect is given by</w:t>
      </w:r>
      <w:r>
        <w:t xml:space="preserve"> </w:t>
      </w:r>
      <w:r>
        <w:t xml:space="preserve">taking account of the differing employment intensity of the energy supply sectors and the general</w:t>
      </w:r>
      <w:r>
        <w:t xml:space="preserve"> </w:t>
      </w:r>
      <w:r>
        <w:t xml:space="preserve">economy. It is assumed for the purpose of the assessment that these do not change in the coming</w:t>
      </w:r>
    </w:p>
    <w:p>
      <w:pPr>
        <w:pStyle w:val="BodyText"/>
      </w:pPr>
      <w:r>
        <w:t xml:space="preserve">41 The number of models have been worked out from EPREL data. EPREL is currently restricted to non-electric local</w:t>
      </w:r>
      <w:r>
        <w:t xml:space="preserve"> </w:t>
      </w:r>
      <w:r>
        <w:t xml:space="preserve">space heaters, but considering that the latter mean around 1% of the total sales, by extrapolation it is deduced that the</w:t>
      </w:r>
      <w:r>
        <w:t xml:space="preserve"> </w:t>
      </w:r>
      <w:r>
        <w:t xml:space="preserve">approximately 600 models of non-electric heaters that are currently registered in EPREL are equivalent to 62.300</w:t>
      </w:r>
      <w:r>
        <w:t xml:space="preserve"> </w:t>
      </w:r>
      <w:r>
        <w:t xml:space="preserve">models among all product subgroups. The number of new models that come in the scope of the LSH Regulation per</w:t>
      </w:r>
      <w:r>
        <w:t xml:space="preserve"> </w:t>
      </w:r>
      <w:r>
        <w:t xml:space="preserve">product subgroup is obtained by multiplying the share of products originally out of scope as given in section 5 of</w:t>
      </w:r>
      <w:r>
        <w:t xml:space="preserve"> </w:t>
      </w:r>
      <w:r>
        <w:t xml:space="preserve">Annex 4 (30% for fix heaters, 90% for underfloor heaters and 90%for towel rails), by the sales of the respective product</w:t>
      </w:r>
      <w:r>
        <w:t xml:space="preserve"> </w:t>
      </w:r>
      <w:r>
        <w:t xml:space="preserve">subgroups in 2025, which gives the number of new units in scope. The results for the different product subgroups are</w:t>
      </w:r>
      <w:r>
        <w:t xml:space="preserve"> </w:t>
      </w:r>
      <w:r>
        <w:t xml:space="preserve">summed to get the total units in the scope and divided by the total sales of local space heaters, which gives the share of</w:t>
      </w:r>
      <w:r>
        <w:t xml:space="preserve"> </w:t>
      </w:r>
      <w:r>
        <w:t xml:space="preserve">new units in the scope from the total of units sold. The result is finally multiplied by 62.300. This procedure assumes</w:t>
      </w:r>
      <w:r>
        <w:t xml:space="preserve"> </w:t>
      </w:r>
      <w:r>
        <w:t xml:space="preserve">therefore proportionality between number of models and number of units sold.</w:t>
      </w:r>
      <w:r>
        <w:t xml:space="preserve"> </w:t>
      </w:r>
      <w:r>
        <w:t xml:space="preserve">42 Wages and labour costs - Statistics Explained (europa.eu)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decades. Estimates of employment intensity for the relevant sectors calculated from Eurostat data</w:t>
      </w:r>
      <w:r>
        <w:t xml:space="preserve"> </w:t>
      </w:r>
      <w:r>
        <w:t xml:space="preserve">are:</w:t>
      </w:r>
      <w:r>
        <w:t xml:space="preserve"> </w:t>
      </w:r>
      <w:r>
        <w:t xml:space="preserve">Economic sector</w:t>
      </w:r>
      <w:r>
        <w:t xml:space="preserve"> </w:t>
      </w:r>
      <w:r>
        <w:t xml:space="preserve">Employment per €m</w:t>
      </w:r>
      <w:r>
        <w:t xml:space="preserve"> </w:t>
      </w:r>
      <w:r>
        <w:t xml:space="preserve">turnover</w:t>
      </w:r>
      <w:r>
        <w:t xml:space="preserve"> </w:t>
      </w:r>
      <w:r>
        <w:t xml:space="preserve">Electricity, gas ,steam and air</w:t>
      </w:r>
      <w:r>
        <w:t xml:space="preserve"> </w:t>
      </w:r>
      <w:r>
        <w:t xml:space="preserve">conditioning supply – NACE D</w:t>
      </w:r>
      <w:r>
        <w:t xml:space="preserve"> </w:t>
      </w:r>
      <w:r>
        <w:t xml:space="preserve">0,9</w:t>
      </w:r>
      <w:r>
        <w:t xml:space="preserve"> </w:t>
      </w:r>
      <w:r>
        <w:t xml:space="preserve">Whole economy</w:t>
      </w:r>
      <w:r>
        <w:t xml:space="preserve"> </w:t>
      </w:r>
      <w:r>
        <w:t xml:space="preserve">5,2</w:t>
      </w:r>
      <w:r>
        <w:t xml:space="preserve"> </w:t>
      </w:r>
      <w:r>
        <w:t xml:space="preserve">Table 6-8. Employment per m€ turnover</w:t>
      </w:r>
      <w:r>
        <w:t xml:space="preserve"> </w:t>
      </w:r>
      <w:r>
        <w:t xml:space="preserve">In addition, it can be estimated the employment in the local space heaters sector alone based upon</w:t>
      </w:r>
      <w:r>
        <w:t xml:space="preserve"> </w:t>
      </w:r>
      <w:r>
        <w:t xml:space="preserve">its employment intensity. The net impact on employment would take account of all the three factors</w:t>
      </w:r>
      <w:r>
        <w:t xml:space="preserve"> </w:t>
      </w:r>
      <w:r>
        <w:t xml:space="preserve">as shown in table 6-9.</w:t>
      </w:r>
    </w:p>
    <w:p>
      <w:pPr>
        <w:pStyle w:val="BodyText"/>
      </w:pPr>
      <w:r>
        <w:t xml:space="preserve">Job gains/year in local</w:t>
      </w:r>
      <w:r>
        <w:t xml:space="preserve"> </w:t>
      </w:r>
      <w:r>
        <w:t xml:space="preserve">space heaters sector (a)</w:t>
      </w:r>
      <w:r>
        <w:t xml:space="preserve"> </w:t>
      </w:r>
      <w:r>
        <w:t xml:space="preserve">Jobs in the overall economy (jobs)</w:t>
      </w:r>
      <w:r>
        <w:t xml:space="preserve"> </w:t>
      </w:r>
      <w:r>
        <w:t xml:space="preserve">Net impact (a+c-b)</w:t>
      </w:r>
      <w:r>
        <w:t xml:space="preserve"> </w:t>
      </w:r>
      <w:r>
        <w:t xml:space="preserve">Job losses/year in electricity</w:t>
      </w:r>
      <w:r>
        <w:t xml:space="preserve"> </w:t>
      </w:r>
      <w:r>
        <w:t xml:space="preserve">supply due to better energy</w:t>
      </w:r>
      <w:r>
        <w:t xml:space="preserve"> </w:t>
      </w:r>
      <w:r>
        <w:t xml:space="preserve">efficiency (b)</w:t>
      </w:r>
      <w:r>
        <w:t xml:space="preserve"> </w:t>
      </w:r>
      <w:r>
        <w:t xml:space="preserve">Job gains/year in overall</w:t>
      </w:r>
      <w:r>
        <w:t xml:space="preserve"> </w:t>
      </w:r>
      <w:r>
        <w:t xml:space="preserve">economy due to the</w:t>
      </w:r>
      <w:r>
        <w:t xml:space="preserve"> </w:t>
      </w:r>
      <w:r>
        <w:t xml:space="preserve">reduction of user</w:t>
      </w:r>
      <w:r>
        <w:t xml:space="preserve"> </w:t>
      </w:r>
      <w:r>
        <w:t xml:space="preserve">expenditure (c)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PO2a</w:t>
      </w:r>
      <w:r>
        <w:t xml:space="preserve"> </w:t>
      </w:r>
      <w:r>
        <w:t xml:space="preserve">1.062</w:t>
      </w:r>
      <w:r>
        <w:t xml:space="preserve"> </w:t>
      </w:r>
      <w:r>
        <w:t xml:space="preserve">799</w:t>
      </w:r>
      <w:r>
        <w:t xml:space="preserve"> </w:t>
      </w:r>
      <w:r>
        <w:t xml:space="preserve">601</w:t>
      </w:r>
      <w:r>
        <w:t xml:space="preserve"> </w:t>
      </w:r>
      <w:r>
        <w:t xml:space="preserve">243</w:t>
      </w:r>
      <w:r>
        <w:t xml:space="preserve"> </w:t>
      </w:r>
      <w:r>
        <w:t xml:space="preserve">633</w:t>
      </w:r>
      <w:r>
        <w:t xml:space="preserve"> </w:t>
      </w:r>
      <w:r>
        <w:t xml:space="preserve">764</w:t>
      </w:r>
      <w:r>
        <w:t xml:space="preserve"> </w:t>
      </w:r>
      <w:r>
        <w:t xml:space="preserve">1.404</w:t>
      </w:r>
      <w:r>
        <w:t xml:space="preserve"> </w:t>
      </w:r>
      <w:r>
        <w:t xml:space="preserve">3.661</w:t>
      </w:r>
      <w:r>
        <w:t xml:space="preserve"> </w:t>
      </w:r>
      <w:r>
        <w:t xml:space="preserve">4.415</w:t>
      </w:r>
      <w:r>
        <w:t xml:space="preserve"> </w:t>
      </w:r>
      <w:r>
        <w:t xml:space="preserve">2.223</w:t>
      </w:r>
      <w:r>
        <w:t xml:space="preserve"> </w:t>
      </w:r>
      <w:r>
        <w:t xml:space="preserve">3.827</w:t>
      </w:r>
      <w:r>
        <w:t xml:space="preserve"> </w:t>
      </w:r>
      <w:r>
        <w:t xml:space="preserve">4.252</w:t>
      </w:r>
      <w:r>
        <w:t xml:space="preserve"> </w:t>
      </w:r>
      <w:r>
        <w:t xml:space="preserve">PO2b</w:t>
      </w:r>
      <w:r>
        <w:t xml:space="preserve"> </w:t>
      </w:r>
      <w:r>
        <w:t xml:space="preserve">323</w:t>
      </w:r>
      <w:r>
        <w:t xml:space="preserve"> </w:t>
      </w:r>
      <w:r>
        <w:t xml:space="preserve">243</w:t>
      </w:r>
      <w:r>
        <w:t xml:space="preserve"> </w:t>
      </w:r>
      <w:r>
        <w:t xml:space="preserve">183</w:t>
      </w:r>
      <w:r>
        <w:t xml:space="preserve"> </w:t>
      </w:r>
      <w:r>
        <w:t xml:space="preserve">54</w:t>
      </w:r>
      <w:r>
        <w:t xml:space="preserve"> </w:t>
      </w:r>
      <w:r>
        <w:t xml:space="preserve">138</w:t>
      </w:r>
      <w:r>
        <w:t xml:space="preserve"> </w:t>
      </w:r>
      <w:r>
        <w:t xml:space="preserve">133</w:t>
      </w:r>
      <w:r>
        <w:t xml:space="preserve"> </w:t>
      </w:r>
      <w:r>
        <w:t xml:space="preserve">312</w:t>
      </w:r>
      <w:r>
        <w:t xml:space="preserve"> </w:t>
      </w:r>
      <w:r>
        <w:t xml:space="preserve">796</w:t>
      </w:r>
      <w:r>
        <w:t xml:space="preserve"> </w:t>
      </w:r>
      <w:r>
        <w:t xml:space="preserve">770</w:t>
      </w:r>
      <w:r>
        <w:t xml:space="preserve"> </w:t>
      </w:r>
      <w:r>
        <w:t xml:space="preserve">581</w:t>
      </w:r>
      <w:r>
        <w:t xml:space="preserve"> </w:t>
      </w:r>
      <w:r>
        <w:t xml:space="preserve">901</w:t>
      </w:r>
      <w:r>
        <w:t xml:space="preserve"> </w:t>
      </w:r>
      <w:r>
        <w:t xml:space="preserve">820</w:t>
      </w:r>
      <w:r>
        <w:t xml:space="preserve"> </w:t>
      </w:r>
      <w:r>
        <w:t xml:space="preserve">PO2c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17</w:t>
      </w:r>
      <w:r>
        <w:t xml:space="preserve"> </w:t>
      </w:r>
      <w:r>
        <w:t xml:space="preserve">5</w:t>
      </w:r>
      <w:r>
        <w:t xml:space="preserve"> </w:t>
      </w:r>
      <w:r>
        <w:t xml:space="preserve">13</w:t>
      </w:r>
      <w:r>
        <w:t xml:space="preserve"> </w:t>
      </w:r>
      <w:r>
        <w:t xml:space="preserve">15</w:t>
      </w:r>
      <w:r>
        <w:t xml:space="preserve"> </w:t>
      </w:r>
      <w:r>
        <w:t xml:space="preserve">PO2d</w:t>
      </w:r>
      <w:r>
        <w:t xml:space="preserve"> </w:t>
      </w:r>
      <w:r>
        <w:t xml:space="preserve">57</w:t>
      </w:r>
      <w:r>
        <w:t xml:space="preserve"> </w:t>
      </w:r>
      <w:r>
        <w:t xml:space="preserve">57</w:t>
      </w:r>
      <w:r>
        <w:t xml:space="preserve"> </w:t>
      </w:r>
      <w:r>
        <w:t xml:space="preserve">57</w:t>
      </w:r>
      <w:r>
        <w:t xml:space="preserve"> </w:t>
      </w:r>
      <w:r>
        <w:t xml:space="preserve">-8</w:t>
      </w:r>
      <w:r>
        <w:t xml:space="preserve"> </w:t>
      </w:r>
      <w:r>
        <w:t xml:space="preserve">-3</w:t>
      </w:r>
      <w:r>
        <w:t xml:space="preserve"> </w:t>
      </w:r>
      <w:r>
        <w:t xml:space="preserve">-1</w:t>
      </w:r>
      <w:r>
        <w:t xml:space="preserve"> </w:t>
      </w:r>
      <w:r>
        <w:t xml:space="preserve">-47</w:t>
      </w:r>
      <w:r>
        <w:t xml:space="preserve"> </w:t>
      </w:r>
      <w:r>
        <w:t xml:space="preserve">-16</w:t>
      </w:r>
      <w:r>
        <w:t xml:space="preserve"> </w:t>
      </w:r>
      <w:r>
        <w:t xml:space="preserve">-5</w:t>
      </w:r>
      <w:r>
        <w:t xml:space="preserve"> </w:t>
      </w:r>
      <w:r>
        <w:t xml:space="preserve">18</w:t>
      </w:r>
      <w:r>
        <w:t xml:space="preserve"> </w:t>
      </w:r>
      <w:r>
        <w:t xml:space="preserve">44</w:t>
      </w:r>
      <w:r>
        <w:t xml:space="preserve"> </w:t>
      </w:r>
      <w:r>
        <w:t xml:space="preserve">53</w:t>
      </w:r>
      <w:r>
        <w:t xml:space="preserve"> </w:t>
      </w:r>
      <w:r>
        <w:t xml:space="preserve">PO3</w:t>
      </w:r>
      <w:r>
        <w:t xml:space="preserve"> </w:t>
      </w:r>
      <w:r>
        <w:t xml:space="preserve">79</w:t>
      </w:r>
      <w:r>
        <w:t xml:space="preserve"> </w:t>
      </w:r>
      <w:r>
        <w:t xml:space="preserve">59</w:t>
      </w:r>
      <w:r>
        <w:t xml:space="preserve"> </w:t>
      </w:r>
      <w:r>
        <w:t xml:space="preserve">45</w:t>
      </w:r>
      <w:r>
        <w:t xml:space="preserve"> </w:t>
      </w:r>
      <w:r>
        <w:t xml:space="preserve">27</w:t>
      </w:r>
      <w:r>
        <w:t xml:space="preserve"> </w:t>
      </w:r>
      <w:r>
        <w:t xml:space="preserve">52</w:t>
      </w:r>
      <w:r>
        <w:t xml:space="preserve"> </w:t>
      </w:r>
      <w:r>
        <w:t xml:space="preserve">52</w:t>
      </w:r>
      <w:r>
        <w:t xml:space="preserve"> </w:t>
      </w:r>
      <w:r>
        <w:t xml:space="preserve">156</w:t>
      </w:r>
      <w:r>
        <w:t xml:space="preserve"> </w:t>
      </w:r>
      <w:r>
        <w:t xml:space="preserve">302</w:t>
      </w:r>
      <w:r>
        <w:t xml:space="preserve"> </w:t>
      </w:r>
      <w:r>
        <w:t xml:space="preserve">302</w:t>
      </w:r>
      <w:r>
        <w:t xml:space="preserve"> </w:t>
      </w:r>
      <w:r>
        <w:t xml:space="preserve">208</w:t>
      </w:r>
      <w:r>
        <w:t xml:space="preserve"> </w:t>
      </w:r>
      <w:r>
        <w:t xml:space="preserve">309</w:t>
      </w:r>
      <w:r>
        <w:t xml:space="preserve"> </w:t>
      </w:r>
      <w:r>
        <w:t xml:space="preserve">295</w:t>
      </w:r>
      <w:r>
        <w:t xml:space="preserve"> </w:t>
      </w:r>
      <w:r>
        <w:t xml:space="preserve">PO4a</w:t>
      </w:r>
      <w:r>
        <w:t xml:space="preserve"> </w:t>
      </w:r>
      <w:r>
        <w:t xml:space="preserve">0</w:t>
      </w:r>
      <w:r>
        <w:t xml:space="preserve"> </w:t>
      </w:r>
      <w:r>
        <w:t xml:space="preserve">-589</w:t>
      </w:r>
      <w:r>
        <w:t xml:space="preserve"> </w:t>
      </w:r>
      <w:r>
        <w:t xml:space="preserve">-459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93</w:t>
      </w:r>
      <w:r>
        <w:t xml:space="preserve"> </w:t>
      </w:r>
      <w:r>
        <w:t xml:space="preserve">93</w:t>
      </w:r>
      <w:r>
        <w:t xml:space="preserve"> </w:t>
      </w:r>
      <w:r>
        <w:t xml:space="preserve">0</w:t>
      </w:r>
      <w:r>
        <w:t xml:space="preserve"> </w:t>
      </w:r>
      <w:r>
        <w:t xml:space="preserve">682</w:t>
      </w:r>
      <w:r>
        <w:t xml:space="preserve"> </w:t>
      </w:r>
      <w:r>
        <w:t xml:space="preserve">552</w:t>
      </w:r>
      <w:r>
        <w:t xml:space="preserve"> </w:t>
      </w:r>
      <w:r>
        <w:t xml:space="preserve">PO4b</w:t>
      </w:r>
      <w:r>
        <w:t xml:space="preserve"> </w:t>
      </w:r>
      <w:r>
        <w:t xml:space="preserve">1.729</w:t>
      </w:r>
      <w:r>
        <w:t xml:space="preserve"> </w:t>
      </w:r>
      <w:r>
        <w:t xml:space="preserve">1.161</w:t>
      </w:r>
      <w:r>
        <w:t xml:space="preserve"> </w:t>
      </w:r>
      <w:r>
        <w:t xml:space="preserve">873</w:t>
      </w:r>
      <w:r>
        <w:t xml:space="preserve"> </w:t>
      </w:r>
      <w:r>
        <w:t xml:space="preserve">-200</w:t>
      </w:r>
      <w:r>
        <w:t xml:space="preserve"> </w:t>
      </w:r>
      <w:r>
        <w:t xml:space="preserve">-271</w:t>
      </w:r>
      <w:r>
        <w:t xml:space="preserve"> </w:t>
      </w:r>
      <w:r>
        <w:t xml:space="preserve">-271</w:t>
      </w:r>
      <w:r>
        <w:t xml:space="preserve"> </w:t>
      </w:r>
      <w:r>
        <w:t xml:space="preserve">-1.154 -1.565</w:t>
      </w:r>
      <w:r>
        <w:t xml:space="preserve"> </w:t>
      </w:r>
      <w:r>
        <w:t xml:space="preserve">-1.565</w:t>
      </w:r>
      <w:r>
        <w:t xml:space="preserve"> </w:t>
      </w:r>
      <w:r>
        <w:t xml:space="preserve">775</w:t>
      </w:r>
      <w:r>
        <w:t xml:space="preserve"> </w:t>
      </w:r>
      <w:r>
        <w:t xml:space="preserve">-133</w:t>
      </w:r>
      <w:r>
        <w:t xml:space="preserve"> </w:t>
      </w:r>
      <w:r>
        <w:t xml:space="preserve">-421</w:t>
      </w:r>
      <w:r>
        <w:t xml:space="preserve"> </w:t>
      </w:r>
      <w:r>
        <w:t xml:space="preserve">Table 6-9. Employment on the local space heaters sector, on electricity supply and on the rest of the economy</w:t>
      </w:r>
      <w:r>
        <w:t xml:space="preserve"> </w:t>
      </w:r>
      <w:r>
        <w:t xml:space="preserve">6.4.</w:t>
      </w:r>
      <w:r>
        <w:t xml:space="preserve"> </w:t>
      </w:r>
      <w:r>
        <w:t xml:space="preserve">Affordability (payback period)</w:t>
      </w:r>
      <w:r>
        <w:t xml:space="preserve"> </w:t>
      </w:r>
      <w:r>
        <w:t xml:space="preserve">The unit price is expected to increase between 0,04% and 8%, depending on the measure. For</w:t>
      </w:r>
      <w:r>
        <w:t xml:space="preserve"> </w:t>
      </w:r>
      <w:r>
        <w:t xml:space="preserve">PO2a, PO2b, PO2c and PO3, the higher price is outweighed by the energy consumption savings,</w:t>
      </w:r>
      <w:r>
        <w:t xml:space="preserve"> </w:t>
      </w:r>
      <w:r>
        <w:t xml:space="preserve">giving a payback time between 2 to 5 years, significantly below the lifetime of 9 years for portable</w:t>
      </w:r>
      <w:r>
        <w:t xml:space="preserve"> </w:t>
      </w:r>
      <w:r>
        <w:t xml:space="preserve">local space heaters, which is the shortest of all product subgroups. For PO4b the energy savings</w:t>
      </w:r>
      <w:r>
        <w:t xml:space="preserve"> </w:t>
      </w:r>
      <w:r>
        <w:t xml:space="preserve">generated by modularity, which would allow to replace an existing controller with a new and more</w:t>
      </w:r>
      <w:r>
        <w:t xml:space="preserve"> </w:t>
      </w:r>
      <w:r>
        <w:t xml:space="preserve">efficient one, cannot compensate in a reasonable timeframe the increase of purchase cost of</w:t>
      </w:r>
      <w:r>
        <w:t xml:space="preserve"> </w:t>
      </w:r>
      <w:r>
        <w:t xml:space="preserve">adapting the product design to the requirements. PO2d also has a large payback time. For PO4a</w:t>
      </w:r>
      <w:r>
        <w:t xml:space="preserve"> </w:t>
      </w:r>
      <w:r>
        <w:t xml:space="preserve">payback time is zero because there is neither price increase nor in-use energy savings against 2030,</w:t>
      </w:r>
      <w:r>
        <w:t xml:space="preserve"> </w:t>
      </w:r>
      <w:r>
        <w:t xml:space="preserve">which is the year taken as reference.</w:t>
      </w:r>
      <w:r>
        <w:br/>
      </w:r>
      <w:r>
        <w:t xml:space="preserve">Increase in average unit</w:t>
      </w:r>
      <w:r>
        <w:t xml:space="preserve"> </w:t>
      </w:r>
      <w:r>
        <w:t xml:space="preserve">price vs BAU</w:t>
      </w:r>
      <w:r>
        <w:br/>
      </w:r>
      <w:r>
        <w:t xml:space="preserve">Annual in –use saving vs. BAU</w:t>
      </w:r>
      <w:r>
        <w:t xml:space="preserve"> </w:t>
      </w:r>
      <w:r>
        <w:t xml:space="preserve">until 2030</w:t>
      </w:r>
      <w:r>
        <w:t xml:space="preserve"> </w:t>
      </w:r>
      <w:r>
        <w:t xml:space="preserve">Pay-back</w:t>
      </w:r>
      <w:r>
        <w:t xml:space="preserve"> </w:t>
      </w:r>
      <w:r>
        <w:t xml:space="preserve">time (years)</w:t>
      </w:r>
      <w:r>
        <w:t xml:space="preserve"> </w:t>
      </w:r>
      <w:r>
        <w:t xml:space="preserve">€/unit</w:t>
      </w:r>
      <w:r>
        <w:br/>
      </w:r>
      <w:r>
        <w:t xml:space="preserve">%/unit</w:t>
      </w:r>
      <w:r>
        <w:t xml:space="preserve"> </w:t>
      </w:r>
      <w:r>
        <w:t xml:space="preserve">€/year</w:t>
      </w:r>
      <w:r>
        <w:t xml:space="preserve"> </w:t>
      </w:r>
      <w:r>
        <w:t xml:space="preserve">%/year</w:t>
      </w:r>
      <w:r>
        <w:t xml:space="preserve"> </w:t>
      </w:r>
      <w:r>
        <w:t xml:space="preserve">PO2a</w:t>
      </w:r>
      <w:r>
        <w:t xml:space="preserve"> </w:t>
      </w:r>
      <w:r>
        <w:t xml:space="preserve">7,05</w:t>
      </w:r>
      <w:r>
        <w:t xml:space="preserve"> </w:t>
      </w:r>
      <w:r>
        <w:t xml:space="preserve">5,81</w:t>
      </w:r>
      <w:r>
        <w:t xml:space="preserve"> </w:t>
      </w:r>
      <w:r>
        <w:t xml:space="preserve">1,65</w:t>
      </w:r>
      <w:r>
        <w:t xml:space="preserve"> </w:t>
      </w:r>
      <w:r>
        <w:t xml:space="preserve">1,50</w:t>
      </w:r>
      <w:r>
        <w:t xml:space="preserve"> </w:t>
      </w:r>
      <w:r>
        <w:t xml:space="preserve">4,3</w:t>
      </w:r>
      <w:r>
        <w:t xml:space="preserve"> </w:t>
      </w:r>
      <w:r>
        <w:t xml:space="preserve">PO2b</w:t>
      </w:r>
      <w:r>
        <w:t xml:space="preserve"> </w:t>
      </w:r>
      <w:r>
        <w:t xml:space="preserve">1,92</w:t>
      </w:r>
      <w:r>
        <w:t xml:space="preserve"> </w:t>
      </w:r>
      <w:r>
        <w:t xml:space="preserve">1,65</w:t>
      </w:r>
      <w:r>
        <w:t xml:space="preserve"> </w:t>
      </w:r>
      <w:r>
        <w:t xml:space="preserve">0,40</w:t>
      </w:r>
      <w:r>
        <w:t xml:space="preserve"> </w:t>
      </w:r>
      <w:r>
        <w:t xml:space="preserve">0,36</w:t>
      </w:r>
      <w:r>
        <w:t xml:space="preserve"> </w:t>
      </w:r>
      <w:r>
        <w:t xml:space="preserve">4,8</w:t>
      </w:r>
      <w:r>
        <w:t xml:space="preserve"> </w:t>
      </w:r>
      <w:r>
        <w:t xml:space="preserve">PO2c</w:t>
      </w:r>
      <w:r>
        <w:t xml:space="preserve"> </w:t>
      </w:r>
      <w:r>
        <w:t xml:space="preserve">0,01</w:t>
      </w:r>
      <w:r>
        <w:t xml:space="preserve"> </w:t>
      </w:r>
      <w:r>
        <w:t xml:space="preserve">0,04</w:t>
      </w:r>
      <w:r>
        <w:t xml:space="preserve"> </w:t>
      </w:r>
      <w:r>
        <w:t xml:space="preserve">0,005</w:t>
      </w:r>
      <w:r>
        <w:t xml:space="preserve"> </w:t>
      </w:r>
      <w:r>
        <w:t xml:space="preserve">0,004</w:t>
      </w:r>
      <w:r>
        <w:t xml:space="preserve"> </w:t>
      </w:r>
      <w:r>
        <w:t xml:space="preserve">2,4</w:t>
      </w:r>
      <w:r>
        <w:t xml:space="preserve"> </w:t>
      </w:r>
      <w:r>
        <w:t xml:space="preserve">PO2d</w:t>
      </w:r>
      <w:r>
        <w:t xml:space="preserve"> </w:t>
      </w:r>
      <w:r>
        <w:t xml:space="preserve">0,64</w:t>
      </w:r>
      <w:r>
        <w:t xml:space="preserve"> </w:t>
      </w:r>
      <w:r>
        <w:t xml:space="preserve">0,56</w:t>
      </w:r>
      <w:r>
        <w:t xml:space="preserve"> </w:t>
      </w:r>
      <w:r>
        <w:t xml:space="preserve">0,02</w:t>
      </w:r>
      <w:r>
        <w:t xml:space="preserve"> </w:t>
      </w:r>
      <w:r>
        <w:t xml:space="preserve">0,02</w:t>
      </w:r>
      <w:r>
        <w:t xml:space="preserve"> </w:t>
      </w:r>
      <w:r>
        <w:t xml:space="preserve">37,9</w:t>
      </w:r>
      <w:r>
        <w:t xml:space="preserve"> </w:t>
      </w:r>
      <w:r>
        <w:t xml:space="preserve">PO3</w:t>
      </w:r>
      <w:r>
        <w:t xml:space="preserve"> </w:t>
      </w:r>
      <w:r>
        <w:t xml:space="preserve">0,47</w:t>
      </w:r>
      <w:r>
        <w:t xml:space="preserve"> </w:t>
      </w:r>
      <w:r>
        <w:t xml:space="preserve">0,35</w:t>
      </w:r>
      <w:r>
        <w:t xml:space="preserve"> </w:t>
      </w:r>
      <w:r>
        <w:t xml:space="preserve">0,16</w:t>
      </w:r>
      <w:r>
        <w:t xml:space="preserve"> </w:t>
      </w:r>
      <w:r>
        <w:t xml:space="preserve">0,14</w:t>
      </w:r>
      <w:r>
        <w:t xml:space="preserve"> </w:t>
      </w:r>
      <w:r>
        <w:t xml:space="preserve">2,9</w:t>
      </w:r>
      <w:r>
        <w:t xml:space="preserve"> </w:t>
      </w:r>
      <w:r>
        <w:t xml:space="preserve">PO4a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</w:t>
      </w:r>
      <w:r>
        <w:t xml:space="preserve"> </w:t>
      </w:r>
      <w:r>
        <w:t xml:space="preserve">PO4b</w:t>
      </w:r>
      <w:r>
        <w:t xml:space="preserve"> </w:t>
      </w:r>
      <w:r>
        <w:t xml:space="preserve">10,92</w:t>
      </w:r>
      <w:r>
        <w:t xml:space="preserve"> </w:t>
      </w:r>
      <w:r>
        <w:t xml:space="preserve">8,06</w:t>
      </w:r>
      <w:r>
        <w:t xml:space="preserve"> </w:t>
      </w:r>
      <w:r>
        <w:t xml:space="preserve">0,02</w:t>
      </w:r>
      <w:r>
        <w:t xml:space="preserve"> </w:t>
      </w:r>
      <w:r>
        <w:t xml:space="preserve">0,01</w:t>
      </w:r>
      <w:r>
        <w:t xml:space="preserve"> </w:t>
      </w:r>
      <w:r>
        <w:t xml:space="preserve">699</w:t>
      </w:r>
      <w:r>
        <w:t xml:space="preserve"> </w:t>
      </w:r>
      <w:r>
        <w:t xml:space="preserve">Table 6-7. Payback periods for each measure</w:t>
      </w:r>
      <w:r>
        <w:t xml:space="preserve"> </w:t>
      </w:r>
      <w:r>
        <w:t xml:space="preserve">6.5.</w:t>
      </w:r>
      <w:r>
        <w:t xml:space="preserve"> </w:t>
      </w:r>
      <w:r>
        <w:t xml:space="preserve">Burden reduction</w:t>
      </w:r>
      <w:r>
        <w:t xml:space="preserve"> </w:t>
      </w:r>
      <w:r>
        <w:t xml:space="preserve">As explained in section 2.1.1, the lack of clarity of the LSH Regulation is a source of burden with</w:t>
      </w:r>
      <w:r>
        <w:t xml:space="preserve"> </w:t>
      </w:r>
      <w:r>
        <w:t xml:space="preserve">negative consequences on the activity of manufacturers and market surveillance authorities. For</w:t>
      </w:r>
      <w:r>
        <w:t xml:space="preserve"> </w:t>
      </w:r>
      <w:r>
        <w:t xml:space="preserve">manufacturers, the burden is due to the unlevelled playing field between manufacturers compliant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with the ecodesign rules and those who are non-compliant, which increases administrative and</w:t>
      </w:r>
      <w:r>
        <w:t xml:space="preserve"> </w:t>
      </w:r>
      <w:r>
        <w:t xml:space="preserve">compliance costs of the former with respect to the latter. Excess administrative costs for compliant</w:t>
      </w:r>
      <w:r>
        <w:t xml:space="preserve"> </w:t>
      </w:r>
      <w:r>
        <w:t xml:space="preserve">manufacturers would be 547.995 € in total, 526.042 € for PO2a and 21.953 € for PO2b43. As far as</w:t>
      </w:r>
      <w:r>
        <w:t xml:space="preserve"> </w:t>
      </w:r>
      <w:r>
        <w:t xml:space="preserve">the excess compliance costs, they amount to 49,4 M€, 47,7M€ for PO2a and 1,7M€ for PO2b44.</w:t>
      </w:r>
      <w:r>
        <w:t xml:space="preserve"> </w:t>
      </w:r>
      <w:r>
        <w:t xml:space="preserve">Is it not possible to quantify the burden reduction for MSAs because there are no data about how</w:t>
      </w:r>
      <w:r>
        <w:t xml:space="preserve"> </w:t>
      </w:r>
      <w:r>
        <w:t xml:space="preserve">burden lengthens the time for authorities to select the appropriate products, including the</w:t>
      </w:r>
      <w:r>
        <w:t xml:space="preserve"> </w:t>
      </w:r>
      <w:r>
        <w:t xml:space="preserve">deliberations with manufacturers about the possible inclusion of their products in the scope.</w:t>
      </w:r>
      <w:r>
        <w:t xml:space="preserve"> </w:t>
      </w:r>
      <w:r>
        <w:t xml:space="preserve">Nevertheless, the reduction of the burden can be qualitatively estimated from the number of models</w:t>
      </w:r>
      <w:r>
        <w:t xml:space="preserve"> </w:t>
      </w:r>
      <w:r>
        <w:t xml:space="preserve">affected per product category. This is provided in table 7-1 in section 7, where it is shown that the</w:t>
      </w:r>
      <w:r>
        <w:t xml:space="preserve"> </w:t>
      </w:r>
      <w:r>
        <w:t xml:space="preserve">biggest burden reduction comes from PO2a, which includes the largest number of models, followed</w:t>
      </w:r>
      <w:r>
        <w:t xml:space="preserve"> </w:t>
      </w:r>
      <w:r>
        <w:t xml:space="preserve">by PO2b and PO2d. The rest of the measures are neutral in this respect.</w:t>
      </w:r>
      <w:r>
        <w:br/>
      </w:r>
      <w:r>
        <w:t xml:space="preserve">6.6.</w:t>
      </w:r>
      <w:r>
        <w:t xml:space="preserve"> </w:t>
      </w:r>
      <w:r>
        <w:t xml:space="preserve">SMEs</w:t>
      </w:r>
      <w:r>
        <w:t xml:space="preserve"> </w:t>
      </w:r>
      <w:r>
        <w:t xml:space="preserve">Around 57 SMEs will need to adapt their products to the new measures. It is expected that PO2</w:t>
      </w:r>
      <w:r>
        <w:t xml:space="preserve"> </w:t>
      </w:r>
      <w:r>
        <w:t xml:space="preserve">measures do not entail any significant additional burden for SME’s because no stricter energy</w:t>
      </w:r>
      <w:r>
        <w:t xml:space="preserve"> </w:t>
      </w:r>
      <w:r>
        <w:t xml:space="preserve">efficiency limits are set. Manufacturers making products that will come in the new scope, will need</w:t>
      </w:r>
      <w:r>
        <w:t xml:space="preserve"> </w:t>
      </w:r>
      <w:r>
        <w:t xml:space="preserve">to fit a suitable heater-controller combination or to inform about that combination in the product</w:t>
      </w:r>
      <w:r>
        <w:t xml:space="preserve"> </w:t>
      </w:r>
      <w:r>
        <w:t xml:space="preserve">packaging, but will not need to develop different technological solutions to fulfil the legislation.</w:t>
      </w:r>
      <w:r>
        <w:t xml:space="preserve"> </w:t>
      </w:r>
      <w:r>
        <w:t xml:space="preserve">Only PO4b would add significant costs because it will make it necessary to redesign some products</w:t>
      </w:r>
      <w:r>
        <w:t xml:space="preserve"> </w:t>
      </w:r>
      <w:r>
        <w:t xml:space="preserve">in order to meet the modularity requirements, and this impact would be more important for SME’s</w:t>
      </w:r>
      <w:r>
        <w:t xml:space="preserve"> </w:t>
      </w:r>
      <w:r>
        <w:t xml:space="preserve">because of their limited financial capabilities.</w:t>
      </w:r>
      <w:r>
        <w:t xml:space="preserve"> </w:t>
      </w:r>
      <w:r>
        <w:t xml:space="preserve">An SME test is carried out in Annex 9.</w:t>
      </w:r>
      <w:r>
        <w:t xml:space="preserve"> </w:t>
      </w:r>
      <w:r>
        <w:t xml:space="preserve">6.7.</w:t>
      </w:r>
      <w:r>
        <w:t xml:space="preserve"> </w:t>
      </w:r>
      <w:r>
        <w:t xml:space="preserve">Geographical impacts</w:t>
      </w:r>
      <w:r>
        <w:t xml:space="preserve"> </w:t>
      </w:r>
      <w:r>
        <w:t xml:space="preserve">France is the major user of fix electric heating in the EU (including fixed heaters, storage heaters,</w:t>
      </w:r>
      <w:r>
        <w:t xml:space="preserve"> </w:t>
      </w:r>
      <w:r>
        <w:t xml:space="preserve">visibly glowing and towel rails) with around 80% of the total of units sold in Europe, followed by</w:t>
      </w:r>
      <w:r>
        <w:t xml:space="preserve"> </w:t>
      </w:r>
      <w:r>
        <w:t xml:space="preserve">Spain and Sweden, with 245.000 and 150.000 units respectively45. Measures PO2a (slave heaters</w:t>
      </w:r>
      <w:r>
        <w:t xml:space="preserve"> </w:t>
      </w:r>
      <w:r>
        <w:t xml:space="preserve">will become fixed local space heaters when included in the scope of the legislation) and PO2b on</w:t>
      </w:r>
      <w:r>
        <w:t xml:space="preserve"> </w:t>
      </w:r>
      <w:r>
        <w:t xml:space="preserve">towel rails, will subsequently be felt with most intensity in France, and moderately in Spain and</w:t>
      </w:r>
      <w:r>
        <w:t xml:space="preserve"> </w:t>
      </w:r>
      <w:r>
        <w:t xml:space="preserve">Sweden. This is also the case for PO4a, as it has been assumed in the study according to Annex 4,</w:t>
      </w:r>
      <w:r>
        <w:t xml:space="preserve"> </w:t>
      </w:r>
      <w:r>
        <w:t xml:space="preserve">that the lifetime of electric fixed, visibly glowing and towel heaters will be extended, which are</w:t>
      </w:r>
      <w:r>
        <w:t xml:space="preserve"> </w:t>
      </w:r>
      <w:r>
        <w:t xml:space="preserve">again mostly used in France. Other Member States with a significant amount of fixed heaters and</w:t>
      </w:r>
    </w:p>
    <w:p>
      <w:pPr>
        <w:pStyle w:val="BodyText"/>
      </w:pPr>
      <w:r>
        <w:t xml:space="preserve">43 Excess administrative costs have been calculated by multiplying the number of models of slave heaters and towel</w:t>
      </w:r>
      <w:r>
        <w:t xml:space="preserve"> </w:t>
      </w:r>
      <w:r>
        <w:t xml:space="preserve">heaters originally in the scope by 1 hour for drawing up the DoC and by the estimated hourly labour cost for 2021</w:t>
      </w:r>
      <w:r>
        <w:t xml:space="preserve"> </w:t>
      </w:r>
      <w:r>
        <w:t xml:space="preserve">(32€/h). The number of models originally in the scope of the LSH Regulation per product subgroup is obtained by</w:t>
      </w:r>
      <w:r>
        <w:t xml:space="preserve"> </w:t>
      </w:r>
      <w:r>
        <w:t xml:space="preserve">multiplying the share of products in the scope before the application of the new measures as given in section 5 of</w:t>
      </w:r>
      <w:r>
        <w:t xml:space="preserve"> </w:t>
      </w:r>
      <w:r>
        <w:t xml:space="preserve">Annex 4 (70% for fix heaters, 10% underfloor heaters and 10% towel rails), by the sales of the respective product</w:t>
      </w:r>
      <w:r>
        <w:t xml:space="preserve"> </w:t>
      </w:r>
      <w:r>
        <w:t xml:space="preserve">subgroups in 2025, which gives the number of units originally in scope. The units of fix heaters, underfloorh eaters and</w:t>
      </w:r>
      <w:r>
        <w:t xml:space="preserve"> </w:t>
      </w:r>
      <w:r>
        <w:t xml:space="preserve">towel rails are then summed and the result divided by the total sales of local space heaters, which gives the share of</w:t>
      </w:r>
      <w:r>
        <w:t xml:space="preserve"> </w:t>
      </w:r>
      <w:r>
        <w:t xml:space="preserve">units originally in the scope from the total of units sold. The result is multiplied by 62.300 to obtain the number of</w:t>
      </w:r>
      <w:r>
        <w:t xml:space="preserve"> </w:t>
      </w:r>
      <w:r>
        <w:t xml:space="preserve">models originally in the scope.</w:t>
      </w:r>
      <w:r>
        <w:t xml:space="preserve"> </w:t>
      </w:r>
      <w:r>
        <w:t xml:space="preserve">44 Excess compliance costs have been calculated by dividing the increase of manufacturer turnover per year between</w:t>
      </w:r>
      <w:r>
        <w:t xml:space="preserve"> </w:t>
      </w:r>
      <w:r>
        <w:t xml:space="preserve">2024 and 2025 (year of application of the amendment to the LSH Regulation) with the share of non-compliant units for</w:t>
      </w:r>
      <w:r>
        <w:t xml:space="preserve"> </w:t>
      </w:r>
      <w:r>
        <w:t xml:space="preserve">both slave heaters and towel heaters, in order to obtain what the total increase of the turnover would be if all the</w:t>
      </w:r>
      <w:r>
        <w:t xml:space="preserve"> </w:t>
      </w:r>
      <w:r>
        <w:t xml:space="preserve">products were out of the scope and were to be brought in the scope, and this total is multiplied by the share of units</w:t>
      </w:r>
      <w:r>
        <w:t xml:space="preserve"> </w:t>
      </w:r>
      <w:r>
        <w:t xml:space="preserve">already in the scope to get the excess of turnover (hence compliance costs) corresponding to products already in the</w:t>
      </w:r>
      <w:r>
        <w:t xml:space="preserve"> </w:t>
      </w:r>
      <w:r>
        <w:t xml:space="preserve">scope. Note that, as explained in section 6.2.2, costs are directly calculated from manufacturer turnover.</w:t>
      </w:r>
      <w:r>
        <w:br/>
      </w:r>
      <w:r>
        <w:t xml:space="preserve">45 Own-elaborated information from data provided by industry.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where the abovementioned measures will have a notable impact are Finland, Germany, Poland,</w:t>
      </w:r>
      <w:r>
        <w:t xml:space="preserve"> </w:t>
      </w:r>
      <w:r>
        <w:t xml:space="preserve">Denmark and Austria.</w:t>
      </w:r>
      <w:r>
        <w:br/>
      </w:r>
      <w:r>
        <w:t xml:space="preserve">There is some more uncertainty about the geographical impact of PO3 and PO4b due to the lack of</w:t>
      </w:r>
      <w:r>
        <w:t xml:space="preserve"> </w:t>
      </w:r>
      <w:r>
        <w:t xml:space="preserve">data on the distribution of portable heaters per country, which account for 42% of local space</w:t>
      </w:r>
      <w:r>
        <w:t xml:space="preserve"> </w:t>
      </w:r>
      <w:r>
        <w:t xml:space="preserve">heaters sales and are also affected by these two measures. Nevertheless, according to the modelling</w:t>
      </w:r>
      <w:r>
        <w:t xml:space="preserve"> </w:t>
      </w:r>
      <w:r>
        <w:t xml:space="preserve">the most significant energy savings from PO3 and PO4b will be achieved from big fixed appliances</w:t>
      </w:r>
      <w:r>
        <w:t xml:space="preserve"> </w:t>
      </w:r>
      <w:r>
        <w:t xml:space="preserve">rather than small portable ones, which are less powerful and also less prone to innovation, so the</w:t>
      </w:r>
      <w:r>
        <w:t xml:space="preserve"> </w:t>
      </w:r>
      <w:r>
        <w:t xml:space="preserve">savings are expected again to concentrate on the above-mentioned countries.</w:t>
      </w:r>
      <w:r>
        <w:br/>
      </w:r>
      <w:r>
        <w:t xml:space="preserve">There is also uncertainty about the geographical impact of PO2c and PO2d due to the lack of data</w:t>
      </w:r>
      <w:r>
        <w:t xml:space="preserve"> </w:t>
      </w:r>
      <w:r>
        <w:t xml:space="preserve">on market share of the affected product subgroups per Member State. However, EPREL data</w:t>
      </w:r>
      <w:r>
        <w:t xml:space="preserve"> </w:t>
      </w:r>
      <w:r>
        <w:t xml:space="preserve">indicate that fossil fuel local space heaters manufacturers are predominantly located in Italy, and to</w:t>
      </w:r>
      <w:r>
        <w:t xml:space="preserve"> </w:t>
      </w:r>
      <w:r>
        <w:t xml:space="preserve">a lesser extent in Germany and France. Assuming that manufacturers are established in places that</w:t>
      </w:r>
      <w:r>
        <w:t xml:space="preserve"> </w:t>
      </w:r>
      <w:r>
        <w:t xml:space="preserve">are relatively close to the market, it seems reasonable to deduce that also Italy, Germany and</w:t>
      </w:r>
      <w:r>
        <w:t xml:space="preserve"> </w:t>
      </w:r>
      <w:r>
        <w:t xml:space="preserve">France, in this order, will be the Member States most affected by PO2c and PO2d.</w:t>
      </w:r>
      <w:r>
        <w:br/>
      </w:r>
      <w:r>
        <w:t xml:space="preserve">6.8.</w:t>
      </w:r>
      <w:r>
        <w:t xml:space="preserve"> </w:t>
      </w:r>
      <w:r>
        <w:t xml:space="preserve">Impacts of current geopolitical instability</w:t>
      </w:r>
      <w:r>
        <w:t xml:space="preserve"> </w:t>
      </w:r>
      <w:r>
        <w:t xml:space="preserve">In view of the sharply increasing energy prices due to the present political instability, the use of the</w:t>
      </w:r>
      <w:r>
        <w:t xml:space="preserve"> </w:t>
      </w:r>
      <w:r>
        <w:t xml:space="preserve">energy prices from REF2020 for the projections raises the question of whether the analysis</w:t>
      </w:r>
      <w:r>
        <w:t xml:space="preserve"> </w:t>
      </w:r>
      <w:r>
        <w:t xml:space="preserve">presented in the previous sections is realistic. The REPowerEU communication makes clear that</w:t>
      </w:r>
      <w:r>
        <w:t xml:space="preserve"> </w:t>
      </w:r>
      <w:r>
        <w:t xml:space="preserve">there will be structural changes in EU energy supply that are likely to result in continuing higher</w:t>
      </w:r>
      <w:r>
        <w:t xml:space="preserve"> </w:t>
      </w:r>
      <w:r>
        <w:t xml:space="preserve">energy prices. Higher energy prices would increase consumer expenditure during the use phase and</w:t>
      </w:r>
      <w:r>
        <w:t xml:space="preserve"> </w:t>
      </w:r>
      <w:r>
        <w:t xml:space="preserve">therefore amplify the consumer savings from the proposed measures. The REPowerEU</w:t>
      </w:r>
      <w:r>
        <w:t xml:space="preserve"> </w:t>
      </w:r>
      <w:r>
        <w:t xml:space="preserve">communication also underscores the need to step up energy efficiency investments in the light of</w:t>
      </w:r>
      <w:r>
        <w:t xml:space="preserve"> </w:t>
      </w:r>
      <w:r>
        <w:t xml:space="preserve">the changed geopolitical situation. All these factors point to the likelihood that the assessment as</w:t>
      </w:r>
      <w:r>
        <w:t xml:space="preserve"> </w:t>
      </w:r>
      <w:r>
        <w:t xml:space="preserve">described insufficiently values the energy savings from PO2 and PO3 and therefore gives too low</w:t>
      </w:r>
      <w:r>
        <w:t xml:space="preserve"> </w:t>
      </w:r>
      <w:r>
        <w:t xml:space="preserve">an efficiency score to them.</w:t>
      </w:r>
      <w:r>
        <w:t xml:space="preserve"> </w:t>
      </w:r>
      <w:r>
        <w:t xml:space="preserve">Section 8.4 includes an affordability analysis to understand how the considered options would be</w:t>
      </w:r>
      <w:r>
        <w:t xml:space="preserve"> </w:t>
      </w:r>
      <w:r>
        <w:t xml:space="preserve">affected in a situation of escalating energy prices. In this analysis, the payback time for higher</w:t>
      </w:r>
      <w:r>
        <w:t xml:space="preserve"> </w:t>
      </w:r>
      <w:r>
        <w:t xml:space="preserve">energy prices have been calculated assuming the adoption of ecodesign measures which are more</w:t>
      </w:r>
      <w:r>
        <w:t xml:space="preserve"> </w:t>
      </w:r>
      <w:r>
        <w:t xml:space="preserve">ambitious than those assessed in this IA and that would provide an additional 2% increase in the</w:t>
      </w:r>
      <w:r>
        <w:t xml:space="preserve"> </w:t>
      </w:r>
      <w:r>
        <w:t xml:space="preserve">energy efficiency of local space heaters (thus doubling the energy savings of the preferred policy</w:t>
      </w:r>
      <w:r>
        <w:t xml:space="preserve"> </w:t>
      </w:r>
      <w:r>
        <w:t xml:space="preserve">option in this IA). In addition, Annex 8 includes a sensitivity analysis based on the Climate Target</w:t>
      </w:r>
      <w:r>
        <w:t xml:space="preserve"> </w:t>
      </w:r>
      <w:r>
        <w:t xml:space="preserve">Plan MIX scenario46, with higher energy prices, lower carbon intensity and higher building</w:t>
      </w:r>
      <w:r>
        <w:t xml:space="preserve"> </w:t>
      </w:r>
      <w:r>
        <w:t xml:space="preserve">renovation rates vis-a-vis REF2020. However, the prices from this scenario are lower than current</w:t>
      </w:r>
      <w:r>
        <w:t xml:space="preserve"> </w:t>
      </w:r>
      <w:r>
        <w:t xml:space="preserve">prices. There is currently no PRIMES scenario that has been adapted to the new situation.</w:t>
      </w:r>
      <w:r>
        <w:t xml:space="preserve"> </w:t>
      </w:r>
      <w:r>
        <w:t xml:space="preserve">6.9.</w:t>
      </w:r>
      <w:r>
        <w:t xml:space="preserve"> </w:t>
      </w:r>
      <w:r>
        <w:t xml:space="preserve">Summary of impacts</w:t>
      </w:r>
      <w:r>
        <w:t xml:space="preserve"> </w:t>
      </w:r>
      <w:r>
        <w:t xml:space="preserve">Table 6-1047 shows a qualitative summary of the impacts of the different measures, based on the</w:t>
      </w:r>
      <w:r>
        <w:t xml:space="preserve"> </w:t>
      </w:r>
      <w:r>
        <w:t xml:space="preserve">quantitative results presented in the previous sections 6-1 to 6-8. Further insight on the impacts of</w:t>
      </w:r>
      <w:r>
        <w:t xml:space="preserve"> </w:t>
      </w:r>
      <w:r>
        <w:t xml:space="preserve">the different policy options, including graphs, are provided in Annex 5.</w:t>
      </w:r>
    </w:p>
    <w:p>
      <w:pPr>
        <w:pStyle w:val="BodyText"/>
      </w:pPr>
      <w:r>
        <w:t xml:space="preserve">46 Policy scenarios for delivering the European Green Deal (europa.eu)</w:t>
      </w:r>
      <w:r>
        <w:t xml:space="preserve"> </w:t>
      </w:r>
      <w:r>
        <w:t xml:space="preserve">47 Where no impact is assessed this is shown as a ‘0’ in the table. Any improvement in any of the aspects as a result of</w:t>
      </w:r>
      <w:r>
        <w:t xml:space="preserve"> </w:t>
      </w:r>
      <w:r>
        <w:t xml:space="preserve">the option is shown using ‘+’. The number of ‘+’ is indicative of the scale of the impacts but these should be treated</w:t>
      </w:r>
      <w:r>
        <w:t xml:space="preserve"> </w:t>
      </w:r>
      <w:r>
        <w:t xml:space="preserve">with care since the magnitude of the differences in many cases is large. Similarly any deterioration in an aspect as a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In-use energy</w:t>
      </w:r>
      <w:r>
        <w:t xml:space="preserve"> </w:t>
      </w:r>
      <w:r>
        <w:t xml:space="preserve">savings</w:t>
      </w:r>
      <w:r>
        <w:t xml:space="preserve"> </w:t>
      </w:r>
      <w:r>
        <w:t xml:space="preserve">Primary energy</w:t>
      </w:r>
      <w:r>
        <w:t xml:space="preserve"> </w:t>
      </w:r>
      <w:r>
        <w:t xml:space="preserve">savings</w:t>
      </w:r>
      <w:r>
        <w:t xml:space="preserve"> </w:t>
      </w:r>
      <w:r>
        <w:t xml:space="preserve">GHG savings</w:t>
      </w:r>
      <w:r>
        <w:t xml:space="preserve"> </w:t>
      </w:r>
      <w:r>
        <w:t xml:space="preserve">Acidification</w:t>
      </w:r>
      <w:r>
        <w:t xml:space="preserve"> </w:t>
      </w:r>
      <w:r>
        <w:t xml:space="preserve">Consumer</w:t>
      </w:r>
      <w:r>
        <w:t xml:space="preserve"> </w:t>
      </w:r>
      <w:r>
        <w:t xml:space="preserve">savings</w:t>
      </w:r>
      <w:r>
        <w:t xml:space="preserve"> </w:t>
      </w:r>
      <w:r>
        <w:t xml:space="preserve">Employment</w:t>
      </w:r>
      <w:r>
        <w:t xml:space="preserve"> </w:t>
      </w:r>
      <w:r>
        <w:t xml:space="preserve">Payback</w:t>
      </w:r>
      <w:r>
        <w:t xml:space="preserve"> </w:t>
      </w:r>
      <w:r>
        <w:t xml:space="preserve">time</w:t>
      </w:r>
      <w:r>
        <w:t xml:space="preserve"> </w:t>
      </w:r>
      <w:r>
        <w:t xml:space="preserve">2030 2040 2050 2030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2030 2040 2050 2030 2040 2050 2030 2040 2050 2030 2040 2050</w:t>
      </w:r>
      <w:r>
        <w:t xml:space="preserve"> </w:t>
      </w:r>
      <w:r>
        <w:t xml:space="preserve">PO2a</w:t>
      </w:r>
      <w:r>
        <w:t xml:space="preserve"> </w:t>
      </w:r>
      <w:r>
        <w:t xml:space="preserve">++++ ++++ ++++ ++++ ++++ ++++ ++++++++ ++++ ++++ ++++++++ ++++ ++++ ++++ ++++ ++++++++</w:t>
      </w:r>
      <w:r>
        <w:t xml:space="preserve"> </w:t>
      </w:r>
      <w:r>
        <w:t xml:space="preserve">+</w:t>
      </w:r>
      <w:r>
        <w:t xml:space="preserve"> </w:t>
      </w:r>
      <w:r>
        <w:t xml:space="preserve">PO2b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PO2c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PO2d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PO3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PO4a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PO4b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—</w:t>
      </w:r>
      <w:r>
        <w:t xml:space="preserve"> </w:t>
      </w:r>
      <w:r>
        <w:t xml:space="preserve">Table 6-10. Summary of the impacts of the different measures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options identified are individually assessed against the objectives set out in Section 4. Each</w:t>
      </w:r>
      <w:r>
        <w:t xml:space="preserve"> </w:t>
      </w:r>
      <w:r>
        <w:t xml:space="preserve">option is assessed for its effectiveness in achieving those objectives, its efficiency in doing so and</w:t>
      </w:r>
      <w:r>
        <w:t xml:space="preserve"> </w:t>
      </w:r>
      <w:r>
        <w:t xml:space="preserve">its coherence.</w:t>
      </w:r>
      <w:r>
        <w:br/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Effectiveness refers to the extent to which the proposed options would achieve the objectives set</w:t>
      </w:r>
      <w:r>
        <w:t xml:space="preserve"> </w:t>
      </w:r>
      <w:r>
        <w:t xml:space="preserve">out in Section 4. Effectiveness has been assessed from three angles: energy savings (Effect1),</w:t>
      </w:r>
      <w:r>
        <w:t xml:space="preserve"> </w:t>
      </w:r>
      <w:r>
        <w:t xml:space="preserve">which will also lead to a proportionate reduction of GHG emissions and acidification, resource</w:t>
      </w:r>
      <w:r>
        <w:t xml:space="preserve"> </w:t>
      </w:r>
      <w:r>
        <w:t xml:space="preserve">efficiency (Effect2) in terms of reduction of fuel (coal/lignite, petroleum products, natural gas and</w:t>
      </w:r>
      <w:r>
        <w:t xml:space="preserve"> </w:t>
      </w:r>
      <w:r>
        <w:t xml:space="preserve">biomass/waste) and material for the production of heaters, and reduction of administrative burden</w:t>
      </w:r>
      <w:r>
        <w:t xml:space="preserve"> </w:t>
      </w:r>
      <w:r>
        <w:t xml:space="preserve">(Effect3). Besides the impacts considered in Effect2, further impacts related to resource</w:t>
      </w:r>
      <w:r>
        <w:t xml:space="preserve"> </w:t>
      </w:r>
      <w:r>
        <w:t xml:space="preserve">efficiency/circular economy are addressed in Annex 5. The values displayed in table 7-1 are</w:t>
      </w:r>
      <w:r>
        <w:t xml:space="preserve"> </w:t>
      </w:r>
      <w:r>
        <w:t xml:space="preserve">cumulative over the periods 2025 (year of implementation of the preferred policy option) - 2030,</w:t>
      </w:r>
      <w:r>
        <w:t xml:space="preserve"> </w:t>
      </w:r>
      <w:r>
        <w:t xml:space="preserve">2025 - 2040 and 2025 - 2050. The reason why it is preferred to use cumulative values over a period</w:t>
      </w:r>
      <w:r>
        <w:t xml:space="preserve"> </w:t>
      </w:r>
      <w:r>
        <w:t xml:space="preserve">instead of values for a single year is explained in section 7.2.</w:t>
      </w:r>
    </w:p>
    <w:p>
      <w:pPr>
        <w:pStyle w:val="BodyText"/>
      </w:pPr>
      <w:r>
        <w:t xml:space="preserve">Energy savings - Effect1</w:t>
      </w:r>
      <w:r>
        <w:t xml:space="preserve"> </w:t>
      </w:r>
      <w:r>
        <w:t xml:space="preserve">Resource efficiency - Effect 2</w:t>
      </w:r>
      <w:r>
        <w:br/>
      </w:r>
      <w:r>
        <w:t xml:space="preserve">Reduced burden - Effect3 (from section</w:t>
      </w:r>
      <w:r>
        <w:t xml:space="preserve"> </w:t>
      </w:r>
      <w:r>
        <w:t xml:space="preserve">6.4)</w:t>
      </w:r>
      <w:r>
        <w:t xml:space="preserve"> </w:t>
      </w:r>
      <w:r>
        <w:t xml:space="preserve">In-use energy</w:t>
      </w:r>
      <w:r>
        <w:t xml:space="preserve"> </w:t>
      </w:r>
      <w:r>
        <w:t xml:space="preserve">savings (Twh)</w:t>
      </w:r>
      <w:r>
        <w:t xml:space="preserve"> </w:t>
      </w:r>
      <w:r>
        <w:t xml:space="preserve">Embedded</w:t>
      </w:r>
      <w:r>
        <w:t xml:space="preserve"> </w:t>
      </w:r>
      <w:r>
        <w:t xml:space="preserve">energy savings</w:t>
      </w:r>
      <w:r>
        <w:t xml:space="preserve"> </w:t>
      </w:r>
      <w:r>
        <w:t xml:space="preserve">(Twh)</w:t>
      </w:r>
      <w:r>
        <w:t xml:space="preserve"> </w:t>
      </w:r>
      <w:r>
        <w:t xml:space="preserve">Score</w:t>
      </w:r>
      <w:r>
        <w:t xml:space="preserve"> </w:t>
      </w:r>
      <w:r>
        <w:t xml:space="preserve">Fuel savings</w:t>
      </w:r>
      <w:r>
        <w:t xml:space="preserve"> </w:t>
      </w:r>
      <w:r>
        <w:t xml:space="preserve">(Mtons)</w:t>
      </w:r>
      <w:r>
        <w:t xml:space="preserve"> </w:t>
      </w:r>
      <w:r>
        <w:t xml:space="preserve">Material saved for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(Tons)</w:t>
      </w:r>
      <w:r>
        <w:t xml:space="preserve"> </w:t>
      </w:r>
      <w:r>
        <w:t xml:space="preserve">Score</w:t>
      </w:r>
      <w:r>
        <w:t xml:space="preserve"> </w:t>
      </w:r>
      <w:r>
        <w:t xml:space="preserve">MSAs</w:t>
      </w:r>
      <w:r>
        <w:t xml:space="preserve"> </w:t>
      </w:r>
      <w:r>
        <w:t xml:space="preserve">Manufacturers</w:t>
      </w:r>
      <w:r>
        <w:t xml:space="preserve"> </w:t>
      </w:r>
      <w:r>
        <w:t xml:space="preserve">Score</w:t>
      </w:r>
      <w:r>
        <w:br/>
      </w:r>
      <w:r>
        <w:t xml:space="preserve">Excess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that</w:t>
      </w:r>
      <w:r>
        <w:t xml:space="preserve"> </w:t>
      </w:r>
      <w:r>
        <w:t xml:space="preserve">disappear (k€)</w:t>
      </w:r>
      <w:r>
        <w:t xml:space="preserve"> </w:t>
      </w:r>
      <w:r>
        <w:t xml:space="preserve">Excess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that</w:t>
      </w:r>
      <w:r>
        <w:t xml:space="preserve"> </w:t>
      </w:r>
      <w:r>
        <w:t xml:space="preserve">disappear</w:t>
      </w:r>
      <w:r>
        <w:t xml:space="preserve"> </w:t>
      </w:r>
      <w:r>
        <w:t xml:space="preserve">(M€)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PO2a 7,7 40,4 84,0 0,0</w:t>
      </w:r>
      <w:r>
        <w:t xml:space="preserve"> </w:t>
      </w:r>
      <w:r>
        <w:t xml:space="preserve">0,0</w:t>
      </w:r>
      <w:r>
        <w:t xml:space="preserve"> </w:t>
      </w:r>
      <w:r>
        <w:t xml:space="preserve">0,0 +++ 1,78 9,13 18,72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+++ +++</w:t>
      </w:r>
      <w:r>
        <w:t xml:space="preserve"> </w:t>
      </w:r>
      <w:r>
        <w:t xml:space="preserve">526,04</w:t>
      </w:r>
      <w:r>
        <w:t xml:space="preserve"> </w:t>
      </w:r>
      <w:r>
        <w:t xml:space="preserve">47,7</w:t>
      </w:r>
      <w:r>
        <w:t xml:space="preserve"> </w:t>
      </w:r>
      <w:r>
        <w:t xml:space="preserve">+++</w:t>
      </w:r>
      <w:r>
        <w:t xml:space="preserve"> </w:t>
      </w:r>
      <w:r>
        <w:t xml:space="preserve">PO2b 1,8</w:t>
      </w:r>
      <w:r>
        <w:t xml:space="preserve"> </w:t>
      </w:r>
      <w:r>
        <w:t xml:space="preserve">9,5 18,6 0,0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++ 0,43 2,15 4,11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21,95</w:t>
      </w:r>
      <w:r>
        <w:t xml:space="preserve"> </w:t>
      </w:r>
      <w:r>
        <w:t xml:space="preserve">1,7</w:t>
      </w:r>
      <w:r>
        <w:t xml:space="preserve"> </w:t>
      </w:r>
      <w:r>
        <w:t xml:space="preserve">++</w:t>
      </w:r>
      <w:r>
        <w:t xml:space="preserve"> </w:t>
      </w:r>
      <w:r>
        <w:t xml:space="preserve">PO2c 0,1</w:t>
      </w:r>
      <w:r>
        <w:t xml:space="preserve"> </w:t>
      </w:r>
      <w:r>
        <w:t xml:space="preserve">0,6</w:t>
      </w:r>
      <w:r>
        <w:t xml:space="preserve"> </w:t>
      </w:r>
      <w:r>
        <w:t xml:space="preserve">1,3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+</w:t>
      </w:r>
      <w:r>
        <w:t xml:space="preserve"> </w:t>
      </w:r>
      <w:r>
        <w:t xml:space="preserve">0,03 0,13 0,28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PO2d 0,2</w:t>
      </w:r>
      <w:r>
        <w:t xml:space="preserve"> </w:t>
      </w:r>
      <w:r>
        <w:t xml:space="preserve">1,2</w:t>
      </w:r>
      <w:r>
        <w:t xml:space="preserve"> </w:t>
      </w:r>
      <w:r>
        <w:t xml:space="preserve">2,6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+</w:t>
      </w:r>
      <w:r>
        <w:t xml:space="preserve"> </w:t>
      </w:r>
      <w:r>
        <w:t xml:space="preserve">0,05 0,26 0,56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PO3</w:t>
      </w:r>
      <w:r>
        <w:t xml:space="preserve"> </w:t>
      </w:r>
      <w:r>
        <w:t xml:space="preserve">0,8</w:t>
      </w:r>
      <w:r>
        <w:t xml:space="preserve"> </w:t>
      </w:r>
      <w:r>
        <w:t xml:space="preserve">3,6</w:t>
      </w:r>
      <w:r>
        <w:t xml:space="preserve"> </w:t>
      </w:r>
      <w:r>
        <w:t xml:space="preserve">6,8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++ 0,18 0,81 1,51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PO4a 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0,1</w:t>
      </w:r>
      <w:r>
        <w:t xml:space="preserve"> </w:t>
      </w:r>
      <w:r>
        <w:t xml:space="preserve">0,6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2.003 22.197 +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PO4b 0,1</w:t>
      </w:r>
      <w:r>
        <w:t xml:space="preserve"> </w:t>
      </w:r>
      <w:r>
        <w:t xml:space="preserve">0,4</w:t>
      </w:r>
      <w:r>
        <w:t xml:space="preserve"> </w:t>
      </w:r>
      <w:r>
        <w:t xml:space="preserve">0,7</w:t>
      </w:r>
      <w:r>
        <w:t xml:space="preserve"> </w:t>
      </w:r>
      <w:r>
        <w:t xml:space="preserve">0,0</w:t>
      </w:r>
      <w:r>
        <w:t xml:space="preserve"> </w:t>
      </w:r>
      <w:r>
        <w:t xml:space="preserve">0,1</w:t>
      </w:r>
      <w:r>
        <w:t xml:space="preserve"> </w:t>
      </w:r>
      <w:r>
        <w:t xml:space="preserve">0,3</w:t>
      </w:r>
      <w:r>
        <w:t xml:space="preserve"> </w:t>
      </w:r>
      <w:r>
        <w:t xml:space="preserve">+</w:t>
      </w:r>
      <w:r>
        <w:t xml:space="preserve"> </w:t>
      </w:r>
      <w:r>
        <w:t xml:space="preserve">0,02 0,08 0,16</w:t>
      </w:r>
      <w:r>
        <w:t xml:space="preserve"> </w:t>
      </w:r>
      <w:r>
        <w:t xml:space="preserve">0</w:t>
      </w:r>
      <w:r>
        <w:t xml:space="preserve"> </w:t>
      </w:r>
      <w:r>
        <w:t xml:space="preserve">2.566 9.663</w:t>
      </w:r>
      <w:r>
        <w:t xml:space="preserve"> </w:t>
      </w:r>
      <w:r>
        <w:t xml:space="preserve">+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Table 7-1. Effectiveness of the different measures</w:t>
      </w:r>
    </w:p>
    <w:p>
      <w:pPr>
        <w:pStyle w:val="BodyText"/>
      </w:pPr>
      <w:r>
        <w:t xml:space="preserve">result of the option is shown using ‘-’, being the number of ‘-’ is indicative of the scale of the impacts. The majority of</w:t>
      </w:r>
      <w:r>
        <w:t xml:space="preserve"> </w:t>
      </w:r>
      <w:r>
        <w:t xml:space="preserve">the measures lead to in-use consumer cost savings and relatively low payback times. Two of the options, PO2d and</w:t>
      </w:r>
      <w:r>
        <w:t xml:space="preserve"> </w:t>
      </w:r>
      <w:r>
        <w:t xml:space="preserve">PO4b, do not have offsetting cost savings and are expected to result in an overall negative impact on consumers and</w:t>
      </w:r>
      <w:r>
        <w:t xml:space="preserve"> </w:t>
      </w:r>
      <w:r>
        <w:t xml:space="preserve">employment.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Table 7-1 shows that all measures lead to a reduction of energy consumption (Effect1), with PO2a</w:t>
      </w:r>
      <w:r>
        <w:t xml:space="preserve"> </w:t>
      </w:r>
      <w:r>
        <w:t xml:space="preserve">achieving the greatest savings with around 73% of the total. PO4 measures develop their full</w:t>
      </w:r>
      <w:r>
        <w:t xml:space="preserve"> </w:t>
      </w:r>
      <w:r>
        <w:t xml:space="preserve">potential in the long term. Only measures PO4a and PO4b bring some small long-term savings of</w:t>
      </w:r>
      <w:r>
        <w:t xml:space="preserve"> </w:t>
      </w:r>
      <w:r>
        <w:t xml:space="preserve">embedded energy due to the extension of the lifetime of the products.</w:t>
      </w:r>
      <w:r>
        <w:br/>
      </w:r>
      <w:r>
        <w:t xml:space="preserve">Effect2 follows a similar behaviour as Effect1 regarding fuel saved, since fuel consumption</w:t>
      </w:r>
      <w:r>
        <w:t xml:space="preserve"> </w:t>
      </w:r>
      <w:r>
        <w:t xml:space="preserve">decreases as in-use energy consumption does. Further, savings in embedded energy generated by</w:t>
      </w:r>
      <w:r>
        <w:t xml:space="preserve"> </w:t>
      </w:r>
      <w:r>
        <w:t xml:space="preserve">circular economy measures are also reflected in a reduction of the use of materials.</w:t>
      </w:r>
      <w:r>
        <w:t xml:space="preserve"> </w:t>
      </w:r>
      <w:r>
        <w:t xml:space="preserve">As far as Effect3, PO2a and PO2b reduce the burden for manufacturers as explained in section 6.5.</w:t>
      </w:r>
      <w:r>
        <w:t xml:space="preserve"> </w:t>
      </w:r>
      <w:r>
        <w:t xml:space="preserve">Also PO2d reduces burden by aligning the LSH Regulation with the standards, although in this case</w:t>
      </w:r>
      <w:r>
        <w:t xml:space="preserve"> </w:t>
      </w:r>
      <w:r>
        <w:t xml:space="preserve">it is not possible to monetise the burden reduction of the alignment.</w:t>
      </w:r>
      <w:r>
        <w:t xml:space="preserve"> </w:t>
      </w:r>
      <w:r>
        <w:t xml:space="preserve">Possible trade-offs</w:t>
      </w:r>
      <w:r>
        <w:t xml:space="preserve"> </w:t>
      </w:r>
      <w:r>
        <w:t xml:space="preserve">PO4a and PO4b extend the lifetime of the products, for which reason a trade-off could be expected</w:t>
      </w:r>
      <w:r>
        <w:t xml:space="preserve"> </w:t>
      </w:r>
      <w:r>
        <w:t xml:space="preserve">whereby the extension of the lifetime of old equipment would slow down the purchase of new</w:t>
      </w:r>
      <w:r>
        <w:t xml:space="preserve"> </w:t>
      </w:r>
      <w:r>
        <w:t xml:space="preserve">devices, resulting in a final increase of in-use energy. Nevertheless, in the case of the measures</w:t>
      </w:r>
      <w:r>
        <w:t xml:space="preserve"> </w:t>
      </w:r>
      <w:r>
        <w:t xml:space="preserve">under analysis the extension of the lifetime of the heaters does not really delay the purchase of</w:t>
      </w:r>
      <w:r>
        <w:t xml:space="preserve"> </w:t>
      </w:r>
      <w:r>
        <w:t xml:space="preserve">more efficient ones: product subgroups that come in the scope for the first time are considered to</w:t>
      </w:r>
      <w:r>
        <w:t xml:space="preserve"> </w:t>
      </w:r>
      <w:r>
        <w:t xml:space="preserve">increase their efficiency one-off when they come in the scope, but their efficiency will remain</w:t>
      </w:r>
      <w:r>
        <w:t xml:space="preserve"> </w:t>
      </w:r>
      <w:r>
        <w:t xml:space="preserve">stable afterwards. The energy efficiency per unit remains therefore the same throughout the whole</w:t>
      </w:r>
      <w:r>
        <w:t xml:space="preserve"> </w:t>
      </w:r>
      <w:r>
        <w:t xml:space="preserve">period of analysis, what means that a replaced heater will have the same efficiency as a new one</w:t>
      </w:r>
      <w:r>
        <w:t xml:space="preserve"> </w:t>
      </w:r>
      <w:r>
        <w:t xml:space="preserve">belonging to the same product subgroup, as long as the former was already in the scope of the LSH</w:t>
      </w:r>
      <w:r>
        <w:t xml:space="preserve"> </w:t>
      </w:r>
      <w:r>
        <w:t xml:space="preserve">Regulation at the moment of purchase. Circular economy measures will therefore reduce embedded</w:t>
      </w:r>
      <w:r>
        <w:t xml:space="preserve"> </w:t>
      </w:r>
      <w:r>
        <w:t xml:space="preserve">energy without increasing in-use energy consumption.</w:t>
      </w:r>
      <w:r>
        <w:br/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This section assesses the benefit generated per monetary unit spent by the consumer for each policy</w:t>
      </w:r>
      <w:r>
        <w:t xml:space="preserve"> </w:t>
      </w:r>
      <w:r>
        <w:t xml:space="preserve">option with respect to BAU, or in other words, the efficiency of consumer expenditure in</w:t>
      </w:r>
      <w:r>
        <w:t xml:space="preserve"> </w:t>
      </w:r>
      <w:r>
        <w:t xml:space="preserve">generating the benefits addressed in section 7.1. Four aspects are assessed as regards their</w:t>
      </w:r>
      <w:r>
        <w:t xml:space="preserve"> </w:t>
      </w:r>
      <w:r>
        <w:t xml:space="preserve">efficiency, namely in-use energy savings (Effic1), embedded energy savings (Effic2), fuel savings</w:t>
      </w:r>
      <w:r>
        <w:t xml:space="preserve"> </w:t>
      </w:r>
      <w:r>
        <w:t xml:space="preserve">(Effic3) and material savings (Effic4).</w:t>
      </w:r>
      <w:r>
        <w:t xml:space="preserve"> </w:t>
      </w:r>
      <w:r>
        <w:t xml:space="preserve">It is clear from the analysis performed in section 6.1 that the reduction of in-use energy</w:t>
      </w:r>
      <w:r>
        <w:t xml:space="preserve"> </w:t>
      </w:r>
      <w:r>
        <w:t xml:space="preserve">consumption follows an investment made by the consumer in the purchase of new equipment (in</w:t>
      </w:r>
      <w:r>
        <w:t xml:space="preserve"> </w:t>
      </w:r>
      <w:r>
        <w:t xml:space="preserve">the case of PO2 and PO3) or on the upgrade of controllers (in the case of PO4b). The reduction of</w:t>
      </w:r>
      <w:r>
        <w:t xml:space="preserve"> </w:t>
      </w:r>
      <w:r>
        <w:t xml:space="preserve">embedded energy in turn is either the consequence of the upgrade of controllers (in the case of</w:t>
      </w:r>
      <w:r>
        <w:t xml:space="preserve"> </w:t>
      </w:r>
      <w:r>
        <w:t xml:space="preserve">PO4b) or an investment on repair costs (in the case of PO4a). Consequently, the consumer</w:t>
      </w:r>
      <w:r>
        <w:t xml:space="preserve"> </w:t>
      </w:r>
      <w:r>
        <w:t xml:space="preserve">investment considered for Effic1 and Effic3 will be the costs of purchase of new equipment (in the</w:t>
      </w:r>
      <w:r>
        <w:t xml:space="preserve"> </w:t>
      </w:r>
      <w:r>
        <w:t xml:space="preserve">case of PO2 and PO3) or the investment in new controllers (in the case of PO4b) whereas for Effic2</w:t>
      </w:r>
      <w:r>
        <w:t xml:space="preserve"> </w:t>
      </w:r>
      <w:r>
        <w:t xml:space="preserve">and Effic4 the consumer investment will correspond to either the investment in new controllers</w:t>
      </w:r>
      <w:r>
        <w:t xml:space="preserve"> </w:t>
      </w:r>
      <w:r>
        <w:t xml:space="preserve">(PO4b) or the repair costs (for PO4a).</w:t>
      </w:r>
      <w:r>
        <w:br/>
      </w:r>
      <w:r>
        <w:t xml:space="preserve">The efficiency is based on the analysis of time periods instead of yearly values, because yearly</w:t>
      </w:r>
      <w:r>
        <w:t xml:space="preserve"> </w:t>
      </w:r>
      <w:r>
        <w:t xml:space="preserve">values would just provide the ratio benefits/investments for one single year and might not be</w:t>
      </w:r>
      <w:r>
        <w:t xml:space="preserve"> </w:t>
      </w:r>
      <w:r>
        <w:t xml:space="preserve">representative of the real benefits produced by an investment, the effects of which are spread over</w:t>
      </w:r>
      <w:r>
        <w:t xml:space="preserve"> </w:t>
      </w:r>
      <w:r>
        <w:t xml:space="preserve">several years. The periods of analysis are 2025 (year of implementation of the policy option) -</w:t>
      </w:r>
      <w:r>
        <w:t xml:space="preserve"> </w:t>
      </w:r>
      <w:r>
        <w:t xml:space="preserve">2030, 2025 - 2040 and 2025 - 2050.</w:t>
      </w:r>
    </w:p>
    <w:p>
      <w:pPr>
        <w:pStyle w:val="BodyText"/>
      </w:pPr>
      <w:r>
        <w:t xml:space="preserve">Effic1</w:t>
      </w:r>
      <w:r>
        <w:t xml:space="preserve"> </w:t>
      </w:r>
      <w:r>
        <w:t xml:space="preserve">Effic2</w:t>
      </w:r>
      <w:r>
        <w:t xml:space="preserve"> </w:t>
      </w:r>
      <w:r>
        <w:t xml:space="preserve">Effic3</w:t>
      </w:r>
      <w:r>
        <w:t xml:space="preserve"> </w:t>
      </w:r>
      <w:r>
        <w:t xml:space="preserve">Effic4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in-use energy</w:t>
      </w:r>
      <w:r>
        <w:t xml:space="preserve"> </w:t>
      </w:r>
      <w:r>
        <w:t xml:space="preserve">savings/consumer costs</w:t>
      </w:r>
      <w:r>
        <w:t xml:space="preserve"> </w:t>
      </w:r>
      <w:r>
        <w:t xml:space="preserve">(purchase or modularity)</w:t>
      </w:r>
      <w:r>
        <w:t xml:space="preserve"> </w:t>
      </w:r>
      <w:r>
        <w:t xml:space="preserve">(Kwh/€)</w:t>
      </w:r>
      <w:r>
        <w:t xml:space="preserve"> </w:t>
      </w:r>
      <w:r>
        <w:t xml:space="preserve">Score</w:t>
      </w:r>
      <w:r>
        <w:t xml:space="preserve"> </w:t>
      </w:r>
      <w:r>
        <w:t xml:space="preserve">embedded energy</w:t>
      </w:r>
      <w:r>
        <w:t xml:space="preserve"> </w:t>
      </w:r>
      <w:r>
        <w:t xml:space="preserve">savings/repair costs</w:t>
      </w:r>
      <w:r>
        <w:t xml:space="preserve"> </w:t>
      </w:r>
      <w:r>
        <w:t xml:space="preserve">(Kwh/€)</w:t>
      </w:r>
      <w:r>
        <w:t xml:space="preserve"> </w:t>
      </w:r>
      <w:r>
        <w:t xml:space="preserve">Score</w:t>
      </w:r>
      <w:r>
        <w:t xml:space="preserve"> </w:t>
      </w:r>
      <w:r>
        <w:t xml:space="preserve">fuel savings/consumer</w:t>
      </w:r>
      <w:r>
        <w:t xml:space="preserve"> </w:t>
      </w:r>
      <w:r>
        <w:t xml:space="preserve">costs (purchase or</w:t>
      </w:r>
      <w:r>
        <w:t xml:space="preserve"> </w:t>
      </w:r>
      <w:r>
        <w:t xml:space="preserve">modularity) (ton/M€)</w:t>
      </w:r>
      <w:r>
        <w:t xml:space="preserve"> </w:t>
      </w:r>
      <w:r>
        <w:t xml:space="preserve">Score</w:t>
      </w:r>
      <w:r>
        <w:t xml:space="preserve"> </w:t>
      </w:r>
      <w:r>
        <w:t xml:space="preserve">material</w:t>
      </w:r>
      <w:r>
        <w:t xml:space="preserve"> </w:t>
      </w:r>
      <w:r>
        <w:t xml:space="preserve">savings/repair costs</w:t>
      </w:r>
      <w:r>
        <w:t xml:space="preserve"> </w:t>
      </w:r>
      <w:r>
        <w:t xml:space="preserve">(ton/M€))</w:t>
      </w:r>
      <w:r>
        <w:t xml:space="preserve"> </w:t>
      </w:r>
      <w:r>
        <w:t xml:space="preserve">Score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PO2a</w:t>
      </w:r>
      <w:r>
        <w:t xml:space="preserve"> </w:t>
      </w:r>
      <w:r>
        <w:t xml:space="preserve">10,1</w:t>
      </w:r>
      <w:r>
        <w:t xml:space="preserve"> </w:t>
      </w:r>
      <w:r>
        <w:t xml:space="preserve">20,5</w:t>
      </w:r>
      <w:r>
        <w:t xml:space="preserve"> </w:t>
      </w:r>
      <w:r>
        <w:t xml:space="preserve">26,8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2.335</w:t>
      </w:r>
      <w:r>
        <w:t xml:space="preserve"> </w:t>
      </w:r>
      <w:r>
        <w:t xml:space="preserve">4.636</w:t>
      </w:r>
      <w:r>
        <w:t xml:space="preserve"> </w:t>
      </w:r>
      <w:r>
        <w:t xml:space="preserve">9.500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PO2b</w:t>
      </w:r>
      <w:r>
        <w:t xml:space="preserve"> </w:t>
      </w:r>
      <w:r>
        <w:t xml:space="preserve">8,7</w:t>
      </w:r>
      <w:r>
        <w:t xml:space="preserve"> </w:t>
      </w:r>
      <w:r>
        <w:t xml:space="preserve">17,6</w:t>
      </w:r>
      <w:r>
        <w:t xml:space="preserve"> </w:t>
      </w:r>
      <w:r>
        <w:t xml:space="preserve">21,5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2.023</w:t>
      </w:r>
      <w:r>
        <w:t xml:space="preserve"> </w:t>
      </w:r>
      <w:r>
        <w:t xml:space="preserve">3.980</w:t>
      </w:r>
      <w:r>
        <w:t xml:space="preserve"> </w:t>
      </w:r>
      <w:r>
        <w:t xml:space="preserve">7.615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PO2c</w:t>
      </w:r>
      <w:r>
        <w:t xml:space="preserve"> </w:t>
      </w:r>
      <w:r>
        <w:t xml:space="preserve">90,2</w:t>
      </w:r>
      <w:r>
        <w:t xml:space="preserve"> </w:t>
      </w:r>
      <w:r>
        <w:t xml:space="preserve">189,3</w:t>
      </w:r>
      <w:r>
        <w:t xml:space="preserve"> </w:t>
      </w:r>
      <w:r>
        <w:t xml:space="preserve">257,4</w:t>
      </w:r>
      <w:r>
        <w:t xml:space="preserve"> </w:t>
      </w:r>
      <w:r>
        <w:t xml:space="preserve">+++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20.945</w:t>
      </w:r>
      <w:r>
        <w:t xml:space="preserve"> </w:t>
      </w:r>
      <w:r>
        <w:t xml:space="preserve">42.825</w:t>
      </w:r>
      <w:r>
        <w:t xml:space="preserve"> </w:t>
      </w:r>
      <w:r>
        <w:t xml:space="preserve">91.040 +++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PO2d</w:t>
      </w:r>
      <w:r>
        <w:t xml:space="preserve"> </w:t>
      </w:r>
      <w:r>
        <w:t xml:space="preserve">3,1</w:t>
      </w:r>
      <w:r>
        <w:t xml:space="preserve"> </w:t>
      </w:r>
      <w:r>
        <w:t xml:space="preserve">6,4</w:t>
      </w:r>
      <w:r>
        <w:t xml:space="preserve"> </w:t>
      </w:r>
      <w:r>
        <w:t xml:space="preserve">8,8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714</w:t>
      </w:r>
      <w:r>
        <w:t xml:space="preserve"> </w:t>
      </w:r>
      <w:r>
        <w:t xml:space="preserve">1.456</w:t>
      </w:r>
      <w:r>
        <w:t xml:space="preserve"> </w:t>
      </w:r>
      <w:r>
        <w:t xml:space="preserve">3.101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PO3</w:t>
      </w:r>
      <w:r>
        <w:t xml:space="preserve"> </w:t>
      </w:r>
      <w:r>
        <w:t xml:space="preserve">15,9</w:t>
      </w:r>
      <w:r>
        <w:t xml:space="preserve"> </w:t>
      </w:r>
      <w:r>
        <w:t xml:space="preserve">27,9</w:t>
      </w:r>
      <w:r>
        <w:t xml:space="preserve"> </w:t>
      </w:r>
      <w:r>
        <w:t xml:space="preserve">32,9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3.693</w:t>
      </w:r>
      <w:r>
        <w:t xml:space="preserve"> </w:t>
      </w:r>
      <w:r>
        <w:t xml:space="preserve">6.322</w:t>
      </w:r>
      <w:r>
        <w:t xml:space="preserve"> </w:t>
      </w:r>
      <w:r>
        <w:t xml:space="preserve">11.807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PO4a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0,93</w:t>
      </w:r>
      <w:r>
        <w:t xml:space="preserve"> </w:t>
      </w:r>
      <w:r>
        <w:t xml:space="preserve">0,91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34,1</w:t>
      </w:r>
      <w:r>
        <w:t xml:space="preserve"> </w:t>
      </w:r>
      <w:r>
        <w:t xml:space="preserve">33,6</w:t>
      </w:r>
      <w:r>
        <w:t xml:space="preserve"> </w:t>
      </w:r>
      <w:r>
        <w:t xml:space="preserve">++</w:t>
      </w:r>
      <w:r>
        <w:t xml:space="preserve"> </w:t>
      </w:r>
      <w:r>
        <w:t xml:space="preserve">PO4b</w:t>
      </w:r>
      <w:r>
        <w:t xml:space="preserve"> </w:t>
      </w:r>
      <w:r>
        <w:t xml:space="preserve">0,1</w:t>
      </w:r>
      <w:r>
        <w:t xml:space="preserve"> </w:t>
      </w:r>
      <w:r>
        <w:t xml:space="preserve">0,1</w:t>
      </w:r>
      <w:r>
        <w:t xml:space="preserve"> </w:t>
      </w:r>
      <w:r>
        <w:t xml:space="preserve">0,2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0,02</w:t>
      </w:r>
      <w:r>
        <w:t xml:space="preserve"> </w:t>
      </w:r>
      <w:r>
        <w:t xml:space="preserve">0,06</w:t>
      </w:r>
      <w:r>
        <w:t xml:space="preserve"> </w:t>
      </w:r>
      <w:r>
        <w:t xml:space="preserve">+</w:t>
      </w:r>
      <w:r>
        <w:t xml:space="preserve"> </w:t>
      </w:r>
      <w:r>
        <w:t xml:space="preserve">15</w:t>
      </w:r>
      <w:r>
        <w:t xml:space="preserve"> </w:t>
      </w:r>
      <w:r>
        <w:t xml:space="preserve">28</w:t>
      </w:r>
      <w:r>
        <w:t xml:space="preserve"> </w:t>
      </w:r>
      <w:r>
        <w:t xml:space="preserve">53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0,9</w:t>
      </w:r>
      <w:r>
        <w:t xml:space="preserve"> </w:t>
      </w:r>
      <w:r>
        <w:t xml:space="preserve">3,3</w:t>
      </w:r>
      <w:r>
        <w:t xml:space="preserve"> </w:t>
      </w:r>
      <w:r>
        <w:t xml:space="preserve">+</w:t>
      </w:r>
      <w:r>
        <w:t xml:space="preserve"> </w:t>
      </w:r>
      <w:r>
        <w:t xml:space="preserve">Table 7-2. Efficiency of the different measures</w:t>
      </w:r>
      <w:r>
        <w:t xml:space="preserve"> </w:t>
      </w:r>
      <w:r>
        <w:t xml:space="preserve">Table 7-2 shows that PO2c gets the best score on Effic1 and Effic3, followed by PO3, PO2a, PO2b</w:t>
      </w:r>
      <w:r>
        <w:t xml:space="preserve"> </w:t>
      </w:r>
      <w:r>
        <w:t xml:space="preserve">and PO2d. This is because the benefits generated by PO2c and PO3 require reduced consumer</w:t>
      </w:r>
      <w:r>
        <w:t xml:space="preserve"> </w:t>
      </w:r>
      <w:r>
        <w:t xml:space="preserve">investments. Nevertheless, this high efficiency is nuanced by the small effectiveness shown in</w:t>
      </w:r>
      <w:r>
        <w:t xml:space="preserve"> </w:t>
      </w:r>
      <w:r>
        <w:t xml:space="preserve">section 7.1, particularly for PO2c, which would make this option almost irrelevant if applied as a</w:t>
      </w:r>
      <w:r>
        <w:t xml:space="preserve"> </w:t>
      </w:r>
      <w:r>
        <w:t xml:space="preserve">standalone measure. In fact, only PO2a and to a lesser extent PO2b and PO3 are able to produce</w:t>
      </w:r>
      <w:r>
        <w:t xml:space="preserve"> </w:t>
      </w:r>
      <w:r>
        <w:t xml:space="preserve">tangible environmental benefits.</w:t>
      </w:r>
      <w:r>
        <w:br/>
      </w:r>
      <w:r>
        <w:t xml:space="preserve">As far as Effic2 and Effic4, table 7-2 shows that PO4a is more efficient than PO4b, as the latter</w:t>
      </w:r>
      <w:r>
        <w:t xml:space="preserve"> </w:t>
      </w:r>
      <w:r>
        <w:t xml:space="preserve">generates embedded energy savings at the expense of a very significant increase in consumer</w:t>
      </w:r>
      <w:r>
        <w:t xml:space="preserve"> </w:t>
      </w:r>
      <w:r>
        <w:t xml:space="preserve">investment. The rest of the options do not generate embedded energy savings.</w:t>
      </w:r>
      <w:r>
        <w:br/>
      </w:r>
      <w:r>
        <w:t xml:space="preserve">7.3.</w:t>
      </w:r>
      <w:r>
        <w:t xml:space="preserve"> </w:t>
      </w:r>
      <w:r>
        <w:t xml:space="preserve">Coherence with other EU policies and legislative framework</w:t>
      </w:r>
      <w:r>
        <w:t xml:space="preserve"> </w:t>
      </w:r>
      <w:r>
        <w:t xml:space="preserve">7.3.1. Coherence with the overarching objectives of EU policies</w:t>
      </w:r>
      <w:r>
        <w:t xml:space="preserve"> </w:t>
      </w:r>
      <w:r>
        <w:t xml:space="preserve">From the analysis in section 6, it is clear that the proposed options aim to contribute to achieving</w:t>
      </w:r>
      <w:r>
        <w:t xml:space="preserve"> </w:t>
      </w:r>
      <w:r>
        <w:t xml:space="preserve">Treaty objectives in relation to energy and the environment, and are fully consistent with EU policy</w:t>
      </w:r>
      <w:r>
        <w:t xml:space="preserve"> </w:t>
      </w:r>
      <w:r>
        <w:t xml:space="preserve">goals such as set out in the Green Deal. In particular, the options contribute explicitly to the EU’s</w:t>
      </w:r>
      <w:r>
        <w:t xml:space="preserve"> </w:t>
      </w:r>
      <w:r>
        <w:t xml:space="preserve">climate ambition for 2030 and 2050 and mobilising industry for a clean and circular economy as</w:t>
      </w:r>
      <w:r>
        <w:t xml:space="preserve"> </w:t>
      </w:r>
      <w:r>
        <w:t xml:space="preserve">discussed in that Communication. The options have also been designed to ensure as much as</w:t>
      </w:r>
      <w:r>
        <w:t xml:space="preserve"> </w:t>
      </w:r>
      <w:r>
        <w:t xml:space="preserve">possible a simplification of requirements in line with Better Regulation goals.</w:t>
      </w:r>
      <w:r>
        <w:br/>
      </w:r>
      <w:r>
        <w:t xml:space="preserve">7.3.2. Coherence with Article 15(5) of the Ecodesign Framework Directive</w:t>
      </w:r>
      <w:r>
        <w:t xml:space="preserve"> </w:t>
      </w:r>
      <w:r>
        <w:t xml:space="preserve">Article 15(5) of the Ecodesign Framework Directive requires implementing measures to fulfil a</w:t>
      </w:r>
      <w:r>
        <w:t xml:space="preserve"> </w:t>
      </w:r>
      <w:r>
        <w:t xml:space="preserve">number of criteria, against which all measures must be assessed. Only the criteria on “no significant</w:t>
      </w:r>
      <w:r>
        <w:t xml:space="preserve"> </w:t>
      </w:r>
      <w:r>
        <w:t xml:space="preserve">negative impact on consumers in particular as regards affordability and life-cycle costs” is not</w:t>
      </w:r>
      <w:r>
        <w:t xml:space="preserve"> </w:t>
      </w:r>
      <w:r>
        <w:t xml:space="preserve">fulfilled by some of the measures. In particular, PO2a and PO4b raise the price of the product by</w:t>
      </w:r>
      <w:r>
        <w:t xml:space="preserve"> </w:t>
      </w:r>
      <w:r>
        <w:t xml:space="preserve">5,8% and 8% respectively, as shown in table 6-7. However, PO2a leads to offsetting energy savings</w:t>
      </w:r>
      <w:r>
        <w:t xml:space="preserve"> </w:t>
      </w:r>
      <w:r>
        <w:t xml:space="preserve">in use that rapidly repay the additional purchase cost. In contrast, the additional costs of PO4b are</w:t>
      </w:r>
      <w:r>
        <w:t xml:space="preserve"> </w:t>
      </w:r>
      <w:r>
        <w:t xml:space="preserve">not recovered in the lifetime period of a local space heater. Likewise, PO2d increases the price of</w:t>
      </w:r>
      <w:r>
        <w:t xml:space="preserve"> </w:t>
      </w:r>
      <w:r>
        <w:t xml:space="preserve">the product and is not able to offset it with energy savings. However, this measure still yields</w:t>
      </w:r>
      <w:r>
        <w:t xml:space="preserve"> </w:t>
      </w:r>
      <w:r>
        <w:t xml:space="preserve">environmental benefits, as shown in table 7-1.</w:t>
      </w:r>
      <w:r>
        <w:t xml:space="preserve"> </w:t>
      </w:r>
      <w:r>
        <w:t xml:space="preserve">7.3.3. Coherence with the subsidiarity and proportionality principles</w:t>
      </w:r>
      <w:r>
        <w:t xml:space="preserve"> </w:t>
      </w:r>
      <w:r>
        <w:t xml:space="preserve">Section 3 already assesses subsidiarity. All policy options have implications on the design and</w:t>
      </w:r>
      <w:r>
        <w:t xml:space="preserve"> </w:t>
      </w:r>
      <w:r>
        <w:t xml:space="preserve">characteristics of the product and are therefore better addressed at EU than national level in order to</w:t>
      </w:r>
      <w:r>
        <w:t xml:space="preserve"> </w:t>
      </w:r>
      <w:r>
        <w:t xml:space="preserve">ensure the correct functioning of the internal market.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As far as proportionality, most of the measures deliver energy savings with limited product</w:t>
      </w:r>
      <w:r>
        <w:t xml:space="preserve"> </w:t>
      </w:r>
      <w:r>
        <w:t xml:space="preserve">adaptations. The clarification of the coverage of the LSH Regulation through PO2a does not require</w:t>
      </w:r>
      <w:r>
        <w:t xml:space="preserve"> </w:t>
      </w:r>
      <w:r>
        <w:t xml:space="preserve">any new developments but merely the application of a suitable heater-controller combination (slave</w:t>
      </w:r>
      <w:r>
        <w:t xml:space="preserve"> </w:t>
      </w:r>
      <w:r>
        <w:t xml:space="preserve">heaters). The extensions of the scope of the LSH Regulation through PO2b and PO2c will not force</w:t>
      </w:r>
      <w:r>
        <w:t xml:space="preserve"> </w:t>
      </w:r>
      <w:r>
        <w:t xml:space="preserve">development of new technologies. Most of the energy savings will be achieved by applying the</w:t>
      </w:r>
      <w:r>
        <w:t xml:space="preserve"> </w:t>
      </w:r>
      <w:r>
        <w:t xml:space="preserve">ecodesign measures to product sub-groups that are today partially compliant (tube heaters and</w:t>
      </w:r>
      <w:r>
        <w:t xml:space="preserve"> </w:t>
      </w:r>
      <w:r>
        <w:t xml:space="preserve">towel heaters). In the case of towel heaters, it is estimated that 10% of the devices in the market are</w:t>
      </w:r>
      <w:r>
        <w:t xml:space="preserve"> </w:t>
      </w:r>
      <w:r>
        <w:t xml:space="preserve">already compliant with current ecodesign rules for fixed heaters. For tube heaters the measures</w:t>
      </w:r>
      <w:r>
        <w:t xml:space="preserve"> </w:t>
      </w:r>
      <w:r>
        <w:t xml:space="preserve">concern only 8% of the units, since the remaining 92% is below 120 kW.</w:t>
      </w:r>
      <w:r>
        <w:t xml:space="preserve"> </w:t>
      </w:r>
      <w:r>
        <w:t xml:space="preserve">There will be additional but very limited administrative costs because there is no modification of</w:t>
      </w:r>
      <w:r>
        <w:t xml:space="preserve"> </w:t>
      </w:r>
      <w:r>
        <w:t xml:space="preserve">the certification procedure. These have been calculated in section 6.2.3.</w:t>
      </w:r>
      <w:r>
        <w:br/>
      </w:r>
      <w:r>
        <w:t xml:space="preserve">Concerning MSAs, there is no modification of the current framework as regards market</w:t>
      </w:r>
      <w:r>
        <w:t xml:space="preserve"> </w:t>
      </w:r>
      <w:r>
        <w:t xml:space="preserve">surveillance and therefore no additional burden linked to the proposed policy options. On the</w:t>
      </w:r>
      <w:r>
        <w:t xml:space="preserve"> </w:t>
      </w:r>
      <w:r>
        <w:t xml:space="preserve">contrary, it is expected that there will be efficiency improvements as indicated in section 6.5.</w:t>
      </w:r>
      <w:r>
        <w:t xml:space="preserve"> </w:t>
      </w:r>
      <w:r>
        <w:t xml:space="preserve">7.3.4. Overall coherence assessment</w:t>
      </w:r>
      <w:r>
        <w:t xml:space="preserve"> </w:t>
      </w:r>
      <w:r>
        <w:t xml:space="preserve">The factors assessed in this section have all been taken into account in summarising the coherence</w:t>
      </w:r>
      <w:r>
        <w:t xml:space="preserve"> </w:t>
      </w:r>
      <w:r>
        <w:t xml:space="preserve">of the options. The overall assessment of coherence is shown in table 7-3.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PO2d</w:t>
      </w:r>
      <w:r>
        <w:t xml:space="preserve"> </w:t>
      </w:r>
      <w:r>
        <w:t xml:space="preserve">PO3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Table 7-3. Overall assessment of coherence for the different measures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In the view of the analysis carried out in section 7, the preferred policy option lumps together</w:t>
      </w:r>
      <w:r>
        <w:t xml:space="preserve"> </w:t>
      </w:r>
      <w:r>
        <w:t xml:space="preserve">PO2a, PO2b, PO2c, PO2d, PO3, PO4a and PO4c. PO4b is ruled out due to its very low efficiency.</w:t>
      </w:r>
      <w:r>
        <w:t xml:space="preserve"> </w:t>
      </w:r>
      <w:r>
        <w:t xml:space="preserve">This will result in one of the problem drivers not being addressed, but the figures clearly show that</w:t>
      </w:r>
      <w:r>
        <w:t xml:space="preserve"> </w:t>
      </w:r>
      <w:r>
        <w:t xml:space="preserve">modularity is not cost-efficient. The efficiency of PO2d is not good either and its payback is of</w:t>
      </w:r>
      <w:r>
        <w:t xml:space="preserve"> </w:t>
      </w:r>
      <w:r>
        <w:t xml:space="preserve">almost 38 years, which means that it is not fully coherent with Article 15(5) of the Ecodesign</w:t>
      </w:r>
      <w:r>
        <w:t xml:space="preserve"> </w:t>
      </w:r>
      <w:r>
        <w:t xml:space="preserve">Framework Directive. Nevertheless, PO2d has been included because, in spite of the long payback</w:t>
      </w:r>
      <w:r>
        <w:t xml:space="preserve"> </w:t>
      </w:r>
      <w:r>
        <w:t xml:space="preserve">period, the price increase per unit is low and it still yields some societal benefits in the long term. In</w:t>
      </w:r>
      <w:r>
        <w:t xml:space="preserve"> </w:t>
      </w:r>
      <w:r>
        <w:t xml:space="preserve">addition, PO2d corrects a regulatory loophole whereby closed fronted open combustion devices are</w:t>
      </w:r>
      <w:r>
        <w:t xml:space="preserve"> </w:t>
      </w:r>
      <w:r>
        <w:t xml:space="preserve">declared as open fronted, increasing energy consumption and creating an unlevelled playing field</w:t>
      </w:r>
      <w:r>
        <w:t xml:space="preserve"> </w:t>
      </w:r>
      <w:r>
        <w:t xml:space="preserve">for manufacturers of these products.</w:t>
      </w:r>
      <w:r>
        <w:br/>
      </w:r>
      <w:r>
        <w:t xml:space="preserve">As explained in the introductory part of section 6, no quantitative analysis has been carried out for</w:t>
      </w:r>
      <w:r>
        <w:t xml:space="preserve"> </w:t>
      </w:r>
      <w:r>
        <w:t xml:space="preserve">PO4c due to lack of data, but it has been included in the preferred option because it will barely</w:t>
      </w:r>
      <w:r>
        <w:t xml:space="preserve"> </w:t>
      </w:r>
      <w:r>
        <w:t xml:space="preserve">entail any cost for manufacturers and is expected to contribute to a better material recovery and</w:t>
      </w:r>
      <w:r>
        <w:t xml:space="preserve"> </w:t>
      </w:r>
      <w:r>
        <w:t xml:space="preserve">recycling. Except PO2d, the measures grouped in the preferred policy option show between good</w:t>
      </w:r>
      <w:r>
        <w:t xml:space="preserve"> </w:t>
      </w:r>
      <w:r>
        <w:t xml:space="preserve">and very good efficiencies and, put together, address both in-use energy savings and circular</w:t>
      </w:r>
      <w:r>
        <w:t xml:space="preserve"> </w:t>
      </w:r>
      <w:r>
        <w:t xml:space="preserve">economy challenges.</w:t>
      </w:r>
      <w:r>
        <w:t xml:space="preserve"> </w:t>
      </w:r>
      <w:r>
        <w:t xml:space="preserve">Tables 8-1 to 8-5 summarise the impacts of the preferred policy option PO2+PO3+PO4a+PO4c. It</w:t>
      </w:r>
      <w:r>
        <w:t xml:space="preserve"> </w:t>
      </w:r>
      <w:r>
        <w:t xml:space="preserve">is to note that, since PO2 extends the scope of the LSH Regulation, PO3 and PO4a will apply to</w:t>
      </w:r>
      <w:r>
        <w:t xml:space="preserve"> </w:t>
      </w:r>
      <w:r>
        <w:t xml:space="preserve">more products and therefore their benefits will be leveraged with respect to the figures provided in</w:t>
      </w:r>
      <w:r>
        <w:t xml:space="preserve"> </w:t>
      </w:r>
      <w:r>
        <w:t xml:space="preserve">section 6 for each measure assessed separately.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2025-2030</w:t>
      </w:r>
      <w:r>
        <w:t xml:space="preserve"> </w:t>
      </w:r>
      <w:r>
        <w:t xml:space="preserve">2025-2040</w:t>
      </w:r>
      <w:r>
        <w:t xml:space="preserve"> </w:t>
      </w:r>
      <w:r>
        <w:t xml:space="preserve">2025-2050</w:t>
      </w:r>
      <w:r>
        <w:t xml:space="preserve"> </w:t>
      </w:r>
      <w:r>
        <w:t xml:space="preserve">Cumulative in-use energy savings (Twh)</w:t>
      </w:r>
      <w:r>
        <w:t xml:space="preserve"> </w:t>
      </w:r>
      <w:r>
        <w:t xml:space="preserve">10,8</w:t>
      </w:r>
      <w:r>
        <w:t xml:space="preserve"> </w:t>
      </w:r>
      <w:r>
        <w:t xml:space="preserve">56,2</w:t>
      </w:r>
      <w:r>
        <w:t xml:space="preserve"> </w:t>
      </w:r>
      <w:r>
        <w:t xml:space="preserve">116,4</w:t>
      </w:r>
      <w:r>
        <w:t xml:space="preserve"> </w:t>
      </w:r>
      <w:r>
        <w:t xml:space="preserve">Cumulative primary energy savings (Twh), including both in-use and embedded energy</w:t>
      </w:r>
      <w:r>
        <w:t xml:space="preserve"> </w:t>
      </w:r>
      <w:r>
        <w:t xml:space="preserve">22,3</w:t>
      </w:r>
      <w:r>
        <w:t xml:space="preserve"> </w:t>
      </w:r>
      <w:r>
        <w:t xml:space="preserve">116,2</w:t>
      </w:r>
      <w:r>
        <w:t xml:space="preserve"> </w:t>
      </w:r>
      <w:r>
        <w:t xml:space="preserve">241,0</w:t>
      </w:r>
      <w:r>
        <w:t xml:space="preserve"> </w:t>
      </w:r>
      <w:r>
        <w:t xml:space="preserve">Cumulative fuel saved (Mtons)</w:t>
      </w:r>
      <w:r>
        <w:t xml:space="preserve"> </w:t>
      </w:r>
      <w:r>
        <w:t xml:space="preserve">2,5</w:t>
      </w:r>
      <w:r>
        <w:t xml:space="preserve"> </w:t>
      </w:r>
      <w:r>
        <w:t xml:space="preserve">12,7</w:t>
      </w:r>
      <w:r>
        <w:t xml:space="preserve"> </w:t>
      </w:r>
      <w:r>
        <w:t xml:space="preserve">25,7</w:t>
      </w:r>
      <w:r>
        <w:t xml:space="preserve"> </w:t>
      </w:r>
      <w:r>
        <w:t xml:space="preserve">Cumulative material saved (tons)</w:t>
      </w:r>
      <w:r>
        <w:t xml:space="preserve"> </w:t>
      </w:r>
      <w:r>
        <w:t xml:space="preserve">0</w:t>
      </w:r>
      <w:r>
        <w:t xml:space="preserve"> </w:t>
      </w:r>
      <w:r>
        <w:t xml:space="preserve">2.563</w:t>
      </w:r>
      <w:r>
        <w:t xml:space="preserve"> </w:t>
      </w:r>
      <w:r>
        <w:t xml:space="preserve">28.397</w:t>
      </w:r>
      <w:r>
        <w:t xml:space="preserve"> </w:t>
      </w:r>
      <w:r>
        <w:t xml:space="preserve">Cumulative GHG emissions savings (Mton CO2eq)</w:t>
      </w:r>
      <w:r>
        <w:t xml:space="preserve"> </w:t>
      </w:r>
      <w:r>
        <w:t xml:space="preserve">1,8</w:t>
      </w:r>
      <w:r>
        <w:t xml:space="preserve"> </w:t>
      </w:r>
      <w:r>
        <w:t xml:space="preserve">6,6</w:t>
      </w:r>
      <w:r>
        <w:t xml:space="preserve"> </w:t>
      </w:r>
      <w:r>
        <w:t xml:space="preserve">11,0</w:t>
      </w:r>
      <w:r>
        <w:t xml:space="preserve"> </w:t>
      </w:r>
      <w:r>
        <w:t xml:space="preserve">Cumulative acidification savings (ton SO2eq)</w:t>
      </w:r>
      <w:r>
        <w:t xml:space="preserve"> </w:t>
      </w:r>
      <w:r>
        <w:t xml:space="preserve">7.775</w:t>
      </w:r>
      <w:r>
        <w:t xml:space="preserve"> </w:t>
      </w:r>
      <w:r>
        <w:t xml:space="preserve">29.065</w:t>
      </w:r>
      <w:r>
        <w:t xml:space="preserve"> </w:t>
      </w:r>
      <w:r>
        <w:t xml:space="preserve">48.793</w:t>
      </w:r>
      <w:r>
        <w:t xml:space="preserve"> </w:t>
      </w:r>
      <w:r>
        <w:t xml:space="preserve">Cumulative additional business turnover (M€)</w:t>
      </w:r>
      <w:r>
        <w:t xml:space="preserve"> </w:t>
      </w:r>
      <w:r>
        <w:t xml:space="preserve">2.617</w:t>
      </w:r>
      <w:r>
        <w:t xml:space="preserve"> </w:t>
      </w:r>
      <w:r>
        <w:t xml:space="preserve">6.554</w:t>
      </w:r>
      <w:r>
        <w:t xml:space="preserve"> </w:t>
      </w:r>
      <w:r>
        <w:t xml:space="preserve">9.122</w:t>
      </w:r>
      <w:r>
        <w:t xml:space="preserve"> </w:t>
      </w:r>
      <w:r>
        <w:t xml:space="preserve">Cumulative decreased consumer expenditure (M€)</w:t>
      </w:r>
      <w:r>
        <w:t xml:space="preserve"> </w:t>
      </w:r>
      <w:r>
        <w:t xml:space="preserve">748</w:t>
      </w:r>
      <w:r>
        <w:t xml:space="preserve"> </w:t>
      </w:r>
      <w:r>
        <w:t xml:space="preserve">7.893</w:t>
      </w:r>
      <w:r>
        <w:t xml:space="preserve"> </w:t>
      </w:r>
      <w:r>
        <w:t xml:space="preserve">18.323</w:t>
      </w:r>
      <w:r>
        <w:t xml:space="preserve"> </w:t>
      </w:r>
      <w:r>
        <w:t xml:space="preserve">Cumulative increased direct employment (number of jobs)</w:t>
      </w:r>
      <w:r>
        <w:t xml:space="preserve"> </w:t>
      </w:r>
      <w:r>
        <w:t xml:space="preserve">10.758</w:t>
      </w:r>
      <w:r>
        <w:t xml:space="preserve"> </w:t>
      </w:r>
      <w:r>
        <w:t xml:space="preserve">24.011</w:t>
      </w:r>
      <w:r>
        <w:t xml:space="preserve"> </w:t>
      </w:r>
      <w:r>
        <w:t xml:space="preserve">34.000</w:t>
      </w:r>
      <w:r>
        <w:t xml:space="preserve"> </w:t>
      </w:r>
      <w:r>
        <w:t xml:space="preserve">Table 8-1. Summary of cumulative values for the preferred policy option (PO2+PO3+PO4a+PO4c)</w:t>
      </w:r>
      <w:r>
        <w:t xml:space="preserve"> </w:t>
      </w:r>
      <w:r>
        <w:t xml:space="preserve">The administrative costs for this option are 1.272 k€, which are one-off and take place in 2025.</w:t>
      </w:r>
    </w:p>
    <w:p>
      <w:pPr>
        <w:pStyle w:val="BodyText"/>
      </w:pPr>
      <w:r>
        <w:t xml:space="preserve">Energy savings - Effect1</w:t>
      </w:r>
      <w:r>
        <w:t xml:space="preserve"> </w:t>
      </w:r>
      <w:r>
        <w:t xml:space="preserve">Resource efficiency - Effect 2</w:t>
      </w:r>
      <w:r>
        <w:br/>
      </w:r>
      <w:r>
        <w:t xml:space="preserve">Reduced burden - Effect3 (from section</w:t>
      </w:r>
      <w:r>
        <w:t xml:space="preserve"> </w:t>
      </w:r>
      <w:r>
        <w:t xml:space="preserve">6.4)</w:t>
      </w:r>
      <w:r>
        <w:t xml:space="preserve"> </w:t>
      </w:r>
      <w:r>
        <w:t xml:space="preserve">In-use energy</w:t>
      </w:r>
      <w:r>
        <w:t xml:space="preserve"> </w:t>
      </w:r>
      <w:r>
        <w:t xml:space="preserve">savings (Twh)</w:t>
      </w:r>
      <w:r>
        <w:t xml:space="preserve"> </w:t>
      </w:r>
      <w:r>
        <w:t xml:space="preserve">Embedded</w:t>
      </w:r>
      <w:r>
        <w:t xml:space="preserve"> </w:t>
      </w:r>
      <w:r>
        <w:t xml:space="preserve">energy savings</w:t>
      </w:r>
      <w:r>
        <w:t xml:space="preserve"> </w:t>
      </w:r>
      <w:r>
        <w:t xml:space="preserve">(Twh)</w:t>
      </w:r>
      <w:r>
        <w:t xml:space="preserve"> </w:t>
      </w:r>
      <w:r>
        <w:t xml:space="preserve">Score</w:t>
      </w:r>
      <w:r>
        <w:t xml:space="preserve"> </w:t>
      </w:r>
      <w:r>
        <w:t xml:space="preserve">Fuel savings</w:t>
      </w:r>
      <w:r>
        <w:t xml:space="preserve"> </w:t>
      </w:r>
      <w:r>
        <w:t xml:space="preserve">(Mtons)</w:t>
      </w:r>
      <w:r>
        <w:t xml:space="preserve"> </w:t>
      </w:r>
      <w:r>
        <w:t xml:space="preserve">Material saved</w:t>
      </w:r>
      <w:r>
        <w:t xml:space="preserve"> </w:t>
      </w:r>
      <w:r>
        <w:t xml:space="preserve">for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(Tons)</w:t>
      </w:r>
      <w:r>
        <w:t xml:space="preserve"> </w:t>
      </w:r>
      <w:r>
        <w:t xml:space="preserve">Score</w:t>
      </w:r>
      <w:r>
        <w:t xml:space="preserve"> </w:t>
      </w:r>
      <w:r>
        <w:t xml:space="preserve">MSAs</w:t>
      </w:r>
      <w:r>
        <w:t xml:space="preserve"> </w:t>
      </w:r>
      <w:r>
        <w:t xml:space="preserve">Manufacturers</w:t>
      </w:r>
      <w:r>
        <w:t xml:space="preserve"> </w:t>
      </w:r>
      <w:r>
        <w:t xml:space="preserve">Score</w:t>
      </w:r>
      <w:r>
        <w:br/>
      </w:r>
      <w:r>
        <w:t xml:space="preserve">Excess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that</w:t>
      </w:r>
      <w:r>
        <w:t xml:space="preserve"> </w:t>
      </w:r>
      <w:r>
        <w:t xml:space="preserve">disappear (k€)</w:t>
      </w:r>
      <w:r>
        <w:t xml:space="preserve"> </w:t>
      </w:r>
      <w:r>
        <w:t xml:space="preserve">Excess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that</w:t>
      </w:r>
      <w:r>
        <w:t xml:space="preserve"> </w:t>
      </w:r>
      <w:r>
        <w:t xml:space="preserve">disappear</w:t>
      </w:r>
      <w:r>
        <w:t xml:space="preserve"> </w:t>
      </w:r>
      <w:r>
        <w:t xml:space="preserve">(M€)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PO2a</w:t>
      </w:r>
      <w:r>
        <w:t xml:space="preserve"> </w:t>
      </w:r>
      <w:r>
        <w:t xml:space="preserve">7,7 40,4 84,0 0,0</w:t>
      </w:r>
      <w:r>
        <w:t xml:space="preserve"> </w:t>
      </w:r>
      <w:r>
        <w:t xml:space="preserve">0,0</w:t>
      </w:r>
      <w:r>
        <w:t xml:space="preserve"> </w:t>
      </w:r>
      <w:r>
        <w:t xml:space="preserve">0,0 +++ 1,78 9,13 18,72 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+++ +++</w:t>
      </w:r>
      <w:r>
        <w:t xml:space="preserve"> </w:t>
      </w:r>
      <w:r>
        <w:t xml:space="preserve">526,04</w:t>
      </w:r>
      <w:r>
        <w:t xml:space="preserve"> </w:t>
      </w:r>
      <w:r>
        <w:t xml:space="preserve">47,7</w:t>
      </w:r>
      <w:r>
        <w:t xml:space="preserve"> </w:t>
      </w:r>
      <w:r>
        <w:t xml:space="preserve">+++</w:t>
      </w:r>
      <w:r>
        <w:t xml:space="preserve"> </w:t>
      </w:r>
      <w:r>
        <w:t xml:space="preserve">PO2b</w:t>
      </w:r>
      <w:r>
        <w:t xml:space="preserve"> </w:t>
      </w:r>
      <w:r>
        <w:t xml:space="preserve">1,8 9,5 18,6 0,0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++ 0,43 2,15 4,11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21,95</w:t>
      </w:r>
      <w:r>
        <w:t xml:space="preserve"> </w:t>
      </w:r>
      <w:r>
        <w:t xml:space="preserve">1,7</w:t>
      </w:r>
      <w:r>
        <w:t xml:space="preserve"> </w:t>
      </w:r>
      <w:r>
        <w:t xml:space="preserve">++</w:t>
      </w:r>
      <w:r>
        <w:t xml:space="preserve"> </w:t>
      </w:r>
      <w:r>
        <w:t xml:space="preserve">PO2c</w:t>
      </w:r>
      <w:r>
        <w:t xml:space="preserve"> </w:t>
      </w:r>
      <w:r>
        <w:t xml:space="preserve">0,1 0,6</w:t>
      </w:r>
      <w:r>
        <w:t xml:space="preserve"> </w:t>
      </w:r>
      <w:r>
        <w:t xml:space="preserve">1,3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+</w:t>
      </w:r>
      <w:r>
        <w:t xml:space="preserve"> </w:t>
      </w:r>
      <w:r>
        <w:t xml:space="preserve">0,03 0,13 0,28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PO2d</w:t>
      </w:r>
      <w:r>
        <w:t xml:space="preserve"> </w:t>
      </w:r>
      <w:r>
        <w:t xml:space="preserve">0,2 1,2</w:t>
      </w:r>
      <w:r>
        <w:t xml:space="preserve"> </w:t>
      </w:r>
      <w:r>
        <w:t xml:space="preserve">2,6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+</w:t>
      </w:r>
      <w:r>
        <w:t xml:space="preserve"> </w:t>
      </w:r>
      <w:r>
        <w:t xml:space="preserve">0,05 0,26 0,56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PO3</w:t>
      </w:r>
      <w:r>
        <w:t xml:space="preserve"> </w:t>
      </w:r>
      <w:r>
        <w:t xml:space="preserve">0,8 3,6</w:t>
      </w:r>
      <w:r>
        <w:t xml:space="preserve"> </w:t>
      </w:r>
      <w:r>
        <w:t xml:space="preserve">6,8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++ 0,18 0,81 1,51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PO4a</w:t>
      </w:r>
      <w:r>
        <w:t xml:space="preserve"> </w:t>
      </w:r>
      <w:r>
        <w:t xml:space="preserve">0,0 0,0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0,1</w:t>
      </w:r>
      <w:r>
        <w:t xml:space="preserve"> </w:t>
      </w:r>
      <w:r>
        <w:t xml:space="preserve">0,6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2.003 22.197 +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PO4b</w:t>
      </w:r>
      <w:r>
        <w:t xml:space="preserve"> </w:t>
      </w:r>
      <w:r>
        <w:t xml:space="preserve">0,1 0,4</w:t>
      </w:r>
      <w:r>
        <w:t xml:space="preserve"> </w:t>
      </w:r>
      <w:r>
        <w:t xml:space="preserve">0,7</w:t>
      </w:r>
      <w:r>
        <w:t xml:space="preserve"> </w:t>
      </w:r>
      <w:r>
        <w:t xml:space="preserve">0,0</w:t>
      </w:r>
      <w:r>
        <w:t xml:space="preserve"> </w:t>
      </w:r>
      <w:r>
        <w:t xml:space="preserve">0,1</w:t>
      </w:r>
      <w:r>
        <w:t xml:space="preserve"> </w:t>
      </w:r>
      <w:r>
        <w:t xml:space="preserve">0,3</w:t>
      </w:r>
      <w:r>
        <w:t xml:space="preserve"> </w:t>
      </w:r>
      <w:r>
        <w:t xml:space="preserve">+</w:t>
      </w:r>
      <w:r>
        <w:t xml:space="preserve"> </w:t>
      </w:r>
      <w:r>
        <w:t xml:space="preserve">0,02 0,08 0,16</w:t>
      </w:r>
      <w:r>
        <w:t xml:space="preserve"> </w:t>
      </w:r>
      <w:r>
        <w:t xml:space="preserve">0</w:t>
      </w:r>
      <w:r>
        <w:t xml:space="preserve"> </w:t>
      </w:r>
      <w:r>
        <w:t xml:space="preserve">2.566 9.663</w:t>
      </w:r>
      <w:r>
        <w:t xml:space="preserve"> </w:t>
      </w:r>
      <w:r>
        <w:t xml:space="preserve">+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10,8 56,2 116,4 0,0</w:t>
      </w:r>
      <w:r>
        <w:t xml:space="preserve"> </w:t>
      </w:r>
      <w:r>
        <w:t xml:space="preserve">0,1</w:t>
      </w:r>
      <w:r>
        <w:t xml:space="preserve"> </w:t>
      </w:r>
      <w:r>
        <w:t xml:space="preserve">0,8 ++++ 2,50 12,73 25,65 0</w:t>
      </w:r>
      <w:r>
        <w:t xml:space="preserve"> </w:t>
      </w:r>
      <w:r>
        <w:t xml:space="preserve">2.563 28.397 ++++ +++</w:t>
      </w:r>
      <w:r>
        <w:t xml:space="preserve"> </w:t>
      </w:r>
      <w:r>
        <w:t xml:space="preserve">548</w:t>
      </w:r>
      <w:r>
        <w:t xml:space="preserve"> </w:t>
      </w:r>
      <w:r>
        <w:t xml:space="preserve">49,4</w:t>
      </w:r>
      <w:r>
        <w:t xml:space="preserve"> </w:t>
      </w:r>
      <w:r>
        <w:t xml:space="preserve">++++</w:t>
      </w:r>
      <w:r>
        <w:t xml:space="preserve"> </w:t>
      </w:r>
      <w:r>
        <w:t xml:space="preserve">Table 8-2. Effectiveness analysis preferred policy option (PO2+PO3+PO4a+PO4c) compared to the rest of options</w:t>
      </w:r>
    </w:p>
    <w:p>
      <w:pPr>
        <w:pStyle w:val="BodyText"/>
      </w:pPr>
      <w:r>
        <w:t xml:space="preserve">Greenhouse gas emissions (embedded + in-use)</w:t>
      </w:r>
      <w:r>
        <w:t xml:space="preserve"> </w:t>
      </w:r>
      <w:r>
        <w:t xml:space="preserve">Acidification</w:t>
      </w:r>
      <w:r>
        <w:t xml:space="preserve"> </w:t>
      </w:r>
      <w:r>
        <w:t xml:space="preserve">Yearly savings</w:t>
      </w:r>
      <w:r>
        <w:t xml:space="preserve"> </w:t>
      </w:r>
      <w:r>
        <w:t xml:space="preserve">(MtCO2eq/year)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(MtCO2eq)</w:t>
      </w:r>
      <w:r>
        <w:t xml:space="preserve"> </w:t>
      </w:r>
      <w:r>
        <w:t xml:space="preserve">Yearly savings</w:t>
      </w:r>
      <w:r>
        <w:t xml:space="preserve"> </w:t>
      </w:r>
      <w:r>
        <w:t xml:space="preserve">(tSO2eq/year)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(tSO2eq)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PO2a</w:t>
      </w:r>
      <w:r>
        <w:t xml:space="preserve"> </w:t>
      </w:r>
      <w:r>
        <w:t xml:space="preserve">0,284</w:t>
      </w:r>
      <w:r>
        <w:t xml:space="preserve"> </w:t>
      </w:r>
      <w:r>
        <w:t xml:space="preserve">0,308</w:t>
      </w:r>
      <w:r>
        <w:t xml:space="preserve"> </w:t>
      </w:r>
      <w:r>
        <w:t xml:space="preserve">0,286</w:t>
      </w:r>
      <w:r>
        <w:t xml:space="preserve"> </w:t>
      </w:r>
      <w:r>
        <w:t xml:space="preserve">1,245</w:t>
      </w:r>
      <w:r>
        <w:t xml:space="preserve"> </w:t>
      </w:r>
      <w:r>
        <w:t xml:space="preserve">4,583</w:t>
      </w:r>
      <w:r>
        <w:t xml:space="preserve"> </w:t>
      </w:r>
      <w:r>
        <w:t xml:space="preserve">7,528</w:t>
      </w:r>
      <w:r>
        <w:t xml:space="preserve"> </w:t>
      </w:r>
      <w:r>
        <w:t xml:space="preserve">1.255</w:t>
      </w:r>
      <w:r>
        <w:t xml:space="preserve"> </w:t>
      </w:r>
      <w:r>
        <w:t xml:space="preserve">1.365</w:t>
      </w:r>
      <w:r>
        <w:t xml:space="preserve"> </w:t>
      </w:r>
      <w:r>
        <w:t xml:space="preserve">1.267</w:t>
      </w:r>
      <w:r>
        <w:t xml:space="preserve"> </w:t>
      </w:r>
      <w:r>
        <w:t xml:space="preserve">5.512</w:t>
      </w:r>
      <w:r>
        <w:t xml:space="preserve"> </w:t>
      </w:r>
      <w:r>
        <w:t xml:space="preserve">20.284</w:t>
      </w:r>
      <w:r>
        <w:t xml:space="preserve"> </w:t>
      </w:r>
      <w:r>
        <w:t xml:space="preserve">33.318</w:t>
      </w:r>
      <w:r>
        <w:t xml:space="preserve"> </w:t>
      </w:r>
      <w:r>
        <w:t xml:space="preserve">PO2b</w:t>
      </w:r>
      <w:r>
        <w:t xml:space="preserve"> </w:t>
      </w:r>
      <w:r>
        <w:t xml:space="preserve">0,068</w:t>
      </w:r>
      <w:r>
        <w:t xml:space="preserve"> </w:t>
      </w:r>
      <w:r>
        <w:t xml:space="preserve">0,070</w:t>
      </w:r>
      <w:r>
        <w:t xml:space="preserve"> </w:t>
      </w:r>
      <w:r>
        <w:t xml:space="preserve">0,054</w:t>
      </w:r>
      <w:r>
        <w:t xml:space="preserve"> </w:t>
      </w:r>
      <w:r>
        <w:t xml:space="preserve">0,295</w:t>
      </w:r>
      <w:r>
        <w:t xml:space="preserve"> </w:t>
      </w:r>
      <w:r>
        <w:t xml:space="preserve">1,078</w:t>
      </w:r>
      <w:r>
        <w:t xml:space="preserve"> </w:t>
      </w:r>
      <w:r>
        <w:t xml:space="preserve">1,682</w:t>
      </w:r>
      <w:r>
        <w:t xml:space="preserve"> </w:t>
      </w:r>
      <w:r>
        <w:t xml:space="preserve">300</w:t>
      </w:r>
      <w:r>
        <w:t xml:space="preserve"> </w:t>
      </w:r>
      <w:r>
        <w:t xml:space="preserve">309</w:t>
      </w:r>
      <w:r>
        <w:t xml:space="preserve"> </w:t>
      </w:r>
      <w:r>
        <w:t xml:space="preserve">238</w:t>
      </w:r>
      <w:r>
        <w:t xml:space="preserve"> </w:t>
      </w:r>
      <w:r>
        <w:t xml:space="preserve">1.306</w:t>
      </w:r>
      <w:r>
        <w:t xml:space="preserve"> </w:t>
      </w:r>
      <w:r>
        <w:t xml:space="preserve">4.769</w:t>
      </w:r>
      <w:r>
        <w:t xml:space="preserve"> </w:t>
      </w:r>
      <w:r>
        <w:t xml:space="preserve">7.445</w:t>
      </w:r>
      <w:r>
        <w:t xml:space="preserve"> </w:t>
      </w:r>
      <w:r>
        <w:t xml:space="preserve">PO2c</w:t>
      </w:r>
      <w:r>
        <w:t xml:space="preserve"> </w:t>
      </w:r>
      <w:r>
        <w:t xml:space="preserve">0,006</w:t>
      </w:r>
      <w:r>
        <w:t xml:space="preserve"> </w:t>
      </w:r>
      <w:r>
        <w:t xml:space="preserve">0,012</w:t>
      </w:r>
      <w:r>
        <w:t xml:space="preserve"> </w:t>
      </w:r>
      <w:r>
        <w:t xml:space="preserve">0,014</w:t>
      </w:r>
      <w:r>
        <w:t xml:space="preserve"> </w:t>
      </w:r>
      <w:r>
        <w:t xml:space="preserve">0,022</w:t>
      </w:r>
      <w:r>
        <w:t xml:space="preserve"> </w:t>
      </w:r>
      <w:r>
        <w:t xml:space="preserve">0,117</w:t>
      </w:r>
      <w:r>
        <w:t xml:space="preserve"> </w:t>
      </w:r>
      <w:r>
        <w:t xml:space="preserve">0,254</w:t>
      </w:r>
      <w:r>
        <w:t xml:space="preserve"> </w:t>
      </w:r>
      <w:r>
        <w:t xml:space="preserve">25</w:t>
      </w:r>
      <w:r>
        <w:t xml:space="preserve"> </w:t>
      </w:r>
      <w:r>
        <w:t xml:space="preserve">54</w:t>
      </w:r>
      <w:r>
        <w:t xml:space="preserve"> </w:t>
      </w:r>
      <w:r>
        <w:t xml:space="preserve">62</w:t>
      </w:r>
      <w:r>
        <w:t xml:space="preserve"> </w:t>
      </w:r>
      <w:r>
        <w:t xml:space="preserve">98</w:t>
      </w:r>
      <w:r>
        <w:t xml:space="preserve"> </w:t>
      </w:r>
      <w:r>
        <w:t xml:space="preserve">517</w:t>
      </w:r>
      <w:r>
        <w:t xml:space="preserve"> </w:t>
      </w:r>
      <w:r>
        <w:t xml:space="preserve">1.126</w:t>
      </w:r>
      <w:r>
        <w:t xml:space="preserve"> </w:t>
      </w:r>
      <w:r>
        <w:t xml:space="preserve">PO2d</w:t>
      </w:r>
      <w:r>
        <w:t xml:space="preserve"> </w:t>
      </w:r>
      <w:r>
        <w:t xml:space="preserve">0,012</w:t>
      </w:r>
      <w:r>
        <w:t xml:space="preserve"> </w:t>
      </w:r>
      <w:r>
        <w:t xml:space="preserve">0,025</w:t>
      </w:r>
      <w:r>
        <w:t xml:space="preserve"> </w:t>
      </w:r>
      <w:r>
        <w:t xml:space="preserve">0,029</w:t>
      </w:r>
      <w:r>
        <w:t xml:space="preserve"> </w:t>
      </w:r>
      <w:r>
        <w:t xml:space="preserve">0,046</w:t>
      </w:r>
      <w:r>
        <w:t xml:space="preserve"> </w:t>
      </w:r>
      <w:r>
        <w:t xml:space="preserve">0,240</w:t>
      </w:r>
      <w:r>
        <w:t xml:space="preserve"> </w:t>
      </w:r>
      <w:r>
        <w:t xml:space="preserve">0,523</w:t>
      </w:r>
      <w:r>
        <w:t xml:space="preserve"> </w:t>
      </w:r>
      <w:r>
        <w:t xml:space="preserve">51</w:t>
      </w:r>
      <w:r>
        <w:t xml:space="preserve"> </w:t>
      </w:r>
      <w:r>
        <w:t xml:space="preserve">112</w:t>
      </w:r>
      <w:r>
        <w:t xml:space="preserve"> </w:t>
      </w:r>
      <w:r>
        <w:t xml:space="preserve">128</w:t>
      </w:r>
      <w:r>
        <w:t xml:space="preserve"> </w:t>
      </w:r>
      <w:r>
        <w:t xml:space="preserve">202</w:t>
      </w:r>
      <w:r>
        <w:t xml:space="preserve"> </w:t>
      </w:r>
      <w:r>
        <w:t xml:space="preserve">1.062</w:t>
      </w:r>
      <w:r>
        <w:t xml:space="preserve"> </w:t>
      </w:r>
      <w:r>
        <w:t xml:space="preserve">2.314</w:t>
      </w:r>
      <w:r>
        <w:t xml:space="preserve"> </w:t>
      </w:r>
      <w:r>
        <w:t xml:space="preserve">PO3</w:t>
      </w:r>
      <w:r>
        <w:t xml:space="preserve"> </w:t>
      </w:r>
      <w:r>
        <w:t xml:space="preserve">0,027</w:t>
      </w:r>
      <w:r>
        <w:t xml:space="preserve"> </w:t>
      </w:r>
      <w:r>
        <w:t xml:space="preserve">0,025</w:t>
      </w:r>
      <w:r>
        <w:t xml:space="preserve"> </w:t>
      </w:r>
      <w:r>
        <w:t xml:space="preserve">0,020</w:t>
      </w:r>
      <w:r>
        <w:t xml:space="preserve"> </w:t>
      </w:r>
      <w:r>
        <w:t xml:space="preserve">0,128</w:t>
      </w:r>
      <w:r>
        <w:t xml:space="preserve"> </w:t>
      </w:r>
      <w:r>
        <w:t xml:space="preserve">0,418</w:t>
      </w:r>
      <w:r>
        <w:t xml:space="preserve"> </w:t>
      </w:r>
      <w:r>
        <w:t xml:space="preserve">0,634</w:t>
      </w:r>
      <w:r>
        <w:t xml:space="preserve"> </w:t>
      </w:r>
      <w:r>
        <w:t xml:space="preserve">121</w:t>
      </w:r>
      <w:r>
        <w:t xml:space="preserve"> </w:t>
      </w:r>
      <w:r>
        <w:t xml:space="preserve">109</w:t>
      </w:r>
      <w:r>
        <w:t xml:space="preserve"> </w:t>
      </w:r>
      <w:r>
        <w:t xml:space="preserve">86</w:t>
      </w:r>
      <w:r>
        <w:t xml:space="preserve"> </w:t>
      </w:r>
      <w:r>
        <w:t xml:space="preserve">567</w:t>
      </w:r>
      <w:r>
        <w:t xml:space="preserve"> </w:t>
      </w:r>
      <w:r>
        <w:t xml:space="preserve">1.850</w:t>
      </w:r>
      <w:r>
        <w:t xml:space="preserve"> </w:t>
      </w:r>
      <w:r>
        <w:t xml:space="preserve">2.807</w:t>
      </w:r>
      <w:r>
        <w:t xml:space="preserve"> </w:t>
      </w:r>
      <w:r>
        <w:t xml:space="preserve">PO4a</w:t>
      </w:r>
      <w:r>
        <w:t xml:space="preserve"> </w:t>
      </w:r>
      <w:r>
        <w:t xml:space="preserve">0,000</w:t>
      </w:r>
      <w:r>
        <w:t xml:space="preserve"> </w:t>
      </w:r>
      <w:r>
        <w:t xml:space="preserve">0,012</w:t>
      </w:r>
      <w:r>
        <w:t xml:space="preserve"> </w:t>
      </w:r>
      <w:r>
        <w:t xml:space="preserve">0,012</w:t>
      </w:r>
      <w:r>
        <w:t xml:space="preserve"> </w:t>
      </w:r>
      <w:r>
        <w:t xml:space="preserve">0,000</w:t>
      </w:r>
      <w:r>
        <w:t xml:space="preserve"> </w:t>
      </w:r>
      <w:r>
        <w:t xml:space="preserve">0,012</w:t>
      </w:r>
      <w:r>
        <w:t xml:space="preserve"> </w:t>
      </w:r>
      <w:r>
        <w:t xml:space="preserve">0,132</w:t>
      </w:r>
      <w:r>
        <w:t xml:space="preserve"> </w:t>
      </w:r>
      <w:r>
        <w:t xml:space="preserve">0</w:t>
      </w:r>
      <w:r>
        <w:t xml:space="preserve"> </w:t>
      </w:r>
      <w:r>
        <w:t xml:space="preserve">68</w:t>
      </w:r>
      <w:r>
        <w:t xml:space="preserve"> </w:t>
      </w:r>
      <w:r>
        <w:t xml:space="preserve">69</w:t>
      </w:r>
      <w:r>
        <w:t xml:space="preserve"> </w:t>
      </w:r>
      <w:r>
        <w:t xml:space="preserve">0</w:t>
      </w:r>
      <w:r>
        <w:t xml:space="preserve"> </w:t>
      </w:r>
      <w:r>
        <w:t xml:space="preserve">68</w:t>
      </w:r>
      <w:r>
        <w:t xml:space="preserve"> </w:t>
      </w:r>
      <w:r>
        <w:t xml:space="preserve">750</w:t>
      </w:r>
      <w:r>
        <w:t xml:space="preserve"> </w:t>
      </w:r>
      <w:r>
        <w:t xml:space="preserve">PO4b</w:t>
      </w:r>
      <w:r>
        <w:t xml:space="preserve"> </w:t>
      </w:r>
      <w:r>
        <w:t xml:space="preserve">0,003</w:t>
      </w:r>
      <w:r>
        <w:t xml:space="preserve"> </w:t>
      </w:r>
      <w:r>
        <w:t xml:space="preserve">0,007</w:t>
      </w:r>
      <w:r>
        <w:t xml:space="preserve"> </w:t>
      </w:r>
      <w:r>
        <w:t xml:space="preserve">0,006</w:t>
      </w:r>
      <w:r>
        <w:t xml:space="preserve"> </w:t>
      </w:r>
      <w:r>
        <w:t xml:space="preserve">0,011</w:t>
      </w:r>
      <w:r>
        <w:t xml:space="preserve"> </w:t>
      </w:r>
      <w:r>
        <w:t xml:space="preserve">0,057</w:t>
      </w:r>
      <w:r>
        <w:t xml:space="preserve"> </w:t>
      </w:r>
      <w:r>
        <w:t xml:space="preserve">0,123</w:t>
      </w:r>
      <w:r>
        <w:t xml:space="preserve"> </w:t>
      </w:r>
      <w:r>
        <w:t xml:space="preserve">12</w:t>
      </w:r>
      <w:r>
        <w:t xml:space="preserve"> </w:t>
      </w:r>
      <w:r>
        <w:t xml:space="preserve">35</w:t>
      </w:r>
      <w:r>
        <w:t xml:space="preserve"> </w:t>
      </w:r>
      <w:r>
        <w:t xml:space="preserve">33</w:t>
      </w:r>
      <w:r>
        <w:t xml:space="preserve"> </w:t>
      </w:r>
      <w:r>
        <w:t xml:space="preserve">50</w:t>
      </w:r>
      <w:r>
        <w:t xml:space="preserve"> </w:t>
      </w:r>
      <w:r>
        <w:t xml:space="preserve">269</w:t>
      </w:r>
      <w:r>
        <w:t xml:space="preserve"> </w:t>
      </w:r>
      <w:r>
        <w:t xml:space="preserve">608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0,403</w:t>
      </w:r>
      <w:r>
        <w:t xml:space="preserve"> </w:t>
      </w:r>
      <w:r>
        <w:t xml:space="preserve">0,464</w:t>
      </w:r>
      <w:r>
        <w:t xml:space="preserve"> </w:t>
      </w:r>
      <w:r>
        <w:t xml:space="preserve">0,424</w:t>
      </w:r>
      <w:r>
        <w:t xml:space="preserve"> </w:t>
      </w:r>
      <w:r>
        <w:t xml:space="preserve">1,757</w:t>
      </w:r>
      <w:r>
        <w:t xml:space="preserve"> </w:t>
      </w:r>
      <w:r>
        <w:t xml:space="preserve">6,563</w:t>
      </w:r>
      <w:r>
        <w:t xml:space="preserve"> </w:t>
      </w:r>
      <w:r>
        <w:t xml:space="preserve">10,974</w:t>
      </w:r>
      <w:r>
        <w:t xml:space="preserve"> </w:t>
      </w:r>
      <w:r>
        <w:t xml:space="preserve">1.782</w:t>
      </w:r>
      <w:r>
        <w:t xml:space="preserve"> </w:t>
      </w:r>
      <w:r>
        <w:t xml:space="preserve">2.073</w:t>
      </w:r>
      <w:r>
        <w:t xml:space="preserve"> </w:t>
      </w:r>
      <w:r>
        <w:t xml:space="preserve">1.808</w:t>
      </w:r>
      <w:r>
        <w:t xml:space="preserve"> </w:t>
      </w:r>
      <w:r>
        <w:t xml:space="preserve">7.775</w:t>
      </w:r>
      <w:r>
        <w:t xml:space="preserve"> </w:t>
      </w:r>
      <w:r>
        <w:t xml:space="preserve">29.065</w:t>
      </w:r>
      <w:r>
        <w:t xml:space="preserve"> </w:t>
      </w:r>
      <w:r>
        <w:t xml:space="preserve">48.793</w:t>
      </w:r>
      <w:r>
        <w:t xml:space="preserve"> </w:t>
      </w:r>
      <w:r>
        <w:t xml:space="preserve">Table 8-3. Environmental analysis preferred policy option (PO2+PO3+PO4a+PO4c) compared to the rest of options</w:t>
      </w:r>
    </w:p>
    <w:p>
      <w:pPr>
        <w:pStyle w:val="BodyText"/>
      </w:pPr>
      <w:r>
        <w:t xml:space="preserve">Effic1</w:t>
      </w:r>
      <w:r>
        <w:t xml:space="preserve"> </w:t>
      </w:r>
      <w:r>
        <w:t xml:space="preserve">Effic2</w:t>
      </w:r>
      <w:r>
        <w:t xml:space="preserve"> </w:t>
      </w:r>
      <w:r>
        <w:t xml:space="preserve">Effic3</w:t>
      </w:r>
      <w:r>
        <w:t xml:space="preserve"> </w:t>
      </w:r>
      <w:r>
        <w:t xml:space="preserve">Effic4</w:t>
      </w:r>
      <w:r>
        <w:t xml:space="preserve"> </w:t>
      </w:r>
      <w:r>
        <w:t xml:space="preserve">in-use energy</w:t>
      </w:r>
      <w:r>
        <w:t xml:space="preserve"> </w:t>
      </w:r>
      <w:r>
        <w:t xml:space="preserve">savings/consumer costs</w:t>
      </w:r>
      <w:r>
        <w:t xml:space="preserve"> </w:t>
      </w:r>
      <w:r>
        <w:t xml:space="preserve">(purchase or</w:t>
      </w:r>
      <w:r>
        <w:t xml:space="preserve"> </w:t>
      </w:r>
      <w:r>
        <w:t xml:space="preserve">modularity) (Kwh/€) Score</w:t>
      </w:r>
      <w:r>
        <w:t xml:space="preserve"> </w:t>
      </w:r>
      <w:r>
        <w:t xml:space="preserve">embedded energy</w:t>
      </w:r>
      <w:r>
        <w:t xml:space="preserve"> </w:t>
      </w:r>
      <w:r>
        <w:t xml:space="preserve">savings/repair costs</w:t>
      </w:r>
      <w:r>
        <w:t xml:space="preserve"> </w:t>
      </w:r>
      <w:r>
        <w:t xml:space="preserve">(Kwh/€)</w:t>
      </w:r>
      <w:r>
        <w:t xml:space="preserve"> </w:t>
      </w:r>
      <w:r>
        <w:t xml:space="preserve">Score</w:t>
      </w:r>
      <w:r>
        <w:t xml:space="preserve"> </w:t>
      </w:r>
      <w:r>
        <w:t xml:space="preserve">fuel savings/consumer</w:t>
      </w:r>
      <w:r>
        <w:t xml:space="preserve"> </w:t>
      </w:r>
      <w:r>
        <w:t xml:space="preserve">costs (purchase or</w:t>
      </w:r>
      <w:r>
        <w:t xml:space="preserve"> </w:t>
      </w:r>
      <w:r>
        <w:t xml:space="preserve">modularity) (ton/M€) Score</w:t>
      </w:r>
      <w:r>
        <w:t xml:space="preserve"> </w:t>
      </w:r>
      <w:r>
        <w:t xml:space="preserve">material</w:t>
      </w:r>
      <w:r>
        <w:t xml:space="preserve"> </w:t>
      </w:r>
      <w:r>
        <w:t xml:space="preserve">savings/repair</w:t>
      </w:r>
      <w:r>
        <w:t xml:space="preserve"> </w:t>
      </w:r>
      <w:r>
        <w:t xml:space="preserve">costs (ton/M€)</w:t>
      </w:r>
      <w:r>
        <w:t xml:space="preserve"> </w:t>
      </w:r>
      <w:r>
        <w:t xml:space="preserve">Score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PO2a</w:t>
      </w:r>
      <w:r>
        <w:t xml:space="preserve"> </w:t>
      </w:r>
      <w:r>
        <w:t xml:space="preserve">10,1</w:t>
      </w:r>
      <w:r>
        <w:t xml:space="preserve"> </w:t>
      </w:r>
      <w:r>
        <w:t xml:space="preserve">20,5</w:t>
      </w:r>
      <w:r>
        <w:t xml:space="preserve"> </w:t>
      </w:r>
      <w:r>
        <w:t xml:space="preserve">26,8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2.335</w:t>
      </w:r>
      <w:r>
        <w:t xml:space="preserve"> </w:t>
      </w:r>
      <w:r>
        <w:t xml:space="preserve">4.636</w:t>
      </w:r>
      <w:r>
        <w:t xml:space="preserve"> </w:t>
      </w:r>
      <w:r>
        <w:t xml:space="preserve">9.500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PO2b</w:t>
      </w:r>
      <w:r>
        <w:t xml:space="preserve"> </w:t>
      </w:r>
      <w:r>
        <w:t xml:space="preserve">8,7</w:t>
      </w:r>
      <w:r>
        <w:t xml:space="preserve"> </w:t>
      </w:r>
      <w:r>
        <w:t xml:space="preserve">17,6</w:t>
      </w:r>
      <w:r>
        <w:t xml:space="preserve"> </w:t>
      </w:r>
      <w:r>
        <w:t xml:space="preserve">21,5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2.023</w:t>
      </w:r>
      <w:r>
        <w:t xml:space="preserve"> </w:t>
      </w:r>
      <w:r>
        <w:t xml:space="preserve">3.980</w:t>
      </w:r>
      <w:r>
        <w:t xml:space="preserve"> </w:t>
      </w:r>
      <w:r>
        <w:t xml:space="preserve">7.615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PO2c</w:t>
      </w:r>
      <w:r>
        <w:t xml:space="preserve"> </w:t>
      </w:r>
      <w:r>
        <w:t xml:space="preserve">90,2</w:t>
      </w:r>
      <w:r>
        <w:t xml:space="preserve"> </w:t>
      </w:r>
      <w:r>
        <w:t xml:space="preserve">189,3</w:t>
      </w:r>
      <w:r>
        <w:t xml:space="preserve"> </w:t>
      </w:r>
      <w:r>
        <w:t xml:space="preserve">257,4</w:t>
      </w:r>
      <w:r>
        <w:t xml:space="preserve"> </w:t>
      </w:r>
      <w:r>
        <w:t xml:space="preserve">+++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20.945 42.825 91.040 +++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PO2d</w:t>
      </w:r>
      <w:r>
        <w:t xml:space="preserve"> </w:t>
      </w:r>
      <w:r>
        <w:t xml:space="preserve">3,1</w:t>
      </w:r>
      <w:r>
        <w:t xml:space="preserve"> </w:t>
      </w:r>
      <w:r>
        <w:t xml:space="preserve">6,4</w:t>
      </w:r>
      <w:r>
        <w:t xml:space="preserve"> </w:t>
      </w:r>
      <w:r>
        <w:t xml:space="preserve">8,8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714</w:t>
      </w:r>
      <w:r>
        <w:t xml:space="preserve"> </w:t>
      </w:r>
      <w:r>
        <w:t xml:space="preserve">1.456</w:t>
      </w:r>
      <w:r>
        <w:t xml:space="preserve"> </w:t>
      </w:r>
      <w:r>
        <w:t xml:space="preserve">3.101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PO3</w:t>
      </w:r>
      <w:r>
        <w:t xml:space="preserve"> </w:t>
      </w:r>
      <w:r>
        <w:t xml:space="preserve">15,9</w:t>
      </w:r>
      <w:r>
        <w:t xml:space="preserve"> </w:t>
      </w:r>
      <w:r>
        <w:t xml:space="preserve">27,9</w:t>
      </w:r>
      <w:r>
        <w:t xml:space="preserve"> </w:t>
      </w:r>
      <w:r>
        <w:t xml:space="preserve">32,9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3.693</w:t>
      </w:r>
      <w:r>
        <w:t xml:space="preserve"> </w:t>
      </w:r>
      <w:r>
        <w:t xml:space="preserve">6.322</w:t>
      </w:r>
      <w:r>
        <w:t xml:space="preserve"> </w:t>
      </w:r>
      <w:r>
        <w:t xml:space="preserve">11.807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PO4a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0,93</w:t>
      </w:r>
      <w:r>
        <w:t xml:space="preserve"> </w:t>
      </w:r>
      <w:r>
        <w:t xml:space="preserve">0,91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34,1 33,6</w:t>
      </w:r>
      <w:r>
        <w:t xml:space="preserve"> </w:t>
      </w:r>
      <w:r>
        <w:t xml:space="preserve">++</w:t>
      </w:r>
      <w:r>
        <w:t xml:space="preserve"> </w:t>
      </w:r>
      <w:r>
        <w:t xml:space="preserve">PO4b</w:t>
      </w:r>
      <w:r>
        <w:t xml:space="preserve"> </w:t>
      </w:r>
      <w:r>
        <w:t xml:space="preserve">0,1</w:t>
      </w:r>
      <w:r>
        <w:t xml:space="preserve"> </w:t>
      </w:r>
      <w:r>
        <w:t xml:space="preserve">0,1</w:t>
      </w:r>
      <w:r>
        <w:t xml:space="preserve"> </w:t>
      </w:r>
      <w:r>
        <w:t xml:space="preserve">0,2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0,02</w:t>
      </w:r>
      <w:r>
        <w:t xml:space="preserve"> </w:t>
      </w:r>
      <w:r>
        <w:t xml:space="preserve">0,06</w:t>
      </w:r>
      <w:r>
        <w:t xml:space="preserve"> </w:t>
      </w:r>
      <w:r>
        <w:t xml:space="preserve">+</w:t>
      </w:r>
      <w:r>
        <w:t xml:space="preserve"> </w:t>
      </w:r>
      <w:r>
        <w:t xml:space="preserve">15</w:t>
      </w:r>
      <w:r>
        <w:t xml:space="preserve"> </w:t>
      </w:r>
      <w:r>
        <w:t xml:space="preserve">28</w:t>
      </w:r>
      <w:r>
        <w:t xml:space="preserve"> </w:t>
      </w:r>
      <w:r>
        <w:t xml:space="preserve">53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0,9</w:t>
      </w:r>
      <w:r>
        <w:t xml:space="preserve"> </w:t>
      </w:r>
      <w:r>
        <w:t xml:space="preserve">3,3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9,6</w:t>
      </w:r>
      <w:r>
        <w:t xml:space="preserve"> </w:t>
      </w:r>
      <w:r>
        <w:t xml:space="preserve">20,2</w:t>
      </w:r>
      <w:r>
        <w:t xml:space="preserve"> </w:t>
      </w:r>
      <w:r>
        <w:t xml:space="preserve">32,8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0,89</w:t>
      </w:r>
      <w:r>
        <w:t xml:space="preserve"> </w:t>
      </w:r>
      <w:r>
        <w:t xml:space="preserve">0,88</w:t>
      </w:r>
      <w:r>
        <w:t xml:space="preserve"> </w:t>
      </w:r>
      <w:r>
        <w:t xml:space="preserve">++</w:t>
      </w:r>
      <w:r>
        <w:t xml:space="preserve"> </w:t>
      </w:r>
      <w:r>
        <w:t xml:space="preserve">2.221</w:t>
      </w:r>
      <w:r>
        <w:t xml:space="preserve"> </w:t>
      </w:r>
      <w:r>
        <w:t xml:space="preserve">4.565</w:t>
      </w:r>
      <w:r>
        <w:t xml:space="preserve"> </w:t>
      </w:r>
      <w:r>
        <w:t xml:space="preserve">7.226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32,9 32,5</w:t>
      </w:r>
      <w:r>
        <w:t xml:space="preserve"> </w:t>
      </w:r>
      <w:r>
        <w:t xml:space="preserve">++</w:t>
      </w:r>
      <w:r>
        <w:t xml:space="preserve"> </w:t>
      </w:r>
      <w:r>
        <w:t xml:space="preserve">Table 8-4. Efficiency analysis preferred policy option (PO2+PO3+PO4a+PO4c) compared to the rest of the options</w:t>
      </w:r>
      <w:r>
        <w:t xml:space="preserve"> </w:t>
      </w:r>
      <w:r>
        <w:t xml:space="preserve">Increase in average unit price</w:t>
      </w:r>
      <w:r>
        <w:t xml:space="preserve"> </w:t>
      </w:r>
      <w:r>
        <w:t xml:space="preserve">vs BAU, sale</w:t>
      </w:r>
      <w:r>
        <w:t xml:space="preserve"> </w:t>
      </w:r>
      <w:r>
        <w:t xml:space="preserve">Saving vs. BAU in annual</w:t>
      </w:r>
      <w:r>
        <w:t xml:space="preserve"> </w:t>
      </w:r>
      <w:r>
        <w:t xml:space="preserve">cost of energy consumption</w:t>
      </w:r>
      <w:r>
        <w:t xml:space="preserve"> </w:t>
      </w:r>
      <w:r>
        <w:t xml:space="preserve">Pay-back</w:t>
      </w:r>
      <w:r>
        <w:t xml:space="preserve"> </w:t>
      </w:r>
      <w:r>
        <w:t xml:space="preserve">time (years)</w:t>
      </w:r>
      <w:r>
        <w:t xml:space="preserve"> </w:t>
      </w:r>
      <w:r>
        <w:t xml:space="preserve">%/unit</w:t>
      </w:r>
      <w:r>
        <w:t xml:space="preserve"> </w:t>
      </w:r>
      <w:r>
        <w:t xml:space="preserve">€/unit</w:t>
      </w:r>
      <w:r>
        <w:t xml:space="preserve"> </w:t>
      </w:r>
      <w:r>
        <w:t xml:space="preserve">%</w:t>
      </w:r>
      <w:r>
        <w:t xml:space="preserve"> </w:t>
      </w:r>
      <w:r>
        <w:t xml:space="preserve">€/year</w:t>
      </w:r>
      <w:r>
        <w:t xml:space="preserve"> </w:t>
      </w:r>
      <w:r>
        <w:t xml:space="preserve">7,6%</w:t>
      </w:r>
      <w:r>
        <w:t xml:space="preserve"> </w:t>
      </w:r>
      <w:r>
        <w:t xml:space="preserve">10,3</w:t>
      </w:r>
      <w:r>
        <w:br/>
      </w:r>
      <w:r>
        <w:t xml:space="preserve">2%</w:t>
      </w:r>
      <w:r>
        <w:t xml:space="preserve"> </w:t>
      </w:r>
      <w:r>
        <w:t xml:space="preserve">3,1</w:t>
      </w:r>
      <w:r>
        <w:br/>
      </w:r>
      <w:r>
        <w:t xml:space="preserve">4,5</w:t>
      </w:r>
      <w:r>
        <w:br/>
      </w:r>
      <w:r>
        <w:t xml:space="preserve">Table 8-5. Affordability of the preferred policy option</w:t>
      </w:r>
      <w:r>
        <w:t xml:space="preserve"> </w:t>
      </w:r>
      <w:r>
        <w:t xml:space="preserve">The pay-back period of the preferred policy option is 4,5 years, half of the average lifetime for the</w:t>
      </w:r>
      <w:r>
        <w:t xml:space="preserve"> </w:t>
      </w:r>
      <w:r>
        <w:t xml:space="preserve">shortest-lived product sub-group, portable heaters.</w:t>
      </w:r>
      <w:r>
        <w:br/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proposed policy option is in line with the REFIT objectives of simplification and reduction of</w:t>
      </w:r>
      <w:r>
        <w:t xml:space="preserve"> </w:t>
      </w:r>
      <w:r>
        <w:t xml:space="preserve">red tape. The clarification and extension of the scope resulting from PO2 sets out a level playing</w:t>
      </w:r>
      <w:r>
        <w:t xml:space="preserve"> </w:t>
      </w:r>
      <w:r>
        <w:t xml:space="preserve">field for industry and for MSAs, simplifying their work by laying down a clearer distinction</w:t>
      </w:r>
      <w:r>
        <w:t xml:space="preserve"> </w:t>
      </w:r>
      <w:r>
        <w:t xml:space="preserve">between products in and out of the scope of the legislation. MSAs have reported to the Commission</w:t>
      </w:r>
      <w:r>
        <w:t xml:space="preserve"> </w:t>
      </w:r>
      <w:r>
        <w:t xml:space="preserve">that confusing scope, in particular as regards of slave heaters, is the origin of loss of time for</w:t>
      </w:r>
      <w:r>
        <w:t xml:space="preserve"> </w:t>
      </w:r>
      <w:r>
        <w:t xml:space="preserve">selection of the products to be inspected, discussions with manufacturers and additional red tape.</w:t>
      </w:r>
      <w:r>
        <w:t xml:space="preserve"> </w:t>
      </w:r>
      <w:r>
        <w:t xml:space="preserve">With the planned modification MSAs will be able to spend more time on actual enforcement. In</w:t>
      </w:r>
      <w:r>
        <w:t xml:space="preserve"> </w:t>
      </w:r>
      <w:r>
        <w:t xml:space="preserve">addition, by broadening the scope of the LSH Regulation there will be less risk that Member States</w:t>
      </w:r>
      <w:r>
        <w:t xml:space="preserve"> </w:t>
      </w:r>
      <w:r>
        <w:t xml:space="preserve">take individual legislative action to regulate the range of products currently out of the scope and</w:t>
      </w:r>
      <w:r>
        <w:t xml:space="preserve"> </w:t>
      </w:r>
      <w:r>
        <w:t xml:space="preserve">therefore prevents the rise of cost of compliance with different national rules.</w:t>
      </w:r>
      <w:r>
        <w:br/>
      </w:r>
      <w:r>
        <w:t xml:space="preserve">Additionally, as discussed in section 5.4.2, there is no need to include third party certification and</w:t>
      </w:r>
      <w:r>
        <w:t xml:space="preserve"> </w:t>
      </w:r>
      <w:r>
        <w:t xml:space="preserve">the corresponding costs will be saved.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There will be around 1,3 M€ administrative costs linked to the need to update the DoC’s for the</w:t>
      </w:r>
      <w:r>
        <w:t xml:space="preserve"> </w:t>
      </w:r>
      <w:r>
        <w:t xml:space="preserve">products currently in the scope of the LSH Regulation and to issue a new DoC for the products that</w:t>
      </w:r>
      <w:r>
        <w:t xml:space="preserve"> </w:t>
      </w:r>
      <w:r>
        <w:t xml:space="preserve">will come in the scope after the adoption of the measures. No potential cost savings in</w:t>
      </w:r>
      <w:r>
        <w:t xml:space="preserve"> </w:t>
      </w:r>
      <w:r>
        <w:t xml:space="preserve">administrative activities performed by businesses were identified that could be included in the</w:t>
      </w:r>
      <w:r>
        <w:t xml:space="preserve"> </w:t>
      </w:r>
      <w:r>
        <w:t xml:space="preserve">current revision of the legislative framework on local space heaters.</w:t>
      </w:r>
      <w:r>
        <w:br/>
      </w:r>
      <w:r>
        <w:t xml:space="preserve">8.4.</w:t>
      </w:r>
      <w:r>
        <w:t xml:space="preserve"> </w:t>
      </w:r>
      <w:r>
        <w:t xml:space="preserve">Overview in the context of current energy prices</w:t>
      </w:r>
      <w:r>
        <w:t xml:space="preserve"> </w:t>
      </w:r>
      <w:r>
        <w:t xml:space="preserve">Energy prices are sharply increasing due to the current situation of political instability. This strong</w:t>
      </w:r>
      <w:r>
        <w:t xml:space="preserve"> </w:t>
      </w:r>
      <w:r>
        <w:t xml:space="preserve">increase, which was not foreseen when the review study was carried out, could have encouraged the</w:t>
      </w:r>
      <w:r>
        <w:t xml:space="preserve"> </w:t>
      </w:r>
      <w:r>
        <w:t xml:space="preserve">introduction of additional ecodesign measures because higher energy costs would make those</w:t>
      </w:r>
      <w:r>
        <w:t xml:space="preserve"> </w:t>
      </w:r>
      <w:r>
        <w:t xml:space="preserve">measures to be cost-efficient. For instance stricter ecodesign limits by reducing the correction</w:t>
      </w:r>
      <w:r>
        <w:t xml:space="preserve"> </w:t>
      </w:r>
      <w:r>
        <w:t xml:space="preserve">factors F(2) and F(3), which is an option ruled out at an early stage as explained in section 5.4,</w:t>
      </w:r>
      <w:r>
        <w:t xml:space="preserve"> </w:t>
      </w:r>
      <w:r>
        <w:t xml:space="preserve">could have been included among the policy options under assessment.</w:t>
      </w:r>
      <w:r>
        <w:br/>
      </w:r>
      <w:r>
        <w:t xml:space="preserve">It is not possible at this stage to make a fully-fledged impact assessment considering current energy</w:t>
      </w:r>
      <w:r>
        <w:t xml:space="preserve"> </w:t>
      </w:r>
      <w:r>
        <w:t xml:space="preserve">prices because the available scenarios have not been updated with those prices. It is however</w:t>
      </w:r>
      <w:r>
        <w:t xml:space="preserve"> </w:t>
      </w:r>
      <w:r>
        <w:t xml:space="preserve">possible to carry out an analysis of the impact on affordability (payback period) of introducing</w:t>
      </w:r>
      <w:r>
        <w:t xml:space="preserve"> </w:t>
      </w:r>
      <w:r>
        <w:t xml:space="preserve">additional ecodesign measures, for different energy prices. Affordability is a key parameter for this</w:t>
      </w:r>
      <w:r>
        <w:t xml:space="preserve"> </w:t>
      </w:r>
      <w:r>
        <w:t xml:space="preserve">analysis because other important impacts such as energy consumption reduction and GHG emission</w:t>
      </w:r>
      <w:r>
        <w:t xml:space="preserve"> </w:t>
      </w:r>
      <w:r>
        <w:t xml:space="preserve">savings can only improve with the inclusion of additional ecodesign measures.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This analysis will consider a reduction of F(2) and F(3) that will double the impact of the preferred</w:t>
      </w:r>
      <w:r>
        <w:t xml:space="preserve"> </w:t>
      </w:r>
      <w:r>
        <w:t xml:space="preserve">option PO2+PO3+PO4a+PO4c and will therefore bring about a further 2% reduction of energy</w:t>
      </w:r>
      <w:r>
        <w:t xml:space="preserve"> </w:t>
      </w:r>
      <w:r>
        <w:t xml:space="preserve">consumption. This reduction will be added to the savings achieved under the preferred policy</w:t>
      </w:r>
      <w:r>
        <w:t xml:space="preserve"> </w:t>
      </w:r>
      <w:r>
        <w:t xml:space="preserve">option. The affordability analysis will be carried out for the preferred policy option + the</w:t>
      </w:r>
      <w:r>
        <w:t xml:space="preserve"> </w:t>
      </w:r>
      <w:r>
        <w:t xml:space="preserve">abovementioned 2% of additional savings with both REF2020 energy prices and the last EU prices</w:t>
      </w:r>
      <w:r>
        <w:t xml:space="preserve"> </w:t>
      </w:r>
      <w:r>
        <w:t xml:space="preserve">(1 semester of 2021) made available by Eurostat48. The latter are assumed to remain constant over</w:t>
      </w:r>
      <w:r>
        <w:t xml:space="preserve"> </w:t>
      </w:r>
      <w:r>
        <w:t xml:space="preserve">the period of study, from 2025 to 2050. Energy prices will in reality vary with time, but as said</w:t>
      </w:r>
      <w:r>
        <w:t xml:space="preserve"> </w:t>
      </w:r>
      <w:r>
        <w:t xml:space="preserve">above it is not possible to predict that variation in the absence of a reliable projection. Nevertheless,</w:t>
      </w:r>
      <w:r>
        <w:t xml:space="preserve"> </w:t>
      </w:r>
      <w:r>
        <w:t xml:space="preserve">fixed energy prices can still give an idea of the influence on payback of stricter ecodesign rules.</w:t>
      </w:r>
      <w:r>
        <w:t xml:space="preserve"> </w:t>
      </w:r>
      <w:r>
        <w:t xml:space="preserve">Stock and sales will remain the same because stricter ecodesign measures are considered not to</w:t>
      </w:r>
      <w:r>
        <w:t xml:space="preserve"> </w:t>
      </w:r>
      <w:r>
        <w:t xml:space="preserve">have any influence on those two parameters, neither in terms of global numbers nor as regards the</w:t>
      </w:r>
      <w:r>
        <w:t xml:space="preserve"> </w:t>
      </w:r>
      <w:r>
        <w:t xml:space="preserve">share of the market for each of the types of local space heaters.</w:t>
      </w:r>
      <w:r>
        <w:t xml:space="preserve"> </w:t>
      </w:r>
      <w:r>
        <w:t xml:space="preserve">The affordability analysis casts the following result:</w:t>
      </w:r>
    </w:p>
    <w:p>
      <w:pPr>
        <w:pStyle w:val="BodyText"/>
      </w:pPr>
      <w:r>
        <w:t xml:space="preserve">Energy prices</w:t>
      </w:r>
      <w:r>
        <w:t xml:space="preserve"> </w:t>
      </w:r>
      <w:r>
        <w:t xml:space="preserve">Increase in average</w:t>
      </w:r>
      <w:r>
        <w:t xml:space="preserve"> </w:t>
      </w:r>
      <w:r>
        <w:t xml:space="preserve">unit price vs BAU,</w:t>
      </w:r>
      <w:r>
        <w:t xml:space="preserve"> </w:t>
      </w:r>
      <w:r>
        <w:t xml:space="preserve">sale</w:t>
      </w:r>
      <w:r>
        <w:t xml:space="preserve"> </w:t>
      </w:r>
      <w:r>
        <w:t xml:space="preserve">Saving vs. BAU in</w:t>
      </w:r>
      <w:r>
        <w:t xml:space="preserve"> </w:t>
      </w:r>
      <w:r>
        <w:t xml:space="preserve">annual cost of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Pay-back</w:t>
      </w:r>
      <w:r>
        <w:t xml:space="preserve"> </w:t>
      </w:r>
      <w:r>
        <w:t xml:space="preserve">time (years)</w:t>
      </w:r>
      <w:r>
        <w:t xml:space="preserve"> </w:t>
      </w:r>
      <w:r>
        <w:t xml:space="preserve">%/unit</w:t>
      </w:r>
      <w:r>
        <w:t xml:space="preserve"> </w:t>
      </w:r>
      <w:r>
        <w:t xml:space="preserve">€/unit</w:t>
      </w:r>
      <w:r>
        <w:t xml:space="preserve"> </w:t>
      </w:r>
      <w:r>
        <w:t xml:space="preserve">%</w:t>
      </w:r>
      <w:r>
        <w:t xml:space="preserve"> </w:t>
      </w:r>
      <w:r>
        <w:t xml:space="preserve">€/year</w:t>
      </w:r>
      <w:r>
        <w:t xml:space="preserve"> </w:t>
      </w:r>
      <w:r>
        <w:t xml:space="preserve">Preferred PO</w:t>
      </w:r>
      <w:r>
        <w:t xml:space="preserve"> </w:t>
      </w:r>
      <w:r>
        <w:t xml:space="preserve">REF2020</w:t>
      </w:r>
      <w:r>
        <w:t xml:space="preserve"> </w:t>
      </w:r>
      <w:r>
        <w:t xml:space="preserve">7,6%</w:t>
      </w:r>
      <w:r>
        <w:t xml:space="preserve"> </w:t>
      </w:r>
      <w:r>
        <w:t xml:space="preserve">10,3</w:t>
      </w:r>
      <w:r>
        <w:br/>
      </w:r>
      <w:r>
        <w:t xml:space="preserve">2%</w:t>
      </w:r>
      <w:r>
        <w:t xml:space="preserve"> </w:t>
      </w:r>
      <w:r>
        <w:t xml:space="preserve">2,27</w:t>
      </w:r>
      <w:r>
        <w:br/>
      </w:r>
      <w:r>
        <w:t xml:space="preserve">4,5</w:t>
      </w:r>
      <w:r>
        <w:br/>
      </w:r>
      <w:r>
        <w:t xml:space="preserve">Preferred PO + 2%</w:t>
      </w:r>
      <w:r>
        <w:t xml:space="preserve"> </w:t>
      </w:r>
      <w:r>
        <w:t xml:space="preserve">additional savings</w:t>
      </w:r>
      <w:r>
        <w:t xml:space="preserve"> </w:t>
      </w:r>
      <w:r>
        <w:t xml:space="preserve">REF2020</w:t>
      </w:r>
      <w:r>
        <w:t xml:space="preserve"> </w:t>
      </w:r>
      <w:r>
        <w:t xml:space="preserve">10,3%</w:t>
      </w:r>
      <w:r>
        <w:t xml:space="preserve"> </w:t>
      </w:r>
      <w:r>
        <w:t xml:space="preserve">14,0</w:t>
      </w:r>
      <w:r>
        <w:t xml:space="preserve"> </w:t>
      </w:r>
      <w:r>
        <w:t xml:space="preserve">2,8%</w:t>
      </w:r>
      <w:r>
        <w:t xml:space="preserve"> </w:t>
      </w:r>
      <w:r>
        <w:t xml:space="preserve">3,1</w:t>
      </w:r>
      <w:r>
        <w:t xml:space="preserve"> </w:t>
      </w:r>
      <w:r>
        <w:t xml:space="preserve">4,5</w:t>
      </w:r>
      <w:r>
        <w:t xml:space="preserve"> </w:t>
      </w:r>
      <w:r>
        <w:t xml:space="preserve">Preferred PO + 2%</w:t>
      </w:r>
      <w:r>
        <w:t xml:space="preserve"> </w:t>
      </w:r>
      <w:r>
        <w:t xml:space="preserve">additional savings</w:t>
      </w:r>
      <w:r>
        <w:t xml:space="preserve"> </w:t>
      </w:r>
      <w:r>
        <w:t xml:space="preserve">1 semester 2021</w:t>
      </w:r>
      <w:r>
        <w:t xml:space="preserve"> </w:t>
      </w:r>
      <w:r>
        <w:t xml:space="preserve">10,3%</w:t>
      </w:r>
      <w:r>
        <w:t xml:space="preserve"> </w:t>
      </w:r>
      <w:r>
        <w:t xml:space="preserve">14,0</w:t>
      </w:r>
      <w:r>
        <w:t xml:space="preserve"> </w:t>
      </w:r>
      <w:r>
        <w:t xml:space="preserve">3,4%</w:t>
      </w:r>
      <w:r>
        <w:t xml:space="preserve"> </w:t>
      </w:r>
      <w:r>
        <w:t xml:space="preserve">3,8</w:t>
      </w:r>
      <w:r>
        <w:t xml:space="preserve"> </w:t>
      </w:r>
      <w:r>
        <w:t xml:space="preserve">3,7</w:t>
      </w:r>
      <w:r>
        <w:t xml:space="preserve"> </w:t>
      </w:r>
      <w:r>
        <w:t xml:space="preserve">Table 8-4. Affordability under higher energy prices</w:t>
      </w:r>
      <w:r>
        <w:t xml:space="preserve"> </w:t>
      </w:r>
      <w:r>
        <w:t xml:space="preserve">The conclusion from this analysis is that inclusion of stricter ecodesign measures would be cost-</w:t>
      </w:r>
      <w:r>
        <w:t xml:space="preserve"> </w:t>
      </w:r>
      <w:r>
        <w:t xml:space="preserve">efficient even under REF2020 energy prices. It is nevertheless necessary to take into account that</w:t>
      </w:r>
      <w:r>
        <w:t xml:space="preserve"> </w:t>
      </w:r>
      <w:r>
        <w:t xml:space="preserve">the full review study and impact assessment were conducted in a context very different to the</w:t>
      </w:r>
      <w:r>
        <w:t xml:space="preserve"> </w:t>
      </w:r>
      <w:r>
        <w:t xml:space="preserve">current one. As explained in Annex 6, the review study concluded that the current LSH Regulation</w:t>
      </w:r>
      <w:r>
        <w:t xml:space="preserve"> </w:t>
      </w:r>
      <w:r>
        <w:t xml:space="preserve">had been effective but less effective than initially expected. This was not attributed to the lack of</w:t>
      </w:r>
      <w:r>
        <w:t xml:space="preserve"> </w:t>
      </w:r>
      <w:r>
        <w:t xml:space="preserve">technical ambition, but to the existence of loopholes that hindered the maximisation of the energy</w:t>
      </w:r>
      <w:r>
        <w:t xml:space="preserve"> </w:t>
      </w:r>
      <w:r>
        <w:t xml:space="preserve">savings. Focus in this IA has then been set on the removal of those loopholes. In addition, it seemed</w:t>
      </w:r>
      <w:r>
        <w:t xml:space="preserve"> </w:t>
      </w:r>
      <w:r>
        <w:t xml:space="preserve">reasonable to keep the existing ecodesign limits because they entered into application on 1 January</w:t>
      </w:r>
      <w:r>
        <w:t xml:space="preserve"> </w:t>
      </w:r>
      <w:r>
        <w:t xml:space="preserve">2018, this is after the review study had started, and a reliable assessment of the limits would have</w:t>
      </w:r>
      <w:r>
        <w:t xml:space="preserve"> </w:t>
      </w:r>
      <w:r>
        <w:t xml:space="preserve">only been possible some years after their date of application. A new reduction of the ecodesign</w:t>
      </w:r>
      <w:r>
        <w:t xml:space="preserve"> </w:t>
      </w:r>
      <w:r>
        <w:t xml:space="preserve">limits without appropriate verification would have undermined the support to the legislative</w:t>
      </w:r>
      <w:r>
        <w:t xml:space="preserve"> </w:t>
      </w:r>
      <w:r>
        <w:t xml:space="preserve">amendment from the industry and from some Member States.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main tool to verify compliance with ecodesign and energy labelling requirements is the market</w:t>
      </w:r>
      <w:r>
        <w:t xml:space="preserve"> </w:t>
      </w:r>
      <w:r>
        <w:t xml:space="preserve">surveillance carried out by national authorities. Further, homogeneity of market surveillance actions</w:t>
      </w:r>
      <w:r>
        <w:t xml:space="preserve"> </w:t>
      </w:r>
      <w:r>
        <w:t xml:space="preserve">at EU level is guaranteed by the Administrative Cooperation Groups, under which MSAs and the</w:t>
      </w:r>
      <w:r>
        <w:t xml:space="preserve"> </w:t>
      </w:r>
      <w:r>
        <w:t xml:space="preserve">Commission meet several times per year with the objective to ensure efficient, comprehensive and</w:t>
      </w:r>
      <w:r>
        <w:t xml:space="preserve"> </w:t>
      </w:r>
      <w:r>
        <w:t xml:space="preserve">consistent market surveillance across the Union.</w:t>
      </w:r>
      <w:r>
        <w:t xml:space="preserve"> </w:t>
      </w:r>
      <w:r>
        <w:t xml:space="preserve">In addition, surveillance activities are supported by the Commission through EEPLIANT3, which is</w:t>
      </w:r>
      <w:r>
        <w:t xml:space="preserve"> </w:t>
      </w:r>
      <w:r>
        <w:t xml:space="preserve">a Horizon 2020-funded project with a budget of €6,85 million49, involving a consortium of MSAs.</w:t>
      </w:r>
    </w:p>
    <w:p>
      <w:pPr>
        <w:pStyle w:val="BodyText"/>
      </w:pPr>
      <w:r>
        <w:t xml:space="preserve">48 Electricity price statistics - Statistics Explained (europa.eu)</w:t>
      </w:r>
      <w:r>
        <w:t xml:space="preserve"> </w:t>
      </w:r>
      <w:r>
        <w:t xml:space="preserve">49 https://cordis.europa.eu/project/id/832558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The project runs from June 2019 until November 2023 and includes a work package on heaters50,</w:t>
      </w:r>
      <w:r>
        <w:t xml:space="preserve"> </w:t>
      </w:r>
      <w:r>
        <w:t xml:space="preserve">among them local space heaters. In the frame of EPPLIANT3, MSAs carry out market surveillance</w:t>
      </w:r>
      <w:r>
        <w:t xml:space="preserve"> </w:t>
      </w:r>
      <w:r>
        <w:t xml:space="preserve">activities on their national markets and make recommendations that can be used later by national</w:t>
      </w:r>
      <w:r>
        <w:t xml:space="preserve"> </w:t>
      </w:r>
      <w:r>
        <w:t xml:space="preserve">authorities in their regular enforcement activities. Those activities are focused on document</w:t>
      </w:r>
      <w:r>
        <w:t xml:space="preserve"> </w:t>
      </w:r>
      <w:r>
        <w:t xml:space="preserve">inspections, analysis of the content of web-shops, verification of EPREL data and testing of</w:t>
      </w:r>
      <w:r>
        <w:t xml:space="preserve"> </w:t>
      </w:r>
      <w:r>
        <w:t xml:space="preserve">appliances.</w:t>
      </w:r>
      <w:r>
        <w:br/>
      </w:r>
      <w:r>
        <w:t xml:space="preserve">On local space heaters, each MSA will have to screen at least 15 models and select at least 10</w:t>
      </w:r>
      <w:r>
        <w:t xml:space="preserve"> </w:t>
      </w:r>
      <w:r>
        <w:t xml:space="preserve">models for document inspection. In total, 207 models are expected to be screened, broken down in</w:t>
      </w:r>
      <w:r>
        <w:t xml:space="preserve"> </w:t>
      </w:r>
      <w:r>
        <w:t xml:space="preserve">three product subgroups: gas-fuelled, biomass-fuelled and electric. Out of those 207, 143 models</w:t>
      </w:r>
      <w:r>
        <w:t xml:space="preserve"> </w:t>
      </w:r>
      <w:r>
        <w:t xml:space="preserve">will be selected for document inspection, including product information stored in EPREL, and 143</w:t>
      </w:r>
      <w:r>
        <w:t xml:space="preserve"> </w:t>
      </w:r>
      <w:r>
        <w:t xml:space="preserve">for inspection of online labels. In addition, 54 products shall be tested for compliance with</w:t>
      </w:r>
      <w:r>
        <w:t xml:space="preserve"> </w:t>
      </w:r>
      <w:r>
        <w:t xml:space="preserve">ecodesign rules at lab facilities.</w:t>
      </w:r>
      <w:r>
        <w:br/>
      </w:r>
      <w:r>
        <w:t xml:space="preserve">The project is ongoing until mid-2023 and the results are not yet available, but it is expected that</w:t>
      </w:r>
      <w:r>
        <w:t xml:space="preserve"> </w:t>
      </w:r>
      <w:r>
        <w:t xml:space="preserve">EPPLIANT3 is able to estimate the overall level of compliance of the products in the market with</w:t>
      </w:r>
      <w:r>
        <w:t xml:space="preserve"> </w:t>
      </w:r>
      <w:r>
        <w:t xml:space="preserve">respect to the ecodesign rules. MSAs will need to take the EPPLIANT3 conclusions into account in</w:t>
      </w:r>
      <w:r>
        <w:t xml:space="preserve"> </w:t>
      </w:r>
      <w:r>
        <w:t xml:space="preserve">order to optimise efforts by focussing on those specific issues where level of compliance is</w:t>
      </w:r>
      <w:r>
        <w:t xml:space="preserve"> </w:t>
      </w:r>
      <w:r>
        <w:t xml:space="preserve">deficient. This will also apply to the enforcement of the upcoming TD Ecodesign and Energy</w:t>
      </w:r>
      <w:r>
        <w:t xml:space="preserve"> </w:t>
      </w:r>
      <w:r>
        <w:t xml:space="preserve">Labelling Regulations.</w:t>
      </w:r>
      <w:r>
        <w:br/>
      </w:r>
      <w:r>
        <w:t xml:space="preserve">Finally, the revised TD Ecodesign and Energy Labelling Regulations will include a review clause</w:t>
      </w:r>
      <w:r>
        <w:t xml:space="preserve"> </w:t>
      </w:r>
      <w:r>
        <w:t xml:space="preserve">that will mandate, inter alia, the evaluation of the effectiveness and regulatory efficiency and</w:t>
      </w:r>
      <w:r>
        <w:t xml:space="preserve"> </w:t>
      </w:r>
      <w:r>
        <w:t xml:space="preserve">relevance of the revised regulations 5 years after their entry into force. The results of this</w:t>
      </w:r>
      <w:r>
        <w:t xml:space="preserve"> </w:t>
      </w:r>
      <w:r>
        <w:t xml:space="preserve">evaluation, which will involve the acquisition of independent market data as well as extensive</w:t>
      </w:r>
      <w:r>
        <w:t xml:space="preserve"> </w:t>
      </w:r>
      <w:r>
        <w:t xml:space="preserve">stakeholder consultation, should be presented to stakeholders and Member States in the Ecodesign</w:t>
      </w:r>
      <w:r>
        <w:t xml:space="preserve"> </w:t>
      </w:r>
      <w:r>
        <w:t xml:space="preserve">and Energy Labelling Consultation Forums. In addition, the European Commission will be</w:t>
      </w:r>
      <w:r>
        <w:t xml:space="preserve"> </w:t>
      </w:r>
      <w:r>
        <w:t xml:space="preserve">regularly analysing the latest updated data of the database EPREL, in order to monitor the evolution</w:t>
      </w:r>
      <w:r>
        <w:t xml:space="preserve"> </w:t>
      </w:r>
      <w:r>
        <w:t xml:space="preserve">of the market as regards of energy efficiency, condensation efficiency, refrigerants used in the</w:t>
      </w:r>
      <w:r>
        <w:t xml:space="preserve"> </w:t>
      </w:r>
      <w:r>
        <w:t xml:space="preserve">appliances and level of noise. This will allow the Commission to early detect possible technical</w:t>
      </w:r>
      <w:r>
        <w:t xml:space="preserve"> </w:t>
      </w:r>
      <w:r>
        <w:t xml:space="preserve">improvements that can be assessed in future revisions.</w:t>
      </w:r>
    </w:p>
    <w:p>
      <w:pPr>
        <w:pStyle w:val="BodyText"/>
      </w:pPr>
      <w:r>
        <w:t xml:space="preserve">50 EEPLIANT - Heaters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DG ENER, PLAN/2019/5387, Commission Ecodesign and Energy Labelling Working Plan 2016-</w:t>
      </w:r>
      <w:r>
        <w:t xml:space="preserve"> </w:t>
      </w:r>
      <w:r>
        <w:t xml:space="preserve">2019 (COM/2016/0773 final).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revision of the Ecodesign Regulation on local space heaters has been included in the Ecodesign</w:t>
      </w:r>
      <w:r>
        <w:t xml:space="preserve"> </w:t>
      </w:r>
      <w:r>
        <w:t xml:space="preserve">and Energy Labelling Working Plan 2016-2019.</w:t>
      </w:r>
      <w:r>
        <w:t xml:space="preserve"> </w:t>
      </w:r>
      <w:r>
        <w:t xml:space="preserve">A draft of the impact assessment report was submitted on 2 March 2022 to the members of the</w:t>
      </w:r>
      <w:r>
        <w:t xml:space="preserve"> </w:t>
      </w:r>
      <w:r>
        <w:t xml:space="preserve">Ecodesign and Energy Labelling Interservice Steering Group, involving the following DGs: SG,</w:t>
      </w:r>
      <w:r>
        <w:t xml:space="preserve"> </w:t>
      </w:r>
      <w:r>
        <w:t xml:space="preserve">AGRI, BUDG, CLIMA, CNECT, COMM, COMP, DEFIS, EAC, ECFIN, ECHO, EMPL, ENV,</w:t>
      </w:r>
      <w:r>
        <w:t xml:space="preserve"> </w:t>
      </w:r>
      <w:r>
        <w:t xml:space="preserve">ESTAT, FISMA, GROW, JRC, JUST, IDEA, MOVE, REFORM, REGIO, RTD, SANTE, SJ,</w:t>
      </w:r>
      <w:r>
        <w:t xml:space="preserve"> </w:t>
      </w:r>
      <w:r>
        <w:t xml:space="preserve">TAXUD. A meeting took place on 28 March. There were no major comments. DGENV asked to</w:t>
      </w:r>
      <w:r>
        <w:t xml:space="preserve"> </w:t>
      </w:r>
      <w:r>
        <w:t xml:space="preserve">make sure that the proposed measure on information about end of life does not overlap with the</w:t>
      </w:r>
      <w:r>
        <w:t xml:space="preserve"> </w:t>
      </w:r>
      <w:r>
        <w:t xml:space="preserve">WEEE Directive. SJ submitted comments in writing after the meeting that have been considered in</w:t>
      </w:r>
      <w:r>
        <w:t xml:space="preserve"> </w:t>
      </w:r>
      <w:r>
        <w:t xml:space="preserve">their entirety.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RSB was consulted on 11 May 2022. Prior to that, an upstream meeting took place on 21</w:t>
      </w:r>
      <w:r>
        <w:t xml:space="preserve"> </w:t>
      </w:r>
      <w:r>
        <w:t xml:space="preserve">March, in which the Board provided several recommendations to DG ENER, highlighting in</w:t>
      </w:r>
      <w:r>
        <w:t xml:space="preserve"> </w:t>
      </w:r>
      <w:r>
        <w:t xml:space="preserve">particular the need to ensure coherence with related initiatives, the importance to consider scenarios</w:t>
      </w:r>
      <w:r>
        <w:t xml:space="preserve"> </w:t>
      </w:r>
      <w:r>
        <w:t xml:space="preserve">in line with the “fit-for-55” package, the relevance of the cost-benefit analysis as basis for the</w:t>
      </w:r>
      <w:r>
        <w:t xml:space="preserve"> </w:t>
      </w:r>
      <w:r>
        <w:t xml:space="preserve">adoption of choices on the policy options and the inclusion of sensitivity analysis on crucial</w:t>
      </w:r>
      <w:r>
        <w:t xml:space="preserve"> </w:t>
      </w:r>
      <w:r>
        <w:t xml:space="preserve">parameters.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departing point for this impact assessment is the review study carried out by the consultant</w:t>
      </w:r>
      <w:r>
        <w:t xml:space="preserve"> </w:t>
      </w:r>
      <w:r>
        <w:t xml:space="preserve">Viegand Maagoe, finished and handed over to the Commission in September 2019. The review</w:t>
      </w:r>
      <w:r>
        <w:t xml:space="preserve"> </w:t>
      </w:r>
      <w:r>
        <w:t xml:space="preserve">study provides some of the input data used for the baseline scenario and the modelling of the</w:t>
      </w:r>
      <w:r>
        <w:t xml:space="preserve"> </w:t>
      </w:r>
      <w:r>
        <w:t xml:space="preserve">different policy options, namely sales, stock and product prices, all of them split by product type.</w:t>
      </w:r>
      <w:r>
        <w:t xml:space="preserve"> </w:t>
      </w:r>
      <w:r>
        <w:t xml:space="preserve">Sales data have been purchased to GfK, a reputed company in the field of data provision and</w:t>
      </w:r>
      <w:r>
        <w:t xml:space="preserve"> </w:t>
      </w:r>
      <w:r>
        <w:t xml:space="preserve">analysis for the consumer goods industry. Stock data have been derived from sales and average</w:t>
      </w:r>
      <w:r>
        <w:t xml:space="preserve"> </w:t>
      </w:r>
      <w:r>
        <w:t xml:space="preserve">lifetime for each product family. Average lifetime has been extensively discussed with APPLiA,</w:t>
      </w:r>
      <w:r>
        <w:t xml:space="preserve"> </w:t>
      </w:r>
      <w:r>
        <w:t xml:space="preserve">the main industry interlocutor at EU level.</w:t>
      </w:r>
      <w:r>
        <w:br/>
      </w:r>
      <w:r>
        <w:t xml:space="preserve">As it will be further explained in Annex 4, the main challenge encountered as regards of data</w:t>
      </w:r>
      <w:r>
        <w:t xml:space="preserve"> </w:t>
      </w:r>
      <w:r>
        <w:t xml:space="preserve">accuracy is that the existing data made available by GfK and in PRODCOM do not have enough</w:t>
      </w:r>
      <w:r>
        <w:t xml:space="preserve"> </w:t>
      </w:r>
      <w:r>
        <w:t xml:space="preserve">level of granularity as to match the different sub-categories of local space heaters. For this reason, it</w:t>
      </w:r>
      <w:r>
        <w:t xml:space="preserve"> </w:t>
      </w:r>
      <w:r>
        <w:t xml:space="preserve">has been necessary to carry out a detailed crosscheck of the available information with industry</w:t>
      </w:r>
      <w:r>
        <w:t xml:space="preserve"> </w:t>
      </w:r>
      <w:r>
        <w:t xml:space="preserve">representatives in order to break down the data by product category.</w:t>
      </w:r>
      <w:r>
        <w:br/>
      </w:r>
      <w:r>
        <w:t xml:space="preserve">Electricity prices, heating degree days and building renovation rate have been obtained from</w:t>
      </w:r>
      <w:r>
        <w:t xml:space="preserve"> </w:t>
      </w:r>
      <w:r>
        <w:t xml:space="preserve">REF2020, in order to ensure coherence and consistency of the impact assessment baseline scenario</w:t>
      </w:r>
      <w:r>
        <w:t xml:space="preserve"> </w:t>
      </w:r>
      <w:r>
        <w:t xml:space="preserve">with existing energy policies.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ANNEX</w:t>
      </w:r>
      <w:r>
        <w:t xml:space="preserve"> </w:t>
      </w:r>
      <w:r>
        <w:t xml:space="preserve">2: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(SYNOPSIS</w:t>
      </w:r>
      <w:r>
        <w:t xml:space="preserve"> </w:t>
      </w:r>
      <w:r>
        <w:t xml:space="preserve">REPORT)</w:t>
      </w:r>
      <w:r>
        <w:t xml:space="preserve"> </w:t>
      </w:r>
      <w:r>
        <w:t xml:space="preserve">1.</w:t>
      </w:r>
      <w:r>
        <w:t xml:space="preserve"> </w:t>
      </w:r>
      <w:r>
        <w:t xml:space="preserve">REVIEW STUDY AND STAKEHOLDER CONSULTATION</w:t>
      </w:r>
      <w:r>
        <w:t xml:space="preserve"> </w:t>
      </w:r>
      <w:r>
        <w:t xml:space="preserve">The review study was launched in October 2017 and was completed in September 2019. It was</w:t>
      </w:r>
      <w:r>
        <w:t xml:space="preserve"> </w:t>
      </w:r>
      <w:r>
        <w:t xml:space="preserve">developed in an open process, taking into account inputs from relevant stakeholders including</w:t>
      </w:r>
      <w:r>
        <w:t xml:space="preserve"> </w:t>
      </w:r>
      <w:r>
        <w:t xml:space="preserve">manufacturers and their associations, environmental NGOs, consumer organisations and Member</w:t>
      </w:r>
      <w:r>
        <w:t xml:space="preserve"> </w:t>
      </w:r>
      <w:r>
        <w:t xml:space="preserve">States. A dedicated open public website was made available from October 2017 in order to</w:t>
      </w:r>
      <w:r>
        <w:t xml:space="preserve"> </w:t>
      </w:r>
      <w:r>
        <w:t xml:space="preserve">facilitate the monitoring of the status of the study, get related information and track the meetings</w:t>
      </w:r>
      <w:r>
        <w:t xml:space="preserve"> </w:t>
      </w:r>
      <w:r>
        <w:t xml:space="preserve">taking place.</w:t>
      </w:r>
      <w:r>
        <w:br/>
      </w:r>
      <w:r>
        <w:t xml:space="preserve">During the study, two open stakeholder consultation meetings were organised at the Commission</w:t>
      </w:r>
      <w:r>
        <w:t xml:space="preserve"> </w:t>
      </w:r>
      <w:r>
        <w:t xml:space="preserve">premises in Brussels on 22 June 2018 and 6 February 2019, with the following outcome:</w:t>
      </w:r>
      <w:r>
        <w:t xml:space="preserve"> </w:t>
      </w:r>
      <w:r>
        <w:t xml:space="preserve">• At the first meeting on 22 June 2018, the draft interim report, containing tasks 1 and 2 of the</w:t>
      </w:r>
      <w:r>
        <w:t xml:space="preserve"> </w:t>
      </w:r>
      <w:r>
        <w:t xml:space="preserve">MEErP was discussed. The report was made available to stakeholders ahead of the meeting</w:t>
      </w:r>
      <w:r>
        <w:t xml:space="preserve"> </w:t>
      </w:r>
      <w:r>
        <w:t xml:space="preserve">on 25 May, and comments were received after the meeting until 3 August 2018. A revised</w:t>
      </w:r>
      <w:r>
        <w:t xml:space="preserve"> </w:t>
      </w:r>
      <w:r>
        <w:t xml:space="preserve">report was made available on 22 October 2018, taking into account all comments received</w:t>
      </w:r>
      <w:r>
        <w:t xml:space="preserve"> </w:t>
      </w:r>
      <w:r>
        <w:t xml:space="preserve">during and after the meeting.</w:t>
      </w:r>
      <w:r>
        <w:br/>
      </w:r>
      <w:r>
        <w:t xml:space="preserve">• At the second meeting on 6 February 2019 the draft final report, containing all 7 of the</w:t>
      </w:r>
      <w:r>
        <w:t xml:space="preserve"> </w:t>
      </w:r>
      <w:r>
        <w:t xml:space="preserve">MEErP tasks was discussed. The report was made available to stakeholders on 21 December</w:t>
      </w:r>
      <w:r>
        <w:t xml:space="preserve"> </w:t>
      </w:r>
      <w:r>
        <w:t xml:space="preserve">2018, and comments were received until 28 February 2019.</w:t>
      </w:r>
      <w:r>
        <w:br/>
      </w:r>
      <w:r>
        <w:t xml:space="preserve">Following the second meeting, the final report was made available on 15 May 2019, incorporating</w:t>
      </w:r>
      <w:r>
        <w:t xml:space="preserve"> </w:t>
      </w:r>
      <w:r>
        <w:t xml:space="preserve">the additional comments received during and after that meeting.</w:t>
      </w:r>
      <w:r>
        <w:t xml:space="preserve"> </w:t>
      </w:r>
      <w:r>
        <w:t xml:space="preserve">In addition to the two stakeholder consultation meetings, the study team held contacts with several</w:t>
      </w:r>
      <w:r>
        <w:t xml:space="preserve"> </w:t>
      </w:r>
      <w:r>
        <w:t xml:space="preserve">stakeholders via e-mail or phone as well as a few face-to-face meetings.</w:t>
      </w:r>
      <w:r>
        <w:br/>
      </w:r>
      <w:r>
        <w:t xml:space="preserve">2.</w:t>
      </w:r>
      <w:r>
        <w:t xml:space="preserve"> </w:t>
      </w:r>
      <w:r>
        <w:t xml:space="preserve">CONSULTATION FORUM</w:t>
      </w:r>
      <w:r>
        <w:t xml:space="preserve"> </w:t>
      </w:r>
      <w:r>
        <w:t xml:space="preserve">The Consultation Forum consists of a balanced representation of Member State representatives,</w:t>
      </w:r>
      <w:r>
        <w:t xml:space="preserve"> </w:t>
      </w:r>
      <w:r>
        <w:t xml:space="preserve">industry associations and NGO’s, in line with Article 18 of the Ecodesign Framework Directive.</w:t>
      </w:r>
      <w:r>
        <w:t xml:space="preserve"> </w:t>
      </w:r>
      <w:r>
        <w:t xml:space="preserve">A Consultation Forum specifically on local space heaters was held on 10 September 2019, where a</w:t>
      </w:r>
      <w:r>
        <w:t xml:space="preserve"> </w:t>
      </w:r>
      <w:r>
        <w:t xml:space="preserve">working document consisting of a legislative proposal based on the results of the review study was</w:t>
      </w:r>
      <w:r>
        <w:t xml:space="preserve"> </w:t>
      </w:r>
      <w:r>
        <w:t xml:space="preserve">discussed. The minutes, working documents and stakeholder comments received in writing before</w:t>
      </w:r>
      <w:r>
        <w:t xml:space="preserve"> </w:t>
      </w:r>
      <w:r>
        <w:t xml:space="preserve">and after the Consultation Forum meeting were posted on CIRCABC51. Around 90 written</w:t>
      </w:r>
      <w:r>
        <w:t xml:space="preserve"> </w:t>
      </w:r>
      <w:r>
        <w:t xml:space="preserve">comments were received from stakeholders, including 12 Member States.</w:t>
      </w:r>
      <w:r>
        <w:br/>
      </w:r>
      <w:r>
        <w:t xml:space="preserve">A second Consultation Forum was held on 11 March 2022, in order to discuss the following aspects</w:t>
      </w:r>
      <w:r>
        <w:t xml:space="preserve"> </w:t>
      </w:r>
      <w:r>
        <w:t xml:space="preserve">of the working documents: date of application, convenience of introducing requirements on</w:t>
      </w:r>
      <w:r>
        <w:t xml:space="preserve"> </w:t>
      </w:r>
      <w:r>
        <w:t xml:space="preserve">modularity and list of spare parts. A summary is presented in section 5 of this Annex.</w:t>
      </w:r>
      <w:r>
        <w:t xml:space="preserve"> </w:t>
      </w:r>
      <w:r>
        <w:t xml:space="preserve">3.</w:t>
      </w:r>
      <w:r>
        <w:t xml:space="preserve"> </w:t>
      </w:r>
      <w:r>
        <w:t xml:space="preserve">STAKEHOLDER COMMENTS DURING AND AFTER THE CONSULTATION FORUM</w:t>
      </w:r>
      <w:r>
        <w:t xml:space="preserve"> </w:t>
      </w:r>
      <w:r>
        <w:t xml:space="preserve">The comments on the Working Document can be summarized as follows:</w:t>
      </w:r>
    </w:p>
    <w:p>
      <w:pPr>
        <w:pStyle w:val="BodyText"/>
      </w:pPr>
      <w:r>
        <w:t xml:space="preserve">51 ecodesign - Library (europa.eu)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• Date of application: five stakeholders commented that the application of the new ecodesign</w:t>
      </w:r>
      <w:r>
        <w:t xml:space="preserve"> </w:t>
      </w:r>
      <w:r>
        <w:t xml:space="preserve">measures should be changed from 1 January (as suggested in working documents) to 1 July (3</w:t>
      </w:r>
      <w:r>
        <w:t xml:space="preserve"> </w:t>
      </w:r>
      <w:r>
        <w:t xml:space="preserve">stakeholders) or 1 April (2 stakeholders), in order to avoid its application in the middle of the</w:t>
      </w:r>
      <w:r>
        <w:t xml:space="preserve"> </w:t>
      </w:r>
      <w:r>
        <w:t xml:space="preserve">heating season. This will facilitate to manufacturers stock handling and update of brochures.</w:t>
      </w:r>
      <w:r>
        <w:t xml:space="preserve"> </w:t>
      </w:r>
      <w:r>
        <w:t xml:space="preserve">The Commission agrees and this will be taken into account for setting the application date of</w:t>
      </w:r>
      <w:r>
        <w:t xml:space="preserve"> </w:t>
      </w:r>
      <w:r>
        <w:t xml:space="preserve">the implementing measures.</w:t>
      </w:r>
      <w:r>
        <w:br/>
      </w:r>
      <w:r>
        <w:t xml:space="preserve">• Scope: most stakeholders agreed with the proposed extension of the scope to towel heaters and</w:t>
      </w:r>
      <w:r>
        <w:t xml:space="preserve"> </w:t>
      </w:r>
      <w:r>
        <w:t xml:space="preserve">slave heaters, although some industry associations (EUHA and EIHA) opposed to the inclusion</w:t>
      </w:r>
      <w:r>
        <w:t xml:space="preserve"> </w:t>
      </w:r>
      <w:r>
        <w:t xml:space="preserve">of slave heaters. There were different opinions on the level of requirements and sizes of towel</w:t>
      </w:r>
      <w:r>
        <w:t xml:space="preserve"> </w:t>
      </w:r>
      <w:r>
        <w:t xml:space="preserve">heaters to be included in the scope, namely whether the towel heaters requirements should be</w:t>
      </w:r>
      <w:r>
        <w:t xml:space="preserve"> </w:t>
      </w:r>
      <w:r>
        <w:t xml:space="preserve">applicable to towel heaters over 100, 150, 200, 250 or 300 Watts, and which control factors to</w:t>
      </w:r>
      <w:r>
        <w:t xml:space="preserve"> </w:t>
      </w:r>
      <w:r>
        <w:t xml:space="preserve">be applied and their values. In the view of the stakeholders’ input, it has been decided that all</w:t>
      </w:r>
      <w:r>
        <w:t xml:space="preserve"> </w:t>
      </w:r>
      <w:r>
        <w:t xml:space="preserve">towel heaters will be included in the scope, although requirements for heaters below 250 Watts</w:t>
      </w:r>
      <w:r>
        <w:t xml:space="preserve"> </w:t>
      </w:r>
      <w:r>
        <w:t xml:space="preserve">will be more lenient.</w:t>
      </w:r>
      <w:r>
        <w:t xml:space="preserve"> </w:t>
      </w:r>
      <w:r>
        <w:t xml:space="preserve">• Pilot flame: it was discussed if permanent pilot flames in heaters using gas and oil fuels should</w:t>
      </w:r>
      <w:r>
        <w:t xml:space="preserve"> </w:t>
      </w:r>
      <w:r>
        <w:t xml:space="preserve">be banned, and to limit the duration time of non-permanent pilot flames to what is strictly</w:t>
      </w:r>
      <w:r>
        <w:t xml:space="preserve"> </w:t>
      </w:r>
      <w:r>
        <w:t xml:space="preserve">needed to the pre-heating function that they provide. Given the lack of agreement among</w:t>
      </w:r>
      <w:r>
        <w:t xml:space="preserve"> </w:t>
      </w:r>
      <w:r>
        <w:t xml:space="preserve">stakeholders and the possibility that banning specific features can create a significant burden in</w:t>
      </w:r>
      <w:r>
        <w:t xml:space="preserve"> </w:t>
      </w:r>
      <w:r>
        <w:t xml:space="preserve">the market, it has been decided to keep the current approach of having a correction factor F(5)</w:t>
      </w:r>
      <w:r>
        <w:t xml:space="preserve"> </w:t>
      </w:r>
      <w:r>
        <w:t xml:space="preserve">accounting for the negative contribution of pilot flames to energy consumption.</w:t>
      </w:r>
      <w:r>
        <w:br/>
      </w:r>
      <w:r>
        <w:t xml:space="preserve">• Availability of spare parts: NGO’s suggested to extend the availability of spare parts beyond 10</w:t>
      </w:r>
      <w:r>
        <w:t xml:space="preserve"> </w:t>
      </w:r>
      <w:r>
        <w:t xml:space="preserve">years and according to the average lifetime for each product group. The proposal in this impact</w:t>
      </w:r>
      <w:r>
        <w:t xml:space="preserve"> </w:t>
      </w:r>
      <w:r>
        <w:t xml:space="preserve">assessment includes 10 years for all product groups. This is because it has been considered that</w:t>
      </w:r>
      <w:r>
        <w:t xml:space="preserve"> </w:t>
      </w:r>
      <w:r>
        <w:t xml:space="preserve">the consumer will have little incentive to repair space heaters, in particular the cheapest ones,</w:t>
      </w:r>
      <w:r>
        <w:t xml:space="preserve"> </w:t>
      </w:r>
      <w:r>
        <w:t xml:space="preserve">and that the availability of spare parts for very long times would be a cumbersome requirement</w:t>
      </w:r>
      <w:r>
        <w:t xml:space="preserve"> </w:t>
      </w:r>
      <w:r>
        <w:t xml:space="preserve">for manufacturers of these devices.</w:t>
      </w:r>
      <w:r>
        <w:br/>
      </w:r>
      <w:r>
        <w:t xml:space="preserve">• Information on controllers and heaters to be sold separately: eight stakeholders made comments</w:t>
      </w:r>
      <w:r>
        <w:t xml:space="preserve"> </w:t>
      </w:r>
      <w:r>
        <w:t xml:space="preserve">on this topic. Various suggestions were put forward, namely that information should only be</w:t>
      </w:r>
      <w:r>
        <w:t xml:space="preserve"> </w:t>
      </w:r>
      <w:r>
        <w:t xml:space="preserve">included for those controllers and heaters sold separately, and that the information in the</w:t>
      </w:r>
      <w:r>
        <w:t xml:space="preserve"> </w:t>
      </w:r>
      <w:r>
        <w:t xml:space="preserve">packaging should be limited to the most general aspects, since it is cumbersome to translate</w:t>
      </w:r>
      <w:r>
        <w:t xml:space="preserve"> </w:t>
      </w:r>
      <w:r>
        <w:t xml:space="preserve">long messages in all EU languages. A Member State also suggested to set up a classification of</w:t>
      </w:r>
      <w:r>
        <w:t xml:space="preserve"> </w:t>
      </w:r>
      <w:r>
        <w:t xml:space="preserve">controllers according to their contribution to energy efficiency. In the view of this feedback, the</w:t>
      </w:r>
      <w:r>
        <w:t xml:space="preserve"> </w:t>
      </w:r>
      <w:r>
        <w:t xml:space="preserve">Commission will propose to include in the legislative act information requirements which are</w:t>
      </w:r>
      <w:r>
        <w:t xml:space="preserve"> </w:t>
      </w:r>
      <w:r>
        <w:t xml:space="preserve">simple, easily understandable for the consumer and not cumbersome for display and translation.</w:t>
      </w:r>
      <w:r>
        <w:br/>
      </w:r>
      <w:r>
        <w:t xml:space="preserve">• Stricter requirements on energy efficiency: some Member States and NGO’s suggested to</w:t>
      </w:r>
      <w:r>
        <w:t xml:space="preserve"> </w:t>
      </w:r>
      <w:r>
        <w:t xml:space="preserve">remove the bonuses provided by F(2) and F(3) (which account for the increase of energy</w:t>
      </w:r>
      <w:r>
        <w:t xml:space="preserve"> </w:t>
      </w:r>
      <w:r>
        <w:t xml:space="preserve">efficiency due to functionalities of the controllers) for functionalities that in practice do not</w:t>
      </w:r>
      <w:r>
        <w:t xml:space="preserve"> </w:t>
      </w:r>
      <w:r>
        <w:t xml:space="preserve">bring about significant energy savings, such as manual adjustments or mechanic thermostats. A</w:t>
      </w:r>
      <w:r>
        <w:t xml:space="preserve"> </w:t>
      </w:r>
      <w:r>
        <w:t xml:space="preserve">Member State also suggested to make mandatory some functionalities, such as the detection of</w:t>
      </w:r>
      <w:r>
        <w:t xml:space="preserve"> </w:t>
      </w:r>
      <w:r>
        <w:t xml:space="preserve">open window. Stricter ecodesign requirements have nevertheless been ruled out as explained in</w:t>
      </w:r>
      <w:r>
        <w:t xml:space="preserve"> </w:t>
      </w:r>
      <w:r>
        <w:t xml:space="preserve">the main report of this impact assessment.</w:t>
      </w:r>
      <w:r>
        <w:br/>
      </w:r>
      <w:r>
        <w:t xml:space="preserve">• Low power modes: stakeholders generally agreed to incorporate new low power modes that are</w:t>
      </w:r>
      <w:r>
        <w:t xml:space="preserve"> </w:t>
      </w:r>
      <w:r>
        <w:t xml:space="preserve">specific to local space heaters.</w:t>
      </w:r>
      <w:r>
        <w:br/>
      </w:r>
      <w:r>
        <w:t xml:space="preserve">• Modular design: NGOs and some Member States proposed to mandate the modular design of</w:t>
      </w:r>
      <w:r>
        <w:t xml:space="preserve"> </w:t>
      </w:r>
      <w:r>
        <w:t xml:space="preserve">local space heaters so that controllers can be manually detached from the heater. This option has</w:t>
      </w:r>
      <w:r>
        <w:t xml:space="preserve"> </w:t>
      </w:r>
      <w:r>
        <w:t xml:space="preserve">been ruled out because of the possible negative impact of that requirement on prices of local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space heaters, in particular the cheapest ones, and the doubts about consumer’s reaction to this</w:t>
      </w:r>
      <w:r>
        <w:t xml:space="preserve"> </w:t>
      </w:r>
      <w:r>
        <w:t xml:space="preserve">concept.</w:t>
      </w:r>
      <w:r>
        <w:br/>
      </w:r>
      <w:r>
        <w:t xml:space="preserve">• Gas appliances: several comments targeted household gas appliances, requesting to clarify the</w:t>
      </w:r>
      <w:r>
        <w:t xml:space="preserve"> </w:t>
      </w:r>
      <w:r>
        <w:t xml:space="preserve">definitions of the subcategories defined in the LSH Regulation and the appertaining limit</w:t>
      </w:r>
      <w:r>
        <w:t xml:space="preserve"> </w:t>
      </w:r>
      <w:r>
        <w:t xml:space="preserve">values. Following this information, definitions of subcategories and limit values will be adapted</w:t>
      </w:r>
      <w:r>
        <w:t xml:space="preserve"> </w:t>
      </w:r>
      <w:r>
        <w:t xml:space="preserve">accordingly.</w:t>
      </w:r>
      <w:r>
        <w:br/>
      </w:r>
      <w:r>
        <w:t xml:space="preserve">An overview of the stakeholders and their participation is given in Table A2-1. Overview of</w:t>
      </w:r>
      <w:r>
        <w:t xml:space="preserve"> </w:t>
      </w:r>
      <w:r>
        <w:t xml:space="preserve">stakeholder participation in the Review study.</w:t>
      </w:r>
      <w:r>
        <w:br/>
      </w:r>
      <w:r>
        <w:t xml:space="preserve">Stakeholder Organisation</w:t>
      </w:r>
      <w:r>
        <w:t xml:space="preserve"> </w:t>
      </w:r>
      <w:r>
        <w:t xml:space="preserve">Participation in</w:t>
      </w:r>
      <w:r>
        <w:t xml:space="preserve"> </w:t>
      </w:r>
      <w:r>
        <w:t xml:space="preserve">1st</w:t>
      </w:r>
      <w:r>
        <w:t xml:space="preserve"> </w:t>
      </w:r>
      <w:r>
        <w:t xml:space="preserve">stakeholder</w:t>
      </w:r>
      <w:r>
        <w:t xml:space="preserve"> </w:t>
      </w:r>
      <w:r>
        <w:t xml:space="preserve">meeting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 2nd</w:t>
      </w:r>
      <w:r>
        <w:t xml:space="preserve"> </w:t>
      </w:r>
      <w:r>
        <w:t xml:space="preserve">stakeholder</w:t>
      </w:r>
      <w:r>
        <w:t xml:space="preserve"> </w:t>
      </w:r>
      <w:r>
        <w:t xml:space="preserve">meeting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 CF</w:t>
      </w:r>
      <w:r>
        <w:t xml:space="preserve"> </w:t>
      </w:r>
      <w:r>
        <w:t xml:space="preserve">Written</w:t>
      </w:r>
      <w:r>
        <w:t xml:space="preserve"> </w:t>
      </w:r>
      <w:r>
        <w:t xml:space="preserve">comments</w:t>
      </w:r>
      <w:r>
        <w:t xml:space="preserve"> </w:t>
      </w:r>
      <w:r>
        <w:t xml:space="preserve">draft</w:t>
      </w:r>
      <w:r>
        <w:t xml:space="preserve"> </w:t>
      </w:r>
      <w:r>
        <w:t xml:space="preserve">interim</w:t>
      </w:r>
      <w:r>
        <w:t xml:space="preserve"> </w:t>
      </w:r>
      <w:r>
        <w:t xml:space="preserve">report</w:t>
      </w:r>
      <w:r>
        <w:t xml:space="preserve"> </w:t>
      </w:r>
      <w:r>
        <w:t xml:space="preserve">Written</w:t>
      </w:r>
      <w:r>
        <w:t xml:space="preserve"> </w:t>
      </w:r>
      <w:r>
        <w:t xml:space="preserve">comments</w:t>
      </w:r>
      <w:r>
        <w:t xml:space="preserve"> </w:t>
      </w:r>
      <w:r>
        <w:t xml:space="preserve">draft final</w:t>
      </w:r>
      <w:r>
        <w:t xml:space="preserve"> </w:t>
      </w:r>
      <w:r>
        <w:t xml:space="preserve">report</w:t>
      </w:r>
      <w:r>
        <w:t xml:space="preserve"> </w:t>
      </w:r>
      <w:r>
        <w:t xml:space="preserve">ADAX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Agoria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Alke BV (Agricultural</w:t>
      </w:r>
      <w:r>
        <w:t xml:space="preserve"> </w:t>
      </w:r>
      <w:r>
        <w:t xml:space="preserve">local space heaters)</w:t>
      </w:r>
      <w:r>
        <w:t xml:space="preserve"> </w:t>
      </w:r>
      <w:r>
        <w:t xml:space="preserve">x</w:t>
      </w:r>
      <w:r>
        <w:t xml:space="preserve"> </w:t>
      </w:r>
      <w:r>
        <w:t xml:space="preserve">ANEC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APPLiA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ASSOBAGNO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Association of Heating</w:t>
      </w:r>
      <w:r>
        <w:t xml:space="preserve"> </w:t>
      </w:r>
      <w:r>
        <w:t xml:space="preserve">Appliances Producers and</w:t>
      </w:r>
      <w:r>
        <w:t xml:space="preserve"> </w:t>
      </w:r>
      <w:r>
        <w:t xml:space="preserve">Importers in Poland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AT Energy Agency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Barbas Bellfires BV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BE (Federal Ministry for</w:t>
      </w:r>
      <w:r>
        <w:t xml:space="preserve"> </w:t>
      </w:r>
      <w:r>
        <w:t xml:space="preserve">Economy and FPS Health,</w:t>
      </w:r>
      <w:r>
        <w:t xml:space="preserve"> </w:t>
      </w:r>
      <w:r>
        <w:t xml:space="preserve">Food Chain Safety and</w:t>
      </w:r>
      <w:r>
        <w:t xml:space="preserve"> </w:t>
      </w:r>
      <w:r>
        <w:t xml:space="preserve">Environment 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BEAMA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BEUC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BG Ministry of Economy</w:t>
      </w:r>
      <w:r>
        <w:t xml:space="preserve"> </w:t>
      </w:r>
      <w:r>
        <w:t xml:space="preserve">and Energy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CEFACD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Cenelec TC59X/WG12</w:t>
      </w:r>
      <w:r>
        <w:t xml:space="preserve"> </w:t>
      </w:r>
      <w:r>
        <w:t xml:space="preserve">x</w:t>
      </w:r>
      <w:r>
        <w:t xml:space="preserve"> </w:t>
      </w:r>
      <w:r>
        <w:t xml:space="preserve">CLASP</w:t>
      </w:r>
      <w:r>
        <w:br/>
      </w:r>
      <w:r>
        <w:t xml:space="preserve">x</w:t>
      </w:r>
      <w:r>
        <w:t xml:space="preserve"> </w:t>
      </w:r>
      <w:r>
        <w:t xml:space="preserve">CZ Ministry of Industry and</w:t>
      </w:r>
      <w:r>
        <w:t xml:space="preserve"> </w:t>
      </w:r>
      <w:r>
        <w:t xml:space="preserve">Trade</w:t>
      </w:r>
      <w:r>
        <w:br/>
      </w:r>
      <w:r>
        <w:t xml:space="preserve">x</w:t>
      </w:r>
      <w:r>
        <w:t xml:space="preserve"> </w:t>
      </w:r>
      <w:r>
        <w:t xml:space="preserve">DE (Bundesanstalt für</w:t>
      </w:r>
      <w:r>
        <w:t xml:space="preserve"> </w:t>
      </w:r>
      <w:r>
        <w:t xml:space="preserve">Materialforschung und –</w:t>
      </w:r>
      <w:r>
        <w:t xml:space="preserve"> </w:t>
      </w:r>
      <w:r>
        <w:t xml:space="preserve">prüfung (BAM) , Ministry</w:t>
      </w:r>
      <w:r>
        <w:t xml:space="preserve"> </w:t>
      </w:r>
      <w:r>
        <w:t xml:space="preserve">of Environment, Climate</w:t>
      </w:r>
      <w:r>
        <w:t xml:space="preserve"> </w:t>
      </w:r>
      <w:r>
        <w:t xml:space="preserve">Protection and the Energy</w:t>
      </w:r>
      <w:r>
        <w:t xml:space="preserve"> </w:t>
      </w:r>
      <w:r>
        <w:t xml:space="preserve">Sector , UBA)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De’Longhi Appliance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Deltacalor</w:t>
      </w:r>
      <w:r>
        <w:br/>
      </w:r>
      <w:r>
        <w:t xml:space="preserve">x</w:t>
      </w:r>
      <w:r>
        <w:t xml:space="preserve"> </w:t>
      </w:r>
      <w:r>
        <w:t xml:space="preserve">UK Department for</w:t>
      </w:r>
      <w:r>
        <w:t xml:space="preserve"> </w:t>
      </w:r>
      <w:r>
        <w:t xml:space="preserve">Business Energy and</w:t>
      </w:r>
      <w:r>
        <w:t xml:space="preserve"> </w:t>
      </w:r>
      <w:r>
        <w:t xml:space="preserve">Industrial Strategy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Stakeholder Organisation</w:t>
      </w:r>
      <w:r>
        <w:t xml:space="preserve"> </w:t>
      </w:r>
      <w:r>
        <w:t xml:space="preserve">Participation in</w:t>
      </w:r>
      <w:r>
        <w:t xml:space="preserve"> </w:t>
      </w:r>
      <w:r>
        <w:t xml:space="preserve">1st</w:t>
      </w:r>
      <w:r>
        <w:t xml:space="preserve"> </w:t>
      </w:r>
      <w:r>
        <w:t xml:space="preserve">stakeholder</w:t>
      </w:r>
      <w:r>
        <w:t xml:space="preserve"> </w:t>
      </w:r>
      <w:r>
        <w:t xml:space="preserve">meeting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 2nd</w:t>
      </w:r>
      <w:r>
        <w:t xml:space="preserve"> </w:t>
      </w:r>
      <w:r>
        <w:t xml:space="preserve">stakeholder</w:t>
      </w:r>
      <w:r>
        <w:t xml:space="preserve"> </w:t>
      </w:r>
      <w:r>
        <w:t xml:space="preserve">meeting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 CF</w:t>
      </w:r>
      <w:r>
        <w:t xml:space="preserve"> </w:t>
      </w:r>
      <w:r>
        <w:t xml:space="preserve">Written</w:t>
      </w:r>
      <w:r>
        <w:t xml:space="preserve"> </w:t>
      </w:r>
      <w:r>
        <w:t xml:space="preserve">comments</w:t>
      </w:r>
      <w:r>
        <w:t xml:space="preserve"> </w:t>
      </w:r>
      <w:r>
        <w:t xml:space="preserve">draft</w:t>
      </w:r>
      <w:r>
        <w:t xml:space="preserve"> </w:t>
      </w:r>
      <w:r>
        <w:t xml:space="preserve">interim</w:t>
      </w:r>
      <w:r>
        <w:t xml:space="preserve"> </w:t>
      </w:r>
      <w:r>
        <w:t xml:space="preserve">report</w:t>
      </w:r>
      <w:r>
        <w:t xml:space="preserve"> </w:t>
      </w:r>
      <w:r>
        <w:t xml:space="preserve">Written</w:t>
      </w:r>
      <w:r>
        <w:t xml:space="preserve"> </w:t>
      </w:r>
      <w:r>
        <w:t xml:space="preserve">comments</w:t>
      </w:r>
      <w:r>
        <w:t xml:space="preserve"> </w:t>
      </w:r>
      <w:r>
        <w:t xml:space="preserve">draft final</w:t>
      </w:r>
      <w:r>
        <w:t xml:space="preserve"> </w:t>
      </w:r>
      <w:r>
        <w:t xml:space="preserve">report</w:t>
      </w:r>
      <w:r>
        <w:t xml:space="preserve"> </w:t>
      </w:r>
      <w:r>
        <w:t xml:space="preserve">DK Danish Energy Agency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DRU Verwarming B.V.</w:t>
      </w:r>
      <w:r>
        <w:t xml:space="preserve"> </w:t>
      </w:r>
      <w:r>
        <w:t xml:space="preserve">x</w:t>
      </w:r>
      <w:r>
        <w:t xml:space="preserve"> </w:t>
      </w:r>
      <w:r>
        <w:t xml:space="preserve">ECOS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EEB</w:t>
      </w:r>
      <w:r>
        <w:br/>
      </w:r>
      <w:r>
        <w:t xml:space="preserve">x</w:t>
      </w:r>
      <w:r>
        <w:t xml:space="preserve"> </w:t>
      </w:r>
      <w:r>
        <w:t xml:space="preserve">EGEC</w:t>
      </w:r>
      <w:r>
        <w:t xml:space="preserve"> </w:t>
      </w:r>
      <w:r>
        <w:t xml:space="preserve">x</w:t>
      </w:r>
      <w:r>
        <w:t xml:space="preserve"> </w:t>
      </w:r>
      <w:r>
        <w:t xml:space="preserve">EHI - European Heating</w:t>
      </w:r>
      <w:r>
        <w:t xml:space="preserve"> </w:t>
      </w:r>
      <w:r>
        <w:t xml:space="preserve">industry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EHPA</w:t>
      </w:r>
      <w:r>
        <w:br/>
      </w:r>
      <w:r>
        <w:t xml:space="preserve">x</w:t>
      </w:r>
      <w:r>
        <w:t xml:space="preserve"> </w:t>
      </w:r>
      <w:r>
        <w:t xml:space="preserve">ELVHIS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ENSTO</w:t>
      </w:r>
      <w:r>
        <w:t xml:space="preserve"> </w:t>
      </w:r>
      <w:r>
        <w:t xml:space="preserve">x</w:t>
      </w:r>
      <w:r>
        <w:t xml:space="preserve"> </w:t>
      </w:r>
      <w:r>
        <w:t xml:space="preserve">EPEE</w:t>
      </w:r>
      <w:r>
        <w:br/>
      </w:r>
      <w:r>
        <w:t xml:space="preserve">x</w:t>
      </w:r>
      <w:r>
        <w:t xml:space="preserve"> </w:t>
      </w:r>
      <w:r>
        <w:t xml:space="preserve">EUHA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Eurovent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FI Finnish Ministry of</w:t>
      </w:r>
      <w:r>
        <w:t xml:space="preserve"> </w:t>
      </w:r>
      <w:r>
        <w:t xml:space="preserve">Environment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Fenix</w:t>
      </w:r>
      <w:r>
        <w:t xml:space="preserve"> </w:t>
      </w:r>
      <w:r>
        <w:t xml:space="preserve">x</w:t>
      </w:r>
      <w:r>
        <w:t xml:space="preserve"> </w:t>
      </w:r>
      <w:r>
        <w:t xml:space="preserve">Fondital Spa</w:t>
      </w:r>
      <w:r>
        <w:t xml:space="preserve"> </w:t>
      </w:r>
      <w:r>
        <w:t xml:space="preserve">x</w:t>
      </w:r>
      <w:r>
        <w:t xml:space="preserve"> </w:t>
      </w:r>
      <w:r>
        <w:t xml:space="preserve">FR Ministère de l’Ecologie,</w:t>
      </w:r>
      <w:r>
        <w:t xml:space="preserve"> </w:t>
      </w:r>
      <w:r>
        <w:t xml:space="preserve">du Développement</w:t>
      </w:r>
      <w:r>
        <w:t xml:space="preserve"> </w:t>
      </w:r>
      <w:r>
        <w:t xml:space="preserve">Durable et de l’Energie</w:t>
      </w:r>
      <w:r>
        <w:t xml:space="preserve"> </w:t>
      </w:r>
      <w:r>
        <w:t xml:space="preserve">(Ministry for the Ecological</w:t>
      </w:r>
      <w:r>
        <w:t xml:space="preserve"> </w:t>
      </w:r>
      <w:r>
        <w:t xml:space="preserve">and Inclusive Transition)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GAS.BE - Testing house</w:t>
      </w:r>
      <w:r>
        <w:t xml:space="preserve"> </w:t>
      </w:r>
      <w:r>
        <w:t xml:space="preserve">x</w:t>
      </w:r>
      <w:r>
        <w:t xml:space="preserve"> </w:t>
      </w:r>
      <w:r>
        <w:t xml:space="preserve">Gaz Réseau Distribution</w:t>
      </w:r>
      <w:r>
        <w:t xml:space="preserve"> </w:t>
      </w:r>
      <w:r>
        <w:t xml:space="preserve">France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Gazco Ltd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GIFAM</w:t>
      </w:r>
      <w:r>
        <w:t xml:space="preserve"> </w:t>
      </w:r>
      <w:r>
        <w:t xml:space="preserve">x</w:t>
      </w:r>
      <w:r>
        <w:t xml:space="preserve"> </w:t>
      </w:r>
      <w:r>
        <w:t xml:space="preserve">Glen Dimplex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GRDF</w:t>
      </w:r>
      <w:r>
        <w:t xml:space="preserve"> </w:t>
      </w:r>
      <w:r>
        <w:t xml:space="preserve">x</w:t>
      </w:r>
      <w:r>
        <w:t xml:space="preserve"> </w:t>
      </w:r>
      <w:r>
        <w:t xml:space="preserve">Groupe Atlantic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Groupe MULLER</w:t>
      </w:r>
      <w:r>
        <w:t xml:space="preserve"> </w:t>
      </w:r>
      <w:r>
        <w:t xml:space="preserve">x</w:t>
      </w:r>
      <w:r>
        <w:t xml:space="preserve"> </w:t>
      </w:r>
      <w:r>
        <w:t xml:space="preserve">HHIC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HKI Industrieverband e.</w:t>
      </w:r>
      <w:r>
        <w:t xml:space="preserve"> </w:t>
      </w:r>
      <w:r>
        <w:t xml:space="preserve">V.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Home Appliance Europe</w:t>
      </w:r>
      <w:r>
        <w:t xml:space="preserve"> </w:t>
      </w:r>
      <w:r>
        <w:t xml:space="preserve">x</w:t>
      </w:r>
      <w:r>
        <w:t xml:space="preserve"> </w:t>
      </w:r>
      <w:r>
        <w:t xml:space="preserve">IE Enterprise Ireland</w:t>
      </w:r>
      <w:r>
        <w:br/>
      </w:r>
      <w:r>
        <w:t xml:space="preserve">x</w:t>
      </w:r>
      <w:r>
        <w:t xml:space="preserve"> </w:t>
      </w:r>
      <w:r>
        <w:t xml:space="preserve">International Network for</w:t>
      </w:r>
      <w:r>
        <w:t xml:space="preserve"> </w:t>
      </w:r>
      <w:r>
        <w:t xml:space="preserve">Sustainable Energy</w:t>
      </w:r>
      <w:r>
        <w:t xml:space="preserve"> </w:t>
      </w:r>
      <w:r>
        <w:t xml:space="preserve">(INFORSE) - Europe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IR Focus ApS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IRSAP</w:t>
      </w:r>
      <w:r>
        <w:t xml:space="preserve"> </w:t>
      </w:r>
      <w:r>
        <w:t xml:space="preserve">x</w:t>
      </w:r>
      <w:r>
        <w:t xml:space="preserve"> </w:t>
      </w:r>
      <w:r>
        <w:t xml:space="preserve">IT ENEA</w:t>
      </w:r>
      <w:r>
        <w:br/>
      </w:r>
      <w:r>
        <w:t xml:space="preserve">x</w:t>
      </w:r>
      <w:r>
        <w:t xml:space="preserve"> </w:t>
      </w:r>
      <w:r>
        <w:t xml:space="preserve">JRAIA</w:t>
      </w:r>
      <w:r>
        <w:br/>
      </w:r>
      <w:r>
        <w:t xml:space="preserve">x</w:t>
      </w:r>
      <w:r>
        <w:t xml:space="preserve"> </w:t>
      </w:r>
      <w:r>
        <w:t xml:space="preserve">KÜBLER GmbH (Industrial</w:t>
      </w:r>
      <w:r>
        <w:t xml:space="preserve"> </w:t>
      </w:r>
      <w:r>
        <w:t xml:space="preserve">Heating Systems)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Stakeholder Organisation</w:t>
      </w:r>
      <w:r>
        <w:t xml:space="preserve"> </w:t>
      </w:r>
      <w:r>
        <w:t xml:space="preserve">Participation in</w:t>
      </w:r>
      <w:r>
        <w:t xml:space="preserve"> </w:t>
      </w:r>
      <w:r>
        <w:t xml:space="preserve">1st</w:t>
      </w:r>
      <w:r>
        <w:t xml:space="preserve"> </w:t>
      </w:r>
      <w:r>
        <w:t xml:space="preserve">stakeholder</w:t>
      </w:r>
      <w:r>
        <w:t xml:space="preserve"> </w:t>
      </w:r>
      <w:r>
        <w:t xml:space="preserve">meeting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 2nd</w:t>
      </w:r>
      <w:r>
        <w:t xml:space="preserve"> </w:t>
      </w:r>
      <w:r>
        <w:t xml:space="preserve">stakeholder</w:t>
      </w:r>
      <w:r>
        <w:t xml:space="preserve"> </w:t>
      </w:r>
      <w:r>
        <w:t xml:space="preserve">meeting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 CF</w:t>
      </w:r>
      <w:r>
        <w:t xml:space="preserve"> </w:t>
      </w:r>
      <w:r>
        <w:t xml:space="preserve">Written</w:t>
      </w:r>
      <w:r>
        <w:t xml:space="preserve"> </w:t>
      </w:r>
      <w:r>
        <w:t xml:space="preserve">comments</w:t>
      </w:r>
      <w:r>
        <w:t xml:space="preserve"> </w:t>
      </w:r>
      <w:r>
        <w:t xml:space="preserve">draft</w:t>
      </w:r>
      <w:r>
        <w:t xml:space="preserve"> </w:t>
      </w:r>
      <w:r>
        <w:t xml:space="preserve">interim</w:t>
      </w:r>
      <w:r>
        <w:t xml:space="preserve"> </w:t>
      </w:r>
      <w:r>
        <w:t xml:space="preserve">report</w:t>
      </w:r>
      <w:r>
        <w:t xml:space="preserve"> </w:t>
      </w:r>
      <w:r>
        <w:t xml:space="preserve">Written</w:t>
      </w:r>
      <w:r>
        <w:t xml:space="preserve"> </w:t>
      </w:r>
      <w:r>
        <w:t xml:space="preserve">comments</w:t>
      </w:r>
      <w:r>
        <w:t xml:space="preserve"> </w:t>
      </w:r>
      <w:r>
        <w:t xml:space="preserve">draft final</w:t>
      </w:r>
      <w:r>
        <w:t xml:space="preserve"> </w:t>
      </w:r>
      <w:r>
        <w:t xml:space="preserve">report</w:t>
      </w:r>
      <w:r>
        <w:t xml:space="preserve"> </w:t>
      </w:r>
      <w:r>
        <w:t xml:space="preserve">LCIE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Liquid Gas Europe</w:t>
      </w:r>
      <w:r>
        <w:br/>
      </w:r>
      <w:r>
        <w:t xml:space="preserve">x</w:t>
      </w:r>
      <w:r>
        <w:t xml:space="preserve"> </w:t>
      </w:r>
      <w:r>
        <w:t xml:space="preserve">LU ILNAS</w:t>
      </w:r>
      <w:r>
        <w:br/>
      </w:r>
      <w:r>
        <w:t xml:space="preserve">x</w:t>
      </w:r>
      <w:r>
        <w:t xml:space="preserve"> </w:t>
      </w:r>
      <w:r>
        <w:t xml:space="preserve">LV Consumer Rights</w:t>
      </w:r>
      <w:r>
        <w:t xml:space="preserve"> </w:t>
      </w:r>
      <w:r>
        <w:t xml:space="preserve">Protection Centre</w:t>
      </w:r>
      <w:r>
        <w:br/>
      </w:r>
      <w:r>
        <w:t xml:space="preserve">x</w:t>
      </w:r>
      <w:r>
        <w:t xml:space="preserve"> </w:t>
      </w:r>
      <w:r>
        <w:t xml:space="preserve">Marcogaz</w:t>
      </w:r>
      <w:r>
        <w:t xml:space="preserve"> </w:t>
      </w:r>
      <w:r>
        <w:t xml:space="preserve">x</w:t>
      </w:r>
      <w:r>
        <w:t xml:space="preserve"> </w:t>
      </w:r>
      <w:r>
        <w:t xml:space="preserve">Marsan industrial s.a.</w:t>
      </w:r>
      <w:r>
        <w:t xml:space="preserve"> </w:t>
      </w:r>
      <w:r>
        <w:t xml:space="preserve">Haverland</w:t>
      </w:r>
      <w:r>
        <w:t xml:space="preserve"> </w:t>
      </w:r>
      <w:r>
        <w:t xml:space="preserve">x</w:t>
      </w:r>
      <w:r>
        <w:t xml:space="preserve"> </w:t>
      </w:r>
      <w:r>
        <w:t xml:space="preserve">Muller Group</w:t>
      </w:r>
      <w:r>
        <w:t xml:space="preserve"> </w:t>
      </w:r>
      <w:r>
        <w:t xml:space="preserve">x</w:t>
      </w:r>
      <w:r>
        <w:t xml:space="preserve"> </w:t>
      </w:r>
      <w:r>
        <w:t xml:space="preserve">Netherlands Enterprise</w:t>
      </w:r>
      <w:r>
        <w:t xml:space="preserve"> </w:t>
      </w:r>
      <w:r>
        <w:t xml:space="preserve">Agency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NO The Norwegian Water</w:t>
      </w:r>
      <w:r>
        <w:t xml:space="preserve"> </w:t>
      </w:r>
      <w:r>
        <w:t xml:space="preserve">Resources and Energy</w:t>
      </w:r>
      <w:r>
        <w:t xml:space="preserve"> </w:t>
      </w:r>
      <w:r>
        <w:t xml:space="preserve">Directorate, NVE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nVent (member of the</w:t>
      </w:r>
      <w:r>
        <w:t xml:space="preserve"> </w:t>
      </w:r>
      <w:r>
        <w:t xml:space="preserve">EUHA)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ORGALIM</w:t>
      </w:r>
      <w:r>
        <w:br/>
      </w:r>
      <w:r>
        <w:t xml:space="preserve">x</w:t>
      </w:r>
      <w:r>
        <w:t xml:space="preserve"> </w:t>
      </w:r>
      <w:r>
        <w:t xml:space="preserve">PL Ministry of Energy</w:t>
      </w:r>
      <w:r>
        <w:br/>
      </w:r>
      <w:r>
        <w:t xml:space="preserve">x</w:t>
      </w:r>
      <w:r>
        <w:t xml:space="preserve"> </w:t>
      </w:r>
      <w:r>
        <w:t xml:space="preserve">PT Directorate General for</w:t>
      </w:r>
      <w:r>
        <w:t xml:space="preserve"> </w:t>
      </w:r>
      <w:r>
        <w:t xml:space="preserve">Energy and Geology</w:t>
      </w:r>
      <w:r>
        <w:br/>
      </w:r>
      <w:r>
        <w:t xml:space="preserve">x</w:t>
      </w:r>
      <w:r>
        <w:t xml:space="preserve"> </w:t>
      </w:r>
      <w:r>
        <w:t xml:space="preserve">Rettig ICC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SE Swedish Energy Agency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SK Ministry of Economy</w:t>
      </w:r>
      <w:r>
        <w:br/>
      </w:r>
      <w:r>
        <w:t xml:space="preserve">x</w:t>
      </w:r>
      <w:r>
        <w:t xml:space="preserve"> </w:t>
      </w:r>
      <w:r>
        <w:t xml:space="preserve">SPF santé publique,</w:t>
      </w:r>
      <w:r>
        <w:t xml:space="preserve"> </w:t>
      </w:r>
      <w:r>
        <w:t xml:space="preserve">sécurité de la chaine</w:t>
      </w:r>
      <w:r>
        <w:t xml:space="preserve"> </w:t>
      </w:r>
      <w:r>
        <w:t xml:space="preserve">alimentaire et</w:t>
      </w:r>
      <w:r>
        <w:t xml:space="preserve"> </w:t>
      </w:r>
      <w:r>
        <w:t xml:space="preserve">environnement</w:t>
      </w:r>
      <w:r>
        <w:t xml:space="preserve"> </w:t>
      </w:r>
      <w:r>
        <w:t xml:space="preserve">x</w:t>
      </w:r>
      <w:r>
        <w:t xml:space="preserve"> </w:t>
      </w:r>
      <w:r>
        <w:t xml:space="preserve">SPIUG</w:t>
      </w:r>
      <w:r>
        <w:t xml:space="preserve"> </w:t>
      </w:r>
      <w:r>
        <w:t xml:space="preserve">x</w:t>
      </w:r>
      <w:r>
        <w:t xml:space="preserve"> </w:t>
      </w:r>
      <w:r>
        <w:t xml:space="preserve">Stiebel Eltron GmbH &amp;</w:t>
      </w:r>
      <w:r>
        <w:t xml:space="preserve"> </w:t>
      </w:r>
      <w:r>
        <w:t xml:space="preserve">Co. KG [also CENELEC</w:t>
      </w:r>
      <w:r>
        <w:t xml:space="preserve"> </w:t>
      </w:r>
      <w:r>
        <w:t xml:space="preserve">TC 59X WG12]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Taelek Oy</w:t>
      </w:r>
      <w:r>
        <w:t xml:space="preserve"> </w:t>
      </w:r>
      <w:r>
        <w:t xml:space="preserve">x</w:t>
      </w:r>
      <w:r>
        <w:t xml:space="preserve"> </w:t>
      </w:r>
      <w:r>
        <w:t xml:space="preserve">Trade Association -</w:t>
      </w:r>
      <w:r>
        <w:t xml:space="preserve"> </w:t>
      </w:r>
      <w:r>
        <w:t xml:space="preserve">HEATING AND</w:t>
      </w:r>
      <w:r>
        <w:t xml:space="preserve"> </w:t>
      </w:r>
      <w:r>
        <w:t xml:space="preserve">HOTWATER INDUSTRY</w:t>
      </w:r>
      <w:r>
        <w:t xml:space="preserve"> </w:t>
      </w:r>
      <w:r>
        <w:t xml:space="preserve">COUNCIL</w:t>
      </w:r>
      <w:r>
        <w:t xml:space="preserve"> </w:t>
      </w:r>
      <w:r>
        <w:t xml:space="preserve">x</w:t>
      </w:r>
      <w:r>
        <w:t xml:space="preserve"> </w:t>
      </w:r>
      <w:r>
        <w:t xml:space="preserve">Vailland Group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ZEHNDER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Weber Energieconsult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University of California</w:t>
      </w:r>
      <w:r>
        <w:t xml:space="preserve"> </w:t>
      </w:r>
      <w:r>
        <w:t xml:space="preserve">x</w:t>
      </w:r>
      <w:r>
        <w:t xml:space="preserve"> </w:t>
      </w:r>
      <w:r>
        <w:t xml:space="preserve">Table A2-1. Overview of stakeholder participation in the Review study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4.</w:t>
      </w:r>
      <w:r>
        <w:t xml:space="preserve"> </w:t>
      </w:r>
      <w:r>
        <w:t xml:space="preserve">PUBLICATION OF THE CALL FOR EVIDENCE AND STAKEHOLDERS FEEDBACK</w:t>
      </w:r>
      <w:r>
        <w:t xml:space="preserve"> </w:t>
      </w:r>
      <w:r>
        <w:t xml:space="preserve">For this IA, a derogation has been granted and therefore no 12-weeks Open Public Consultation has</w:t>
      </w:r>
      <w:r>
        <w:t xml:space="preserve"> </w:t>
      </w:r>
      <w:r>
        <w:t xml:space="preserve">been necessary. A Call for Evidence has nevertheless been published at the Have your Say Portal52</w:t>
      </w:r>
      <w:r>
        <w:t xml:space="preserve"> </w:t>
      </w:r>
      <w:r>
        <w:t xml:space="preserve">on 21 January 2022, which feedback period finished on 18 February 2022. A total of 14 comments</w:t>
      </w:r>
      <w:r>
        <w:t xml:space="preserve"> </w:t>
      </w:r>
      <w:r>
        <w:t xml:space="preserve">were received from the following stakeholders: FLA, GRDF, APPLiA, EdEn, ECOS, ELVHIS,</w:t>
      </w:r>
      <w:r>
        <w:t xml:space="preserve"> </w:t>
      </w:r>
      <w:r>
        <w:t xml:space="preserve">ANEC/BEUC, EIHA, CEFACD, IRSAP, EUHA, EHI, Eurofuel and Fondital Spa. The comments</w:t>
      </w:r>
      <w:r>
        <w:t xml:space="preserve"> </w:t>
      </w:r>
      <w:r>
        <w:t xml:space="preserve">provided are summarised as follows:</w:t>
      </w:r>
      <w:r>
        <w:t xml:space="preserve"> </w:t>
      </w:r>
      <w:r>
        <w:t xml:space="preserve">-</w:t>
      </w:r>
      <w:r>
        <w:t xml:space="preserve"> </w:t>
      </w:r>
      <w:r>
        <w:t xml:space="preserve">Inclusion of slave heaters: EUHA and EIHA oppose to the inclusion of slave heaters in the</w:t>
      </w:r>
      <w:r>
        <w:t xml:space="preserve"> </w:t>
      </w:r>
      <w:r>
        <w:t xml:space="preserve">scope of the LSH Regulation, claiming that the loophole is not in the definition but in the</w:t>
      </w:r>
      <w:r>
        <w:t xml:space="preserve"> </w:t>
      </w:r>
      <w:r>
        <w:t xml:space="preserve">interpretation of that definition provided in the FAQ section at the Commission’s website.</w:t>
      </w:r>
      <w:r>
        <w:br/>
      </w:r>
      <w:r>
        <w:t xml:space="preserve">-</w:t>
      </w:r>
      <w:r>
        <w:t xml:space="preserve"> </w:t>
      </w:r>
      <w:r>
        <w:t xml:space="preserve">Inclusion of towel heaters: FLA opposes to the inclusion of towel heaters below 300W.</w:t>
      </w:r>
      <w:r>
        <w:br/>
      </w:r>
      <w:r>
        <w:t xml:space="preserve">-</w:t>
      </w:r>
      <w:r>
        <w:t xml:space="preserve"> </w:t>
      </w:r>
      <w:r>
        <w:t xml:space="preserve">Inclusion of tube heaters above 120 kW: industry representatives such as GRDF and ELVHIS</w:t>
      </w:r>
      <w:r>
        <w:t xml:space="preserve"> </w:t>
      </w:r>
      <w:r>
        <w:t xml:space="preserve">commented in favour of this measure.</w:t>
      </w:r>
      <w:r>
        <w:t xml:space="preserve"> </w:t>
      </w:r>
      <w:r>
        <w:t xml:space="preserve">-</w:t>
      </w:r>
      <w:r>
        <w:t xml:space="preserve"> </w:t>
      </w:r>
      <w:r>
        <w:t xml:space="preserve">Modularity of controllers: whereas ECOS supports modularity, APPLiA expresses a frontal</w:t>
      </w:r>
      <w:r>
        <w:t xml:space="preserve"> </w:t>
      </w:r>
      <w:r>
        <w:t xml:space="preserve">opposition.</w:t>
      </w:r>
      <w:r>
        <w:t xml:space="preserve"> </w:t>
      </w:r>
      <w:r>
        <w:t xml:space="preserve">-</w:t>
      </w:r>
      <w:r>
        <w:t xml:space="preserve"> </w:t>
      </w:r>
      <w:r>
        <w:t xml:space="preserve">Availability of spare parts: generally supported by industries and environmental NGO’s,</w:t>
      </w:r>
      <w:r>
        <w:t xml:space="preserve"> </w:t>
      </w:r>
      <w:r>
        <w:t xml:space="preserve">although with different levels of ambition.</w:t>
      </w:r>
      <w:r>
        <w:br/>
      </w:r>
      <w:r>
        <w:t xml:space="preserve">-</w:t>
      </w:r>
      <w:r>
        <w:t xml:space="preserve"> </w:t>
      </w:r>
      <w:r>
        <w:t xml:space="preserve">Ecodesign and pollutant emission requirements: ECOS and ANEC/BEUC support setting more</w:t>
      </w:r>
      <w:r>
        <w:t xml:space="preserve"> </w:t>
      </w:r>
      <w:r>
        <w:t xml:space="preserve">stringent requirements on both aspects.</w:t>
      </w:r>
      <w:r>
        <w:t xml:space="preserve"> </w:t>
      </w:r>
      <w:r>
        <w:t xml:space="preserve">The feedback to the call for evidence does not deviate therefore from the opinions provided during</w:t>
      </w:r>
      <w:r>
        <w:t xml:space="preserve"> </w:t>
      </w:r>
      <w:r>
        <w:t xml:space="preserve">the review stucy.</w:t>
      </w:r>
      <w:r>
        <w:br/>
      </w:r>
      <w:r>
        <w:t xml:space="preserve">5.</w:t>
      </w:r>
      <w:r>
        <w:t xml:space="preserve"> </w:t>
      </w:r>
      <w:r>
        <w:t xml:space="preserve">SECOND MEETING OF THE CONSULTATION FORUM ON 10 MARCH 2022</w:t>
      </w:r>
      <w:r>
        <w:t xml:space="preserve"> </w:t>
      </w:r>
      <w:r>
        <w:t xml:space="preserve">Since the last meeting of the Consultation Forum for local space heaters was held on September</w:t>
      </w:r>
      <w:r>
        <w:t xml:space="preserve"> </w:t>
      </w:r>
      <w:r>
        <w:t xml:space="preserve">2019, a second Consultation Forum took place on 10 March 2022, with the main objective of</w:t>
      </w:r>
      <w:r>
        <w:t xml:space="preserve"> </w:t>
      </w:r>
      <w:r>
        <w:t xml:space="preserve">updating the group on the progress of the IA and on getting feedback from stakeholders about some</w:t>
      </w:r>
      <w:r>
        <w:t xml:space="preserve"> </w:t>
      </w:r>
      <w:r>
        <w:t xml:space="preserve">specific issues that needed some additional discussion. These issues related to the list of available</w:t>
      </w:r>
      <w:r>
        <w:t xml:space="preserve"> </w:t>
      </w:r>
      <w:r>
        <w:t xml:space="preserve">spare parts, the definitions of gas and oil heaters, modularity and low power modes. Stakeholders</w:t>
      </w:r>
      <w:r>
        <w:t xml:space="preserve"> </w:t>
      </w:r>
      <w:r>
        <w:t xml:space="preserve">generally agreed to the proposed list of spare parts and clarified some aspects related to the</w:t>
      </w:r>
      <w:r>
        <w:t xml:space="preserve"> </w:t>
      </w:r>
      <w:r>
        <w:t xml:space="preserve">definitions of gas and oil heaters. As regards modularity and low power modes, stakeholders kept</w:t>
      </w:r>
      <w:r>
        <w:t xml:space="preserve"> </w:t>
      </w:r>
      <w:r>
        <w:t xml:space="preserve">their positions already expressed at the 2019 session.</w:t>
      </w:r>
    </w:p>
    <w:p>
      <w:pPr>
        <w:pStyle w:val="BodyText"/>
      </w:pPr>
      <w:r>
        <w:t xml:space="preserve">52 Energy efficiency – ecodesign requirements for local space heaters (review) (europa.eu)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LSH Regulation will apply to manufacturers, importers and authorised representatives of local</w:t>
      </w:r>
      <w:r>
        <w:t xml:space="preserve"> </w:t>
      </w:r>
      <w:r>
        <w:t xml:space="preserve">space heaters in the scope of the LSH Regulation, which will need to comply with the ecodesign</w:t>
      </w:r>
      <w:r>
        <w:t xml:space="preserve"> </w:t>
      </w:r>
      <w:r>
        <w:t xml:space="preserve">requirements summarised in Table A3-1.</w:t>
      </w:r>
      <w:r>
        <w:br/>
      </w:r>
      <w:r>
        <w:t xml:space="preserve">Who</w:t>
      </w:r>
      <w:r>
        <w:t xml:space="preserve"> </w:t>
      </w:r>
      <w:r>
        <w:t xml:space="preserve">What</w:t>
      </w:r>
      <w:r>
        <w:t xml:space="preserve"> </w:t>
      </w:r>
      <w:r>
        <w:t xml:space="preserve">When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authorised representatives</w:t>
      </w:r>
      <w:r>
        <w:t xml:space="preserve"> </w:t>
      </w:r>
      <w:r>
        <w:t xml:space="preserve">Fulfilment of the ecodesign requirements</w:t>
      </w:r>
      <w:r>
        <w:t xml:space="preserve"> </w:t>
      </w:r>
      <w:r>
        <w:t xml:space="preserve">by the new products in the scope</w:t>
      </w:r>
      <w:r>
        <w:br/>
      </w:r>
      <w:r>
        <w:t xml:space="preserve">2025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authorised representatives</w:t>
      </w:r>
      <w:r>
        <w:t xml:space="preserve"> </w:t>
      </w:r>
      <w:r>
        <w:t xml:space="preserve">Fulfilment of the ecodesign requirements</w:t>
      </w:r>
      <w:r>
        <w:t xml:space="preserve"> </w:t>
      </w:r>
      <w:r>
        <w:t xml:space="preserve">on low power modes</w:t>
      </w:r>
      <w:r>
        <w:br/>
      </w:r>
      <w:r>
        <w:t xml:space="preserve">2025</w:t>
      </w:r>
      <w:r>
        <w:br/>
      </w:r>
      <w:r>
        <w:t xml:space="preserve">Manufacturers,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authorised representatives</w:t>
      </w:r>
      <w:r>
        <w:t xml:space="preserve"> </w:t>
      </w:r>
      <w:r>
        <w:t xml:space="preserve">Availability of spare parts during the</w:t>
      </w:r>
      <w:r>
        <w:t xml:space="preserve"> </w:t>
      </w:r>
      <w:r>
        <w:t xml:space="preserve">lifetime of the products</w:t>
      </w:r>
      <w:r>
        <w:t xml:space="preserve"> </w:t>
      </w:r>
      <w:r>
        <w:t xml:space="preserve">2025</w:t>
      </w:r>
      <w:r>
        <w:t xml:space="preserve"> </w:t>
      </w:r>
      <w:r>
        <w:t xml:space="preserve">Table A3-1. Summary of new requirements to be fulfilled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Cumulative primary energy savings (see</w:t>
      </w:r>
      <w:r>
        <w:t xml:space="preserve"> </w:t>
      </w:r>
      <w:r>
        <w:t xml:space="preserve">table 8-1)</w:t>
      </w:r>
      <w:r>
        <w:t xml:space="preserve"> </w:t>
      </w:r>
      <w:r>
        <w:t xml:space="preserve">10,9 Twh by 2030 and 117,2 Twh by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Cumulative GHG emissions savings</w:t>
      </w:r>
      <w:r>
        <w:t xml:space="preserve"> </w:t>
      </w:r>
      <w:r>
        <w:t xml:space="preserve">(see table 8-3)</w:t>
      </w:r>
      <w:r>
        <w:t xml:space="preserve"> </w:t>
      </w:r>
      <w:r>
        <w:t xml:space="preserve">1,8 Mt CO2eq by 2030 and 11 Mt CO2eq</w:t>
      </w:r>
      <w:r>
        <w:t xml:space="preserve"> </w:t>
      </w:r>
      <w:r>
        <w:t xml:space="preserve">by 2050</w:t>
      </w:r>
    </w:p>
    <w:p>
      <w:pPr>
        <w:pStyle w:val="BodyText"/>
      </w:pPr>
      <w:r>
        <w:t xml:space="preserve">Cumulative acidification reduction (see</w:t>
      </w:r>
      <w:r>
        <w:t xml:space="preserve"> </w:t>
      </w:r>
      <w:r>
        <w:t xml:space="preserve">table 8-3)</w:t>
      </w:r>
      <w:r>
        <w:t xml:space="preserve"> </w:t>
      </w:r>
      <w:r>
        <w:t xml:space="preserve">7.775 ton SO2eq by 2030 and 48.793 ton</w:t>
      </w:r>
      <w:r>
        <w:t xml:space="preserve"> </w:t>
      </w:r>
      <w:r>
        <w:t xml:space="preserve">SO2eq by 2050</w:t>
      </w:r>
    </w:p>
    <w:p>
      <w:pPr>
        <w:pStyle w:val="BodyText"/>
      </w:pPr>
      <w:r>
        <w:t xml:space="preserve">Cumulative economic savings due to the</w:t>
      </w:r>
      <w:r>
        <w:t xml:space="preserve"> </w:t>
      </w:r>
      <w:r>
        <w:t xml:space="preserve">reduction of externalities (GHG and</w:t>
      </w:r>
      <w:r>
        <w:t xml:space="preserve"> </w:t>
      </w:r>
      <w:r>
        <w:t xml:space="preserve">acidification)</w:t>
      </w:r>
      <w:r>
        <w:t xml:space="preserve"> </w:t>
      </w:r>
      <w:r>
        <w:t xml:space="preserve">335 M€ by 2030 and 2.076 M€ by 2040</w:t>
      </w:r>
      <w:r>
        <w:t xml:space="preserve"> </w:t>
      </w:r>
      <w:r>
        <w:t xml:space="preserve">CO2 emission savings have been monetised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100€/tonCO2eq,</w:t>
      </w:r>
      <w:r>
        <w:t xml:space="preserve"> </w:t>
      </w:r>
      <w:r>
        <w:t xml:space="preserve">and</w:t>
      </w:r>
      <w:r>
        <w:t xml:space="preserve"> </w:t>
      </w:r>
      <w:r>
        <w:t xml:space="preserve">acidification at a price of 20€/KgSO2eq,</w:t>
      </w:r>
      <w:r>
        <w:t xml:space="preserve"> </w:t>
      </w:r>
      <w:r>
        <w:t xml:space="preserve">which are common values used by the</w:t>
      </w:r>
      <w:r>
        <w:t xml:space="preserve"> </w:t>
      </w:r>
      <w:r>
        <w:t xml:space="preserve">Commission in its IAs.</w:t>
      </w:r>
      <w:r>
        <w:t xml:space="preserve"> </w:t>
      </w:r>
      <w:r>
        <w:t xml:space="preserve">Cumulative fuel savings (see table 8-1)</w:t>
      </w:r>
      <w:r>
        <w:t xml:space="preserve"> </w:t>
      </w:r>
      <w:r>
        <w:t xml:space="preserve">2,5 Mton by 2030 and 25,7 Mton by 2050</w:t>
      </w:r>
      <w:r>
        <w:br/>
      </w:r>
      <w:r>
        <w:t xml:space="preserve">Cumulative</w:t>
      </w:r>
      <w:r>
        <w:t xml:space="preserve"> </w:t>
      </w:r>
      <w:r>
        <w:t xml:space="preserve">material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manufacturing (see table 8-1)</w:t>
      </w:r>
      <w:r>
        <w:t xml:space="preserve"> </w:t>
      </w:r>
      <w:r>
        <w:t xml:space="preserve">0 ton by 2030 and 28.397 ton by 2050</w:t>
      </w:r>
      <w:r>
        <w:t xml:space="preserve"> </w:t>
      </w:r>
      <w:r>
        <w:t xml:space="preserve">Material and water savings take place by</w:t>
      </w:r>
      <w:r>
        <w:t xml:space="preserve"> </w:t>
      </w:r>
      <w:r>
        <w:t xml:space="preserve">means of circular economy measures,</w:t>
      </w:r>
      <w:r>
        <w:t xml:space="preserve"> </w:t>
      </w:r>
      <w:r>
        <w:t xml:space="preserve">which start to be effective after 2030.</w:t>
      </w:r>
      <w:r>
        <w:t xml:space="preserve"> </w:t>
      </w:r>
      <w:r>
        <w:t xml:space="preserve">Therefore, no savings can be expected by</w:t>
      </w:r>
      <w:r>
        <w:t xml:space="preserve"> </w:t>
      </w:r>
      <w:r>
        <w:t xml:space="preserve">2030 for these three parameters.</w:t>
      </w:r>
      <w:r>
        <w:t xml:space="preserve"> </w:t>
      </w:r>
      <w:r>
        <w:t xml:space="preserve">Cumulative water savings (see Annex 5) 0 Mlitres by 2030 and 247 Mlitres by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 waste savings (see Annex 5) 36.387 ton by 2030 and 453.813 ton by</w:t>
      </w:r>
      <w:r>
        <w:t xml:space="preserve"> </w:t>
      </w:r>
      <w:r>
        <w:t xml:space="preserve">2050</w:t>
      </w:r>
      <w:r>
        <w:t xml:space="preserve"> </w:t>
      </w:r>
      <w:r>
        <w:t xml:space="preserve">Waste savings are majorly due to waste</w:t>
      </w:r>
      <w:r>
        <w:t xml:space="preserve"> </w:t>
      </w:r>
      <w:r>
        <w:t xml:space="preserve">saved in the production of fuel for</w:t>
      </w:r>
      <w:r>
        <w:t xml:space="preserve"> </w:t>
      </w:r>
      <w:r>
        <w:t xml:space="preserve">powering the electric local space heaters,</w:t>
      </w:r>
      <w:r>
        <w:t xml:space="preserve"> </w:t>
      </w:r>
      <w:r>
        <w:t xml:space="preserve">and a very small share to the waste</w:t>
      </w:r>
      <w:r>
        <w:t xml:space="preserve"> </w:t>
      </w:r>
      <w:r>
        <w:t xml:space="preserve">generated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process.</w:t>
      </w:r>
      <w:r>
        <w:br/>
      </w:r>
      <w:r>
        <w:t xml:space="preserve">Cumulative additional business turnover</w:t>
      </w:r>
      <w:r>
        <w:t xml:space="preserve"> </w:t>
      </w:r>
      <w:r>
        <w:t xml:space="preserve">(see table 8-1)</w:t>
      </w:r>
      <w:r>
        <w:t xml:space="preserve"> </w:t>
      </w:r>
      <w:r>
        <w:t xml:space="preserve">2.617 M€ by 2030 and 9.122 M€ by 2050</w:t>
      </w:r>
      <w:r>
        <w:br/>
      </w:r>
      <w:r>
        <w:t xml:space="preserve">Cumulative</w:t>
      </w:r>
      <w:r>
        <w:t xml:space="preserve"> </w:t>
      </w:r>
      <w:r>
        <w:t xml:space="preserve">consumer</w:t>
      </w:r>
      <w:r>
        <w:t xml:space="preserve"> </w:t>
      </w:r>
      <w:r>
        <w:t xml:space="preserve">expenditure</w:t>
      </w:r>
      <w:r>
        <w:t xml:space="preserve"> </w:t>
      </w:r>
      <w:r>
        <w:t xml:space="preserve">savings (see table 8-1)</w:t>
      </w:r>
      <w:r>
        <w:t xml:space="preserve"> </w:t>
      </w:r>
      <w:r>
        <w:t xml:space="preserve">748 M€ less by 2030 and 18.323 M€ less</w:t>
      </w:r>
      <w:r>
        <w:t xml:space="preserve"> </w:t>
      </w:r>
      <w:r>
        <w:t xml:space="preserve">by 2050</w:t>
      </w:r>
    </w:p>
    <w:p>
      <w:pPr>
        <w:pStyle w:val="BodyText"/>
      </w:pPr>
      <w:r>
        <w:t xml:space="preserve">Cumulative</w:t>
      </w:r>
      <w:r>
        <w:t xml:space="preserve"> </w:t>
      </w:r>
      <w:r>
        <w:t xml:space="preserve">direct</w:t>
      </w:r>
      <w:r>
        <w:t xml:space="preserve"> </w:t>
      </w:r>
      <w:r>
        <w:t xml:space="preserve">increased 10.758 extra jobs by 2030 and 34.000 by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employment (see table 8-1)</w:t>
      </w:r>
      <w:r>
        <w:t xml:space="preserve"> </w:t>
      </w:r>
      <w:r>
        <w:t xml:space="preserve">2050</w:t>
      </w:r>
      <w:r>
        <w:t xml:space="preserve"> </w:t>
      </w:r>
      <w:r>
        <w:t xml:space="preserve">Table A3-2. Overview of Benefits for PO2f+PO3+4a as compared to BAU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of</w:t>
      </w:r>
      <w:r>
        <w:t xml:space="preserve"> </w:t>
      </w:r>
      <w:r>
        <w:t xml:space="preserve">increasing the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 of</w:t>
      </w:r>
      <w:r>
        <w:t xml:space="preserve"> </w:t>
      </w:r>
      <w:r>
        <w:t xml:space="preserve">local space</w:t>
      </w:r>
      <w:r>
        <w:t xml:space="preserve"> </w:t>
      </w:r>
      <w:r>
        <w:t xml:space="preserve">heaters</w:t>
      </w:r>
      <w:r>
        <w:br/>
      </w:r>
      <w:r>
        <w:t xml:space="preserve">Direct adjustment</w:t>
      </w:r>
      <w:r>
        <w:t xml:space="preserve"> </w:t>
      </w:r>
      <w:r>
        <w:t xml:space="preserve">costs 53</w:t>
      </w:r>
    </w:p>
    <w:p>
      <w:pPr>
        <w:pStyle w:val="BodyText"/>
      </w:pPr>
      <w:r>
        <w:t xml:space="preserve">80 M€/year in</w:t>
      </w:r>
      <w:r>
        <w:t xml:space="preserve"> </w:t>
      </w:r>
      <w:r>
        <w:t xml:space="preserve">2030 and 34</w:t>
      </w:r>
      <w:r>
        <w:t xml:space="preserve"> </w:t>
      </w:r>
      <w:r>
        <w:t xml:space="preserve">M€/year</w:t>
      </w:r>
      <w:r>
        <w:t xml:space="preserve"> </w:t>
      </w:r>
      <w:r>
        <w:t xml:space="preserve">in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costs54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repair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0 M€ in 2030</w:t>
      </w:r>
      <w:r>
        <w:t xml:space="preserve"> </w:t>
      </w:r>
      <w:r>
        <w:t xml:space="preserve">and 7 M€/year</w:t>
      </w:r>
      <w:r>
        <w:t xml:space="preserve"> </w:t>
      </w:r>
      <w:r>
        <w:t xml:space="preserve">in 2050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 of</w:t>
      </w:r>
      <w:r>
        <w:t xml:space="preserve"> </w:t>
      </w:r>
      <w:r>
        <w:t xml:space="preserve">updating the</w:t>
      </w:r>
      <w:r>
        <w:t xml:space="preserve"> </w:t>
      </w:r>
      <w:r>
        <w:t xml:space="preserve">DoC for</w:t>
      </w:r>
      <w:r>
        <w:t xml:space="preserve"> </w:t>
      </w:r>
      <w:r>
        <w:t xml:space="preserve">models in the</w:t>
      </w:r>
      <w:r>
        <w:t xml:space="preserve"> </w:t>
      </w:r>
      <w:r>
        <w:t xml:space="preserve">scope and</w:t>
      </w:r>
      <w:r>
        <w:t xml:space="preserve"> </w:t>
      </w:r>
      <w:r>
        <w:t xml:space="preserve">issuing a</w:t>
      </w:r>
      <w:r>
        <w:t xml:space="preserve"> </w:t>
      </w:r>
      <w:r>
        <w:t xml:space="preserve">DoC for new</w:t>
      </w:r>
      <w:r>
        <w:t xml:space="preserve"> </w:t>
      </w:r>
      <w:r>
        <w:t xml:space="preserve">models in the</w:t>
      </w:r>
      <w:r>
        <w:t xml:space="preserve"> </w:t>
      </w:r>
      <w:r>
        <w:t xml:space="preserve">scope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1,3 M€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53 Direct adjustment costs are the compliance costs, and have been calculated by subtracting the 2025 manufacturer</w:t>
      </w:r>
      <w:r>
        <w:t xml:space="preserve"> </w:t>
      </w:r>
      <w:r>
        <w:t xml:space="preserve">turnover for the preferred policy option from the 2025 manufacturer turnover for BAU. For the preferred policy option,</w:t>
      </w:r>
      <w:r>
        <w:t xml:space="preserve"> </w:t>
      </w:r>
      <w:r>
        <w:t xml:space="preserve">the manufacturer turnover in 2025 is 1.137 M€, and therefore compliance costs are 1.131 – 1.047 (BAU value in 2025)</w:t>
      </w:r>
      <w:r>
        <w:t xml:space="preserve"> </w:t>
      </w:r>
      <w:r>
        <w:t xml:space="preserve">= 90 M€. The adjustment cost per unit are obtained by dividing the direct adjustment costs by the expected sales in</w:t>
      </w:r>
      <w:r>
        <w:t xml:space="preserve"> </w:t>
      </w:r>
      <w:r>
        <w:t xml:space="preserve">2030 (17.113.230).</w:t>
      </w:r>
      <w:r>
        <w:t xml:space="preserve"> </w:t>
      </w:r>
      <w:r>
        <w:t xml:space="preserve">54 Direct administrative costs for the preferred policy option have been calculated from the values given in section</w:t>
      </w:r>
      <w:r>
        <w:t xml:space="preserve"> </w:t>
      </w:r>
      <w:r>
        <w:t xml:space="preserve">6.2.3.2, by summing the costs of drawing up a new DoC for PO2a, PO2b and PO2c and the general cost of updating the</w:t>
      </w:r>
      <w:r>
        <w:t xml:space="preserve"> </w:t>
      </w:r>
      <w:r>
        <w:t xml:space="preserve">existing DoCs (352.416 + 197.568 + 32 + 721.792 = 1.271.808)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1,3 M€</w:t>
      </w:r>
    </w:p>
    <w:p>
      <w:pPr>
        <w:pStyle w:val="BodyText"/>
      </w:pPr>
      <w:r>
        <w:t xml:space="preserve">Table A3-3. Overview of costs for PO2 +PO3+PO4a+PO4c</w:t>
      </w:r>
      <w:r>
        <w:br/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7 - Affordable and</w:t>
      </w:r>
      <w:r>
        <w:t xml:space="preserve"> </w:t>
      </w:r>
      <w:r>
        <w:t xml:space="preserve">clean energy, target 7.3 (double</w:t>
      </w:r>
      <w:r>
        <w:t xml:space="preserve"> </w:t>
      </w:r>
      <w:r>
        <w:t xml:space="preserve">the improvement of energy</w:t>
      </w:r>
      <w:r>
        <w:t xml:space="preserve"> </w:t>
      </w:r>
      <w:r>
        <w:t xml:space="preserve">efficiency)</w:t>
      </w:r>
      <w:r>
        <w:t xml:space="preserve"> </w:t>
      </w:r>
      <w:r>
        <w:t xml:space="preserve">Expected increased in energy efficiency of local</w:t>
      </w:r>
      <w:r>
        <w:t xml:space="preserve"> </w:t>
      </w:r>
      <w:r>
        <w:t xml:space="preserve">space heaters will save 10,8 Twh of in-uses</w:t>
      </w:r>
      <w:r>
        <w:t xml:space="preserve"> </w:t>
      </w:r>
      <w:r>
        <w:t xml:space="preserve">energy by 2030 and 116,4 Twh by 2050,</w:t>
      </w:r>
      <w:r>
        <w:t xml:space="preserve"> </w:t>
      </w:r>
      <w:r>
        <w:t xml:space="preserve">contributing positively to reduce the energy bill</w:t>
      </w:r>
      <w:r>
        <w:t xml:space="preserve"> </w:t>
      </w:r>
      <w:r>
        <w:t xml:space="preserve">in households.</w:t>
      </w:r>
    </w:p>
    <w:p>
      <w:pPr>
        <w:pStyle w:val="BodyText"/>
      </w:pPr>
      <w:r>
        <w:t xml:space="preserve">SDG no.8 – Decent work and</w:t>
      </w:r>
      <w:r>
        <w:t xml:space="preserve"> </w:t>
      </w:r>
      <w:r>
        <w:t xml:space="preserve">economic growth; target 8.4</w:t>
      </w:r>
      <w:r>
        <w:t xml:space="preserve"> </w:t>
      </w:r>
      <w:r>
        <w:t xml:space="preserve">(improve resource efficiency in</w:t>
      </w:r>
      <w:r>
        <w:t xml:space="preserve"> </w:t>
      </w:r>
      <w:r>
        <w:t xml:space="preserve">consumption and production)</w:t>
      </w:r>
      <w:r>
        <w:t xml:space="preserve"> </w:t>
      </w:r>
      <w:r>
        <w:t xml:space="preserve">The preferred policy option will save both fuel</w:t>
      </w:r>
      <w:r>
        <w:t xml:space="preserve"> </w:t>
      </w:r>
      <w:r>
        <w:t xml:space="preserve">used for powering the heaters (2,5 Mtons by 2030</w:t>
      </w:r>
      <w:r>
        <w:t xml:space="preserve"> </w:t>
      </w:r>
      <w:r>
        <w:t xml:space="preserve">and 25,7 Mtons by 2050) and material used</w:t>
      </w:r>
      <w:r>
        <w:t xml:space="preserve"> </w:t>
      </w:r>
      <w:r>
        <w:t xml:space="preserve">during the manufacturing process (28.397 tons by</w:t>
      </w:r>
      <w:r>
        <w:t xml:space="preserve"> </w:t>
      </w:r>
      <w:r>
        <w:t xml:space="preserve">2050).</w:t>
      </w:r>
      <w:r>
        <w:t xml:space="preserve"> </w:t>
      </w:r>
      <w:r>
        <w:t xml:space="preserve">The fuel saving will mostly correspond to</w:t>
      </w:r>
      <w:r>
        <w:t xml:space="preserve"> </w:t>
      </w:r>
      <w:r>
        <w:t xml:space="preserve">the reduction of in-use energy consumption</w:t>
      </w:r>
      <w:r>
        <w:t xml:space="preserve"> </w:t>
      </w:r>
      <w:r>
        <w:t xml:space="preserve">by measures included in PO2 and PO3,</w:t>
      </w:r>
      <w:r>
        <w:t xml:space="preserve"> </w:t>
      </w:r>
      <w:r>
        <w:t xml:space="preserve">whereas material savings will be due to</w:t>
      </w:r>
      <w:r>
        <w:t xml:space="preserve"> </w:t>
      </w:r>
      <w:r>
        <w:t xml:space="preserve">PO4a.</w:t>
      </w:r>
      <w:r>
        <w:t xml:space="preserve"> </w:t>
      </w: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10</w:t>
      </w:r>
      <w:r>
        <w:t xml:space="preserve"> </w:t>
      </w:r>
      <w:r>
        <w:t xml:space="preserve">–</w:t>
      </w:r>
      <w:r>
        <w:t xml:space="preserve"> </w:t>
      </w:r>
      <w:r>
        <w:t xml:space="preserve">Reduced</w:t>
      </w:r>
      <w:r>
        <w:t xml:space="preserve"> </w:t>
      </w:r>
      <w:r>
        <w:t xml:space="preserve">inequalities;</w:t>
      </w:r>
      <w:r>
        <w:t xml:space="preserve"> </w:t>
      </w:r>
      <w:r>
        <w:t xml:space="preserve">target</w:t>
      </w:r>
      <w:r>
        <w:t xml:space="preserve"> </w:t>
      </w:r>
      <w:r>
        <w:t xml:space="preserve">10.1</w:t>
      </w:r>
      <w:r>
        <w:t xml:space="preserve"> </w:t>
      </w:r>
      <w:r>
        <w:t xml:space="preserve">(reduced income inequalities)</w:t>
      </w:r>
      <w:r>
        <w:t xml:space="preserve"> </w:t>
      </w:r>
      <w:r>
        <w:t xml:space="preserve">Energy efficiency measures will yield direct</w:t>
      </w:r>
      <w:r>
        <w:t xml:space="preserve"> </w:t>
      </w:r>
      <w:r>
        <w:t xml:space="preserve">cumulative consumer savings of 748 M€ by 2030</w:t>
      </w:r>
      <w:r>
        <w:t xml:space="preserve"> </w:t>
      </w:r>
      <w:r>
        <w:t xml:space="preserve">and 18.323 M€ by 2050, thus increasing the</w:t>
      </w:r>
      <w:r>
        <w:t xml:space="preserve"> </w:t>
      </w:r>
      <w:r>
        <w:t xml:space="preserve">available income by the same amount.</w:t>
      </w:r>
    </w:p>
    <w:p>
      <w:pPr>
        <w:pStyle w:val="BodyText"/>
      </w:pPr>
      <w:r>
        <w:t xml:space="preserve">SDG no. 11 – Sustainable cities</w:t>
      </w:r>
      <w:r>
        <w:t xml:space="preserve"> </w:t>
      </w:r>
      <w:r>
        <w:t xml:space="preserve">and communities; target 11.6</w:t>
      </w:r>
      <w:r>
        <w:t xml:space="preserve"> </w:t>
      </w:r>
      <w:r>
        <w:t xml:space="preserve">(reduce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 of cities)</w:t>
      </w:r>
      <w:r>
        <w:t xml:space="preserve"> </w:t>
      </w:r>
      <w:r>
        <w:t xml:space="preserve">There is no data about the distribution of local</w:t>
      </w:r>
      <w:r>
        <w:t xml:space="preserve"> </w:t>
      </w:r>
      <w:r>
        <w:t xml:space="preserve">space heaters between cities and rural areas, but it</w:t>
      </w:r>
      <w:r>
        <w:t xml:space="preserve"> </w:t>
      </w:r>
      <w:r>
        <w:t xml:space="preserve">is expected that the vast majority of energy</w:t>
      </w:r>
      <w:r>
        <w:t xml:space="preserve"> </w:t>
      </w:r>
      <w:r>
        <w:t xml:space="preserve">savings take place in densely populated areas,</w:t>
      </w:r>
      <w:r>
        <w:t xml:space="preserve"> </w:t>
      </w:r>
      <w:r>
        <w:t xml:space="preserve">thus helping to reduce the environmental impact</w:t>
      </w:r>
      <w:r>
        <w:t xml:space="preserve"> </w:t>
      </w:r>
      <w:r>
        <w:t xml:space="preserve">of cities.</w:t>
      </w:r>
    </w:p>
    <w:p>
      <w:pPr>
        <w:pStyle w:val="BodyText"/>
      </w:pPr>
      <w:r>
        <w:t xml:space="preserve">SDG no. 12 – Responsible</w:t>
      </w:r>
      <w:r>
        <w:t xml:space="preserve"> </w:t>
      </w:r>
      <w:r>
        <w:t xml:space="preserve">consumption and production;</w:t>
      </w:r>
      <w:r>
        <w:t xml:space="preserve"> </w:t>
      </w:r>
      <w:r>
        <w:t xml:space="preserve">targets</w:t>
      </w:r>
      <w:r>
        <w:t xml:space="preserve"> </w:t>
      </w:r>
      <w:r>
        <w:t xml:space="preserve">12.2</w:t>
      </w:r>
      <w:r>
        <w:t xml:space="preserve"> </w:t>
      </w:r>
      <w:r>
        <w:t xml:space="preserve">(sustainable</w:t>
      </w:r>
      <w:r>
        <w:t xml:space="preserve"> </w:t>
      </w:r>
      <w:r>
        <w:t xml:space="preserve">management and use of natural</w:t>
      </w:r>
      <w:r>
        <w:t xml:space="preserve"> </w:t>
      </w:r>
      <w:r>
        <w:t xml:space="preserve">resources), 12.5 (substantially</w:t>
      </w:r>
      <w:r>
        <w:t xml:space="preserve"> </w:t>
      </w:r>
      <w:r>
        <w:t xml:space="preserve">reduce waste generation)</w:t>
      </w:r>
      <w:r>
        <w:t xml:space="preserve"> </w:t>
      </w:r>
      <w:r>
        <w:t xml:space="preserve">Availability of spare parts will save 0,77 Twh of</w:t>
      </w:r>
      <w:r>
        <w:t xml:space="preserve"> </w:t>
      </w:r>
      <w:r>
        <w:t xml:space="preserve">accumulated embedded energy by 2050 (target</w:t>
      </w:r>
      <w:r>
        <w:t xml:space="preserve"> </w:t>
      </w:r>
      <w:r>
        <w:t xml:space="preserve">12.2) and will generate material savings up to an</w:t>
      </w:r>
      <w:r>
        <w:t xml:space="preserve"> </w:t>
      </w:r>
      <w:r>
        <w:t xml:space="preserve">amount of 28.397 tons in 2050 (target 12.5) thus</w:t>
      </w:r>
      <w:r>
        <w:t xml:space="preserve"> </w:t>
      </w:r>
      <w:r>
        <w:t xml:space="preserve">reducing waste at EoL.</w:t>
      </w:r>
      <w:r>
        <w:t xml:space="preserve"> </w:t>
      </w:r>
      <w:r>
        <w:t xml:space="preserve">- The effects of the measures are realised in</w:t>
      </w:r>
      <w:r>
        <w:t xml:space="preserve"> </w:t>
      </w:r>
      <w:r>
        <w:t xml:space="preserve">the long-term and therefore no impacts are</w:t>
      </w:r>
      <w:r>
        <w:t xml:space="preserve"> </w:t>
      </w:r>
      <w:r>
        <w:t xml:space="preserve">foreseen by 2030.</w:t>
      </w:r>
    </w:p>
    <w:p>
      <w:pPr>
        <w:pStyle w:val="BodyText"/>
      </w:pPr>
      <w:r>
        <w:t xml:space="preserve">SDG no. 13 – Climate action,</w:t>
      </w:r>
      <w:r>
        <w:t xml:space="preserve"> </w:t>
      </w:r>
      <w:r>
        <w:t xml:space="preserve">target</w:t>
      </w:r>
      <w:r>
        <w:t xml:space="preserve"> </w:t>
      </w:r>
      <w:r>
        <w:t xml:space="preserve">13.1</w:t>
      </w:r>
      <w:r>
        <w:t xml:space="preserve"> </w:t>
      </w:r>
      <w:r>
        <w:t xml:space="preserve">(strengthen</w:t>
      </w:r>
      <w:r>
        <w:t xml:space="preserve"> </w:t>
      </w:r>
      <w:r>
        <w:t xml:space="preserve">resilience</w:t>
      </w:r>
      <w:r>
        <w:t xml:space="preserve"> </w:t>
      </w:r>
      <w:r>
        <w:t xml:space="preserve">and</w:t>
      </w:r>
      <w:r>
        <w:t xml:space="preserve"> </w:t>
      </w:r>
      <w:r>
        <w:t xml:space="preserve">adaptative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climate-related</w:t>
      </w:r>
      <w:r>
        <w:t xml:space="preserve"> </w:t>
      </w:r>
      <w:r>
        <w:t xml:space="preserve">hazards)</w:t>
      </w:r>
      <w:r>
        <w:t xml:space="preserve"> </w:t>
      </w:r>
      <w:r>
        <w:t xml:space="preserve">Expected accumulated GHG emissions savings of</w:t>
      </w:r>
      <w:r>
        <w:t xml:space="preserve"> </w:t>
      </w:r>
      <w:r>
        <w:t xml:space="preserve">1,8 MtonCO2-eq. in 2030 and 11 MTtonCO2-eq.</w:t>
      </w:r>
      <w:r>
        <w:t xml:space="preserve"> </w:t>
      </w:r>
      <w:r>
        <w:t xml:space="preserve">in 2050, contributing to the deceleration of</w:t>
      </w:r>
      <w:r>
        <w:t xml:space="preserve"> </w:t>
      </w:r>
      <w:r>
        <w:t xml:space="preserve">climate change.</w:t>
      </w:r>
      <w:r>
        <w:br/>
      </w:r>
      <w:r>
        <w:t xml:space="preserve">The decrease in energy GHG emissions is</w:t>
      </w:r>
      <w:r>
        <w:t xml:space="preserve"> </w:t>
      </w:r>
      <w:r>
        <w:t xml:space="preserve">faster during the first years, and levels off</w:t>
      </w:r>
      <w:r>
        <w:t xml:space="preserve"> </w:t>
      </w:r>
      <w:r>
        <w:t xml:space="preserve">over</w:t>
      </w:r>
      <w:r>
        <w:t xml:space="preserve"> </w:t>
      </w:r>
      <w:r>
        <w:t xml:space="preserve">time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progressive</w:t>
      </w:r>
      <w:r>
        <w:t xml:space="preserve"> </w:t>
      </w:r>
      <w:r>
        <w:t xml:space="preserve">decarbonisation of the energy grid.</w:t>
      </w:r>
      <w:r>
        <w:t xml:space="preserve"> </w:t>
      </w:r>
      <w:r>
        <w:t xml:space="preserve">Table A3-4. Relevant sustainable development goals for PO2f+PO3+4a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This Annex describes in detail the data and assumptions the models are based on.</w:t>
      </w:r>
      <w:r>
        <w:t xml:space="preserve"> </w:t>
      </w:r>
      <w:r>
        <w:t xml:space="preserve">1.</w:t>
      </w:r>
      <w:r>
        <w:t xml:space="preserve"> </w:t>
      </w:r>
      <w:r>
        <w:t xml:space="preserve">SALES</w:t>
      </w:r>
      <w:r>
        <w:t xml:space="preserve"> </w:t>
      </w:r>
      <w:r>
        <w:t xml:space="preserve">Current and past sales figures are based on data provided by GfK. The main difficulty for the</w:t>
      </w:r>
      <w:r>
        <w:t xml:space="preserve"> </w:t>
      </w:r>
      <w:r>
        <w:t xml:space="preserve">development of the sales forecast has been that the sales figures provided by GfK, PRODCOM and</w:t>
      </w:r>
      <w:r>
        <w:t xml:space="preserve"> </w:t>
      </w:r>
      <w:r>
        <w:t xml:space="preserve">other sources do not provide enough granularity as to fit the specific product categories. For this</w:t>
      </w:r>
      <w:r>
        <w:t xml:space="preserve"> </w:t>
      </w:r>
      <w:r>
        <w:t xml:space="preserve">reason the study team combined the latest data from GfK (and to a lesser extend PRODCOM) with</w:t>
      </w:r>
      <w:r>
        <w:t xml:space="preserve"> </w:t>
      </w:r>
      <w:r>
        <w:t xml:space="preserve">the distribution between various base cases in the previous preparatory study and impact</w:t>
      </w:r>
      <w:r>
        <w:t xml:space="preserve"> </w:t>
      </w:r>
      <w:r>
        <w:t xml:space="preserve">assessment, which was then presented at the two stakeholder meetings held during the review</w:t>
      </w:r>
      <w:r>
        <w:t xml:space="preserve"> </w:t>
      </w:r>
      <w:r>
        <w:t xml:space="preserve">study. Stakeholder inputs to this data were then collected and projections were adapted. This</w:t>
      </w:r>
      <w:r>
        <w:t xml:space="preserve"> </w:t>
      </w:r>
      <w:r>
        <w:t xml:space="preserve">process was reiterated in the second stakeholder meeting, until no further comments were received.</w:t>
      </w:r>
      <w:r>
        <w:t xml:space="preserve"> </w:t>
      </w:r>
      <w:r>
        <w:t xml:space="preserve">The main outcomes from this process were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The sales of electric space heaters will be stable between 2016 and 2050. Different</w:t>
      </w:r>
      <w:r>
        <w:t xml:space="preserve"> </w:t>
      </w:r>
      <w:r>
        <w:t xml:space="preserve">stakeholders do not agree among themselves, and some propose and increase while others</w:t>
      </w:r>
      <w:r>
        <w:t xml:space="preserve"> </w:t>
      </w:r>
      <w:r>
        <w:t xml:space="preserve">suggest a decrease in future sales. Stable sales was the compromise most could agree to.</w:t>
      </w:r>
      <w:r>
        <w:br/>
      </w:r>
      <w:r>
        <w:t xml:space="preserve">-</w:t>
      </w:r>
      <w:r>
        <w:t xml:space="preserve"> </w:t>
      </w:r>
      <w:r>
        <w:t xml:space="preserve">The sales numbers of domestic gas appliances estimated in the 2015 impact assessment turned</w:t>
      </w:r>
      <w:r>
        <w:t xml:space="preserve"> </w:t>
      </w:r>
      <w:r>
        <w:t xml:space="preserve">out to be too high, since the market has been declining for years. Therefore the current sales of</w:t>
      </w:r>
      <w:r>
        <w:t xml:space="preserve"> </w:t>
      </w:r>
      <w:r>
        <w:t xml:space="preserve">domestic gas appliances were corrected on the basis of the data from the two industry</w:t>
      </w:r>
      <w:r>
        <w:t xml:space="preserve"> </w:t>
      </w:r>
      <w:r>
        <w:t xml:space="preserve">associations CEFACD and HHIC55, which together represent around 80 % of the total market.</w:t>
      </w:r>
      <w:r>
        <w:t xml:space="preserve"> </w:t>
      </w:r>
      <w:r>
        <w:t xml:space="preserve">As a result, it has been estimated that the sales of domestic gas appliances will decrease 30 %</w:t>
      </w:r>
      <w:r>
        <w:t xml:space="preserve"> </w:t>
      </w:r>
      <w:r>
        <w:t xml:space="preserve">towards 2030 and remain stable afterwards.</w:t>
      </w:r>
      <w:r>
        <w:t xml:space="preserve"> </w:t>
      </w:r>
      <w:r>
        <w:t xml:space="preserve">-</w:t>
      </w:r>
      <w:r>
        <w:t xml:space="preserve"> </w:t>
      </w:r>
      <w:r>
        <w:t xml:space="preserve">Regarding liquid fuel heaters, no stakeholders have supplied any information, but it is known</w:t>
      </w:r>
      <w:r>
        <w:t xml:space="preserve"> </w:t>
      </w:r>
      <w:r>
        <w:t xml:space="preserve">that the sales of liquid fuel heaters are roughly 10 % of the sales of gas heaters, for which</w:t>
      </w:r>
      <w:r>
        <w:t xml:space="preserve"> </w:t>
      </w:r>
      <w:r>
        <w:t xml:space="preserve">reason it has been assumed that the share will remain constant over the considered period.</w:t>
      </w:r>
      <w:r>
        <w:br/>
      </w:r>
      <w:r>
        <w:t xml:space="preserve">During the review process and dialogue with stakeholders, it also became apparent that the category</w:t>
      </w:r>
      <w:r>
        <w:t xml:space="preserve"> </w:t>
      </w:r>
      <w:r>
        <w:t xml:space="preserve">“radiant heaters” (electric) did not represent any products on the market in the way it was defined in</w:t>
      </w:r>
      <w:r>
        <w:t xml:space="preserve"> </w:t>
      </w:r>
      <w:r>
        <w:t xml:space="preserve">the LSH Regulation. This category was therefore left empty in all calculations, and removed from</w:t>
      </w:r>
      <w:r>
        <w:t xml:space="preserve"> </w:t>
      </w:r>
      <w:r>
        <w:t xml:space="preserve">the definitions in the proposal for a legislative review.</w:t>
      </w:r>
      <w:r>
        <w:br/>
      </w:r>
      <w:r>
        <w:t xml:space="preserve">Table A4-1 displays the results of the projection.</w:t>
      </w:r>
    </w:p>
    <w:p>
      <w:pPr>
        <w:pStyle w:val="BodyText"/>
      </w:pPr>
      <w:r>
        <w:t xml:space="preserve">2010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Electric (1000 units)</w:t>
      </w:r>
      <w:r>
        <w:t xml:space="preserve"> </w:t>
      </w:r>
      <w:r>
        <w:t xml:space="preserve">Electric portable local space heaters</w:t>
      </w:r>
      <w:r>
        <w:t xml:space="preserve"> </w:t>
      </w:r>
      <w:r>
        <w:t xml:space="preserve">6.787</w:t>
      </w:r>
      <w:r>
        <w:t xml:space="preserve"> </w:t>
      </w:r>
      <w:r>
        <w:t xml:space="preserve">7.144</w:t>
      </w:r>
      <w:r>
        <w:t xml:space="preserve"> </w:t>
      </w:r>
      <w:r>
        <w:t xml:space="preserve">7.144</w:t>
      </w:r>
      <w:r>
        <w:t xml:space="preserve"> </w:t>
      </w:r>
      <w:r>
        <w:t xml:space="preserve">7.144</w:t>
      </w:r>
      <w:r>
        <w:t xml:space="preserve"> </w:t>
      </w:r>
      <w:r>
        <w:t xml:space="preserve">Electric fixed local space heaters with a nominal</w:t>
      </w:r>
      <w:r>
        <w:t xml:space="preserve"> </w:t>
      </w:r>
      <w:r>
        <w:t xml:space="preserve">heat output above 250 W</w:t>
      </w:r>
      <w:r>
        <w:t xml:space="preserve"> </w:t>
      </w:r>
      <w:r>
        <w:t xml:space="preserve">6.894</w:t>
      </w:r>
      <w:r>
        <w:t xml:space="preserve"> </w:t>
      </w:r>
      <w:r>
        <w:t xml:space="preserve">5.018</w:t>
      </w:r>
      <w:r>
        <w:t xml:space="preserve"> </w:t>
      </w:r>
      <w:r>
        <w:t xml:space="preserve">5.018</w:t>
      </w:r>
      <w:r>
        <w:t xml:space="preserve"> </w:t>
      </w:r>
      <w:r>
        <w:t xml:space="preserve">5.018</w:t>
      </w:r>
      <w:r>
        <w:t xml:space="preserve"> </w:t>
      </w:r>
      <w:r>
        <w:t xml:space="preserve">Electric fixed local space heaters with a nominal</w:t>
      </w:r>
      <w:r>
        <w:t xml:space="preserve"> </w:t>
      </w:r>
      <w:r>
        <w:t xml:space="preserve">heat output equal or below 250 W</w:t>
      </w:r>
      <w:r>
        <w:t xml:space="preserve"> </w:t>
      </w:r>
      <w:r>
        <w:t xml:space="preserve">1.724</w:t>
      </w:r>
      <w:r>
        <w:t xml:space="preserve"> </w:t>
      </w:r>
      <w:r>
        <w:t xml:space="preserve">1.254</w:t>
      </w:r>
      <w:r>
        <w:t xml:space="preserve"> </w:t>
      </w:r>
      <w:r>
        <w:t xml:space="preserve">1.254</w:t>
      </w:r>
      <w:r>
        <w:t xml:space="preserve"> </w:t>
      </w:r>
      <w:r>
        <w:t xml:space="preserve">1.254</w:t>
      </w:r>
      <w:r>
        <w:t xml:space="preserve"> </w:t>
      </w:r>
      <w:r>
        <w:t xml:space="preserve">Electric storage local space heaters</w:t>
      </w:r>
      <w:r>
        <w:t xml:space="preserve"> </w:t>
      </w:r>
      <w:r>
        <w:t xml:space="preserve">311</w:t>
      </w:r>
      <w:r>
        <w:t xml:space="preserve"> </w:t>
      </w:r>
      <w:r>
        <w:t xml:space="preserve">269</w:t>
      </w:r>
      <w:r>
        <w:t xml:space="preserve"> </w:t>
      </w:r>
      <w:r>
        <w:t xml:space="preserve">269</w:t>
      </w:r>
      <w:r>
        <w:t xml:space="preserve"> </w:t>
      </w:r>
      <w:r>
        <w:t xml:space="preserve">269</w:t>
      </w:r>
      <w:r>
        <w:t xml:space="preserve"> </w:t>
      </w:r>
      <w:r>
        <w:t xml:space="preserve">Electric underfloor local space heaters</w:t>
      </w:r>
      <w:r>
        <w:t xml:space="preserve"> </w:t>
      </w:r>
      <w:r>
        <w:t xml:space="preserve">1.225</w:t>
      </w:r>
      <w:r>
        <w:t xml:space="preserve"> </w:t>
      </w:r>
      <w:r>
        <w:t xml:space="preserve">1.272</w:t>
      </w:r>
      <w:r>
        <w:t xml:space="preserve"> </w:t>
      </w:r>
      <w:r>
        <w:t xml:space="preserve">1.272</w:t>
      </w:r>
      <w:r>
        <w:t xml:space="preserve"> </w:t>
      </w:r>
      <w:r>
        <w:t xml:space="preserve">1.272</w:t>
      </w:r>
      <w:r>
        <w:t xml:space="preserve"> </w:t>
      </w:r>
      <w:r>
        <w:t xml:space="preserve">Electric visibly glowing radiant local space</w:t>
      </w:r>
      <w:r>
        <w:t xml:space="preserve"> </w:t>
      </w:r>
      <w:r>
        <w:t xml:space="preserve">heaters with a nominal heat output above 1.2 kW</w:t>
      </w:r>
      <w:r>
        <w:t xml:space="preserve"> </w:t>
      </w:r>
      <w:r>
        <w:t xml:space="preserve">144</w:t>
      </w:r>
      <w:r>
        <w:t xml:space="preserve"> </w:t>
      </w:r>
      <w:r>
        <w:t xml:space="preserve">151</w:t>
      </w:r>
      <w:r>
        <w:t xml:space="preserve"> </w:t>
      </w:r>
      <w:r>
        <w:t xml:space="preserve">151</w:t>
      </w:r>
      <w:r>
        <w:t xml:space="preserve"> </w:t>
      </w:r>
      <w:r>
        <w:t xml:space="preserve">151</w:t>
      </w:r>
      <w:r>
        <w:t xml:space="preserve"> </w:t>
      </w:r>
      <w:r>
        <w:t xml:space="preserve">Electric visibly glowing radiant local space</w:t>
      </w:r>
      <w:r>
        <w:t xml:space="preserve"> </w:t>
      </w:r>
      <w:r>
        <w:t xml:space="preserve">62</w:t>
      </w:r>
      <w:r>
        <w:t xml:space="preserve"> </w:t>
      </w:r>
      <w:r>
        <w:t xml:space="preserve">65</w:t>
      </w:r>
      <w:r>
        <w:t xml:space="preserve"> </w:t>
      </w:r>
      <w:r>
        <w:t xml:space="preserve">65</w:t>
      </w:r>
      <w:r>
        <w:t xml:space="preserve"> </w:t>
      </w:r>
      <w:r>
        <w:t xml:space="preserve">65</w:t>
      </w:r>
    </w:p>
    <w:p>
      <w:pPr>
        <w:pStyle w:val="BodyText"/>
      </w:pPr>
      <w:r>
        <w:t xml:space="preserve">55 CEFACD https://www.cefacd.eu/ and HHIC https://www.hhic.org.uk/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heaters with a nominal heat output equal or</w:t>
      </w:r>
      <w:r>
        <w:t xml:space="preserve"> </w:t>
      </w:r>
      <w:r>
        <w:t xml:space="preserve">below 1.2 kW</w:t>
      </w:r>
      <w:r>
        <w:t xml:space="preserve"> </w:t>
      </w:r>
      <w:r>
        <w:t xml:space="preserve">Towel heaters</w:t>
      </w:r>
      <w:r>
        <w:t xml:space="preserve"> </w:t>
      </w:r>
      <w:r>
        <w:t xml:space="preserve">1.885</w:t>
      </w:r>
      <w:r>
        <w:t xml:space="preserve"> </w:t>
      </w:r>
      <w:r>
        <w:t xml:space="preserve">1.885</w:t>
      </w:r>
      <w:r>
        <w:t xml:space="preserve"> </w:t>
      </w:r>
      <w:r>
        <w:t xml:space="preserve">1.885</w:t>
      </w:r>
      <w:r>
        <w:t xml:space="preserve"> </w:t>
      </w:r>
      <w:r>
        <w:t xml:space="preserve">1.885</w:t>
      </w:r>
      <w:r>
        <w:t xml:space="preserve"> </w:t>
      </w:r>
      <w:r>
        <w:t xml:space="preserve">Total</w:t>
      </w:r>
      <w:r>
        <w:t xml:space="preserve"> </w:t>
      </w:r>
      <w:r>
        <w:t xml:space="preserve">19.033</w:t>
      </w:r>
      <w:r>
        <w:t xml:space="preserve"> </w:t>
      </w:r>
      <w:r>
        <w:t xml:space="preserve">17.058</w:t>
      </w:r>
      <w:r>
        <w:t xml:space="preserve"> </w:t>
      </w:r>
      <w:r>
        <w:t xml:space="preserve">17.058</w:t>
      </w:r>
      <w:r>
        <w:t xml:space="preserve"> </w:t>
      </w:r>
      <w:r>
        <w:t xml:space="preserve">17.058</w:t>
      </w:r>
      <w:r>
        <w:t xml:space="preserve"> </w:t>
      </w:r>
      <w:r>
        <w:t xml:space="preserve">Gas fuel (1000 units)</w:t>
      </w:r>
      <w:r>
        <w:t xml:space="preserve"> </w:t>
      </w:r>
      <w:r>
        <w:t xml:space="preserve">Gaseous luminous local space heaters (non-</w:t>
      </w:r>
      <w:r>
        <w:t xml:space="preserve"> </w:t>
      </w:r>
      <w:r>
        <w:t xml:space="preserve">residential)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Gaseous tube local space heaters (non-</w:t>
      </w:r>
      <w:r>
        <w:t xml:space="preserve"> </w:t>
      </w:r>
      <w:r>
        <w:t xml:space="preserve">residential)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Gaseous tube local space heaters 120-300 kW</w:t>
      </w:r>
      <w:r>
        <w:t xml:space="preserve"> </w:t>
      </w:r>
      <w:r>
        <w:t xml:space="preserve">(non-residential)</w:t>
      </w:r>
      <w:r>
        <w:t xml:space="preserve"> </w:t>
      </w:r>
      <w:r>
        <w:t xml:space="preserve">0,4</w:t>
      </w:r>
      <w:r>
        <w:t xml:space="preserve"> </w:t>
      </w:r>
      <w:r>
        <w:t xml:space="preserve">0,3</w:t>
      </w:r>
      <w:r>
        <w:t xml:space="preserve"> </w:t>
      </w:r>
      <w:r>
        <w:t xml:space="preserve">0,3</w:t>
      </w:r>
      <w:r>
        <w:t xml:space="preserve"> </w:t>
      </w:r>
      <w:r>
        <w:t xml:space="preserve">0,3</w:t>
      </w:r>
      <w:r>
        <w:t xml:space="preserve"> </w:t>
      </w:r>
      <w:r>
        <w:t xml:space="preserve">Gaseous fuel open combustion/open fronted with</w:t>
      </w:r>
      <w:r>
        <w:t xml:space="preserve"> </w:t>
      </w:r>
      <w:r>
        <w:t xml:space="preserve">exhaust restriction</w:t>
      </w:r>
      <w:r>
        <w:br/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Gaseous fuel open combustion/closed fronted</w:t>
      </w:r>
      <w:r>
        <w:t xml:space="preserve"> </w:t>
      </w:r>
      <w:r>
        <w:t xml:space="preserve">28</w:t>
      </w:r>
      <w:r>
        <w:t xml:space="preserve"> </w:t>
      </w:r>
      <w:r>
        <w:t xml:space="preserve">19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Gaseous fuel balanced flue</w:t>
      </w:r>
      <w:r>
        <w:t xml:space="preserve"> </w:t>
      </w:r>
      <w:r>
        <w:t xml:space="preserve">51</w:t>
      </w:r>
      <w:r>
        <w:t xml:space="preserve"> </w:t>
      </w:r>
      <w:r>
        <w:t xml:space="preserve">28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Gaseous flueless heaters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Gaseous open to Chimney heaters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Total</w:t>
      </w:r>
      <w:r>
        <w:t xml:space="preserve"> </w:t>
      </w:r>
      <w:r>
        <w:t xml:space="preserve">100</w:t>
      </w:r>
      <w:r>
        <w:t xml:space="preserve"> </w:t>
      </w:r>
      <w:r>
        <w:t xml:space="preserve">66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Liquid fuel (1000 units)</w:t>
      </w:r>
      <w:r>
        <w:t xml:space="preserve"> </w:t>
      </w:r>
      <w:r>
        <w:t xml:space="preserve">Liquid tube local space heaters (non-residential)</w:t>
      </w:r>
      <w:r>
        <w:t xml:space="preserve"> </w:t>
      </w:r>
      <w:r>
        <w:t xml:space="preserve">0,5</w:t>
      </w:r>
      <w:r>
        <w:t xml:space="preserve"> </w:t>
      </w:r>
      <w:r>
        <w:t xml:space="preserve">0,4</w:t>
      </w:r>
      <w:r>
        <w:t xml:space="preserve"> </w:t>
      </w:r>
      <w:r>
        <w:t xml:space="preserve">0,3</w:t>
      </w:r>
      <w:r>
        <w:t xml:space="preserve"> </w:t>
      </w:r>
      <w:r>
        <w:t xml:space="preserve">0,3</w:t>
      </w:r>
      <w:r>
        <w:t xml:space="preserve"> </w:t>
      </w:r>
      <w:r>
        <w:t xml:space="preserve">Liquid tube local space heaters 120-300 kW</w:t>
      </w:r>
      <w:r>
        <w:t xml:space="preserve"> </w:t>
      </w:r>
      <w:r>
        <w:t xml:space="preserve">(non-residential)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Liquid fuel open combustion/open fronted with</w:t>
      </w:r>
      <w:r>
        <w:t xml:space="preserve"> </w:t>
      </w:r>
      <w:r>
        <w:t xml:space="preserve">exhaust restriction</w:t>
      </w:r>
      <w:r>
        <w:br/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Liquid fuel open combustion/closed fronted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Liquid fuel balanced flue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Liquid flueless heaters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Liquid open to Chimney heaters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Total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Table A4-1. Estimated EU-27 (2020) sales from 2010-2050</w:t>
      </w:r>
      <w:r>
        <w:t xml:space="preserve"> </w:t>
      </w:r>
      <w:r>
        <w:t xml:space="preserve">The UK sales share has been removed from the dataset due to Brexit, considering that it remains</w:t>
      </w:r>
      <w:r>
        <w:t xml:space="preserve"> </w:t>
      </w:r>
      <w:r>
        <w:t xml:space="preserve">constant for the entire modelling period.</w:t>
      </w:r>
      <w:r>
        <w:br/>
      </w:r>
      <w:r>
        <w:t xml:space="preserve">Product</w:t>
      </w:r>
      <w:r>
        <w:t xml:space="preserve"> </w:t>
      </w:r>
      <w:r>
        <w:t xml:space="preserve">UK</w:t>
      </w:r>
      <w:r>
        <w:t xml:space="preserve"> </w:t>
      </w:r>
      <w:r>
        <w:t xml:space="preserve">share</w:t>
      </w:r>
      <w:r>
        <w:t xml:space="preserve"> </w:t>
      </w:r>
      <w:r>
        <w:t xml:space="preserve">Electric portable</w:t>
      </w:r>
      <w:r>
        <w:br/>
      </w:r>
      <w:r>
        <w:t xml:space="preserve">5.7%</w:t>
      </w:r>
      <w:r>
        <w:t xml:space="preserve"> </w:t>
      </w:r>
      <w:r>
        <w:t xml:space="preserve">Electric fixed heat output &gt;250 W</w:t>
      </w:r>
      <w:r>
        <w:t xml:space="preserve"> </w:t>
      </w:r>
      <w:r>
        <w:t xml:space="preserve">5.7%</w:t>
      </w:r>
      <w:r>
        <w:t xml:space="preserve"> </w:t>
      </w:r>
      <w:r>
        <w:t xml:space="preserve">Electric fixed heat output &lt;250 W</w:t>
      </w:r>
      <w:r>
        <w:t xml:space="preserve"> </w:t>
      </w:r>
      <w:r>
        <w:t xml:space="preserve">5.7%</w:t>
      </w:r>
      <w:r>
        <w:t xml:space="preserve"> </w:t>
      </w:r>
      <w:r>
        <w:t xml:space="preserve">Electric storage</w:t>
      </w:r>
      <w:r>
        <w:br/>
      </w:r>
      <w:r>
        <w:t xml:space="preserve">5.7%</w:t>
      </w:r>
      <w:r>
        <w:t xml:space="preserve"> </w:t>
      </w:r>
      <w:r>
        <w:t xml:space="preserve">Electric underfloor</w:t>
      </w:r>
      <w:r>
        <w:br/>
      </w:r>
      <w:r>
        <w:t xml:space="preserve">5.7%</w:t>
      </w:r>
      <w:r>
        <w:t xml:space="preserve"> </w:t>
      </w:r>
      <w:r>
        <w:t xml:space="preserve">Electric visibly glowing l heat output &gt;1.2 kW</w:t>
      </w:r>
      <w:r>
        <w:t xml:space="preserve"> </w:t>
      </w:r>
      <w:r>
        <w:t xml:space="preserve">5.7%</w:t>
      </w:r>
      <w:r>
        <w:t xml:space="preserve"> </w:t>
      </w:r>
      <w:r>
        <w:t xml:space="preserve">Electric visibly glowing heat output &lt; 1.2 kW</w:t>
      </w:r>
      <w:r>
        <w:t xml:space="preserve"> </w:t>
      </w:r>
      <w:r>
        <w:t xml:space="preserve">5.7%</w:t>
      </w:r>
      <w:r>
        <w:t xml:space="preserve"> </w:t>
      </w:r>
      <w:r>
        <w:t xml:space="preserve">Towel heaters</w:t>
      </w:r>
      <w:r>
        <w:t xml:space="preserve"> </w:t>
      </w:r>
      <w:r>
        <w:t xml:space="preserve">5.7%</w:t>
      </w:r>
      <w:r>
        <w:t xml:space="preserve"> </w:t>
      </w:r>
      <w:r>
        <w:t xml:space="preserve">Gas luminous</w:t>
      </w:r>
      <w:r>
        <w:t xml:space="preserve"> </w:t>
      </w:r>
      <w:r>
        <w:t xml:space="preserve">80.1%</w:t>
      </w:r>
      <w:r>
        <w:t xml:space="preserve"> </w:t>
      </w:r>
      <w:r>
        <w:t xml:space="preserve">Gas tube</w:t>
      </w:r>
      <w:r>
        <w:t xml:space="preserve"> </w:t>
      </w:r>
      <w:r>
        <w:t xml:space="preserve">80.1%</w:t>
      </w:r>
      <w:r>
        <w:t xml:space="preserve"> </w:t>
      </w:r>
      <w:r>
        <w:t xml:space="preserve">Gas tube 120-300 kW</w:t>
      </w:r>
      <w:r>
        <w:t xml:space="preserve"> </w:t>
      </w:r>
      <w:r>
        <w:t xml:space="preserve">80.1%</w:t>
      </w:r>
      <w:r>
        <w:t xml:space="preserve"> </w:t>
      </w:r>
      <w:r>
        <w:t xml:space="preserve">Gas open combustion, open fronted</w:t>
      </w:r>
      <w:r>
        <w:t xml:space="preserve"> </w:t>
      </w:r>
      <w:r>
        <w:t xml:space="preserve">83.8%</w:t>
      </w:r>
      <w:r>
        <w:t xml:space="preserve"> </w:t>
      </w:r>
      <w:r>
        <w:t xml:space="preserve">Gas open combustion/closed fronted</w:t>
      </w:r>
      <w:r>
        <w:br/>
      </w:r>
      <w:r>
        <w:t xml:space="preserve">83.8%</w:t>
      </w:r>
      <w:r>
        <w:t xml:space="preserve"> </w:t>
      </w:r>
      <w:r>
        <w:t xml:space="preserve">Gas balanced flue</w:t>
      </w:r>
      <w:r>
        <w:t xml:space="preserve"> </w:t>
      </w:r>
      <w:r>
        <w:t xml:space="preserve">41.7%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Gas flueless</w:t>
      </w:r>
      <w:r>
        <w:t xml:space="preserve"> </w:t>
      </w:r>
      <w:r>
        <w:t xml:space="preserve">100.0%</w:t>
      </w:r>
      <w:r>
        <w:t xml:space="preserve"> </w:t>
      </w:r>
      <w:r>
        <w:t xml:space="preserve">Gas open to chimney</w:t>
      </w:r>
      <w:r>
        <w:t xml:space="preserve"> </w:t>
      </w:r>
      <w:r>
        <w:t xml:space="preserve">100.0%</w:t>
      </w:r>
      <w:r>
        <w:t xml:space="preserve"> </w:t>
      </w:r>
      <w:r>
        <w:t xml:space="preserve">Liquid tube</w:t>
      </w:r>
      <w:r>
        <w:br/>
      </w:r>
      <w:r>
        <w:t xml:space="preserve">80.1%</w:t>
      </w:r>
      <w:r>
        <w:t xml:space="preserve"> </w:t>
      </w:r>
      <w:r>
        <w:t xml:space="preserve">Liquid tube 120-300 kW</w:t>
      </w:r>
      <w:r>
        <w:t xml:space="preserve"> </w:t>
      </w:r>
      <w:r>
        <w:t xml:space="preserve">80.1%</w:t>
      </w:r>
      <w:r>
        <w:t xml:space="preserve"> </w:t>
      </w:r>
      <w:r>
        <w:t xml:space="preserve">Liquid open combustion, open fronted</w:t>
      </w:r>
      <w:r>
        <w:t xml:space="preserve"> </w:t>
      </w:r>
      <w:r>
        <w:t xml:space="preserve">83.8%</w:t>
      </w:r>
      <w:r>
        <w:t xml:space="preserve"> </w:t>
      </w:r>
      <w:r>
        <w:t xml:space="preserve">Liquid open combustion, closed fronted</w:t>
      </w:r>
      <w:r>
        <w:br/>
      </w:r>
      <w:r>
        <w:t xml:space="preserve">83.8%</w:t>
      </w:r>
      <w:r>
        <w:t xml:space="preserve"> </w:t>
      </w:r>
      <w:r>
        <w:t xml:space="preserve">Liquid balanced flue</w:t>
      </w:r>
      <w:r>
        <w:t xml:space="preserve"> </w:t>
      </w:r>
      <w:r>
        <w:t xml:space="preserve">41.7%</w:t>
      </w:r>
      <w:r>
        <w:t xml:space="preserve"> </w:t>
      </w:r>
      <w:r>
        <w:t xml:space="preserve">Liquid flueless</w:t>
      </w:r>
      <w:r>
        <w:t xml:space="preserve"> </w:t>
      </w:r>
      <w:r>
        <w:t xml:space="preserve">100.0%</w:t>
      </w:r>
      <w:r>
        <w:t xml:space="preserve"> </w:t>
      </w:r>
      <w:r>
        <w:t xml:space="preserve">Liquid open to chimney</w:t>
      </w:r>
      <w:r>
        <w:t xml:space="preserve"> </w:t>
      </w:r>
      <w:r>
        <w:t xml:space="preserve">100.0%</w:t>
      </w:r>
      <w:r>
        <w:t xml:space="preserve"> </w:t>
      </w:r>
      <w:r>
        <w:t xml:space="preserve">Table A4-2. UK sales shares for local space heaters</w:t>
      </w:r>
      <w:r>
        <w:t xml:space="preserve"> </w:t>
      </w:r>
      <w:r>
        <w:t xml:space="preserve">2.</w:t>
      </w:r>
      <w:r>
        <w:t xml:space="preserve"> </w:t>
      </w:r>
      <w:r>
        <w:t xml:space="preserve">STOCK</w:t>
      </w:r>
      <w:r>
        <w:t xml:space="preserve"> </w:t>
      </w:r>
      <w:r>
        <w:t xml:space="preserve">The stock of local space heaters in the EU has been estimated on the basis of the sales and the</w:t>
      </w:r>
      <w:r>
        <w:t xml:space="preserve"> </w:t>
      </w:r>
      <w:r>
        <w:t xml:space="preserve">expected product lifetimes considered in the preparatory study, the latter adjusted according to</w:t>
      </w:r>
      <w:r>
        <w:t xml:space="preserve"> </w:t>
      </w:r>
      <w:r>
        <w:t xml:space="preserve">stakeholders’ inputs. The lifetime of local space heaters ranges between 7 years for gas heaters to</w:t>
      </w:r>
      <w:r>
        <w:t xml:space="preserve"> </w:t>
      </w:r>
      <w:r>
        <w:t xml:space="preserve">40 years for electric underfloor heating systems.</w:t>
      </w:r>
      <w:r>
        <w:br/>
      </w:r>
      <w:r>
        <w:t xml:space="preserve">In the current stock model, the statistical standard deviation from the middle lifetime value is</w:t>
      </w:r>
      <w:r>
        <w:t xml:space="preserve"> </w:t>
      </w:r>
      <w:r>
        <w:t xml:space="preserve">assumed to be 2 to 6 years (depending on the type of heater), so that a normal lifetime distribution</w:t>
      </w:r>
      <w:r>
        <w:t xml:space="preserve"> </w:t>
      </w:r>
      <w:r>
        <w:t xml:space="preserve">is calculated by adding and subtracting the deviation from the middle lifetime value and applying a</w:t>
      </w:r>
      <w:r>
        <w:t xml:space="preserve"> </w:t>
      </w:r>
      <w:r>
        <w:t xml:space="preserve">Gaussian distribution.</w:t>
      </w:r>
      <w:r>
        <w:t xml:space="preserve"> </w:t>
      </w:r>
      <w:r>
        <w:t xml:space="preserve">Product</w:t>
      </w:r>
      <w:r>
        <w:t xml:space="preserve"> </w:t>
      </w:r>
      <w:r>
        <w:t xml:space="preserve">Average</w:t>
      </w:r>
      <w:r>
        <w:t xml:space="preserve"> </w:t>
      </w:r>
      <w:r>
        <w:t xml:space="preserve">lifetime</w:t>
      </w:r>
      <w:r>
        <w:t xml:space="preserve"> </w:t>
      </w:r>
      <w:r>
        <w:t xml:space="preserve">Standard</w:t>
      </w:r>
      <w:r>
        <w:t xml:space="preserve"> </w:t>
      </w:r>
      <w:r>
        <w:t xml:space="preserve">deviation on</w:t>
      </w:r>
      <w:r>
        <w:t xml:space="preserve"> </w:t>
      </w:r>
      <w:r>
        <w:t xml:space="preserve">lifetime</w:t>
      </w:r>
      <w:r>
        <w:t xml:space="preserve"> </w:t>
      </w:r>
      <w:r>
        <w:t xml:space="preserve">Electric portable</w:t>
      </w:r>
      <w:r>
        <w:br/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Electric fixed heat output &gt;250 W</w:t>
      </w:r>
      <w:r>
        <w:t xml:space="preserve"> </w:t>
      </w:r>
      <w:r>
        <w:t xml:space="preserve">15</w:t>
      </w:r>
      <w:r>
        <w:t xml:space="preserve"> </w:t>
      </w:r>
      <w:r>
        <w:t xml:space="preserve">3</w:t>
      </w:r>
      <w:r>
        <w:t xml:space="preserve"> </w:t>
      </w:r>
      <w:r>
        <w:t xml:space="preserve">Electric fixed heat output &lt;250 W</w:t>
      </w:r>
      <w:r>
        <w:t xml:space="preserve"> </w:t>
      </w:r>
      <w:r>
        <w:t xml:space="preserve">15</w:t>
      </w:r>
      <w:r>
        <w:t xml:space="preserve"> </w:t>
      </w:r>
      <w:r>
        <w:t xml:space="preserve">3</w:t>
      </w:r>
      <w:r>
        <w:t xml:space="preserve"> </w:t>
      </w:r>
      <w:r>
        <w:t xml:space="preserve">Electric storage</w:t>
      </w:r>
      <w:r>
        <w:br/>
      </w:r>
      <w:r>
        <w:t xml:space="preserve">15</w:t>
      </w:r>
      <w:r>
        <w:t xml:space="preserve"> </w:t>
      </w:r>
      <w:r>
        <w:t xml:space="preserve">6</w:t>
      </w:r>
      <w:r>
        <w:t xml:space="preserve"> </w:t>
      </w:r>
      <w:r>
        <w:t xml:space="preserve">Electric underfloor</w:t>
      </w:r>
      <w:r>
        <w:br/>
      </w:r>
      <w:r>
        <w:t xml:space="preserve">40</w:t>
      </w:r>
      <w:r>
        <w:t xml:space="preserve"> </w:t>
      </w:r>
      <w:r>
        <w:t xml:space="preserve">2</w:t>
      </w:r>
      <w:r>
        <w:t xml:space="preserve"> </w:t>
      </w:r>
      <w:r>
        <w:t xml:space="preserve">Electric visibly glowing l heat output &gt;1.2</w:t>
      </w:r>
      <w:r>
        <w:t xml:space="preserve"> </w:t>
      </w:r>
      <w:r>
        <w:t xml:space="preserve">kW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Electric visibly glowing heat output &lt; 1.2</w:t>
      </w:r>
      <w:r>
        <w:t xml:space="preserve"> </w:t>
      </w:r>
      <w:r>
        <w:t xml:space="preserve">kW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Towel heaters</w:t>
      </w:r>
      <w:r>
        <w:t xml:space="preserve"> </w:t>
      </w:r>
      <w:r>
        <w:t xml:space="preserve">15</w:t>
      </w:r>
      <w:r>
        <w:t xml:space="preserve"> </w:t>
      </w:r>
      <w:r>
        <w:t xml:space="preserve">3</w:t>
      </w:r>
      <w:r>
        <w:t xml:space="preserve"> </w:t>
      </w:r>
      <w:r>
        <w:t xml:space="preserve">Gas luminous</w:t>
      </w:r>
      <w:r>
        <w:t xml:space="preserve"> </w:t>
      </w:r>
      <w:r>
        <w:t xml:space="preserve">15</w:t>
      </w:r>
      <w:r>
        <w:t xml:space="preserve"> </w:t>
      </w:r>
      <w:r>
        <w:t xml:space="preserve">3</w:t>
      </w:r>
      <w:r>
        <w:t xml:space="preserve"> </w:t>
      </w:r>
      <w:r>
        <w:t xml:space="preserve">Gas tube</w:t>
      </w:r>
      <w:r>
        <w:t xml:space="preserve"> </w:t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Gas tube 120-300 kW</w:t>
      </w:r>
      <w:r>
        <w:t xml:space="preserve"> </w:t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Gas open combustion, open fronted</w:t>
      </w:r>
      <w:r>
        <w:t xml:space="preserve"> </w:t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Gas open combustion/closed fronted</w:t>
      </w:r>
      <w:r>
        <w:br/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Gas balanced flue</w:t>
      </w:r>
      <w:r>
        <w:t xml:space="preserve"> </w:t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Gas flueless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Gas open to chimney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Liquid tube</w:t>
      </w:r>
      <w:r>
        <w:br/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Liquid tube 120-300 kW</w:t>
      </w:r>
      <w:r>
        <w:t xml:space="preserve"> </w:t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Liquid open combustion, open fronted</w:t>
      </w:r>
      <w:r>
        <w:t xml:space="preserve"> </w:t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Liquid open combustion, closed fronted</w:t>
      </w:r>
      <w:r>
        <w:br/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Liquid balanced flue</w:t>
      </w:r>
      <w:r>
        <w:t xml:space="preserve"> </w:t>
      </w:r>
      <w:r>
        <w:t xml:space="preserve">20</w:t>
      </w:r>
      <w:r>
        <w:t xml:space="preserve"> </w:t>
      </w:r>
      <w:r>
        <w:t xml:space="preserve">4</w:t>
      </w:r>
      <w:r>
        <w:t xml:space="preserve"> </w:t>
      </w:r>
      <w:r>
        <w:t xml:space="preserve">Liquid flueless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Liquid open to chimney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Table A4-3 Estimated lifetimes for local space heaters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Sales figures and lifetime are combined to obtain the stock of each product sub-group year by year.</w:t>
      </w:r>
      <w:r>
        <w:t xml:space="preserve"> </w:t>
      </w:r>
      <w:r>
        <w:t xml:space="preserve">For each given year, the sales of a product sub-group on that year are combined with the</w:t>
      </w:r>
      <w:r>
        <w:t xml:space="preserve"> </w:t>
      </w:r>
      <w:r>
        <w:t xml:space="preserve">abovementioned Gaussian lifetime distribution to calculate the share of those sales that will still be</w:t>
      </w:r>
      <w:r>
        <w:t xml:space="preserve"> </w:t>
      </w:r>
      <w:r>
        <w:t xml:space="preserve">in stock for the remaining years until the end of the product lifetime. By adding the stocks</w:t>
      </w:r>
      <w:r>
        <w:t xml:space="preserve"> </w:t>
      </w:r>
      <w:r>
        <w:t xml:space="preserve">estimated for the sales of different years, the total yearly stock is derived.</w:t>
      </w:r>
    </w:p>
    <w:p>
      <w:pPr>
        <w:pStyle w:val="BodyText"/>
      </w:pPr>
      <w:r>
        <w:t xml:space="preserve">2010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Electric (1000 units)</w:t>
      </w:r>
      <w:r>
        <w:t xml:space="preserve"> </w:t>
      </w:r>
      <w:r>
        <w:t xml:space="preserve">Electric portable local space heaters</w:t>
      </w:r>
      <w:r>
        <w:t xml:space="preserve"> </w:t>
      </w:r>
      <w:r>
        <w:t xml:space="preserve">61.709</w:t>
      </w:r>
      <w:r>
        <w:t xml:space="preserve"> </w:t>
      </w:r>
      <w:r>
        <w:t xml:space="preserve">66.955</w:t>
      </w:r>
      <w:r>
        <w:t xml:space="preserve"> </w:t>
      </w:r>
      <w:r>
        <w:t xml:space="preserve">67.808</w:t>
      </w:r>
      <w:r>
        <w:t xml:space="preserve"> </w:t>
      </w:r>
      <w:r>
        <w:t xml:space="preserve">60.664</w:t>
      </w:r>
      <w:r>
        <w:t xml:space="preserve"> </w:t>
      </w:r>
      <w:r>
        <w:t xml:space="preserve">Electric fixed local space heaters with a nominal heat</w:t>
      </w:r>
      <w:r>
        <w:t xml:space="preserve"> </w:t>
      </w:r>
      <w:r>
        <w:t xml:space="preserve">output above 250 W</w:t>
      </w:r>
      <w:r>
        <w:t xml:space="preserve"> </w:t>
      </w:r>
      <w:r>
        <w:t xml:space="preserve">101.743</w:t>
      </w:r>
      <w:r>
        <w:t xml:space="preserve"> </w:t>
      </w:r>
      <w:r>
        <w:t xml:space="preserve">92.004</w:t>
      </w:r>
      <w:r>
        <w:t xml:space="preserve"> </w:t>
      </w:r>
      <w:r>
        <w:t xml:space="preserve">78.795</w:t>
      </w:r>
      <w:r>
        <w:t xml:space="preserve"> </w:t>
      </w:r>
      <w:r>
        <w:t xml:space="preserve">77.698</w:t>
      </w:r>
      <w:r>
        <w:t xml:space="preserve"> </w:t>
      </w:r>
      <w:r>
        <w:t xml:space="preserve">Electric fixed local space heaters with a nominal heat</w:t>
      </w:r>
      <w:r>
        <w:t xml:space="preserve"> </w:t>
      </w:r>
      <w:r>
        <w:t xml:space="preserve">output equal or below 250 W</w:t>
      </w:r>
      <w:r>
        <w:t xml:space="preserve"> </w:t>
      </w:r>
      <w:r>
        <w:t xml:space="preserve">25.436</w:t>
      </w:r>
      <w:r>
        <w:t xml:space="preserve"> </w:t>
      </w:r>
      <w:r>
        <w:t xml:space="preserve">23.001</w:t>
      </w:r>
      <w:r>
        <w:t xml:space="preserve"> </w:t>
      </w:r>
      <w:r>
        <w:t xml:space="preserve">19.699</w:t>
      </w:r>
      <w:r>
        <w:t xml:space="preserve"> </w:t>
      </w:r>
      <w:r>
        <w:t xml:space="preserve">19.425</w:t>
      </w:r>
      <w:r>
        <w:t xml:space="preserve"> </w:t>
      </w:r>
      <w:r>
        <w:t xml:space="preserve">Electric storage local space heaters</w:t>
      </w:r>
      <w:r>
        <w:t xml:space="preserve"> </w:t>
      </w:r>
      <w:r>
        <w:t xml:space="preserve">4.441</w:t>
      </w:r>
      <w:r>
        <w:t xml:space="preserve"> </w:t>
      </w:r>
      <w:r>
        <w:t xml:space="preserve">4.426</w:t>
      </w:r>
      <w:r>
        <w:t xml:space="preserve"> </w:t>
      </w:r>
      <w:r>
        <w:t xml:space="preserve">4.220</w:t>
      </w:r>
      <w:r>
        <w:t xml:space="preserve"> </w:t>
      </w:r>
      <w:r>
        <w:t xml:space="preserve">4.158</w:t>
      </w:r>
      <w:r>
        <w:t xml:space="preserve"> </w:t>
      </w:r>
      <w:r>
        <w:t xml:space="preserve">Electric underfloor local space heaters</w:t>
      </w:r>
      <w:r>
        <w:t xml:space="preserve"> </w:t>
      </w:r>
      <w:r>
        <w:t xml:space="preserve">38.743</w:t>
      </w:r>
      <w:r>
        <w:t xml:space="preserve"> </w:t>
      </w:r>
      <w:r>
        <w:t xml:space="preserve">44.338</w:t>
      </w:r>
      <w:r>
        <w:t xml:space="preserve"> </w:t>
      </w:r>
      <w:r>
        <w:t xml:space="preserve">48.142</w:t>
      </w:r>
      <w:r>
        <w:t xml:space="preserve"> </w:t>
      </w:r>
      <w:r>
        <w:t xml:space="preserve">51.353</w:t>
      </w:r>
      <w:r>
        <w:t xml:space="preserve"> </w:t>
      </w:r>
      <w:r>
        <w:t xml:space="preserve">Electric visibly glowing radiant local space heaters with</w:t>
      </w:r>
      <w:r>
        <w:t xml:space="preserve"> </w:t>
      </w:r>
      <w:r>
        <w:t xml:space="preserve">a nominal heat output above 1.2 kW</w:t>
      </w:r>
      <w:r>
        <w:t xml:space="preserve"> </w:t>
      </w:r>
      <w:r>
        <w:t xml:space="preserve">1.307</w:t>
      </w:r>
      <w:r>
        <w:t xml:space="preserve"> </w:t>
      </w:r>
      <w:r>
        <w:t xml:space="preserve">1.418</w:t>
      </w:r>
      <w:r>
        <w:t xml:space="preserve"> </w:t>
      </w:r>
      <w:r>
        <w:t xml:space="preserve">1.436</w:t>
      </w:r>
      <w:r>
        <w:t xml:space="preserve"> </w:t>
      </w:r>
      <w:r>
        <w:t xml:space="preserve">1.436</w:t>
      </w:r>
      <w:r>
        <w:t xml:space="preserve"> </w:t>
      </w:r>
      <w:r>
        <w:t xml:space="preserve">Electric visibly glowing radiant local space heaters with</w:t>
      </w:r>
      <w:r>
        <w:t xml:space="preserve"> </w:t>
      </w:r>
      <w:r>
        <w:t xml:space="preserve">a nominal heat output equal or below 1.2 kW</w:t>
      </w:r>
      <w:r>
        <w:t xml:space="preserve"> </w:t>
      </w:r>
      <w:r>
        <w:t xml:space="preserve">560</w:t>
      </w:r>
      <w:r>
        <w:t xml:space="preserve"> </w:t>
      </w:r>
      <w:r>
        <w:t xml:space="preserve">608</w:t>
      </w:r>
      <w:r>
        <w:t xml:space="preserve"> </w:t>
      </w:r>
      <w:r>
        <w:t xml:space="preserve">615</w:t>
      </w:r>
      <w:r>
        <w:t xml:space="preserve"> </w:t>
      </w:r>
      <w:r>
        <w:t xml:space="preserve">615</w:t>
      </w:r>
      <w:r>
        <w:t xml:space="preserve"> </w:t>
      </w:r>
      <w:r>
        <w:t xml:space="preserve">Towel heaters</w:t>
      </w:r>
      <w:r>
        <w:t xml:space="preserve"> </w:t>
      </w:r>
      <w:r>
        <w:t xml:space="preserve">23.786</w:t>
      </w:r>
      <w:r>
        <w:t xml:space="preserve"> </w:t>
      </w:r>
      <w:r>
        <w:t xml:space="preserve">28.310</w:t>
      </w:r>
      <w:r>
        <w:t xml:space="preserve"> </w:t>
      </w:r>
      <w:r>
        <w:t xml:space="preserve">29.194</w:t>
      </w:r>
      <w:r>
        <w:t xml:space="preserve"> </w:t>
      </w:r>
      <w:r>
        <w:t xml:space="preserve">29.194</w:t>
      </w:r>
      <w:r>
        <w:t xml:space="preserve"> </w:t>
      </w:r>
      <w:r>
        <w:t xml:space="preserve">Total</w:t>
      </w:r>
      <w:r>
        <w:t xml:space="preserve"> </w:t>
      </w:r>
      <w:r>
        <w:t xml:space="preserve">257.724</w:t>
      </w:r>
      <w:r>
        <w:t xml:space="preserve"> </w:t>
      </w:r>
      <w:r>
        <w:t xml:space="preserve">261.060</w:t>
      </w:r>
      <w:r>
        <w:t xml:space="preserve"> </w:t>
      </w:r>
      <w:r>
        <w:t xml:space="preserve">249.909</w:t>
      </w:r>
      <w:r>
        <w:t xml:space="preserve"> </w:t>
      </w:r>
      <w:r>
        <w:t xml:space="preserve">244.543</w:t>
      </w:r>
      <w:r>
        <w:t xml:space="preserve"> </w:t>
      </w:r>
      <w:r>
        <w:t xml:space="preserve">Gas fuel (1000 units)</w:t>
      </w:r>
      <w:r>
        <w:t xml:space="preserve"> </w:t>
      </w:r>
      <w:r>
        <w:t xml:space="preserve">Gaseous luminous local space heaters (non-residential)</w:t>
      </w:r>
      <w:r>
        <w:t xml:space="preserve"> </w:t>
      </w:r>
      <w:r>
        <w:t xml:space="preserve">67</w:t>
      </w:r>
      <w:r>
        <w:t xml:space="preserve"> </w:t>
      </w:r>
      <w:r>
        <w:t xml:space="preserve">71</w:t>
      </w:r>
      <w:r>
        <w:t xml:space="preserve"> </w:t>
      </w:r>
      <w:r>
        <w:t xml:space="preserve">63</w:t>
      </w:r>
      <w:r>
        <w:t xml:space="preserve"> </w:t>
      </w:r>
      <w:r>
        <w:t xml:space="preserve">52</w:t>
      </w:r>
      <w:r>
        <w:t xml:space="preserve"> </w:t>
      </w:r>
      <w:r>
        <w:t xml:space="preserve">Gaseous tube local space heaters (non-residential)</w:t>
      </w:r>
      <w:r>
        <w:t xml:space="preserve"> </w:t>
      </w:r>
      <w:r>
        <w:t xml:space="preserve">86</w:t>
      </w:r>
      <w:r>
        <w:t xml:space="preserve"> </w:t>
      </w:r>
      <w:r>
        <w:t xml:space="preserve">92</w:t>
      </w:r>
      <w:r>
        <w:t xml:space="preserve"> </w:t>
      </w:r>
      <w:r>
        <w:t xml:space="preserve">86</w:t>
      </w:r>
      <w:r>
        <w:t xml:space="preserve"> </w:t>
      </w:r>
      <w:r>
        <w:t xml:space="preserve">69</w:t>
      </w:r>
      <w:r>
        <w:t xml:space="preserve"> </w:t>
      </w:r>
      <w:r>
        <w:t xml:space="preserve">Gaseous tube local space heaters 120-300 kW (non-</w:t>
      </w:r>
      <w:r>
        <w:t xml:space="preserve"> </w:t>
      </w:r>
      <w:r>
        <w:t xml:space="preserve">residential)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Gaseous fuel open combustion/open fronted with exhaust</w:t>
      </w:r>
      <w:r>
        <w:t xml:space="preserve"> </w:t>
      </w:r>
      <w:r>
        <w:t xml:space="preserve">restriction</w:t>
      </w:r>
      <w:r>
        <w:br/>
      </w:r>
      <w:r>
        <w:t xml:space="preserve">210</w:t>
      </w:r>
      <w:r>
        <w:t xml:space="preserve"> </w:t>
      </w:r>
      <w:r>
        <w:t xml:space="preserve">212</w:t>
      </w:r>
      <w:r>
        <w:t xml:space="preserve"> </w:t>
      </w:r>
      <w:r>
        <w:t xml:space="preserve">192</w:t>
      </w:r>
      <w:r>
        <w:t xml:space="preserve"> </w:t>
      </w:r>
      <w:r>
        <w:t xml:space="preserve">152</w:t>
      </w:r>
      <w:r>
        <w:t xml:space="preserve"> </w:t>
      </w:r>
      <w:r>
        <w:t xml:space="preserve">Gaseous fuel open combustion/closed fronted</w:t>
      </w:r>
      <w:r>
        <w:t xml:space="preserve"> </w:t>
      </w:r>
      <w:r>
        <w:t xml:space="preserve">796</w:t>
      </w:r>
      <w:r>
        <w:t xml:space="preserve"> </w:t>
      </w:r>
      <w:r>
        <w:t xml:space="preserve">591</w:t>
      </w:r>
      <w:r>
        <w:t xml:space="preserve"> </w:t>
      </w:r>
      <w:r>
        <w:t xml:space="preserve">416</w:t>
      </w:r>
      <w:r>
        <w:t xml:space="preserve"> </w:t>
      </w:r>
      <w:r>
        <w:t xml:space="preserve">304</w:t>
      </w:r>
      <w:r>
        <w:t xml:space="preserve"> </w:t>
      </w:r>
      <w:r>
        <w:t xml:space="preserve">Gaseous fuel balanced flue</w:t>
      </w:r>
      <w:r>
        <w:t xml:space="preserve"> </w:t>
      </w:r>
      <w:r>
        <w:t xml:space="preserve">1.701</w:t>
      </w:r>
      <w:r>
        <w:t xml:space="preserve"> </w:t>
      </w:r>
      <w:r>
        <w:t xml:space="preserve">1.092</w:t>
      </w:r>
      <w:r>
        <w:t xml:space="preserve"> </w:t>
      </w:r>
      <w:r>
        <w:t xml:space="preserve">644</w:t>
      </w:r>
      <w:r>
        <w:t xml:space="preserve"> </w:t>
      </w:r>
      <w:r>
        <w:t xml:space="preserve">439</w:t>
      </w:r>
      <w:r>
        <w:t xml:space="preserve"> </w:t>
      </w:r>
      <w:r>
        <w:t xml:space="preserve">Gaseous flueless heaters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Gaseous open to Chimney heaters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2.867</w:t>
      </w:r>
      <w:r>
        <w:t xml:space="preserve"> </w:t>
      </w:r>
      <w:r>
        <w:t xml:space="preserve">2.065</w:t>
      </w:r>
      <w:r>
        <w:t xml:space="preserve"> </w:t>
      </w:r>
      <w:r>
        <w:t xml:space="preserve">1.408</w:t>
      </w:r>
      <w:r>
        <w:t xml:space="preserve"> </w:t>
      </w:r>
      <w:r>
        <w:t xml:space="preserve">1.021</w:t>
      </w:r>
      <w:r>
        <w:t xml:space="preserve"> </w:t>
      </w:r>
      <w:r>
        <w:t xml:space="preserve">Liquid fuel (1000 units)</w:t>
      </w:r>
      <w:r>
        <w:t xml:space="preserve"> </w:t>
      </w:r>
      <w:r>
        <w:t xml:space="preserve">Liquid tube local space heaters (non-residential)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7</w:t>
      </w:r>
      <w:r>
        <w:t xml:space="preserve"> </w:t>
      </w:r>
      <w:r>
        <w:t xml:space="preserve">Liquid tube local space heaters 120-300 kW (non-</w:t>
      </w:r>
      <w:r>
        <w:t xml:space="preserve"> </w:t>
      </w:r>
      <w:r>
        <w:t xml:space="preserve">residential)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Liquid fuel open combustion/open fronted with exhaust</w:t>
      </w:r>
      <w:r>
        <w:t xml:space="preserve"> </w:t>
      </w:r>
      <w:r>
        <w:t xml:space="preserve">restriction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19</w:t>
      </w:r>
      <w:r>
        <w:t xml:space="preserve"> </w:t>
      </w:r>
      <w:r>
        <w:t xml:space="preserve">15</w:t>
      </w:r>
      <w:r>
        <w:t xml:space="preserve"> </w:t>
      </w:r>
      <w:r>
        <w:t xml:space="preserve">Liquid fuel open combustion/closed fronted</w:t>
      </w:r>
      <w:r>
        <w:t xml:space="preserve"> </w:t>
      </w:r>
      <w:r>
        <w:t xml:space="preserve">80</w:t>
      </w:r>
      <w:r>
        <w:t xml:space="preserve"> </w:t>
      </w:r>
      <w:r>
        <w:t xml:space="preserve">59</w:t>
      </w:r>
      <w:r>
        <w:t xml:space="preserve"> </w:t>
      </w:r>
      <w:r>
        <w:t xml:space="preserve">42</w:t>
      </w:r>
      <w:r>
        <w:t xml:space="preserve"> </w:t>
      </w:r>
      <w:r>
        <w:t xml:space="preserve">30</w:t>
      </w:r>
      <w:r>
        <w:t xml:space="preserve"> </w:t>
      </w:r>
      <w:r>
        <w:t xml:space="preserve">Liquid fuel balanced flue</w:t>
      </w:r>
      <w:r>
        <w:t xml:space="preserve"> </w:t>
      </w:r>
      <w:r>
        <w:t xml:space="preserve">170</w:t>
      </w:r>
      <w:r>
        <w:t xml:space="preserve"> </w:t>
      </w:r>
      <w:r>
        <w:t xml:space="preserve">109</w:t>
      </w:r>
      <w:r>
        <w:t xml:space="preserve"> </w:t>
      </w:r>
      <w:r>
        <w:t xml:space="preserve">64</w:t>
      </w:r>
      <w:r>
        <w:t xml:space="preserve"> </w:t>
      </w:r>
      <w:r>
        <w:t xml:space="preserve">44</w:t>
      </w:r>
      <w:r>
        <w:t xml:space="preserve"> </w:t>
      </w:r>
      <w:r>
        <w:t xml:space="preserve">Liquid flueless heaters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Liquid open to Chimney heaters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280</w:t>
      </w:r>
      <w:r>
        <w:t xml:space="preserve"> </w:t>
      </w:r>
      <w:r>
        <w:t xml:space="preserve">199</w:t>
      </w:r>
      <w:r>
        <w:t xml:space="preserve"> </w:t>
      </w:r>
      <w:r>
        <w:t xml:space="preserve">134</w:t>
      </w:r>
      <w:r>
        <w:t xml:space="preserve"> </w:t>
      </w:r>
      <w:r>
        <w:t xml:space="preserve">97</w:t>
      </w:r>
      <w:r>
        <w:t xml:space="preserve"> </w:t>
      </w:r>
      <w:r>
        <w:t xml:space="preserve">Table A4-4. Stock of local space heaters 2010-2050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Figure A4-1. Annual sales and stock estimates of electrical local space heaters 2010-2050</w:t>
      </w:r>
      <w:r>
        <w:t xml:space="preserve"> </w:t>
      </w:r>
      <w:r>
        <w:t xml:space="preserve">3.</w:t>
      </w:r>
      <w:r>
        <w:t xml:space="preserve"> </w:t>
      </w:r>
      <w:r>
        <w:t xml:space="preserve">TURNOVER AND EMPLOYMENT</w:t>
      </w:r>
      <w:r>
        <w:t xml:space="preserve"> </w:t>
      </w:r>
      <w:r>
        <w:t xml:space="preserve">The modelling of the turnover has been calculated on the basis of the sales evolution and product</w:t>
      </w:r>
      <w:r>
        <w:t xml:space="preserve"> </w:t>
      </w:r>
      <w:r>
        <w:t xml:space="preserve">price explained in sections 1 and 4.1 of this Annex respectively, and applying the mark-up factors</w:t>
      </w:r>
      <w:r>
        <w:t xml:space="preserve"> </w:t>
      </w:r>
      <w:r>
        <w:t xml:space="preserve">in point 4.4 of this Annex.</w:t>
      </w:r>
      <w:r>
        <w:br/>
      </w:r>
      <w:r>
        <w:t xml:space="preserve">In addition, it has been estimated from stakeholder inputs that 60% of manufacturers of electric</w:t>
      </w:r>
      <w:r>
        <w:t xml:space="preserve"> </w:t>
      </w:r>
      <w:r>
        <w:t xml:space="preserve">heaters are located inside EU (90-100% outside EU for entry level products, but 100% inside EU</w:t>
      </w:r>
      <w:r>
        <w:t xml:space="preserve"> </w:t>
      </w:r>
      <w:r>
        <w:t xml:space="preserve">for mid-to-high level products), while 100% of manufacturers of gas and liquid heaters are located</w:t>
      </w:r>
      <w:r>
        <w:t xml:space="preserve"> </w:t>
      </w:r>
      <w:r>
        <w:t xml:space="preserve">inside the EU .</w:t>
      </w:r>
      <w:r>
        <w:t xml:space="preserve"> </w:t>
      </w:r>
      <w:r>
        <w:t xml:space="preserve">The employment has been determined by considering that its evolution is proportional to the</w:t>
      </w:r>
      <w:r>
        <w:t xml:space="preserve"> </w:t>
      </w:r>
      <w:r>
        <w:t xml:space="preserve">business turnover, corrected negatively by an increase in labour productivity. For electric local</w:t>
      </w:r>
      <w:r>
        <w:t xml:space="preserve"> </w:t>
      </w:r>
      <w:r>
        <w:t xml:space="preserve">space heaters, the correction has been drawn from Eurostat data for “Manufacture of electric</w:t>
      </w:r>
      <w:r>
        <w:t xml:space="preserve"> </w:t>
      </w:r>
      <w:r>
        <w:t xml:space="preserve">domestic appliances” 56 between 2008 and 2014. Unfortunately, no data beyond 2014 are available.</w:t>
      </w:r>
      <w:r>
        <w:t xml:space="preserve"> </w:t>
      </w:r>
      <w:r>
        <w:t xml:space="preserve">The graph below shows turnover versus number of employees, and it is seen that while turnover</w:t>
      </w:r>
      <w:r>
        <w:t xml:space="preserve"> </w:t>
      </w:r>
      <w:r>
        <w:t xml:space="preserve">stays roughly stable in the period after the financial crisis, i.e. 2009-2014, employment dropped at a</w:t>
      </w:r>
      <w:r>
        <w:t xml:space="preserve"> </w:t>
      </w:r>
      <w:r>
        <w:t xml:space="preserve">rate of 2,8%/year, reduction that is attributed to the improvement in production efficiency in the</w:t>
      </w:r>
      <w:r>
        <w:t xml:space="preserve"> </w:t>
      </w:r>
      <w:r>
        <w:t xml:space="preserve">sector. Therefore the employment model used in this IA for the baseline has been calculated as the</w:t>
      </w:r>
      <w:r>
        <w:t xml:space="preserve"> </w:t>
      </w:r>
      <w:r>
        <w:t xml:space="preserve">evolution of the turnover minus 2,8% points.</w:t>
      </w:r>
    </w:p>
    <w:p>
      <w:pPr>
        <w:pStyle w:val="BodyText"/>
      </w:pPr>
      <w:r>
        <w:t xml:space="preserve">56 Eurostat, Annual detailed enterprise statistics for industry (NACE Rev. 2, B-E) Year 2016 [sbs_na_ind_r2]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Figure A4-2. Turnover and jobs electric domestic appliance manufacture 2008-2014. Source: Eurostat 2021</w:t>
      </w:r>
      <w:r>
        <w:t xml:space="preserve"> </w:t>
      </w:r>
      <w:r>
        <w:t xml:space="preserve">For gas and liquid heaters, information comes from the Eurostat data for “Manufacture of ovens,</w:t>
      </w:r>
      <w:r>
        <w:t xml:space="preserve"> </w:t>
      </w:r>
      <w:r>
        <w:t xml:space="preserve">furnaces and furnace burners”, which makes data available until 2018. Based on this data an</w:t>
      </w:r>
      <w:r>
        <w:t xml:space="preserve"> </w:t>
      </w:r>
      <w:r>
        <w:t xml:space="preserve">average correction factor of 0,72 was found for negative change in turnover vs. the change in</w:t>
      </w:r>
      <w:r>
        <w:t xml:space="preserve"> </w:t>
      </w:r>
      <w:r>
        <w:t xml:space="preserve">employees, meaning that for each 1% decrease in turnover, employment decreased only 0,72%. The</w:t>
      </w:r>
      <w:r>
        <w:t xml:space="preserve"> </w:t>
      </w:r>
      <w:r>
        <w:t xml:space="preserve">data also showed that for each 1% that the turnover increased, the employment increased only</w:t>
      </w:r>
      <w:r>
        <w:t xml:space="preserve"> </w:t>
      </w:r>
      <w:r>
        <w:t xml:space="preserve">0,47%.</w:t>
      </w:r>
    </w:p>
    <w:p>
      <w:pPr>
        <w:pStyle w:val="BodyText"/>
      </w:pPr>
      <w:r>
        <w:t xml:space="preserve">Figure A4-3. Turnover and jobs ovens, furnaces and furnace burner manufacture 2008-2018. Source: Eurostat 2021</w:t>
      </w:r>
      <w:r>
        <w:t xml:space="preserve"> </w:t>
      </w:r>
      <w:r>
        <w:t xml:space="preserve">The modelling of the employment up to 2050 is therefore calculated by applying the correction</w:t>
      </w:r>
      <w:r>
        <w:t xml:space="preserve"> </w:t>
      </w:r>
      <w:r>
        <w:t xml:space="preserve">factors to the turnover. To differentiate between manufacturing, wholesale and retail, the total</w:t>
      </w:r>
      <w:r>
        <w:t xml:space="preserve"> </w:t>
      </w:r>
      <w:r>
        <w:t xml:space="preserve">employment figure has been multiplied by the employment factors set out in point 4.3 of this</w:t>
      </w:r>
      <w:r>
        <w:t xml:space="preserve"> </w:t>
      </w:r>
      <w:r>
        <w:t xml:space="preserve">Annex.</w:t>
      </w:r>
      <w:r>
        <w:t xml:space="preserve"> </w:t>
      </w:r>
      <w:r>
        <w:t xml:space="preserve">4.</w:t>
      </w:r>
      <w:r>
        <w:t xml:space="preserve"> </w:t>
      </w:r>
      <w:r>
        <w:t xml:space="preserve">DATA INPUT</w:t>
      </w:r>
      <w:r>
        <w:t xml:space="preserve"> </w:t>
      </w:r>
      <w:r>
        <w:t xml:space="preserve">Table A4-5 shows the inputs that are used in the modelling work to estimate the evolution of the</w:t>
      </w:r>
      <w:r>
        <w:t xml:space="preserve"> </w:t>
      </w:r>
      <w:r>
        <w:t xml:space="preserve">BAU scenario and the policy options. The way in which their values have been obtained or</w:t>
      </w:r>
      <w:r>
        <w:t xml:space="preserve"> </w:t>
      </w:r>
      <w:r>
        <w:t xml:space="preserve">calculated are explained in the next sections.</w:t>
      </w:r>
      <w:r>
        <w:br/>
      </w:r>
      <w:r>
        <w:t xml:space="preserve">Description</w:t>
      </w:r>
      <w:r>
        <w:t xml:space="preserve"> </w:t>
      </w:r>
      <w:r>
        <w:t xml:space="preserve">Unit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Product price</w:t>
      </w:r>
      <w:r>
        <w:t xml:space="preserve"> </w:t>
      </w:r>
      <w:r>
        <w:t xml:space="preserve">€ / unit</w:t>
      </w:r>
      <w:r>
        <w:t xml:space="preserve"> </w:t>
      </w:r>
      <w:r>
        <w:t xml:space="preserve">Fuel costs</w:t>
      </w:r>
      <w:r>
        <w:t xml:space="preserve"> </w:t>
      </w:r>
      <w:r>
        <w:t xml:space="preserve">€ / kWh</w:t>
      </w:r>
      <w:r>
        <w:t xml:space="preserve"> </w:t>
      </w:r>
      <w:r>
        <w:t xml:space="preserve">Repair and maintenance costs</w:t>
      </w:r>
      <w:r>
        <w:t xml:space="preserve"> </w:t>
      </w:r>
      <w:r>
        <w:t xml:space="preserve">€ / unit</w:t>
      </w:r>
      <w:r>
        <w:t xml:space="preserve"> </w:t>
      </w:r>
      <w:r>
        <w:t xml:space="preserve">Fuel emission factors</w:t>
      </w:r>
      <w:r>
        <w:t xml:space="preserve"> </w:t>
      </w:r>
      <w:r>
        <w:t xml:space="preserve">CO2-eq./kWh</w:t>
      </w:r>
      <w:r>
        <w:t xml:space="preserve"> </w:t>
      </w:r>
      <w:r>
        <w:t xml:space="preserve">Employment factors</w:t>
      </w:r>
      <w:r>
        <w:t xml:space="preserve"> </w:t>
      </w:r>
      <w:r>
        <w:t xml:space="preserve">mln. € / employee</w:t>
      </w:r>
      <w:r>
        <w:t xml:space="preserve"> </w:t>
      </w:r>
      <w:r>
        <w:t xml:space="preserve">Mark-up factors</w:t>
      </w:r>
      <w:r>
        <w:t xml:space="preserve"> </w:t>
      </w:r>
      <w:r>
        <w:t xml:space="preserve">%</w:t>
      </w:r>
      <w:r>
        <w:t xml:space="preserve"> </w:t>
      </w:r>
      <w:r>
        <w:t xml:space="preserve">Conversion coefficient (CC</w:t>
      </w:r>
      <w:r>
        <w:t xml:space="preserve"> </w:t>
      </w:r>
      <w:r>
        <w:t xml:space="preserve">factor)/Primary Energy Factor (PEF)</w:t>
      </w:r>
      <w:r>
        <w:t xml:space="preserve"> </w:t>
      </w:r>
      <w:r>
        <w:t xml:space="preserve">2.1</w:t>
      </w:r>
      <w:r>
        <w:t xml:space="preserve"> </w:t>
      </w:r>
      <w:r>
        <w:t xml:space="preserve">Use hours</w:t>
      </w:r>
      <w:r>
        <w:t xml:space="preserve"> </w:t>
      </w:r>
      <w:r>
        <w:t xml:space="preserve">h / year</w:t>
      </w:r>
      <w:r>
        <w:t xml:space="preserve"> </w:t>
      </w:r>
      <w:r>
        <w:t xml:space="preserve">Average capacity</w:t>
      </w:r>
      <w:r>
        <w:t xml:space="preserve"> </w:t>
      </w:r>
      <w:r>
        <w:t xml:space="preserve">kW</w:t>
      </w:r>
      <w:r>
        <w:t xml:space="preserve"> </w:t>
      </w:r>
      <w:r>
        <w:t xml:space="preserve">Average efficiency</w:t>
      </w:r>
      <w:r>
        <w:t xml:space="preserve"> </w:t>
      </w:r>
      <w:r>
        <w:t xml:space="preserve">%</w:t>
      </w:r>
      <w:r>
        <w:t xml:space="preserve"> </w:t>
      </w:r>
      <w:r>
        <w:t xml:space="preserve">Material input</w:t>
      </w:r>
      <w:r>
        <w:t xml:space="preserve"> </w:t>
      </w:r>
      <w:r>
        <w:t xml:space="preserve">kg / unit</w:t>
      </w:r>
      <w:r>
        <w:t xml:space="preserve"> </w:t>
      </w:r>
      <w:r>
        <w:t xml:space="preserve">Table A4-5. Inputs to the model</w:t>
      </w:r>
      <w:r>
        <w:t xml:space="preserve"> </w:t>
      </w:r>
      <w:r>
        <w:t xml:space="preserve">4.1.</w:t>
      </w:r>
      <w:r>
        <w:t xml:space="preserve"> </w:t>
      </w:r>
      <w:r>
        <w:t xml:space="preserve">Product price</w:t>
      </w:r>
      <w:r>
        <w:t xml:space="preserve"> </w:t>
      </w:r>
      <w:r>
        <w:t xml:space="preserve">The consumer purchase price is based on the 2015 impact assessment and the input from</w:t>
      </w:r>
      <w:r>
        <w:t xml:space="preserve"> </w:t>
      </w:r>
      <w:r>
        <w:t xml:space="preserve">stakeholders, as well as some online research.</w:t>
      </w:r>
      <w:r>
        <w:br/>
      </w:r>
      <w:r>
        <w:t xml:space="preserve">The main difficulty for the calculation of the product price lies on the lack of disaggregated</w:t>
      </w:r>
      <w:r>
        <w:t xml:space="preserve"> </w:t>
      </w:r>
      <w:r>
        <w:t xml:space="preserve">information for local space heaters. The 2015 impact assessment correlates purchase price and level</w:t>
      </w:r>
      <w:r>
        <w:t xml:space="preserve"> </w:t>
      </w:r>
      <w:r>
        <w:t xml:space="preserve">of efficiency according to the price elasticity formula explained below, so that higher efficiency</w:t>
      </w:r>
      <w:r>
        <w:t xml:space="preserve"> </w:t>
      </w:r>
      <w:r>
        <w:t xml:space="preserve">levels correspond to higher prices. The resulting prices from the elasticity formula for 2020 were</w:t>
      </w:r>
      <w:r>
        <w:t xml:space="preserve"> </w:t>
      </w:r>
      <w:r>
        <w:t xml:space="preserve">compared to information available online and submitted to stakeholders for feedback, and their</w:t>
      </w:r>
      <w:r>
        <w:t xml:space="preserve"> </w:t>
      </w:r>
      <w:r>
        <w:t xml:space="preserve">values adjusted if necessary. Once that the prices per product sub-group for 2020 were set, their</w:t>
      </w:r>
      <w:r>
        <w:t xml:space="preserve"> </w:t>
      </w:r>
      <w:r>
        <w:t xml:space="preserve">future evolution has been calculated from the same elasticity formula (corrected as indicated in</w:t>
      </w:r>
      <w:r>
        <w:t xml:space="preserve"> </w:t>
      </w:r>
      <w:r>
        <w:t xml:space="preserve">section 4.1.1) on the basis of the expected energy efficiency improvements under the different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Product</w:t>
      </w:r>
      <w:r>
        <w:t xml:space="preserve"> </w:t>
      </w:r>
      <w:r>
        <w:t xml:space="preserve">Purchase</w:t>
      </w:r>
      <w:r>
        <w:t xml:space="preserve"> </w:t>
      </w:r>
      <w:r>
        <w:t xml:space="preserve">price € in</w:t>
      </w:r>
      <w:r>
        <w:t xml:space="preserve"> </w:t>
      </w:r>
      <w:r>
        <w:t xml:space="preserve">2020</w:t>
      </w:r>
      <w:r>
        <w:t xml:space="preserve"> </w:t>
      </w:r>
      <w:r>
        <w:t xml:space="preserve">Electric portable</w:t>
      </w:r>
      <w:r>
        <w:br/>
      </w:r>
      <w:r>
        <w:t xml:space="preserve">33</w:t>
      </w:r>
      <w:r>
        <w:br/>
      </w:r>
      <w:r>
        <w:t xml:space="preserve">Electric fixed heat output &gt; 250 W</w:t>
      </w:r>
      <w:r>
        <w:t xml:space="preserve"> </w:t>
      </w:r>
      <w:r>
        <w:t xml:space="preserve">271</w:t>
      </w:r>
      <w:r>
        <w:br/>
      </w:r>
      <w:r>
        <w:t xml:space="preserve">Electric fixed heat output &lt; 250 W</w:t>
      </w:r>
      <w:r>
        <w:t xml:space="preserve"> </w:t>
      </w:r>
      <w:r>
        <w:t xml:space="preserve">151</w:t>
      </w:r>
      <w:r>
        <w:br/>
      </w:r>
      <w:r>
        <w:t xml:space="preserve">Electric storage</w:t>
      </w:r>
      <w:r>
        <w:br/>
      </w:r>
      <w:r>
        <w:t xml:space="preserve">815</w:t>
      </w:r>
      <w:r>
        <w:br/>
      </w:r>
      <w:r>
        <w:t xml:space="preserve">Electric underfloor</w:t>
      </w:r>
      <w:r>
        <w:br/>
      </w:r>
      <w:r>
        <w:t xml:space="preserve">192</w:t>
      </w:r>
      <w:r>
        <w:br/>
      </w:r>
      <w:r>
        <w:t xml:space="preserve">Electric visibly glowing l heat output &gt; 1.2 kW</w:t>
      </w:r>
      <w:r>
        <w:t xml:space="preserve"> </w:t>
      </w:r>
      <w:r>
        <w:t xml:space="preserve">37</w:t>
      </w:r>
      <w:r>
        <w:br/>
      </w:r>
      <w:r>
        <w:t xml:space="preserve">Electric visibly glowing heat output &lt; 1.2 kW</w:t>
      </w:r>
      <w:r>
        <w:t xml:space="preserve"> </w:t>
      </w:r>
      <w:r>
        <w:t xml:space="preserve">27</w:t>
      </w:r>
      <w:r>
        <w:br/>
      </w:r>
      <w:r>
        <w:t xml:space="preserve">Towel heaters</w:t>
      </w:r>
      <w:r>
        <w:t xml:space="preserve"> </w:t>
      </w:r>
      <w:r>
        <w:t xml:space="preserve">251</w:t>
      </w:r>
      <w:r>
        <w:br/>
      </w:r>
      <w:r>
        <w:t xml:space="preserve">Gas luminous</w:t>
      </w:r>
      <w:r>
        <w:t xml:space="preserve"> </w:t>
      </w:r>
      <w:r>
        <w:t xml:space="preserve">1.302</w:t>
      </w:r>
      <w:r>
        <w:br/>
      </w:r>
      <w:r>
        <w:t xml:space="preserve">Gas tube</w:t>
      </w:r>
      <w:r>
        <w:t xml:space="preserve"> </w:t>
      </w:r>
      <w:r>
        <w:t xml:space="preserve">1.228</w:t>
      </w:r>
      <w:r>
        <w:br/>
      </w:r>
      <w:r>
        <w:t xml:space="preserve">Gas tube 120-300 kW</w:t>
      </w:r>
      <w:r>
        <w:t xml:space="preserve"> </w:t>
      </w:r>
      <w:r>
        <w:t xml:space="preserve">7.407</w:t>
      </w:r>
      <w:r>
        <w:br/>
      </w:r>
      <w:r>
        <w:t xml:space="preserve">Gas open combustion, open fronted</w:t>
      </w:r>
      <w:r>
        <w:t xml:space="preserve"> </w:t>
      </w:r>
      <w:r>
        <w:t xml:space="preserve">1.175</w:t>
      </w:r>
      <w:r>
        <w:br/>
      </w:r>
      <w:r>
        <w:t xml:space="preserve">Gas open combustion/closed fronted</w:t>
      </w:r>
      <w:r>
        <w:br/>
      </w:r>
      <w:r>
        <w:t xml:space="preserve">1.243</w:t>
      </w:r>
      <w:r>
        <w:br/>
      </w:r>
      <w:r>
        <w:t xml:space="preserve">Gas balanced flue</w:t>
      </w:r>
      <w:r>
        <w:t xml:space="preserve"> </w:t>
      </w:r>
      <w:r>
        <w:t xml:space="preserve">1.790</w:t>
      </w:r>
      <w:r>
        <w:br/>
      </w:r>
      <w:r>
        <w:t xml:space="preserve">Gas flueless</w:t>
      </w:r>
      <w:r>
        <w:t xml:space="preserve"> </w:t>
      </w:r>
      <w:r>
        <w:t xml:space="preserve">1.001</w:t>
      </w:r>
      <w:r>
        <w:br/>
      </w:r>
      <w:r>
        <w:t xml:space="preserve">Gas open to chimney</w:t>
      </w:r>
      <w:r>
        <w:t xml:space="preserve"> </w:t>
      </w:r>
      <w:r>
        <w:t xml:space="preserve">1.001</w:t>
      </w:r>
      <w:r>
        <w:br/>
      </w:r>
      <w:r>
        <w:t xml:space="preserve">Liquid tube</w:t>
      </w:r>
      <w:r>
        <w:br/>
      </w:r>
      <w:r>
        <w:t xml:space="preserve">1.228</w:t>
      </w:r>
      <w:r>
        <w:br/>
      </w:r>
      <w:r>
        <w:t xml:space="preserve">Liquid tube 120-300 kW</w:t>
      </w:r>
      <w:r>
        <w:t xml:space="preserve"> </w:t>
      </w:r>
      <w:r>
        <w:t xml:space="preserve">7.407</w:t>
      </w:r>
      <w:r>
        <w:br/>
      </w:r>
      <w:r>
        <w:t xml:space="preserve">Liquid open combustion, open fronted</w:t>
      </w:r>
      <w:r>
        <w:t xml:space="preserve"> </w:t>
      </w:r>
      <w:r>
        <w:t xml:space="preserve">851</w:t>
      </w:r>
      <w:r>
        <w:br/>
      </w:r>
      <w:r>
        <w:t xml:space="preserve">Liquid open combustion, closed fronted</w:t>
      </w:r>
      <w:r>
        <w:br/>
      </w:r>
      <w:r>
        <w:t xml:space="preserve">2.486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Liquid balanced flue</w:t>
      </w:r>
      <w:r>
        <w:t xml:space="preserve"> </w:t>
      </w:r>
      <w:r>
        <w:t xml:space="preserve">1.790</w:t>
      </w:r>
      <w:r>
        <w:br/>
      </w:r>
      <w:r>
        <w:t xml:space="preserve">Liquid flueless</w:t>
      </w:r>
      <w:r>
        <w:t xml:space="preserve"> </w:t>
      </w:r>
      <w:r>
        <w:t xml:space="preserve">1.001</w:t>
      </w:r>
      <w:r>
        <w:br/>
      </w:r>
      <w:r>
        <w:t xml:space="preserve">Liquid open to chimney</w:t>
      </w:r>
      <w:r>
        <w:t xml:space="preserve"> </w:t>
      </w:r>
      <w:r>
        <w:t xml:space="preserve">1.001</w:t>
      </w:r>
      <w:r>
        <w:br/>
      </w:r>
      <w:r>
        <w:t xml:space="preserve">Table A4-6. Consumer purchase prices for local space heaters incl. VAT without installation costs in 2020 prices</w:t>
      </w:r>
      <w:r>
        <w:t xml:space="preserve"> </w:t>
      </w:r>
      <w:r>
        <w:t xml:space="preserve">4.1.1. On price elasticity</w:t>
      </w:r>
      <w:r>
        <w:t xml:space="preserve"> </w:t>
      </w:r>
      <w:r>
        <w:t xml:space="preserve">The development in purchase prices over time is directly related to the efficiency of the appliances.</w:t>
      </w:r>
      <w:r>
        <w:t xml:space="preserve"> </w:t>
      </w:r>
      <w:r>
        <w:t xml:space="preserve">The correlation between price and efficiency is described as an exponential equation, where:</w:t>
      </w:r>
      <w:r>
        <w:br/>
      </w:r>
      <w:r>
        <w:t xml:space="preserve">Price = a</w:t>
      </w:r>
      <w:r>
        <w:rPr>
          <w:i/>
          <w:iCs/>
        </w:rPr>
        <w:t xml:space="preserve">Exp(b</w:t>
      </w:r>
      <w:r>
        <w:t xml:space="preserve">efficiency)</w:t>
      </w:r>
      <w:r>
        <w:t xml:space="preserve"> </w:t>
      </w:r>
      <w:r>
        <w:t xml:space="preserve">The constant a has been updated to fit 2020 prices in table A4-7, on the basis of the feedback from</w:t>
      </w:r>
      <w:r>
        <w:t xml:space="preserve"> </w:t>
      </w:r>
      <w:r>
        <w:t xml:space="preserve">stakeholders as mentioned above.</w:t>
      </w:r>
      <w:r>
        <w:br/>
      </w:r>
      <w:r>
        <w:t xml:space="preserve">a EXP(b*efficiency)</w:t>
      </w:r>
      <w:r>
        <w:br/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Electric portable</w:t>
      </w:r>
      <w:r>
        <w:t xml:space="preserve"> </w:t>
      </w:r>
      <w:r>
        <w:t xml:space="preserve">13</w:t>
      </w:r>
      <w:r>
        <w:t xml:space="preserve"> </w:t>
      </w:r>
      <w:r>
        <w:t xml:space="preserve">1</w:t>
      </w:r>
      <w:r>
        <w:t xml:space="preserve"> </w:t>
      </w:r>
      <w:r>
        <w:t xml:space="preserve">Fixed &gt; 250</w:t>
      </w:r>
      <w:r>
        <w:t xml:space="preserve"> </w:t>
      </w:r>
      <w:r>
        <w:t xml:space="preserve">136</w:t>
      </w:r>
      <w:r>
        <w:t xml:space="preserve"> </w:t>
      </w:r>
      <w:r>
        <w:t xml:space="preserve">0,75</w:t>
      </w:r>
      <w:r>
        <w:t xml:space="preserve"> </w:t>
      </w:r>
      <w:r>
        <w:t xml:space="preserve">Fixed &lt; 250</w:t>
      </w:r>
      <w:r>
        <w:t xml:space="preserve"> </w:t>
      </w:r>
      <w:r>
        <w:t xml:space="preserve">80</w:t>
      </w:r>
      <w:r>
        <w:t xml:space="preserve"> </w:t>
      </w:r>
      <w:r>
        <w:t xml:space="preserve">0,75</w:t>
      </w:r>
      <w:r>
        <w:t xml:space="preserve"> </w:t>
      </w:r>
      <w:r>
        <w:t xml:space="preserve">Electric storage</w:t>
      </w:r>
      <w:r>
        <w:t xml:space="preserve"> </w:t>
      </w:r>
      <w:r>
        <w:t xml:space="preserve">16</w:t>
      </w:r>
      <w:r>
        <w:t xml:space="preserve"> </w:t>
      </w:r>
      <w:r>
        <w:t xml:space="preserve">4</w:t>
      </w:r>
      <w:r>
        <w:t xml:space="preserve"> </w:t>
      </w:r>
      <w:r>
        <w:t xml:space="preserve">Electric underfloor</w:t>
      </w:r>
      <w:r>
        <w:t xml:space="preserve"> </w:t>
      </w:r>
      <w:r>
        <w:t xml:space="preserve">23</w:t>
      </w:r>
      <w:r>
        <w:t xml:space="preserve"> </w:t>
      </w:r>
      <w:r>
        <w:t xml:space="preserve">2,5</w:t>
      </w:r>
      <w:r>
        <w:t xml:space="preserve"> </w:t>
      </w:r>
      <w:r>
        <w:t xml:space="preserve">Electric visibly glowing l heat output &gt;1.2 kW</w:t>
      </w:r>
      <w:r>
        <w:t xml:space="preserve"> </w:t>
      </w:r>
      <w:r>
        <w:t xml:space="preserve">15</w:t>
      </w:r>
      <w:r>
        <w:t xml:space="preserve"> </w:t>
      </w:r>
      <w:r>
        <w:t xml:space="preserve">1</w:t>
      </w:r>
      <w:r>
        <w:t xml:space="preserve"> </w:t>
      </w:r>
      <w:r>
        <w:t xml:space="preserve">Electric visibly glowing heat output &lt; 1.2 kW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Towel heaters</w:t>
      </w:r>
      <w:r>
        <w:t xml:space="preserve"> </w:t>
      </w:r>
      <w:r>
        <w:t xml:space="preserve">136</w:t>
      </w:r>
      <w:r>
        <w:t xml:space="preserve"> </w:t>
      </w:r>
      <w:r>
        <w:t xml:space="preserve">0,75</w:t>
      </w:r>
      <w:r>
        <w:t xml:space="preserve"> </w:t>
      </w:r>
      <w:r>
        <w:t xml:space="preserve">Gas luminous heaters</w:t>
      </w:r>
      <w:r>
        <w:t xml:space="preserve"> </w:t>
      </w:r>
      <w:r>
        <w:t xml:space="preserve">211</w:t>
      </w:r>
      <w:r>
        <w:t xml:space="preserve"> </w:t>
      </w:r>
      <w:r>
        <w:t xml:space="preserve">2</w:t>
      </w:r>
      <w:r>
        <w:t xml:space="preserve"> </w:t>
      </w:r>
      <w:r>
        <w:t xml:space="preserve">Gas tube heaters</w:t>
      </w:r>
      <w:r>
        <w:t xml:space="preserve"> </w:t>
      </w:r>
      <w:r>
        <w:t xml:space="preserve">274</w:t>
      </w:r>
      <w:r>
        <w:t xml:space="preserve"> </w:t>
      </w:r>
      <w:r>
        <w:t xml:space="preserve">2</w:t>
      </w:r>
      <w:r>
        <w:t xml:space="preserve"> </w:t>
      </w:r>
      <w:r>
        <w:t xml:space="preserve">Gas tube 120-300 kW</w:t>
      </w:r>
      <w:r>
        <w:t xml:space="preserve"> </w:t>
      </w:r>
      <w:r>
        <w:t xml:space="preserve">1.827</w:t>
      </w:r>
      <w:r>
        <w:br/>
      </w:r>
      <w:r>
        <w:t xml:space="preserve">2</w:t>
      </w:r>
      <w:r>
        <w:t xml:space="preserve"> </w:t>
      </w:r>
      <w:r>
        <w:t xml:space="preserve">Gas open fronted</w:t>
      </w:r>
      <w:r>
        <w:t xml:space="preserve"> </w:t>
      </w:r>
      <w:r>
        <w:t xml:space="preserve">314</w:t>
      </w:r>
      <w:r>
        <w:t xml:space="preserve"> </w:t>
      </w:r>
      <w:r>
        <w:t xml:space="preserve">3</w:t>
      </w:r>
      <w:r>
        <w:t xml:space="preserve"> </w:t>
      </w:r>
      <w:r>
        <w:t xml:space="preserve">Gas closed fronted</w:t>
      </w:r>
      <w:r>
        <w:t xml:space="preserve"> </w:t>
      </w:r>
      <w:r>
        <w:t xml:space="preserve">100</w:t>
      </w:r>
      <w:r>
        <w:t xml:space="preserve"> </w:t>
      </w:r>
      <w:r>
        <w:t xml:space="preserve">4,2</w:t>
      </w:r>
      <w:r>
        <w:t xml:space="preserve"> </w:t>
      </w:r>
      <w:r>
        <w:t xml:space="preserve">Gas Balanced flue</w:t>
      </w:r>
      <w:r>
        <w:t xml:space="preserve"> </w:t>
      </w:r>
      <w:r>
        <w:t xml:space="preserve">80</w:t>
      </w:r>
      <w:r>
        <w:t xml:space="preserve"> </w:t>
      </w:r>
      <w:r>
        <w:t xml:space="preserve">4,2</w:t>
      </w:r>
      <w:r>
        <w:t xml:space="preserve"> </w:t>
      </w:r>
      <w:r>
        <w:t xml:space="preserve">Gas flueless</w:t>
      </w:r>
      <w:r>
        <w:t xml:space="preserve"> </w:t>
      </w:r>
      <w:r>
        <w:t xml:space="preserve">840</w:t>
      </w:r>
      <w:r>
        <w:t xml:space="preserve"> </w:t>
      </w:r>
      <w:r>
        <w:t xml:space="preserve">1</w:t>
      </w:r>
      <w:r>
        <w:t xml:space="preserve"> </w:t>
      </w:r>
      <w:r>
        <w:t xml:space="preserve">Gas OTC</w:t>
      </w:r>
      <w:r>
        <w:t xml:space="preserve"> </w:t>
      </w:r>
      <w:r>
        <w:t xml:space="preserve">840</w:t>
      </w:r>
      <w:r>
        <w:t xml:space="preserve"> </w:t>
      </w:r>
      <w:r>
        <w:t xml:space="preserve">1</w:t>
      </w:r>
      <w:r>
        <w:t xml:space="preserve"> </w:t>
      </w:r>
      <w:r>
        <w:t xml:space="preserve">Liquid tube</w:t>
      </w:r>
      <w:r>
        <w:t xml:space="preserve"> </w:t>
      </w:r>
      <w:r>
        <w:t xml:space="preserve">274</w:t>
      </w:r>
      <w:r>
        <w:t xml:space="preserve"> </w:t>
      </w:r>
      <w:r>
        <w:t xml:space="preserve">2</w:t>
      </w:r>
      <w:r>
        <w:t xml:space="preserve"> </w:t>
      </w:r>
      <w:r>
        <w:t xml:space="preserve">Liquid tube 120-300 kW</w:t>
      </w:r>
      <w:r>
        <w:t xml:space="preserve"> </w:t>
      </w:r>
      <w:r>
        <w:t xml:space="preserve">1.827</w:t>
      </w:r>
      <w:r>
        <w:br/>
      </w:r>
      <w:r>
        <w:t xml:space="preserve">2</w:t>
      </w:r>
      <w:r>
        <w:t xml:space="preserve"> </w:t>
      </w:r>
      <w:r>
        <w:t xml:space="preserve">Liquid Open fronted</w:t>
      </w:r>
      <w:r>
        <w:t xml:space="preserve"> </w:t>
      </w:r>
      <w:r>
        <w:t xml:space="preserve">134</w:t>
      </w:r>
      <w:r>
        <w:t xml:space="preserve"> </w:t>
      </w:r>
      <w:r>
        <w:t xml:space="preserve">4,2</w:t>
      </w:r>
      <w:r>
        <w:t xml:space="preserve"> </w:t>
      </w:r>
      <w:r>
        <w:t xml:space="preserve">Liquid closed fronted</w:t>
      </w:r>
      <w:r>
        <w:t xml:space="preserve"> </w:t>
      </w:r>
      <w:r>
        <w:t xml:space="preserve">200</w:t>
      </w:r>
      <w:r>
        <w:t xml:space="preserve"> </w:t>
      </w:r>
      <w:r>
        <w:t xml:space="preserve">4,2</w:t>
      </w:r>
      <w:r>
        <w:t xml:space="preserve"> </w:t>
      </w:r>
      <w:r>
        <w:t xml:space="preserve">Liquid Balanced flue</w:t>
      </w:r>
      <w:r>
        <w:t xml:space="preserve"> </w:t>
      </w:r>
      <w:r>
        <w:t xml:space="preserve">80</w:t>
      </w:r>
      <w:r>
        <w:t xml:space="preserve"> </w:t>
      </w:r>
      <w:r>
        <w:t xml:space="preserve">4,2</w:t>
      </w:r>
      <w:r>
        <w:t xml:space="preserve"> </w:t>
      </w:r>
      <w:r>
        <w:t xml:space="preserve">Liquid flueless</w:t>
      </w:r>
      <w:r>
        <w:t xml:space="preserve"> </w:t>
      </w:r>
      <w:r>
        <w:t xml:space="preserve">840</w:t>
      </w:r>
      <w:r>
        <w:t xml:space="preserve"> </w:t>
      </w:r>
      <w:r>
        <w:t xml:space="preserve">1</w:t>
      </w:r>
      <w:r>
        <w:t xml:space="preserve"> </w:t>
      </w:r>
      <w:r>
        <w:t xml:space="preserve">Liquid OTC</w:t>
      </w:r>
      <w:r>
        <w:t xml:space="preserve"> </w:t>
      </w:r>
      <w:r>
        <w:t xml:space="preserve">840</w:t>
      </w:r>
      <w:r>
        <w:t xml:space="preserve"> </w:t>
      </w:r>
      <w:r>
        <w:t xml:space="preserve">1</w:t>
      </w:r>
      <w:r>
        <w:t xml:space="preserve"> </w:t>
      </w:r>
      <w:r>
        <w:t xml:space="preserve">Table A4-7 constants for the exponential equation relating the efficiency of local space heaters to purchase price</w:t>
      </w:r>
      <w:r>
        <w:t xml:space="preserve"> </w:t>
      </w:r>
      <w:r>
        <w:t xml:space="preserve">4.2.</w:t>
      </w:r>
      <w:r>
        <w:t xml:space="preserve"> </w:t>
      </w:r>
      <w:r>
        <w:t xml:space="preserve">Energy data input: EU Reference Scenario 2020 (REF2020)</w:t>
      </w:r>
      <w:r>
        <w:t xml:space="preserve"> </w:t>
      </w:r>
      <w:r>
        <w:t xml:space="preserve">For modelling the impacts of the different policy options, REF2020 input data for fuel costs, fuel</w:t>
      </w:r>
      <w:r>
        <w:t xml:space="preserve"> </w:t>
      </w:r>
      <w:r>
        <w:t xml:space="preserve">emission factors and renovation rates have been used. REF2020 projects EU and Member States</w:t>
      </w:r>
      <w:r>
        <w:t xml:space="preserve"> </w:t>
      </w:r>
      <w:r>
        <w:t xml:space="preserve">development in energy, transport and GHG emissions up to 2050, given current global and EU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market trends, such as population growth, macroeconomic, oil price developments, technology</w:t>
      </w:r>
      <w:r>
        <w:t xml:space="preserve"> </w:t>
      </w:r>
      <w:r>
        <w:t xml:space="preserve">improvements and public policies57.</w:t>
      </w:r>
      <w:r>
        <w:br/>
      </w:r>
      <w:r>
        <w:t xml:space="preserve">The policies that have been included in REF2020 are those adopted at EU and Member State level,</w:t>
      </w:r>
      <w:r>
        <w:t xml:space="preserve"> </w:t>
      </w:r>
      <w:r>
        <w:t xml:space="preserve">in the fields of energy, transport, and climate until December 2019, which is the cut-off date. It is</w:t>
      </w:r>
      <w:r>
        <w:t xml:space="preserve"> </w:t>
      </w:r>
      <w:r>
        <w:t xml:space="preserve">assumed that these policies are implemented and intensified until 2030 and afterwards, but that no</w:t>
      </w:r>
      <w:r>
        <w:t xml:space="preserve"> </w:t>
      </w:r>
      <w:r>
        <w:t xml:space="preserve">additional measures apply between 2030 and 2050. REF2020 does not reach the long-term 2050</w:t>
      </w:r>
      <w:r>
        <w:t xml:space="preserve"> </w:t>
      </w:r>
      <w:r>
        <w:t xml:space="preserve">decarbonisation objective because it does not include all the policies for reaching these targets.</w:t>
      </w:r>
      <w:r>
        <w:br/>
      </w:r>
      <w:r>
        <w:t xml:space="preserve">4.2.1. Fuel costs</w:t>
      </w:r>
      <w:r>
        <w:t xml:space="preserve"> </w:t>
      </w:r>
      <w:r>
        <w:t xml:space="preserve">Fuel prices have been drawn from the Commission PRIMES model using REF2020 and are</w:t>
      </w:r>
      <w:r>
        <w:t xml:space="preserve"> </w:t>
      </w:r>
      <w:r>
        <w:t xml:space="preserve">displayed in the following tables.</w:t>
      </w:r>
      <w:r>
        <w:t xml:space="preserve"> </w:t>
      </w:r>
      <w:r>
        <w:t xml:space="preserve">Electricity</w:t>
      </w:r>
      <w:r>
        <w:t xml:space="preserve"> </w:t>
      </w:r>
      <w:r>
        <w:t xml:space="preserve">prices</w:t>
      </w:r>
      <w:r>
        <w:t xml:space="preserve"> </w:t>
      </w:r>
      <w:r>
        <w:t xml:space="preserve">(€/Mwh)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Households</w:t>
      </w:r>
      <w:r>
        <w:br/>
      </w:r>
      <w:r>
        <w:t xml:space="preserve">168,5</w:t>
      </w:r>
      <w:r>
        <w:t xml:space="preserve"> </w:t>
      </w:r>
      <w:r>
        <w:t xml:space="preserve">175,9</w:t>
      </w:r>
      <w:r>
        <w:t xml:space="preserve"> </w:t>
      </w:r>
      <w:r>
        <w:t xml:space="preserve">192,9</w:t>
      </w:r>
      <w:r>
        <w:t xml:space="preserve"> </w:t>
      </w:r>
      <w:r>
        <w:t xml:space="preserve">200,8</w:t>
      </w:r>
      <w:r>
        <w:t xml:space="preserve"> </w:t>
      </w:r>
      <w:r>
        <w:t xml:space="preserve">209,2</w:t>
      </w:r>
      <w:r>
        <w:t xml:space="preserve"> </w:t>
      </w:r>
      <w:r>
        <w:t xml:space="preserve">207,4</w:t>
      </w:r>
      <w:r>
        <w:t xml:space="preserve"> </w:t>
      </w:r>
      <w:r>
        <w:t xml:space="preserve">207,7</w:t>
      </w:r>
      <w:r>
        <w:t xml:space="preserve"> </w:t>
      </w:r>
      <w:r>
        <w:t xml:space="preserve">208,5</w:t>
      </w:r>
      <w:r>
        <w:t xml:space="preserve"> </w:t>
      </w:r>
      <w:r>
        <w:t xml:space="preserve">212,1</w:t>
      </w:r>
      <w:r>
        <w:t xml:space="preserve"> </w:t>
      </w:r>
      <w:r>
        <w:t xml:space="preserve">Services</w:t>
      </w:r>
      <w:r>
        <w:t xml:space="preserve"> </w:t>
      </w:r>
      <w:r>
        <w:t xml:space="preserve">146,8</w:t>
      </w:r>
      <w:r>
        <w:t xml:space="preserve"> </w:t>
      </w:r>
      <w:r>
        <w:t xml:space="preserve">157,1</w:t>
      </w:r>
      <w:r>
        <w:t xml:space="preserve"> </w:t>
      </w:r>
      <w:r>
        <w:t xml:space="preserve">177,4</w:t>
      </w:r>
      <w:r>
        <w:t xml:space="preserve"> </w:t>
      </w:r>
      <w:r>
        <w:t xml:space="preserve">184,3</w:t>
      </w:r>
      <w:r>
        <w:t xml:space="preserve"> </w:t>
      </w:r>
      <w:r>
        <w:t xml:space="preserve">192,3</w:t>
      </w:r>
      <w:r>
        <w:t xml:space="preserve"> </w:t>
      </w:r>
      <w:r>
        <w:t xml:space="preserve">190,6</w:t>
      </w:r>
      <w:r>
        <w:t xml:space="preserve"> </w:t>
      </w:r>
      <w:r>
        <w:t xml:space="preserve">190,4</w:t>
      </w:r>
      <w:r>
        <w:t xml:space="preserve"> </w:t>
      </w:r>
      <w:r>
        <w:t xml:space="preserve">190,3</w:t>
      </w:r>
      <w:r>
        <w:t xml:space="preserve"> </w:t>
      </w:r>
      <w:r>
        <w:t xml:space="preserve">192,6</w:t>
      </w:r>
      <w:r>
        <w:t xml:space="preserve"> </w:t>
      </w:r>
      <w:r>
        <w:t xml:space="preserve">Table A4-8. Electricity prices from EU Reference scenario 2020</w:t>
      </w:r>
      <w:r>
        <w:br/>
      </w:r>
      <w:r>
        <w:t xml:space="preserve">Natural</w:t>
      </w:r>
      <w:r>
        <w:t xml:space="preserve"> </w:t>
      </w:r>
      <w:r>
        <w:t xml:space="preserve">gas prices</w:t>
      </w:r>
      <w:r>
        <w:t xml:space="preserve"> </w:t>
      </w:r>
      <w:r>
        <w:t xml:space="preserve">(€/Mwh)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Households</w:t>
      </w:r>
      <w:r>
        <w:br/>
      </w:r>
      <w:r>
        <w:t xml:space="preserve">67,8</w:t>
      </w:r>
      <w:r>
        <w:t xml:space="preserve"> </w:t>
      </w:r>
      <w:r>
        <w:t xml:space="preserve">74,1</w:t>
      </w:r>
      <w:r>
        <w:t xml:space="preserve"> </w:t>
      </w:r>
      <w:r>
        <w:t xml:space="preserve">50,8</w:t>
      </w:r>
      <w:r>
        <w:t xml:space="preserve"> </w:t>
      </w:r>
      <w:r>
        <w:t xml:space="preserve">63,6</w:t>
      </w:r>
      <w:r>
        <w:t xml:space="preserve"> </w:t>
      </w:r>
      <w:r>
        <w:t xml:space="preserve">73,5</w:t>
      </w:r>
      <w:r>
        <w:t xml:space="preserve"> </w:t>
      </w:r>
      <w:r>
        <w:t xml:space="preserve">76,6</w:t>
      </w:r>
      <w:r>
        <w:t xml:space="preserve"> </w:t>
      </w:r>
      <w:r>
        <w:t xml:space="preserve">80,4</w:t>
      </w:r>
      <w:r>
        <w:t xml:space="preserve"> </w:t>
      </w:r>
      <w:r>
        <w:t xml:space="preserve">82,5</w:t>
      </w:r>
      <w:r>
        <w:t xml:space="preserve"> </w:t>
      </w:r>
      <w:r>
        <w:t xml:space="preserve">82,8</w:t>
      </w:r>
      <w:r>
        <w:t xml:space="preserve"> </w:t>
      </w:r>
      <w:r>
        <w:t xml:space="preserve">Services</w:t>
      </w:r>
      <w:r>
        <w:t xml:space="preserve"> </w:t>
      </w:r>
      <w:r>
        <w:t xml:space="preserve">54,6</w:t>
      </w:r>
      <w:r>
        <w:t xml:space="preserve"> </w:t>
      </w:r>
      <w:r>
        <w:t xml:space="preserve">61,0</w:t>
      </w:r>
      <w:r>
        <w:t xml:space="preserve"> </w:t>
      </w:r>
      <w:r>
        <w:t xml:space="preserve">41,3</w:t>
      </w:r>
      <w:r>
        <w:t xml:space="preserve"> </w:t>
      </w:r>
      <w:r>
        <w:t xml:space="preserve">51,4</w:t>
      </w:r>
      <w:r>
        <w:t xml:space="preserve"> </w:t>
      </w:r>
      <w:r>
        <w:t xml:space="preserve">59,9</w:t>
      </w:r>
      <w:r>
        <w:t xml:space="preserve"> </w:t>
      </w:r>
      <w:r>
        <w:t xml:space="preserve">62,7</w:t>
      </w:r>
      <w:r>
        <w:t xml:space="preserve"> </w:t>
      </w:r>
      <w:r>
        <w:t xml:space="preserve">66,1</w:t>
      </w:r>
      <w:r>
        <w:t xml:space="preserve"> </w:t>
      </w:r>
      <w:r>
        <w:t xml:space="preserve">67,9</w:t>
      </w:r>
      <w:r>
        <w:t xml:space="preserve"> </w:t>
      </w:r>
      <w:r>
        <w:t xml:space="preserve">68,3</w:t>
      </w:r>
      <w:r>
        <w:t xml:space="preserve"> </w:t>
      </w:r>
      <w:r>
        <w:t xml:space="preserve">Industry</w:t>
      </w:r>
      <w:r>
        <w:br/>
      </w:r>
      <w:r>
        <w:t xml:space="preserve">37,7</w:t>
      </w:r>
      <w:r>
        <w:t xml:space="preserve"> </w:t>
      </w:r>
      <w:r>
        <w:t xml:space="preserve">35,5</w:t>
      </w:r>
      <w:r>
        <w:t xml:space="preserve"> </w:t>
      </w:r>
      <w:r>
        <w:t xml:space="preserve">22,9</w:t>
      </w:r>
      <w:r>
        <w:t xml:space="preserve"> </w:t>
      </w:r>
      <w:r>
        <w:t xml:space="preserve">28,4</w:t>
      </w:r>
      <w:r>
        <w:t xml:space="preserve"> </w:t>
      </w:r>
      <w:r>
        <w:t xml:space="preserve">34,6</w:t>
      </w:r>
      <w:r>
        <w:t xml:space="preserve"> </w:t>
      </w:r>
      <w:r>
        <w:t xml:space="preserve">37,1</w:t>
      </w:r>
      <w:r>
        <w:t xml:space="preserve"> </w:t>
      </w:r>
      <w:r>
        <w:t xml:space="preserve">41,0</w:t>
      </w:r>
      <w:r>
        <w:t xml:space="preserve"> </w:t>
      </w:r>
      <w:r>
        <w:t xml:space="preserve">43,3</w:t>
      </w:r>
      <w:r>
        <w:t xml:space="preserve"> </w:t>
      </w:r>
      <w:r>
        <w:t xml:space="preserve">43,8</w:t>
      </w:r>
      <w:r>
        <w:t xml:space="preserve"> </w:t>
      </w:r>
      <w:r>
        <w:t xml:space="preserve">Table A4-9. Natural gas prices from EU Reference scenario</w:t>
      </w:r>
      <w:r>
        <w:t xml:space="preserve"> </w:t>
      </w:r>
      <w:r>
        <w:t xml:space="preserve">LPG</w:t>
      </w:r>
      <w:r>
        <w:t xml:space="preserve"> </w:t>
      </w:r>
      <w:r>
        <w:t xml:space="preserve">prices</w:t>
      </w:r>
      <w:r>
        <w:t xml:space="preserve"> </w:t>
      </w:r>
      <w:r>
        <w:t xml:space="preserve">(€/Mwh)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Households</w:t>
      </w:r>
      <w:r>
        <w:br/>
      </w:r>
      <w:r>
        <w:t xml:space="preserve">86,2</w:t>
      </w:r>
      <w:r>
        <w:t xml:space="preserve"> </w:t>
      </w:r>
      <w:r>
        <w:t xml:space="preserve">77,0</w:t>
      </w:r>
      <w:r>
        <w:t xml:space="preserve"> </w:t>
      </w:r>
      <w:r>
        <w:t xml:space="preserve">72,2</w:t>
      </w:r>
      <w:r>
        <w:t xml:space="preserve"> </w:t>
      </w:r>
      <w:r>
        <w:t xml:space="preserve">84,7</w:t>
      </w:r>
      <w:r>
        <w:t xml:space="preserve"> </w:t>
      </w:r>
      <w:r>
        <w:t xml:space="preserve">95,8</w:t>
      </w:r>
      <w:r>
        <w:t xml:space="preserve"> </w:t>
      </w:r>
      <w:r>
        <w:t xml:space="preserve">103,5</w:t>
      </w:r>
      <w:r>
        <w:t xml:space="preserve"> </w:t>
      </w:r>
      <w:r>
        <w:t xml:space="preserve">112,5</w:t>
      </w:r>
      <w:r>
        <w:t xml:space="preserve"> </w:t>
      </w:r>
      <w:r>
        <w:t xml:space="preserve">123,9</w:t>
      </w:r>
      <w:r>
        <w:t xml:space="preserve"> </w:t>
      </w:r>
      <w:r>
        <w:t xml:space="preserve">124,1</w:t>
      </w:r>
      <w:r>
        <w:t xml:space="preserve"> </w:t>
      </w:r>
      <w:r>
        <w:t xml:space="preserve">Services</w:t>
      </w:r>
      <w:r>
        <w:t xml:space="preserve"> </w:t>
      </w:r>
      <w:r>
        <w:t xml:space="preserve">72,5</w:t>
      </w:r>
      <w:r>
        <w:t xml:space="preserve"> </w:t>
      </w:r>
      <w:r>
        <w:t xml:space="preserve">62,4</w:t>
      </w:r>
      <w:r>
        <w:t xml:space="preserve"> </w:t>
      </w:r>
      <w:r>
        <w:t xml:space="preserve">60,4</w:t>
      </w:r>
      <w:r>
        <w:t xml:space="preserve"> </w:t>
      </w:r>
      <w:r>
        <w:t xml:space="preserve">77,8</w:t>
      </w:r>
      <w:r>
        <w:t xml:space="preserve"> </w:t>
      </w:r>
      <w:r>
        <w:t xml:space="preserve">88,9</w:t>
      </w:r>
      <w:r>
        <w:t xml:space="preserve"> </w:t>
      </w:r>
      <w:r>
        <w:t xml:space="preserve">91,4</w:t>
      </w:r>
      <w:r>
        <w:t xml:space="preserve"> </w:t>
      </w:r>
      <w:r>
        <w:t xml:space="preserve">92,4</w:t>
      </w:r>
      <w:r>
        <w:t xml:space="preserve"> </w:t>
      </w:r>
      <w:r>
        <w:t xml:space="preserve">104,2</w:t>
      </w:r>
      <w:r>
        <w:t xml:space="preserve"> </w:t>
      </w:r>
      <w:r>
        <w:t xml:space="preserve">103,4</w:t>
      </w:r>
      <w:r>
        <w:t xml:space="preserve"> </w:t>
      </w:r>
      <w:r>
        <w:t xml:space="preserve">Industry</w:t>
      </w:r>
      <w:r>
        <w:br/>
      </w:r>
      <w:r>
        <w:t xml:space="preserve">84,0</w:t>
      </w:r>
      <w:r>
        <w:t xml:space="preserve"> </w:t>
      </w:r>
      <w:r>
        <w:t xml:space="preserve">70,7</w:t>
      </w:r>
      <w:r>
        <w:t xml:space="preserve"> </w:t>
      </w:r>
      <w:r>
        <w:t xml:space="preserve">71,5</w:t>
      </w:r>
      <w:r>
        <w:t xml:space="preserve"> </w:t>
      </w:r>
      <w:r>
        <w:t xml:space="preserve">89,9</w:t>
      </w:r>
      <w:r>
        <w:t xml:space="preserve"> </w:t>
      </w:r>
      <w:r>
        <w:t xml:space="preserve">100,4</w:t>
      </w:r>
      <w:r>
        <w:t xml:space="preserve"> </w:t>
      </w:r>
      <w:r>
        <w:t xml:space="preserve">103,1</w:t>
      </w:r>
      <w:r>
        <w:t xml:space="preserve"> </w:t>
      </w:r>
      <w:r>
        <w:t xml:space="preserve">104,2</w:t>
      </w:r>
      <w:r>
        <w:t xml:space="preserve"> </w:t>
      </w:r>
      <w:r>
        <w:t xml:space="preserve">104,2</w:t>
      </w:r>
      <w:r>
        <w:t xml:space="preserve"> </w:t>
      </w:r>
      <w:r>
        <w:t xml:space="preserve">101,9</w:t>
      </w:r>
      <w:r>
        <w:t xml:space="preserve"> </w:t>
      </w:r>
      <w:r>
        <w:t xml:space="preserve">Table A4-10. LPG (for liquid local space heaters) prices from EU Reference scenario</w:t>
      </w:r>
      <w:r>
        <w:br/>
      </w:r>
      <w:r>
        <w:t xml:space="preserve">4.2.2. Fuel emission factors</w:t>
      </w:r>
      <w:r>
        <w:t xml:space="preserve"> </w:t>
      </w:r>
      <w:r>
        <w:t xml:space="preserve">The emission factor for electricity comes also from PRIMES REF2020 (Power generation per</w:t>
      </w:r>
      <w:r>
        <w:t xml:space="preserve"> </w:t>
      </w:r>
      <w:r>
        <w:t xml:space="preserve">MWhe+MWhth), and emission factors for natural gas and fuel oil from the EcoReport tool.</w:t>
      </w:r>
      <w:r>
        <w:br/>
      </w:r>
      <w:r>
        <w:t xml:space="preserve">MT CO2-</w:t>
      </w:r>
      <w:r>
        <w:t xml:space="preserve"> </w:t>
      </w:r>
      <w:r>
        <w:t xml:space="preserve">eq./TWh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Electricity</w:t>
      </w:r>
      <w:r>
        <w:t xml:space="preserve"> </w:t>
      </w:r>
      <w:r>
        <w:t xml:space="preserve">0,318 0,305 0,214 0,179 0,143 0,109 0,075 0,061 0,061</w:t>
      </w:r>
    </w:p>
    <w:p>
      <w:pPr>
        <w:pStyle w:val="BodyText"/>
      </w:pPr>
      <w:r>
        <w:t xml:space="preserve">57 “Building an EU Reference scenario is a regular exercise by the Commission. It is coordinated by DGs: ENER,</w:t>
      </w:r>
      <w:r>
        <w:t xml:space="preserve"> </w:t>
      </w:r>
      <w:r>
        <w:t xml:space="preserve">CLIMA and MOVE in association with the JRC, and the involvement of other services via a specific inter-service</w:t>
      </w:r>
      <w:r>
        <w:t xml:space="preserve"> </w:t>
      </w:r>
      <w:r>
        <w:t xml:space="preserve">group. Member States were consulted throughout the development process through a specific Reference scenario</w:t>
      </w:r>
      <w:r>
        <w:t xml:space="preserve"> </w:t>
      </w:r>
      <w:r>
        <w:t xml:space="preserve">expert</w:t>
      </w:r>
      <w:r>
        <w:t xml:space="preserve"> </w:t>
      </w:r>
      <w:r>
        <w:t xml:space="preserve">group.”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https://eur-lex.europa.eu/resource.html?uri=cellar:56466305-b7f6-11e6-9e3c-</w:t>
      </w:r>
      <w:r>
        <w:t xml:space="preserve"> </w:t>
      </w:r>
      <w:r>
        <w:t xml:space="preserve">01aa75ed71a1.0001.02/DOC_2&amp;format=PDF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Natural gas</w:t>
      </w:r>
      <w:r>
        <w:br/>
      </w:r>
      <w:r>
        <w:t xml:space="preserve">0,20</w:t>
      </w:r>
      <w:r>
        <w:t xml:space="preserve"> </w:t>
      </w:r>
      <w:r>
        <w:t xml:space="preserve">Fuel oil</w:t>
      </w:r>
      <w:r>
        <w:t xml:space="preserve"> </w:t>
      </w:r>
      <w:r>
        <w:t xml:space="preserve">0,28</w:t>
      </w:r>
      <w:r>
        <w:t xml:space="preserve"> </w:t>
      </w:r>
      <w:r>
        <w:t xml:space="preserve">Table A4-11. Fuel emission factors 2010-2050</w:t>
      </w:r>
      <w:r>
        <w:t xml:space="preserve"> </w:t>
      </w:r>
      <w:r>
        <w:t xml:space="preserve">4.3.</w:t>
      </w:r>
      <w:r>
        <w:t xml:space="preserve"> </w:t>
      </w:r>
      <w:r>
        <w:t xml:space="preserve">Employment factors</w:t>
      </w:r>
      <w:r>
        <w:t xml:space="preserve"> </w:t>
      </w:r>
      <w:r>
        <w:t xml:space="preserve">The following employment factors have been used for the differentiation of the employment</w:t>
      </w:r>
      <w:r>
        <w:t xml:space="preserve"> </w:t>
      </w:r>
      <w:r>
        <w:t xml:space="preserve">creation in the different subsectors (manufacturers, repair, wholesale and retail).</w:t>
      </w:r>
      <w:r>
        <w:t xml:space="preserve"> </w:t>
      </w:r>
      <w:r>
        <w:t xml:space="preserve">Sector</w:t>
      </w:r>
      <w:r>
        <w:t xml:space="preserve"> </w:t>
      </w:r>
      <w:r>
        <w:t xml:space="preserve">M€/Employee</w:t>
      </w:r>
      <w:r>
        <w:t xml:space="preserve"> </w:t>
      </w:r>
      <w:r>
        <w:t xml:space="preserve">Employment at manufacturers (2017)</w:t>
      </w:r>
      <w:r>
        <w:t xml:space="preserve"> </w:t>
      </w:r>
      <w:r>
        <w:t xml:space="preserve">0,192</w:t>
      </w:r>
      <w:r>
        <w:t xml:space="preserve"> </w:t>
      </w:r>
      <w:r>
        <w:t xml:space="preserve">Repair (2017)</w:t>
      </w:r>
      <w:r>
        <w:br/>
      </w:r>
      <w:r>
        <w:t xml:space="preserve">0,120</w:t>
      </w:r>
      <w:r>
        <w:t xml:space="preserve"> </w:t>
      </w:r>
      <w:r>
        <w:t xml:space="preserve">Wholesale (2016)</w:t>
      </w:r>
      <w:r>
        <w:t xml:space="preserve"> </w:t>
      </w:r>
      <w:r>
        <w:t xml:space="preserve">0,279</w:t>
      </w:r>
      <w:r>
        <w:t xml:space="preserve"> </w:t>
      </w:r>
      <w:r>
        <w:t xml:space="preserve">Retail (2016)</w:t>
      </w:r>
      <w:r>
        <w:t xml:space="preserve"> </w:t>
      </w:r>
      <w:r>
        <w:t xml:space="preserve">0,075</w:t>
      </w:r>
      <w:r>
        <w:t xml:space="preserve"> </w:t>
      </w:r>
      <w:r>
        <w:t xml:space="preserve">Table A4-12. Employment factors</w:t>
      </w:r>
      <w:r>
        <w:t xml:space="preserve"> </w:t>
      </w:r>
      <w:r>
        <w:t xml:space="preserve">4.4.</w:t>
      </w:r>
      <w:r>
        <w:t xml:space="preserve"> </w:t>
      </w:r>
      <w:r>
        <w:t xml:space="preserve">Mark-up factors</w:t>
      </w:r>
      <w:r>
        <w:t xml:space="preserve"> </w:t>
      </w:r>
      <w:r>
        <w:t xml:space="preserve">The mark-up factors are used to determine the distribution of turnover based on purchase prices.</w:t>
      </w:r>
      <w:r>
        <w:t xml:space="preserve"> </w:t>
      </w:r>
      <w:r>
        <w:t xml:space="preserve">They are based on the 2015 Impact Assessment and agreed to by stakeholders during the review</w:t>
      </w:r>
      <w:r>
        <w:t xml:space="preserve"> </w:t>
      </w:r>
      <w:r>
        <w:t xml:space="preserve">study.</w:t>
      </w:r>
      <w:r>
        <w:br/>
      </w:r>
      <w:r>
        <w:t xml:space="preserve">Sector</w:t>
      </w:r>
      <w:r>
        <w:t xml:space="preserve"> </w:t>
      </w:r>
      <w:r>
        <w:t xml:space="preserve">%</w:t>
      </w:r>
      <w:r>
        <w:t xml:space="preserve"> </w:t>
      </w:r>
      <w:r>
        <w:t xml:space="preserve">Manufacturer selling price of final product price excl. VAT</w:t>
      </w:r>
      <w:r>
        <w:t xml:space="preserve"> </w:t>
      </w:r>
      <w:r>
        <w:t xml:space="preserve">76 %</w:t>
      </w:r>
      <w:r>
        <w:t xml:space="preserve"> </w:t>
      </w:r>
      <w:r>
        <w:t xml:space="preserve">Wholesale margin</w:t>
      </w:r>
      <w:r>
        <w:t xml:space="preserve"> </w:t>
      </w:r>
      <w:r>
        <w:t xml:space="preserve">15 %</w:t>
      </w:r>
      <w:r>
        <w:t xml:space="preserve"> </w:t>
      </w:r>
      <w:r>
        <w:t xml:space="preserve">Retail margin</w:t>
      </w:r>
      <w:r>
        <w:t xml:space="preserve"> </w:t>
      </w:r>
      <w:r>
        <w:t xml:space="preserve">15 %</w:t>
      </w:r>
      <w:r>
        <w:t xml:space="preserve"> </w:t>
      </w:r>
      <w:r>
        <w:t xml:space="preserve">Table A4-13. Mark-up factors</w:t>
      </w:r>
      <w:r>
        <w:t xml:space="preserve"> </w:t>
      </w:r>
      <w:r>
        <w:t xml:space="preserve">4.5.</w:t>
      </w:r>
      <w:r>
        <w:t xml:space="preserve"> </w:t>
      </w:r>
      <w:r>
        <w:t xml:space="preserve">Use hours</w:t>
      </w:r>
      <w:r>
        <w:t xml:space="preserve"> </w:t>
      </w:r>
      <w:r>
        <w:t xml:space="preserve">The purpose of the space to be heated has a strong influence on how the local space heaters are</w:t>
      </w:r>
      <w:r>
        <w:t xml:space="preserve"> </w:t>
      </w:r>
      <w:r>
        <w:t xml:space="preserve">used in terms of temperature settings and use hours, the main differentiation being between service</w:t>
      </w:r>
      <w:r>
        <w:t xml:space="preserve"> </w:t>
      </w:r>
      <w:r>
        <w:t xml:space="preserve">and residential purposes. Furthermore, the temperature settings and the number or hours of</w:t>
      </w:r>
      <w:r>
        <w:t xml:space="preserve"> </w:t>
      </w:r>
      <w:r>
        <w:t xml:space="preserve">functioning of a local space heater are influenced by its use as either a primary or a secondary</w:t>
      </w:r>
      <w:r>
        <w:t xml:space="preserve"> </w:t>
      </w:r>
      <w:r>
        <w:t xml:space="preserve">heating source.</w:t>
      </w:r>
      <w:r>
        <w:br/>
      </w:r>
      <w:r>
        <w:t xml:space="preserve">This study considers that for the service sector, gas and liquid fuelled (luminous and tube) heaters</w:t>
      </w:r>
      <w:r>
        <w:t xml:space="preserve"> </w:t>
      </w:r>
      <w:r>
        <w:t xml:space="preserve">are used 8 hours a day at a temperature setting of 18 °C and 16 hours a day at a temperature setting</w:t>
      </w:r>
      <w:r>
        <w:t xml:space="preserve"> </w:t>
      </w:r>
      <w:r>
        <w:t xml:space="preserve">of 14 °C, as they are usually the primary heat source in the places where they are installed58.</w:t>
      </w:r>
      <w:r>
        <w:t xml:space="preserve"> </w:t>
      </w:r>
      <w:r>
        <w:t xml:space="preserve">As far as residential use, it is considered that heaters are used an average of 1,5 hours/day in the</w:t>
      </w:r>
      <w:r>
        <w:t xml:space="preserve"> </w:t>
      </w:r>
      <w:r>
        <w:t xml:space="preserve">heating season when installed as secondary heat source, while when installed as primary heat</w:t>
      </w:r>
      <w:r>
        <w:t xml:space="preserve"> </w:t>
      </w:r>
      <w:r>
        <w:t xml:space="preserve">source they are used an average of 8 hours at a setting of 20 °C and 16 hours at a setting of 15,5 °C,</w:t>
      </w:r>
      <w:r>
        <w:t xml:space="preserve"> </w:t>
      </w:r>
      <w:r>
        <w:t xml:space="preserve">as recommended in standard EN 12831.</w:t>
      </w:r>
      <w:r>
        <w:t xml:space="preserve"> </w:t>
      </w:r>
      <w:r>
        <w:t xml:space="preserve">The Heating degree days (HDD)59 are provided by Eurostat60 for the years 1990 to 2020. The</w:t>
      </w:r>
      <w:r>
        <w:t xml:space="preserve"> </w:t>
      </w:r>
      <w:r>
        <w:t xml:space="preserve">projection until 2050 is carried out by a linear forecast in HDD development from 2020 to 2050,</w:t>
      </w:r>
      <w:r>
        <w:t xml:space="preserve"> </w:t>
      </w:r>
      <w:r>
        <w:t xml:space="preserve">yielding a slightly decreasing (-0,00365 HHD/year) heat demand due to global warming.</w:t>
      </w:r>
    </w:p>
    <w:p>
      <w:pPr>
        <w:pStyle w:val="BodyText"/>
      </w:pPr>
      <w:r>
        <w:t xml:space="preserve">58 For further details on use patterns see the review study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Furthermore, the heat demand is adjusted to the increasing building renovation rate of the building</w:t>
      </w:r>
      <w:r>
        <w:t xml:space="preserve"> </w:t>
      </w:r>
      <w:r>
        <w:t xml:space="preserve">stock. The Annual renovation rate (as % of entire housing stock) and the Energy Savings from</w:t>
      </w:r>
      <w:r>
        <w:t xml:space="preserve"> </w:t>
      </w:r>
      <w:r>
        <w:t xml:space="preserve">renovation (as % of space-heating average) is drawn from REF2020.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Annual renovation</w:t>
      </w:r>
      <w:r>
        <w:t xml:space="preserve"> </w:t>
      </w:r>
      <w:r>
        <w:t xml:space="preserve">rate (as % of entire</w:t>
      </w:r>
      <w:r>
        <w:t xml:space="preserve"> </w:t>
      </w:r>
      <w:r>
        <w:t xml:space="preserve">housing stock)</w:t>
      </w:r>
      <w:r>
        <w:t xml:space="preserve"> </w:t>
      </w:r>
      <w:r>
        <w:t xml:space="preserve">0,68%</w:t>
      </w:r>
      <w:r>
        <w:t xml:space="preserve"> </w:t>
      </w:r>
      <w:r>
        <w:t xml:space="preserve">0,95%</w:t>
      </w:r>
      <w:r>
        <w:t xml:space="preserve"> </w:t>
      </w:r>
      <w:r>
        <w:t xml:space="preserve">1,03%</w:t>
      </w:r>
      <w:r>
        <w:t xml:space="preserve"> </w:t>
      </w:r>
      <w:r>
        <w:t xml:space="preserve">1,16%</w:t>
      </w:r>
      <w:r>
        <w:t xml:space="preserve"> </w:t>
      </w:r>
      <w:r>
        <w:t xml:space="preserve">0,86%</w:t>
      </w:r>
      <w:r>
        <w:t xml:space="preserve"> </w:t>
      </w:r>
      <w:r>
        <w:t xml:space="preserve">0,87%</w:t>
      </w:r>
      <w:r>
        <w:t xml:space="preserve"> </w:t>
      </w:r>
      <w:r>
        <w:t xml:space="preserve">0,81%</w:t>
      </w:r>
      <w:r>
        <w:t xml:space="preserve"> </w:t>
      </w:r>
      <w:r>
        <w:t xml:space="preserve">0,87%</w:t>
      </w:r>
      <w:r>
        <w:t xml:space="preserve"> </w:t>
      </w:r>
      <w:r>
        <w:t xml:space="preserve">Energy Savings from</w:t>
      </w:r>
      <w:r>
        <w:t xml:space="preserve"> </w:t>
      </w:r>
      <w:r>
        <w:t xml:space="preserve">Renovation (% of</w:t>
      </w:r>
      <w:r>
        <w:t xml:space="preserve"> </w:t>
      </w:r>
      <w:r>
        <w:t xml:space="preserve">space-heating,</w:t>
      </w:r>
      <w:r>
        <w:t xml:space="preserve"> </w:t>
      </w:r>
      <w:r>
        <w:t xml:space="preserve">average)</w:t>
      </w:r>
      <w:r>
        <w:t xml:space="preserve"> </w:t>
      </w:r>
      <w:r>
        <w:t xml:space="preserve">10,6%</w:t>
      </w:r>
      <w:r>
        <w:t xml:space="preserve"> </w:t>
      </w:r>
      <w:r>
        <w:t xml:space="preserve">28,2%</w:t>
      </w:r>
      <w:r>
        <w:t xml:space="preserve"> </w:t>
      </w:r>
      <w:r>
        <w:t xml:space="preserve">39,5%</w:t>
      </w:r>
      <w:r>
        <w:t xml:space="preserve"> </w:t>
      </w:r>
      <w:r>
        <w:t xml:space="preserve">45,4%</w:t>
      </w:r>
      <w:r>
        <w:t xml:space="preserve"> </w:t>
      </w:r>
      <w:r>
        <w:t xml:space="preserve">37,3%</w:t>
      </w:r>
      <w:r>
        <w:t xml:space="preserve"> </w:t>
      </w:r>
      <w:r>
        <w:t xml:space="preserve">30,7%</w:t>
      </w:r>
      <w:r>
        <w:t xml:space="preserve"> </w:t>
      </w:r>
      <w:r>
        <w:t xml:space="preserve">26,9%</w:t>
      </w:r>
      <w:r>
        <w:t xml:space="preserve"> </w:t>
      </w:r>
      <w:r>
        <w:t xml:space="preserve">24,4%</w:t>
      </w:r>
      <w:r>
        <w:t xml:space="preserve"> </w:t>
      </w:r>
      <w:r>
        <w:t xml:space="preserve">Combined effect on</w:t>
      </w:r>
      <w:r>
        <w:t xml:space="preserve"> </w:t>
      </w:r>
      <w:r>
        <w:t xml:space="preserve">heat demand (% heat</w:t>
      </w:r>
      <w:r>
        <w:t xml:space="preserve"> </w:t>
      </w:r>
      <w:r>
        <w:t xml:space="preserve">demand reductions)</w:t>
      </w:r>
      <w:r>
        <w:t xml:space="preserve"> </w:t>
      </w:r>
      <w:r>
        <w:t xml:space="preserve">0,07%</w:t>
      </w:r>
      <w:r>
        <w:t xml:space="preserve"> </w:t>
      </w:r>
      <w:r>
        <w:t xml:space="preserve">0,27%</w:t>
      </w:r>
      <w:r>
        <w:t xml:space="preserve"> </w:t>
      </w:r>
      <w:r>
        <w:t xml:space="preserve">0,41%</w:t>
      </w:r>
      <w:r>
        <w:t xml:space="preserve"> </w:t>
      </w:r>
      <w:r>
        <w:t xml:space="preserve">0,53%</w:t>
      </w:r>
      <w:r>
        <w:t xml:space="preserve"> </w:t>
      </w:r>
      <w:r>
        <w:t xml:space="preserve">0,32%</w:t>
      </w:r>
      <w:r>
        <w:t xml:space="preserve"> </w:t>
      </w:r>
      <w:r>
        <w:t xml:space="preserve">0,27%</w:t>
      </w:r>
      <w:r>
        <w:t xml:space="preserve"> </w:t>
      </w:r>
      <w:r>
        <w:t xml:space="preserve">0,22%</w:t>
      </w:r>
      <w:r>
        <w:t xml:space="preserve"> </w:t>
      </w:r>
      <w:r>
        <w:t xml:space="preserve">0,21%</w:t>
      </w:r>
      <w:r>
        <w:t xml:space="preserve"> </w:t>
      </w:r>
      <w:r>
        <w:t xml:space="preserve">Table A4-14. Data on renovation rates and impact from the EU Reference 2020 scenario</w:t>
      </w:r>
      <w:r>
        <w:t xml:space="preserve"> </w:t>
      </w:r>
      <w:r>
        <w:t xml:space="preserve">Based on HDD data, building renovation and use patterns, the development of total annual use</w:t>
      </w:r>
      <w:r>
        <w:t xml:space="preserve"> </w:t>
      </w:r>
      <w:r>
        <w:t xml:space="preserve">hours were calculated.</w:t>
      </w:r>
      <w:r>
        <w:br/>
      </w:r>
      <w:r>
        <w:t xml:space="preserve">Fuel type</w:t>
      </w:r>
      <w:r>
        <w:t xml:space="preserve"> </w:t>
      </w:r>
      <w:r>
        <w:t xml:space="preserve">Full load hour equivalents</w:t>
      </w:r>
      <w:r>
        <w:t xml:space="preserve"> </w:t>
      </w:r>
      <w:r>
        <w:t xml:space="preserve">Heating hours</w:t>
      </w:r>
      <w:r>
        <w:t xml:space="preserve"> </w:t>
      </w:r>
      <w:r>
        <w:t xml:space="preserve">per year, 2018</w:t>
      </w:r>
      <w:r>
        <w:t xml:space="preserve"> </w:t>
      </w:r>
      <w:r>
        <w:t xml:space="preserve">Gas and liquid</w:t>
      </w:r>
      <w:r>
        <w:t xml:space="preserve"> </w:t>
      </w:r>
      <w:r>
        <w:t xml:space="preserve">Luminous</w:t>
      </w:r>
      <w:r>
        <w:t xml:space="preserve"> </w:t>
      </w:r>
      <w:r>
        <w:t xml:space="preserve">1.408</w:t>
      </w:r>
      <w:r>
        <w:br/>
      </w:r>
      <w:r>
        <w:t xml:space="preserve">Tube</w:t>
      </w:r>
      <w:r>
        <w:t xml:space="preserve"> </w:t>
      </w:r>
      <w:r>
        <w:t xml:space="preserve">1.408</w:t>
      </w:r>
      <w:r>
        <w:br/>
      </w:r>
      <w:r>
        <w:t xml:space="preserve">Table A4-15. Annual use hours in the service sector</w:t>
      </w:r>
      <w:r>
        <w:br/>
      </w:r>
      <w:r>
        <w:t xml:space="preserve">Energy source</w:t>
      </w:r>
      <w:r>
        <w:t xml:space="preserve"> </w:t>
      </w:r>
      <w:r>
        <w:t xml:space="preserve">Local space heater type</w:t>
      </w:r>
      <w:r>
        <w:t xml:space="preserve"> </w:t>
      </w:r>
      <w:r>
        <w:t xml:space="preserve">Type of use pattern</w:t>
      </w:r>
      <w:r>
        <w:t xml:space="preserve"> </w:t>
      </w:r>
      <w:r>
        <w:t xml:space="preserve">Heating hours</w:t>
      </w:r>
      <w:r>
        <w:t xml:space="preserve"> </w:t>
      </w:r>
      <w:r>
        <w:t xml:space="preserve">per year, 2020</w:t>
      </w:r>
      <w:r>
        <w:t xml:space="preserve"> </w:t>
      </w:r>
      <w:r>
        <w:t xml:space="preserve">Electric</w:t>
      </w:r>
      <w:r>
        <w:t xml:space="preserve"> </w:t>
      </w:r>
      <w:r>
        <w:t xml:space="preserve">Portable Electric</w:t>
      </w:r>
      <w:r>
        <w:t xml:space="preserve"> </w:t>
      </w:r>
      <w:r>
        <w:t xml:space="preserve">Secondary</w:t>
      </w:r>
      <w:r>
        <w:t xml:space="preserve"> </w:t>
      </w:r>
      <w:r>
        <w:t xml:space="preserve">457</w:t>
      </w:r>
      <w:r>
        <w:t xml:space="preserve"> </w:t>
      </w:r>
      <w:r>
        <w:t xml:space="preserve">Fixed electric &gt;250 W</w:t>
      </w:r>
      <w:r>
        <w:t xml:space="preserve"> </w:t>
      </w:r>
      <w:r>
        <w:t xml:space="preserve">Primary</w:t>
      </w:r>
      <w:r>
        <w:br/>
      </w:r>
      <w:r>
        <w:t xml:space="preserve">1.479</w:t>
      </w:r>
      <w:r>
        <w:br/>
      </w:r>
      <w:r>
        <w:t xml:space="preserve">Fixed electric &lt;250 W</w:t>
      </w:r>
      <w:r>
        <w:t xml:space="preserve"> </w:t>
      </w:r>
      <w:r>
        <w:t xml:space="preserve">Primary</w:t>
      </w:r>
      <w:r>
        <w:t xml:space="preserve"> </w:t>
      </w:r>
      <w:r>
        <w:t xml:space="preserve">1.479</w:t>
      </w:r>
      <w:r>
        <w:t xml:space="preserve"> </w:t>
      </w:r>
      <w:r>
        <w:t xml:space="preserve">Electric storage heaters</w:t>
      </w:r>
      <w:r>
        <w:t xml:space="preserve"> </w:t>
      </w:r>
      <w:r>
        <w:t xml:space="preserve">Primary</w:t>
      </w:r>
      <w:r>
        <w:t xml:space="preserve"> </w:t>
      </w:r>
      <w:r>
        <w:t xml:space="preserve">1.479</w:t>
      </w:r>
      <w:r>
        <w:t xml:space="preserve"> </w:t>
      </w:r>
      <w:r>
        <w:t xml:space="preserve">Electric underfloor</w:t>
      </w:r>
      <w:r>
        <w:t xml:space="preserve"> </w:t>
      </w:r>
      <w:r>
        <w:t xml:space="preserve">Equal secondary and primary</w:t>
      </w:r>
      <w:r>
        <w:t xml:space="preserve"> </w:t>
      </w:r>
      <w:r>
        <w:t xml:space="preserve">926</w:t>
      </w:r>
      <w:r>
        <w:t xml:space="preserve"> </w:t>
      </w:r>
      <w:r>
        <w:t xml:space="preserve">Visibly glowing &gt;1,2</w:t>
      </w:r>
      <w:r>
        <w:t xml:space="preserve"> </w:t>
      </w:r>
      <w:r>
        <w:t xml:space="preserve">Equal secondary and primary</w:t>
      </w:r>
      <w:r>
        <w:t xml:space="preserve"> </w:t>
      </w:r>
      <w:r>
        <w:t xml:space="preserve">878</w:t>
      </w:r>
      <w:r>
        <w:t xml:space="preserve"> </w:t>
      </w:r>
      <w:r>
        <w:t xml:space="preserve">Visibly glowing &lt;1,2</w:t>
      </w:r>
      <w:r>
        <w:t xml:space="preserve"> </w:t>
      </w:r>
      <w:r>
        <w:t xml:space="preserve">Equal secondary and primary</w:t>
      </w:r>
      <w:r>
        <w:t xml:space="preserve"> </w:t>
      </w:r>
      <w:r>
        <w:t xml:space="preserve">878</w:t>
      </w:r>
      <w:r>
        <w:t xml:space="preserve"> </w:t>
      </w:r>
      <w:r>
        <w:t xml:space="preserve">Towel heaters</w:t>
      </w:r>
      <w:r>
        <w:t xml:space="preserve"> </w:t>
      </w:r>
      <w:r>
        <w:t xml:space="preserve">Equal secondary and primary</w:t>
      </w:r>
      <w:r>
        <w:t xml:space="preserve"> </w:t>
      </w:r>
      <w:r>
        <w:t xml:space="preserve">878</w:t>
      </w:r>
      <w:r>
        <w:t xml:space="preserve"> </w:t>
      </w:r>
      <w:r>
        <w:t xml:space="preserve">Gas and liquid</w:t>
      </w:r>
      <w:r>
        <w:t xml:space="preserve"> </w:t>
      </w:r>
      <w:r>
        <w:t xml:space="preserve">Open fronted</w:t>
      </w:r>
      <w:r>
        <w:t xml:space="preserve"> </w:t>
      </w:r>
      <w:r>
        <w:t xml:space="preserve">Equal secondary and primary</w:t>
      </w:r>
      <w:r>
        <w:t xml:space="preserve"> </w:t>
      </w:r>
      <w:r>
        <w:t xml:space="preserve">878</w:t>
      </w:r>
      <w:r>
        <w:t xml:space="preserve"> </w:t>
      </w:r>
      <w:r>
        <w:t xml:space="preserve">Closed fronted</w:t>
      </w:r>
      <w:r>
        <w:t xml:space="preserve"> </w:t>
      </w:r>
      <w:r>
        <w:t xml:space="preserve">Equal secondary and primary</w:t>
      </w:r>
      <w:r>
        <w:t xml:space="preserve"> </w:t>
      </w:r>
      <w:r>
        <w:t xml:space="preserve">878</w:t>
      </w:r>
      <w:r>
        <w:t xml:space="preserve"> </w:t>
      </w:r>
      <w:r>
        <w:t xml:space="preserve">Balanced</w:t>
      </w:r>
      <w:r>
        <w:t xml:space="preserve"> </w:t>
      </w:r>
      <w:r>
        <w:t xml:space="preserve">Equal secondary and primary</w:t>
      </w:r>
      <w:r>
        <w:t xml:space="preserve"> </w:t>
      </w:r>
      <w:r>
        <w:t xml:space="preserve">878</w:t>
      </w:r>
      <w:r>
        <w:t xml:space="preserve"> </w:t>
      </w:r>
      <w:r>
        <w:t xml:space="preserve">Flueless</w:t>
      </w:r>
      <w:r>
        <w:t xml:space="preserve"> </w:t>
      </w:r>
      <w:r>
        <w:t xml:space="preserve">Secondary</w:t>
      </w:r>
      <w:r>
        <w:t xml:space="preserve"> </w:t>
      </w:r>
      <w:r>
        <w:t xml:space="preserve">277</w:t>
      </w:r>
      <w:r>
        <w:t xml:space="preserve"> </w:t>
      </w:r>
      <w:r>
        <w:t xml:space="preserve">Open to chimney</w:t>
      </w:r>
      <w:r>
        <w:t xml:space="preserve"> </w:t>
      </w:r>
      <w:r>
        <w:t xml:space="preserve">Secondary</w:t>
      </w:r>
      <w:r>
        <w:t xml:space="preserve"> </w:t>
      </w:r>
      <w:r>
        <w:t xml:space="preserve">277</w:t>
      </w:r>
      <w:r>
        <w:t xml:space="preserve"> </w:t>
      </w:r>
      <w:r>
        <w:t xml:space="preserve">Table A4-16. Annual use hours in residential settings for primary and secondary heating</w:t>
      </w:r>
    </w:p>
    <w:p>
      <w:pPr>
        <w:pStyle w:val="BodyText"/>
      </w:pPr>
      <w:r>
        <w:t xml:space="preserve">59 HHDs is a measure of heat demand in a building. HDDs are derived from outside temperature measurements, and its</w:t>
      </w:r>
      <w:r>
        <w:t xml:space="preserve"> </w:t>
      </w:r>
      <w:r>
        <w:t xml:space="preserve">deviation from the “base temperature”, which in the EU is 15.5 ˚C. This means that the number of days/year where the</w:t>
      </w:r>
      <w:r>
        <w:t xml:space="preserve"> </w:t>
      </w:r>
      <w:r>
        <w:t xml:space="preserve">temperature is lower than the base temperature is multiplied with how much colder it was on those days (as a sum-</w:t>
      </w:r>
      <w:r>
        <w:t xml:space="preserve"> </w:t>
      </w:r>
      <w:r>
        <w:t xml:space="preserve">product) (see: https://www.eea.europa.eu/data-and-maps/indicators/heating-degree-days-2 )</w:t>
      </w:r>
      <w:r>
        <w:br/>
      </w:r>
      <w:r>
        <w:t xml:space="preserve">60 Heating degree days by country - annual data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4.6.</w:t>
      </w:r>
      <w:r>
        <w:t xml:space="preserve"> </w:t>
      </w:r>
      <w:r>
        <w:t xml:space="preserve">Average heat output</w:t>
      </w:r>
      <w:r>
        <w:t xml:space="preserve"> </w:t>
      </w:r>
      <w:r>
        <w:t xml:space="preserve">The average heat output (as kW capacity) for each local space heater type is displayed in Table</w:t>
      </w:r>
      <w:r>
        <w:t xml:space="preserve"> </w:t>
      </w:r>
      <w:r>
        <w:t xml:space="preserve">A4-1761.</w:t>
      </w:r>
      <w:r>
        <w:br/>
      </w:r>
      <w:r>
        <w:t xml:space="preserve">Product</w:t>
      </w:r>
      <w:r>
        <w:br/>
      </w:r>
      <w:r>
        <w:t xml:space="preserve">Capacity</w:t>
      </w:r>
      <w:r>
        <w:t xml:space="preserve"> </w:t>
      </w:r>
      <w:r>
        <w:t xml:space="preserve">(kW)</w:t>
      </w:r>
      <w:r>
        <w:t xml:space="preserve"> </w:t>
      </w:r>
      <w:r>
        <w:t xml:space="preserve">Electric portable</w:t>
      </w:r>
      <w:r>
        <w:br/>
      </w:r>
      <w:r>
        <w:t xml:space="preserve">1,00</w:t>
      </w:r>
      <w:r>
        <w:br/>
      </w:r>
      <w:r>
        <w:t xml:space="preserve">Electric fixed heat output &gt;250 W</w:t>
      </w:r>
      <w:r>
        <w:t xml:space="preserve"> </w:t>
      </w:r>
      <w:r>
        <w:t xml:space="preserve">1,00</w:t>
      </w:r>
      <w:r>
        <w:br/>
      </w:r>
      <w:r>
        <w:t xml:space="preserve">Electric fixed heat output &lt;250 W</w:t>
      </w:r>
      <w:r>
        <w:t xml:space="preserve"> </w:t>
      </w:r>
      <w:r>
        <w:t xml:space="preserve">0,25</w:t>
      </w:r>
      <w:r>
        <w:br/>
      </w:r>
      <w:r>
        <w:t xml:space="preserve">Electric storage</w:t>
      </w:r>
      <w:r>
        <w:br/>
      </w:r>
      <w:r>
        <w:t xml:space="preserve">2,75</w:t>
      </w:r>
      <w:r>
        <w:br/>
      </w:r>
      <w:r>
        <w:t xml:space="preserve">Electric underfloor</w:t>
      </w:r>
      <w:r>
        <w:br/>
      </w:r>
      <w:r>
        <w:t xml:space="preserve">1,00</w:t>
      </w:r>
      <w:r>
        <w:br/>
      </w:r>
      <w:r>
        <w:t xml:space="preserve">Electric visibly glowing l heat output &gt;1.2 kW</w:t>
      </w:r>
      <w:r>
        <w:t xml:space="preserve"> </w:t>
      </w:r>
      <w:r>
        <w:t xml:space="preserve">2,00</w:t>
      </w:r>
      <w:r>
        <w:br/>
      </w:r>
      <w:r>
        <w:t xml:space="preserve">Electric visibly glowing heat output &lt; 1.2 kW</w:t>
      </w:r>
      <w:r>
        <w:t xml:space="preserve"> </w:t>
      </w:r>
      <w:r>
        <w:t xml:space="preserve">1,00</w:t>
      </w:r>
      <w:r>
        <w:br/>
      </w:r>
      <w:r>
        <w:t xml:space="preserve">Towel heaters</w:t>
      </w:r>
      <w:r>
        <w:t xml:space="preserve"> </w:t>
      </w:r>
      <w:r>
        <w:t xml:space="preserve">0,60</w:t>
      </w:r>
      <w:r>
        <w:br/>
      </w:r>
      <w:r>
        <w:t xml:space="preserve">Gas luminous</w:t>
      </w:r>
      <w:r>
        <w:t xml:space="preserve"> </w:t>
      </w:r>
      <w:r>
        <w:t xml:space="preserve">20,00</w:t>
      </w:r>
      <w:r>
        <w:br/>
      </w:r>
      <w:r>
        <w:t xml:space="preserve">Gas tube</w:t>
      </w:r>
      <w:r>
        <w:t xml:space="preserve"> </w:t>
      </w:r>
      <w:r>
        <w:t xml:space="preserve">30,00</w:t>
      </w:r>
      <w:r>
        <w:br/>
      </w:r>
      <w:r>
        <w:t xml:space="preserve">Gas tube 120-300 kW</w:t>
      </w:r>
      <w:r>
        <w:t xml:space="preserve"> </w:t>
      </w:r>
      <w:r>
        <w:t xml:space="preserve">200,00</w:t>
      </w:r>
      <w:r>
        <w:br/>
      </w:r>
      <w:r>
        <w:t xml:space="preserve">Gas open combustion, open fronted</w:t>
      </w:r>
      <w:r>
        <w:t xml:space="preserve"> </w:t>
      </w:r>
      <w:r>
        <w:t xml:space="preserve">4,20</w:t>
      </w:r>
      <w:r>
        <w:br/>
      </w:r>
      <w:r>
        <w:t xml:space="preserve">Gas open combustion/closed fronted</w:t>
      </w:r>
      <w:r>
        <w:br/>
      </w:r>
      <w:r>
        <w:t xml:space="preserve">4,20</w:t>
      </w:r>
      <w:r>
        <w:br/>
      </w:r>
      <w:r>
        <w:t xml:space="preserve">Gas balanced flue</w:t>
      </w:r>
      <w:r>
        <w:t xml:space="preserve"> </w:t>
      </w:r>
      <w:r>
        <w:t xml:space="preserve">4,20</w:t>
      </w:r>
      <w:r>
        <w:br/>
      </w:r>
      <w:r>
        <w:t xml:space="preserve">Gas flueless</w:t>
      </w:r>
      <w:r>
        <w:t xml:space="preserve"> </w:t>
      </w:r>
      <w:r>
        <w:t xml:space="preserve">2,50</w:t>
      </w:r>
      <w:r>
        <w:br/>
      </w:r>
      <w:r>
        <w:t xml:space="preserve">Gas open to chimney</w:t>
      </w:r>
      <w:r>
        <w:t xml:space="preserve"> </w:t>
      </w:r>
      <w:r>
        <w:t xml:space="preserve">4,20</w:t>
      </w:r>
      <w:r>
        <w:br/>
      </w:r>
      <w:r>
        <w:t xml:space="preserve">Liquid tube</w:t>
      </w:r>
      <w:r>
        <w:br/>
      </w:r>
      <w:r>
        <w:t xml:space="preserve">30,00</w:t>
      </w:r>
      <w:r>
        <w:br/>
      </w:r>
      <w:r>
        <w:t xml:space="preserve">Liquid tube 120-300 kW</w:t>
      </w:r>
      <w:r>
        <w:t xml:space="preserve"> </w:t>
      </w:r>
      <w:r>
        <w:t xml:space="preserve">200,00</w:t>
      </w:r>
      <w:r>
        <w:br/>
      </w:r>
      <w:r>
        <w:t xml:space="preserve">Liquid open combustion, open fronted</w:t>
      </w:r>
      <w:r>
        <w:t xml:space="preserve"> </w:t>
      </w:r>
      <w:r>
        <w:t xml:space="preserve">2,00</w:t>
      </w:r>
      <w:r>
        <w:br/>
      </w:r>
      <w:r>
        <w:t xml:space="preserve">Liquid open combustion, closed fronted</w:t>
      </w:r>
      <w:r>
        <w:br/>
      </w:r>
      <w:r>
        <w:t xml:space="preserve">4,00</w:t>
      </w:r>
      <w:r>
        <w:br/>
      </w:r>
      <w:r>
        <w:t xml:space="preserve">Liquid balanced flue</w:t>
      </w:r>
      <w:r>
        <w:t xml:space="preserve"> </w:t>
      </w:r>
      <w:r>
        <w:t xml:space="preserve">4,00</w:t>
      </w:r>
      <w:r>
        <w:br/>
      </w:r>
      <w:r>
        <w:t xml:space="preserve">Liquid flueless</w:t>
      </w:r>
      <w:r>
        <w:t xml:space="preserve"> </w:t>
      </w:r>
      <w:r>
        <w:t xml:space="preserve">3,00</w:t>
      </w:r>
      <w:r>
        <w:br/>
      </w:r>
      <w:r>
        <w:t xml:space="preserve">Liquid open to chimney</w:t>
      </w:r>
      <w:r>
        <w:t xml:space="preserve"> </w:t>
      </w:r>
      <w:r>
        <w:t xml:space="preserve">4,00</w:t>
      </w:r>
      <w:r>
        <w:br/>
      </w:r>
      <w:r>
        <w:t xml:space="preserve">Table A4-17. Average capacity (kW) of local space heaters</w:t>
      </w:r>
      <w:r>
        <w:t xml:space="preserve"> </w:t>
      </w:r>
      <w:r>
        <w:t xml:space="preserve">4.7.</w:t>
      </w:r>
      <w:r>
        <w:t xml:space="preserve"> </w:t>
      </w:r>
      <w:r>
        <w:t xml:space="preserve">Average efficiency</w:t>
      </w:r>
      <w:r>
        <w:t xml:space="preserve"> </w:t>
      </w:r>
      <w:r>
        <w:t xml:space="preserve">The evolution under BAU of the average efficiency for each type of local space heater are based on</w:t>
      </w:r>
      <w:r>
        <w:t xml:space="preserve"> </w:t>
      </w:r>
      <w:r>
        <w:t xml:space="preserve">the review study and displayed on the table below.</w:t>
      </w:r>
      <w:r>
        <w:t xml:space="preserve"> </w:t>
      </w:r>
      <w:r>
        <w:t xml:space="preserve">Average efficiency</w:t>
      </w:r>
      <w:r>
        <w:t xml:space="preserve"> </w:t>
      </w:r>
      <w:r>
        <w:t xml:space="preserve">2010 2015 2020 2025 2030 2035 2040 2045 2050</w:t>
      </w:r>
      <w:r>
        <w:t xml:space="preserve"> </w:t>
      </w:r>
      <w:r>
        <w:t xml:space="preserve">Electric portable</w:t>
      </w:r>
      <w:r>
        <w:br/>
      </w:r>
      <w:r>
        <w:t xml:space="preserve">80%</w:t>
      </w:r>
      <w:r>
        <w:t xml:space="preserve"> </w:t>
      </w:r>
      <w:r>
        <w:t xml:space="preserve">86%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Electric fixed heat output &gt;250</w:t>
      </w:r>
      <w:r>
        <w:t xml:space="preserve"> </w:t>
      </w:r>
      <w:r>
        <w:t xml:space="preserve">W</w:t>
      </w:r>
      <w:r>
        <w:t xml:space="preserve"> </w:t>
      </w:r>
      <w:r>
        <w:t xml:space="preserve">80%</w:t>
      </w:r>
      <w:r>
        <w:t xml:space="preserve"> </w:t>
      </w:r>
      <w:r>
        <w:t xml:space="preserve">86%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Electric fixed heat output &lt;250</w:t>
      </w:r>
      <w:r>
        <w:t xml:space="preserve"> </w:t>
      </w:r>
      <w:r>
        <w:t xml:space="preserve">W</w:t>
      </w:r>
      <w:r>
        <w:t xml:space="preserve"> </w:t>
      </w:r>
      <w:r>
        <w:t xml:space="preserve">80%</w:t>
      </w:r>
      <w:r>
        <w:t xml:space="preserve"> </w:t>
      </w:r>
      <w:r>
        <w:t xml:space="preserve">82%</w:t>
      </w:r>
      <w:r>
        <w:t xml:space="preserve"> </w:t>
      </w:r>
      <w:r>
        <w:t xml:space="preserve">85%</w:t>
      </w:r>
      <w:r>
        <w:t xml:space="preserve"> </w:t>
      </w:r>
      <w:r>
        <w:t xml:space="preserve">85%</w:t>
      </w:r>
      <w:r>
        <w:t xml:space="preserve"> </w:t>
      </w:r>
      <w:r>
        <w:t xml:space="preserve">85%</w:t>
      </w:r>
      <w:r>
        <w:t xml:space="preserve"> </w:t>
      </w:r>
      <w:r>
        <w:t xml:space="preserve">85%</w:t>
      </w:r>
      <w:r>
        <w:t xml:space="preserve"> </w:t>
      </w:r>
      <w:r>
        <w:t xml:space="preserve">85%</w:t>
      </w:r>
      <w:r>
        <w:t xml:space="preserve"> </w:t>
      </w:r>
      <w:r>
        <w:t xml:space="preserve">85%</w:t>
      </w:r>
      <w:r>
        <w:t xml:space="preserve"> </w:t>
      </w:r>
      <w:r>
        <w:t xml:space="preserve">85%</w:t>
      </w:r>
      <w:r>
        <w:t xml:space="preserve"> </w:t>
      </w:r>
      <w:r>
        <w:t xml:space="preserve">Electric storage</w:t>
      </w:r>
      <w:r>
        <w:br/>
      </w:r>
      <w:r>
        <w:t xml:space="preserve">80%</w:t>
      </w:r>
      <w:r>
        <w:t xml:space="preserve"> </w:t>
      </w:r>
      <w:r>
        <w:t xml:space="preserve">89%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Electric underfloor</w:t>
      </w:r>
      <w:r>
        <w:br/>
      </w:r>
      <w:r>
        <w:t xml:space="preserve">80%</w:t>
      </w:r>
      <w:r>
        <w:t xml:space="preserve"> </w:t>
      </w:r>
      <w:r>
        <w:t xml:space="preserve">81%</w:t>
      </w:r>
      <w:r>
        <w:t xml:space="preserve"> </w:t>
      </w:r>
      <w:r>
        <w:t xml:space="preserve">82%</w:t>
      </w:r>
      <w:r>
        <w:t xml:space="preserve"> </w:t>
      </w:r>
      <w:r>
        <w:t xml:space="preserve">82%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</w:p>
    <w:p>
      <w:pPr>
        <w:pStyle w:val="BodyText"/>
      </w:pPr>
      <w:r>
        <w:t xml:space="preserve">61 Based on the review study (table 49, p. 184), and that again is based on the capacity ranges given for each base case</w:t>
      </w:r>
      <w:r>
        <w:t xml:space="preserve"> </w:t>
      </w:r>
      <w:r>
        <w:t xml:space="preserve">technology in the 2012 preparatory study task 4 report.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Electric visibly glowing l heat</w:t>
      </w:r>
      <w:r>
        <w:t xml:space="preserve"> </w:t>
      </w:r>
      <w:r>
        <w:t xml:space="preserve">output &gt;1.2 kW</w:t>
      </w:r>
      <w:r>
        <w:t xml:space="preserve"> </w:t>
      </w:r>
      <w:r>
        <w:t xml:space="preserve">80%</w:t>
      </w:r>
      <w:r>
        <w:t xml:space="preserve"> </w:t>
      </w:r>
      <w:r>
        <w:t xml:space="preserve">85%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Electric visibly glowing heat</w:t>
      </w:r>
      <w:r>
        <w:t xml:space="preserve"> </w:t>
      </w:r>
      <w:r>
        <w:t xml:space="preserve">output &lt; 1.2 kW</w:t>
      </w:r>
      <w:r>
        <w:t xml:space="preserve"> </w:t>
      </w:r>
      <w:r>
        <w:t xml:space="preserve">80%</w:t>
      </w:r>
      <w:r>
        <w:t xml:space="preserve"> </w:t>
      </w:r>
      <w:r>
        <w:t xml:space="preserve">85%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Towel heaters</w:t>
      </w:r>
      <w:r>
        <w:t xml:space="preserve"> </w:t>
      </w:r>
      <w:r>
        <w:t xml:space="preserve">80%</w:t>
      </w:r>
      <w:r>
        <w:t xml:space="preserve"> </w:t>
      </w:r>
      <w:r>
        <w:t xml:space="preserve">81%</w:t>
      </w:r>
      <w:r>
        <w:t xml:space="preserve"> </w:t>
      </w:r>
      <w:r>
        <w:t xml:space="preserve">82%</w:t>
      </w:r>
      <w:r>
        <w:t xml:space="preserve"> </w:t>
      </w:r>
      <w:r>
        <w:t xml:space="preserve">82%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Gas luminous</w:t>
      </w:r>
      <w:r>
        <w:t xml:space="preserve"> </w:t>
      </w:r>
      <w:r>
        <w:t xml:space="preserve">73%</w:t>
      </w:r>
      <w:r>
        <w:t xml:space="preserve"> </w:t>
      </w:r>
      <w:r>
        <w:t xml:space="preserve">82%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Gas tube</w:t>
      </w:r>
      <w:r>
        <w:t xml:space="preserve"> </w:t>
      </w:r>
      <w:r>
        <w:t xml:space="preserve">64%</w:t>
      </w:r>
      <w:r>
        <w:t xml:space="preserve"> </w:t>
      </w:r>
      <w:r>
        <w:t xml:space="preserve">70%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Gas tube 120-300 kW</w:t>
      </w:r>
      <w:r>
        <w:t xml:space="preserve"> </w:t>
      </w:r>
      <w:r>
        <w:t xml:space="preserve">64%</w:t>
      </w:r>
      <w:r>
        <w:t xml:space="preserve"> </w:t>
      </w:r>
      <w:r>
        <w:t xml:space="preserve">67%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Gas open combustion, open</w:t>
      </w:r>
      <w:r>
        <w:t xml:space="preserve"> </w:t>
      </w:r>
      <w:r>
        <w:t xml:space="preserve">fronted</w:t>
      </w:r>
      <w:r>
        <w:t xml:space="preserve"> </w:t>
      </w:r>
      <w:r>
        <w:t xml:space="preserve">42%</w:t>
      </w:r>
      <w:r>
        <w:t xml:space="preserve"> </w:t>
      </w:r>
      <w:r>
        <w:t xml:space="preserve">43%</w:t>
      </w:r>
      <w:r>
        <w:t xml:space="preserve"> </w:t>
      </w:r>
      <w:r>
        <w:t xml:space="preserve">44%</w:t>
      </w:r>
      <w:r>
        <w:t xml:space="preserve"> </w:t>
      </w:r>
      <w:r>
        <w:t xml:space="preserve">45%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Gas open combustion/closed</w:t>
      </w:r>
      <w:r>
        <w:t xml:space="preserve"> </w:t>
      </w:r>
      <w:r>
        <w:t xml:space="preserve">fronted</w:t>
      </w:r>
      <w:r>
        <w:br/>
      </w:r>
      <w:r>
        <w:t xml:space="preserve">52%</w:t>
      </w:r>
      <w:r>
        <w:t xml:space="preserve"> </w:t>
      </w:r>
      <w:r>
        <w:t xml:space="preserve">56%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Gas balanced flue</w:t>
      </w:r>
      <w:r>
        <w:t xml:space="preserve"> </w:t>
      </w:r>
      <w:r>
        <w:t xml:space="preserve">64%</w:t>
      </w:r>
      <w:r>
        <w:t xml:space="preserve"> </w:t>
      </w:r>
      <w:r>
        <w:t xml:space="preserve">69%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Gas flueless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Gas open to chimney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Liquid tube</w:t>
      </w:r>
      <w:r>
        <w:br/>
      </w:r>
      <w:r>
        <w:t xml:space="preserve">64%</w:t>
      </w:r>
      <w:r>
        <w:t xml:space="preserve"> </w:t>
      </w:r>
      <w:r>
        <w:t xml:space="preserve">70%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Liquid tube 120-300 kW</w:t>
      </w:r>
      <w:r>
        <w:t xml:space="preserve"> </w:t>
      </w:r>
      <w:r>
        <w:t xml:space="preserve">64%</w:t>
      </w:r>
      <w:r>
        <w:t xml:space="preserve"> </w:t>
      </w:r>
      <w:r>
        <w:t xml:space="preserve">67%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Liquid open combustion, open</w:t>
      </w:r>
      <w:r>
        <w:t xml:space="preserve"> </w:t>
      </w:r>
      <w:r>
        <w:t xml:space="preserve">fronted</w:t>
      </w:r>
      <w:r>
        <w:t xml:space="preserve"> </w:t>
      </w:r>
      <w:r>
        <w:t xml:space="preserve">42%</w:t>
      </w:r>
      <w:r>
        <w:t xml:space="preserve"> </w:t>
      </w:r>
      <w:r>
        <w:t xml:space="preserve">43%</w:t>
      </w:r>
      <w:r>
        <w:t xml:space="preserve"> </w:t>
      </w:r>
      <w:r>
        <w:t xml:space="preserve">44%</w:t>
      </w:r>
      <w:r>
        <w:t xml:space="preserve"> </w:t>
      </w:r>
      <w:r>
        <w:t xml:space="preserve">45%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Liquid open combustion,</w:t>
      </w:r>
      <w:r>
        <w:t xml:space="preserve"> </w:t>
      </w:r>
      <w:r>
        <w:t xml:space="preserve">closed fronted</w:t>
      </w:r>
      <w:r>
        <w:br/>
      </w:r>
      <w:r>
        <w:t xml:space="preserve">52%</w:t>
      </w:r>
      <w:r>
        <w:t xml:space="preserve"> </w:t>
      </w:r>
      <w:r>
        <w:t xml:space="preserve">56%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Liquid balanced flue</w:t>
      </w:r>
      <w:r>
        <w:t xml:space="preserve"> </w:t>
      </w:r>
      <w:r>
        <w:t xml:space="preserve">64%</w:t>
      </w:r>
      <w:r>
        <w:t xml:space="preserve"> </w:t>
      </w:r>
      <w:r>
        <w:t xml:space="preserve">69%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Liquid flueless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Liquid open to chimney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Table A4-18. Average efficiencies for the baseline BAU</w:t>
      </w:r>
      <w:r>
        <w:t xml:space="preserve"> </w:t>
      </w:r>
      <w:r>
        <w:t xml:space="preserve">4.8.</w:t>
      </w:r>
      <w:r>
        <w:t xml:space="preserve"> </w:t>
      </w:r>
      <w:r>
        <w:t xml:space="preserve">Material input</w:t>
      </w:r>
      <w:r>
        <w:t xml:space="preserve"> </w:t>
      </w:r>
      <w:r>
        <w:t xml:space="preserve">The material inputs are used to estimate the embedded environmental effects of each product. They</w:t>
      </w:r>
      <w:r>
        <w:t xml:space="preserve"> </w:t>
      </w:r>
      <w:r>
        <w:t xml:space="preserve">have been calculated with the EcoReport tool, which includes a range of background data for</w:t>
      </w:r>
      <w:r>
        <w:t xml:space="preserve"> </w:t>
      </w:r>
      <w:r>
        <w:t xml:space="preserve">calculating environmental impacts from different materials and is currently being revised in order</w:t>
      </w:r>
      <w:r>
        <w:t xml:space="preserve"> </w:t>
      </w:r>
      <w:r>
        <w:t xml:space="preserve">to provide more granularity and better reflect latest data on environmental impacts of materials.</w:t>
      </w:r>
      <w:r>
        <w:br/>
      </w:r>
      <w:r>
        <w:t xml:space="preserve">The environmental impacts modelled for this study which are related to material input are:</w:t>
      </w:r>
      <w:r>
        <w:t xml:space="preserve"> </w:t>
      </w:r>
      <w:r>
        <w:t xml:space="preserve">-</w:t>
      </w:r>
      <w:r>
        <w:t xml:space="preserve"> </w:t>
      </w:r>
      <w:r>
        <w:t xml:space="preserve">Primary embedded energy (MJ)</w:t>
      </w:r>
      <w:r>
        <w:t xml:space="preserve"> </w:t>
      </w:r>
      <w:r>
        <w:t xml:space="preserve">-</w:t>
      </w:r>
      <w:r>
        <w:t xml:space="preserve"> </w:t>
      </w:r>
      <w:r>
        <w:t xml:space="preserve">GWP10062 (kg CO2-eq.)</w:t>
      </w:r>
      <w:r>
        <w:t xml:space="preserve"> </w:t>
      </w:r>
      <w:r>
        <w:t xml:space="preserve">-</w:t>
      </w:r>
      <w:r>
        <w:t xml:space="preserve"> </w:t>
      </w:r>
      <w:r>
        <w:t xml:space="preserve">Acidification (g SO2-eq.)</w:t>
      </w:r>
      <w:r>
        <w:t xml:space="preserve"> </w:t>
      </w:r>
      <w:r>
        <w:t xml:space="preserve">The phases considered are production, distribution and end-of-life of the material. The</w:t>
      </w:r>
      <w:r>
        <w:t xml:space="preserve"> </w:t>
      </w:r>
      <w:r>
        <w:t xml:space="preserve">environmental impacts related to the use phase have been calculated outside the EcoReport tool as</w:t>
      </w:r>
      <w:r>
        <w:t xml:space="preserve"> </w:t>
      </w:r>
      <w:r>
        <w:t xml:space="preserve">the latter is not detailed enough to reflect efficiency changes and economic (cost-related)</w:t>
      </w:r>
      <w:r>
        <w:t xml:space="preserve"> </w:t>
      </w:r>
      <w:r>
        <w:t xml:space="preserve">parameters.</w:t>
      </w:r>
      <w:r>
        <w:br/>
      </w:r>
      <w:r>
        <w:t xml:space="preserve">The material composition of local space heaters has already been determined in the preparatory</w:t>
      </w:r>
      <w:r>
        <w:t xml:space="preserve"> </w:t>
      </w:r>
      <w:r>
        <w:t xml:space="preserve">study and is displayed in the following tables.</w:t>
      </w:r>
    </w:p>
    <w:p>
      <w:pPr>
        <w:pStyle w:val="BodyText"/>
      </w:pPr>
      <w:r>
        <w:t xml:space="preserve">62 GWP effect calculated over a 100-year period. This is the most prevalent way of calculating GWP, however a 20 or</w:t>
      </w:r>
      <w:r>
        <w:t xml:space="preserve"> </w:t>
      </w:r>
      <w:r>
        <w:t xml:space="preserve">200 year perspective can also be used. See e.g.: https://www.ghgprotocol.org/sites/default/files/ghgp/Global-Warming-</w:t>
      </w:r>
      <w:r>
        <w:t xml:space="preserve"> </w:t>
      </w:r>
      <w:r>
        <w:t xml:space="preserve">Potential-Values%20%28Feb%2016%202016%29_1.pdf GWP100 is also used on the Ecoreport tool, which this</w:t>
      </w:r>
      <w:r>
        <w:t xml:space="preserve"> </w:t>
      </w:r>
      <w:r>
        <w:t xml:space="preserve">analysis is based on.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Portable Fixed</w:t>
      </w:r>
      <w:r>
        <w:t xml:space="preserve"> </w:t>
      </w:r>
      <w:r>
        <w:t xml:space="preserve">&gt;</w:t>
      </w:r>
      <w:r>
        <w:t xml:space="preserve"> </w:t>
      </w:r>
      <w:r>
        <w:t xml:space="preserve">250W</w:t>
      </w:r>
      <w:r>
        <w:t xml:space="preserve"> </w:t>
      </w:r>
      <w:r>
        <w:t xml:space="preserve">Fixed</w:t>
      </w:r>
      <w:r>
        <w:t xml:space="preserve"> </w:t>
      </w:r>
      <w:r>
        <w:t xml:space="preserve">≤</w:t>
      </w:r>
      <w:r>
        <w:t xml:space="preserve"> </w:t>
      </w:r>
      <w:r>
        <w:t xml:space="preserve">250W</w:t>
      </w:r>
      <w:r>
        <w:t xml:space="preserve"> </w:t>
      </w:r>
      <w:r>
        <w:t xml:space="preserve">Storage Underfloor Visible</w:t>
      </w:r>
      <w:r>
        <w:t xml:space="preserve"> </w:t>
      </w:r>
      <w:r>
        <w:t xml:space="preserve">glowing</w:t>
      </w:r>
      <w:r>
        <w:t xml:space="preserve"> </w:t>
      </w:r>
      <w:r>
        <w:t xml:space="preserve">&gt; 1,2</w:t>
      </w:r>
      <w:r>
        <w:t xml:space="preserve"> </w:t>
      </w:r>
      <w:r>
        <w:t xml:space="preserve">kW</w:t>
      </w:r>
      <w:r>
        <w:t xml:space="preserve"> </w:t>
      </w:r>
      <w:r>
        <w:t xml:space="preserve">Visible</w:t>
      </w:r>
      <w:r>
        <w:t xml:space="preserve"> </w:t>
      </w:r>
      <w:r>
        <w:t xml:space="preserve">glowing</w:t>
      </w:r>
      <w:r>
        <w:t xml:space="preserve"> </w:t>
      </w:r>
      <w:r>
        <w:t xml:space="preserve">≤ 1,2 kW</w:t>
      </w:r>
      <w:r>
        <w:t xml:space="preserve"> </w:t>
      </w:r>
      <w:r>
        <w:t xml:space="preserve">Towel</w:t>
      </w:r>
      <w:r>
        <w:t xml:space="preserve"> </w:t>
      </w:r>
      <w:r>
        <w:t xml:space="preserve">heaters</w:t>
      </w:r>
      <w:r>
        <w:t xml:space="preserve"> </w:t>
      </w:r>
      <w:r>
        <w:t xml:space="preserve">Bulk plastic (e.g. </w:t>
      </w:r>
      <w:r>
        <w:t xml:space="preserve"> </w:t>
      </w:r>
      <w:r>
        <w:t xml:space="preserve">ABS) g</w:t>
      </w:r>
      <w:r>
        <w:t xml:space="preserve"> </w:t>
      </w:r>
      <w:r>
        <w:t xml:space="preserve">195</w:t>
      </w:r>
      <w:r>
        <w:t xml:space="preserve"> </w:t>
      </w:r>
      <w:r>
        <w:t xml:space="preserve">300</w:t>
      </w:r>
      <w:r>
        <w:t xml:space="preserve"> </w:t>
      </w:r>
      <w:r>
        <w:t xml:space="preserve">75</w:t>
      </w:r>
      <w:r>
        <w:t xml:space="preserve"> </w:t>
      </w:r>
      <w:r>
        <w:t xml:space="preserve">0</w:t>
      </w:r>
      <w:r>
        <w:t xml:space="preserve"> </w:t>
      </w:r>
      <w:r>
        <w:t xml:space="preserve">560</w:t>
      </w:r>
      <w:r>
        <w:t xml:space="preserve"> </w:t>
      </w:r>
      <w:r>
        <w:t xml:space="preserve">390</w:t>
      </w:r>
      <w:r>
        <w:t xml:space="preserve"> </w:t>
      </w:r>
      <w:r>
        <w:t xml:space="preserve">195</w:t>
      </w:r>
      <w:r>
        <w:t xml:space="preserve"> </w:t>
      </w:r>
      <w:r>
        <w:t xml:space="preserve">300</w:t>
      </w:r>
      <w:r>
        <w:t xml:space="preserve"> </w:t>
      </w:r>
      <w:r>
        <w:t xml:space="preserve">TEC plastic (e.g. </w:t>
      </w:r>
      <w:r>
        <w:t xml:space="preserve"> </w:t>
      </w:r>
      <w:r>
        <w:t xml:space="preserve">PA6) g</w:t>
      </w:r>
      <w:r>
        <w:t xml:space="preserve"> </w:t>
      </w:r>
      <w:r>
        <w:t xml:space="preserve">650</w:t>
      </w:r>
      <w:r>
        <w:t xml:space="preserve"> </w:t>
      </w:r>
      <w:r>
        <w:t xml:space="preserve">300</w:t>
      </w:r>
      <w:r>
        <w:t xml:space="preserve"> </w:t>
      </w:r>
      <w:r>
        <w:t xml:space="preserve">75</w:t>
      </w:r>
      <w:r>
        <w:t xml:space="preserve"> </w:t>
      </w:r>
      <w:r>
        <w:t xml:space="preserve">100</w:t>
      </w:r>
      <w:r>
        <w:t xml:space="preserve"> </w:t>
      </w:r>
      <w:r>
        <w:t xml:space="preserve">2,503</w:t>
      </w:r>
      <w:r>
        <w:t xml:space="preserve"> </w:t>
      </w:r>
      <w:r>
        <w:t xml:space="preserve">1,300</w:t>
      </w:r>
      <w:r>
        <w:t xml:space="preserve"> </w:t>
      </w:r>
      <w:r>
        <w:t xml:space="preserve">650</w:t>
      </w:r>
      <w:r>
        <w:t xml:space="preserve"> </w:t>
      </w:r>
      <w:r>
        <w:t xml:space="preserve">300</w:t>
      </w:r>
      <w:r>
        <w:t xml:space="preserve"> </w:t>
      </w:r>
      <w:r>
        <w:t xml:space="preserve">Ferro (cast iron) g</w:t>
      </w:r>
      <w:r>
        <w:t xml:space="preserve"> </w:t>
      </w:r>
      <w:r>
        <w:t xml:space="preserve">195</w:t>
      </w:r>
      <w:r>
        <w:t xml:space="preserve"> </w:t>
      </w:r>
      <w:r>
        <w:t xml:space="preserve">3750</w:t>
      </w:r>
      <w:r>
        <w:t xml:space="preserve"> </w:t>
      </w:r>
      <w:r>
        <w:t xml:space="preserve">938</w:t>
      </w:r>
      <w:r>
        <w:t xml:space="preserve"> </w:t>
      </w:r>
      <w:r>
        <w:t xml:space="preserve">30,000</w:t>
      </w:r>
      <w:r>
        <w:t xml:space="preserve"> </w:t>
      </w:r>
      <w:r>
        <w:t xml:space="preserve">50</w:t>
      </w:r>
      <w:r>
        <w:t xml:space="preserve"> </w:t>
      </w:r>
      <w:r>
        <w:t xml:space="preserve">390</w:t>
      </w:r>
      <w:r>
        <w:t xml:space="preserve"> </w:t>
      </w:r>
      <w:r>
        <w:t xml:space="preserve">195</w:t>
      </w:r>
      <w:r>
        <w:t xml:space="preserve"> </w:t>
      </w:r>
      <w:r>
        <w:t xml:space="preserve">3,750</w:t>
      </w:r>
      <w:r>
        <w:t xml:space="preserve"> </w:t>
      </w:r>
      <w:r>
        <w:t xml:space="preserve">Non-ferro (CU) g</w:t>
      </w:r>
      <w:r>
        <w:t xml:space="preserve"> </w:t>
      </w:r>
      <w:r>
        <w:t xml:space="preserve">98</w:t>
      </w:r>
      <w:r>
        <w:t xml:space="preserve"> </w:t>
      </w:r>
      <w:r>
        <w:t xml:space="preserve">307</w:t>
      </w:r>
      <w:r>
        <w:t xml:space="preserve"> </w:t>
      </w:r>
      <w:r>
        <w:t xml:space="preserve">77</w:t>
      </w:r>
      <w:r>
        <w:t xml:space="preserve"> </w:t>
      </w:r>
      <w:r>
        <w:t xml:space="preserve">75</w:t>
      </w:r>
      <w:r>
        <w:t xml:space="preserve"> </w:t>
      </w:r>
      <w:r>
        <w:t xml:space="preserve">280</w:t>
      </w:r>
      <w:r>
        <w:t xml:space="preserve"> </w:t>
      </w:r>
      <w:r>
        <w:t xml:space="preserve">195</w:t>
      </w:r>
      <w:r>
        <w:t xml:space="preserve"> </w:t>
      </w:r>
      <w:r>
        <w:t xml:space="preserve">98</w:t>
      </w:r>
      <w:r>
        <w:t xml:space="preserve"> </w:t>
      </w:r>
      <w:r>
        <w:t xml:space="preserve">307</w:t>
      </w:r>
      <w:r>
        <w:t xml:space="preserve"> </w:t>
      </w:r>
      <w:r>
        <w:t xml:space="preserve">Non-ferro (Al) g</w:t>
      </w:r>
      <w:r>
        <w:t xml:space="preserve"> </w:t>
      </w:r>
      <w:r>
        <w:t xml:space="preserve">98</w:t>
      </w:r>
      <w:r>
        <w:t xml:space="preserve"> </w:t>
      </w:r>
      <w:r>
        <w:t xml:space="preserve">307</w:t>
      </w:r>
      <w:r>
        <w:t xml:space="preserve"> </w:t>
      </w:r>
      <w:r>
        <w:t xml:space="preserve">77</w:t>
      </w:r>
      <w:r>
        <w:t xml:space="preserve"> </w:t>
      </w:r>
      <w:r>
        <w:t xml:space="preserve">300</w:t>
      </w:r>
      <w:r>
        <w:t xml:space="preserve"> </w:t>
      </w:r>
      <w:r>
        <w:t xml:space="preserve">280</w:t>
      </w:r>
      <w:r>
        <w:t xml:space="preserve"> </w:t>
      </w:r>
      <w:r>
        <w:t xml:space="preserve">195</w:t>
      </w:r>
      <w:r>
        <w:t xml:space="preserve"> </w:t>
      </w:r>
      <w:r>
        <w:t xml:space="preserve">98</w:t>
      </w:r>
      <w:r>
        <w:t xml:space="preserve"> </w:t>
      </w:r>
      <w:r>
        <w:t xml:space="preserve">307</w:t>
      </w:r>
      <w:r>
        <w:t xml:space="preserve"> </w:t>
      </w:r>
      <w:r>
        <w:t xml:space="preserve">Coating g</w:t>
      </w:r>
      <w:r>
        <w:t xml:space="preserve"> </w:t>
      </w:r>
      <w:r>
        <w:t xml:space="preserve">0</w:t>
      </w:r>
      <w:r>
        <w:t xml:space="preserve"> </w:t>
      </w:r>
      <w:r>
        <w:t xml:space="preserve">311</w:t>
      </w:r>
      <w:r>
        <w:t xml:space="preserve"> </w:t>
      </w:r>
      <w:r>
        <w:t xml:space="preserve">78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311</w:t>
      </w:r>
      <w:r>
        <w:t xml:space="preserve"> </w:t>
      </w:r>
      <w:r>
        <w:t xml:space="preserve">Electronics (PCBs)</w:t>
      </w:r>
      <w:r>
        <w:t xml:space="preserve"> </w:t>
      </w:r>
      <w:r>
        <w:t xml:space="preserve">g</w:t>
      </w:r>
      <w:r>
        <w:t xml:space="preserve"> </w:t>
      </w:r>
      <w:r>
        <w:t xml:space="preserve">65</w:t>
      </w:r>
      <w:r>
        <w:t xml:space="preserve"> </w:t>
      </w:r>
      <w:r>
        <w:t xml:space="preserve">75</w:t>
      </w:r>
      <w:r>
        <w:t xml:space="preserve"> </w:t>
      </w:r>
      <w:r>
        <w:t xml:space="preserve">75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130</w:t>
      </w:r>
      <w:r>
        <w:t xml:space="preserve"> </w:t>
      </w:r>
      <w:r>
        <w:t xml:space="preserve">65</w:t>
      </w:r>
      <w:r>
        <w:t xml:space="preserve"> </w:t>
      </w:r>
      <w:r>
        <w:t xml:space="preserve">75</w:t>
      </w:r>
      <w:r>
        <w:t xml:space="preserve"> </w:t>
      </w:r>
      <w:r>
        <w:t xml:space="preserve">Miscellaneous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0 109,000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1,300</w:t>
      </w:r>
      <w:r>
        <w:t xml:space="preserve"> </w:t>
      </w:r>
      <w:r>
        <w:t xml:space="preserve">5,275</w:t>
      </w:r>
      <w:r>
        <w:t xml:space="preserve"> </w:t>
      </w:r>
      <w:r>
        <w:t xml:space="preserve">1,319 139,675</w:t>
      </w:r>
      <w:r>
        <w:t xml:space="preserve"> </w:t>
      </w:r>
      <w:r>
        <w:t xml:space="preserve">3,973</w:t>
      </w:r>
      <w:r>
        <w:t xml:space="preserve"> </w:t>
      </w:r>
      <w:r>
        <w:t xml:space="preserve">2,600</w:t>
      </w:r>
      <w:r>
        <w:t xml:space="preserve"> </w:t>
      </w:r>
      <w:r>
        <w:t xml:space="preserve">1,300</w:t>
      </w:r>
      <w:r>
        <w:t xml:space="preserve"> </w:t>
      </w:r>
      <w:r>
        <w:t xml:space="preserve">5,275</w:t>
      </w:r>
      <w:r>
        <w:t xml:space="preserve"> </w:t>
      </w:r>
      <w:r>
        <w:t xml:space="preserve">Table 4-19. Material composition of electric local space heaters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combustion/open</w:t>
      </w:r>
      <w:r>
        <w:t xml:space="preserve"> </w:t>
      </w:r>
      <w:r>
        <w:t xml:space="preserve">fronted with exhaust</w:t>
      </w:r>
      <w:r>
        <w:t xml:space="preserve"> </w:t>
      </w:r>
      <w:r>
        <w:t xml:space="preserve">restriction</w:t>
      </w:r>
      <w:r>
        <w:t xml:space="preserve"> </w:t>
      </w:r>
      <w:r>
        <w:t xml:space="preserve">Open</w:t>
      </w:r>
      <w:r>
        <w:t xml:space="preserve"> </w:t>
      </w:r>
      <w:r>
        <w:t xml:space="preserve">combustion/closed</w:t>
      </w:r>
      <w:r>
        <w:t xml:space="preserve"> </w:t>
      </w:r>
      <w:r>
        <w:t xml:space="preserve">fronted</w:t>
      </w:r>
      <w:r>
        <w:t xml:space="preserve"> </w:t>
      </w:r>
      <w:r>
        <w:t xml:space="preserve">Balanced</w:t>
      </w:r>
      <w:r>
        <w:t xml:space="preserve"> </w:t>
      </w:r>
      <w:r>
        <w:t xml:space="preserve">flue</w:t>
      </w:r>
      <w:r>
        <w:t xml:space="preserve"> </w:t>
      </w:r>
      <w:r>
        <w:t xml:space="preserve">Flueless Open to</w:t>
      </w:r>
      <w:r>
        <w:t xml:space="preserve"> </w:t>
      </w:r>
      <w:r>
        <w:t xml:space="preserve">chimney</w:t>
      </w:r>
      <w:r>
        <w:br/>
      </w:r>
      <w:r>
        <w:t xml:space="preserve">Bulk plastic (e.g. ABS) g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TEC plastic (e.g. PA6) g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Ferro (cast iron) g</w:t>
      </w:r>
      <w:r>
        <w:t xml:space="preserve"> </w:t>
      </w:r>
      <w:r>
        <w:t xml:space="preserve">17,820</w:t>
      </w:r>
      <w:r>
        <w:t xml:space="preserve"> </w:t>
      </w:r>
      <w:r>
        <w:t xml:space="preserve">17,820</w:t>
      </w:r>
      <w:r>
        <w:t xml:space="preserve"> </w:t>
      </w:r>
      <w:r>
        <w:t xml:space="preserve">17,820</w:t>
      </w:r>
      <w:r>
        <w:t xml:space="preserve"> </w:t>
      </w:r>
      <w:r>
        <w:t xml:space="preserve">8,910</w:t>
      </w:r>
      <w:r>
        <w:t xml:space="preserve"> </w:t>
      </w:r>
      <w:r>
        <w:t xml:space="preserve">8,910</w:t>
      </w:r>
      <w:r>
        <w:t xml:space="preserve"> </w:t>
      </w:r>
      <w:r>
        <w:t xml:space="preserve">Non-ferro (CU) g</w:t>
      </w:r>
      <w:r>
        <w:t xml:space="preserve"> </w:t>
      </w:r>
      <w:r>
        <w:t xml:space="preserve">396</w:t>
      </w:r>
      <w:r>
        <w:t xml:space="preserve"> </w:t>
      </w:r>
      <w:r>
        <w:t xml:space="preserve">396</w:t>
      </w:r>
      <w:r>
        <w:t xml:space="preserve"> </w:t>
      </w:r>
      <w:r>
        <w:t xml:space="preserve">396</w:t>
      </w:r>
      <w:r>
        <w:t xml:space="preserve"> </w:t>
      </w:r>
      <w:r>
        <w:t xml:space="preserve">198</w:t>
      </w:r>
      <w:r>
        <w:t xml:space="preserve"> </w:t>
      </w:r>
      <w:r>
        <w:t xml:space="preserve">198</w:t>
      </w:r>
      <w:r>
        <w:t xml:space="preserve"> </w:t>
      </w:r>
      <w:r>
        <w:t xml:space="preserve">Non-ferro (Al) g</w:t>
      </w:r>
      <w:r>
        <w:t xml:space="preserve"> </w:t>
      </w:r>
      <w:r>
        <w:t xml:space="preserve">396</w:t>
      </w:r>
      <w:r>
        <w:t xml:space="preserve"> </w:t>
      </w:r>
      <w:r>
        <w:t xml:space="preserve">396</w:t>
      </w:r>
      <w:r>
        <w:t xml:space="preserve"> </w:t>
      </w:r>
      <w:r>
        <w:t xml:space="preserve">396</w:t>
      </w:r>
      <w:r>
        <w:t xml:space="preserve"> </w:t>
      </w:r>
      <w:r>
        <w:t xml:space="preserve">198</w:t>
      </w:r>
      <w:r>
        <w:t xml:space="preserve"> </w:t>
      </w:r>
      <w:r>
        <w:t xml:space="preserve">198</w:t>
      </w:r>
      <w:r>
        <w:t xml:space="preserve"> </w:t>
      </w:r>
      <w:r>
        <w:t xml:space="preserve">Coating g</w:t>
      </w:r>
      <w:r>
        <w:t xml:space="preserve"> </w:t>
      </w:r>
      <w:r>
        <w:t xml:space="preserve">732</w:t>
      </w:r>
      <w:r>
        <w:t xml:space="preserve"> </w:t>
      </w:r>
      <w:r>
        <w:t xml:space="preserve">732</w:t>
      </w:r>
      <w:r>
        <w:t xml:space="preserve"> </w:t>
      </w:r>
      <w:r>
        <w:t xml:space="preserve">732</w:t>
      </w:r>
      <w:r>
        <w:t xml:space="preserve"> </w:t>
      </w:r>
      <w:r>
        <w:t xml:space="preserve">366</w:t>
      </w:r>
      <w:r>
        <w:t xml:space="preserve"> </w:t>
      </w:r>
      <w:r>
        <w:t xml:space="preserve">366</w:t>
      </w:r>
      <w:r>
        <w:t xml:space="preserve"> </w:t>
      </w:r>
      <w:r>
        <w:t xml:space="preserve">Electronics (PCBs) g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Miscellaneous g</w:t>
      </w:r>
      <w:r>
        <w:t xml:space="preserve"> </w:t>
      </w:r>
      <w:r>
        <w:t xml:space="preserve">346</w:t>
      </w:r>
      <w:r>
        <w:t xml:space="preserve"> </w:t>
      </w:r>
      <w:r>
        <w:t xml:space="preserve">346</w:t>
      </w:r>
      <w:r>
        <w:t xml:space="preserve"> </w:t>
      </w:r>
      <w:r>
        <w:t xml:space="preserve">346</w:t>
      </w:r>
      <w:r>
        <w:t xml:space="preserve"> </w:t>
      </w:r>
      <w:r>
        <w:t xml:space="preserve">173</w:t>
      </w:r>
      <w:r>
        <w:t xml:space="preserve"> </w:t>
      </w:r>
      <w:r>
        <w:t xml:space="preserve">173</w:t>
      </w:r>
      <w:r>
        <w:t xml:space="preserve"> </w:t>
      </w:r>
      <w:r>
        <w:t xml:space="preserve">Total</w:t>
      </w:r>
      <w:r>
        <w:t xml:space="preserve"> </w:t>
      </w:r>
      <w:r>
        <w:t xml:space="preserve">19,765</w:t>
      </w:r>
      <w:r>
        <w:t xml:space="preserve"> </w:t>
      </w:r>
      <w:r>
        <w:t xml:space="preserve">19,765</w:t>
      </w:r>
      <w:r>
        <w:t xml:space="preserve"> </w:t>
      </w:r>
      <w:r>
        <w:t xml:space="preserve">19,765</w:t>
      </w:r>
      <w:r>
        <w:t xml:space="preserve"> </w:t>
      </w:r>
      <w:r>
        <w:t xml:space="preserve">9,883</w:t>
      </w:r>
      <w:r>
        <w:t xml:space="preserve"> </w:t>
      </w:r>
      <w:r>
        <w:t xml:space="preserve">9,883</w:t>
      </w:r>
      <w:r>
        <w:t xml:space="preserve"> </w:t>
      </w:r>
      <w:r>
        <w:t xml:space="preserve">Table A4-20. Material composition of gas/liquid heaters</w:t>
      </w:r>
    </w:p>
    <w:p>
      <w:pPr>
        <w:pStyle w:val="BodyText"/>
      </w:pPr>
      <w:r>
        <w:t xml:space="preserve">Luminous local space</w:t>
      </w:r>
      <w:r>
        <w:t xml:space="preserve"> </w:t>
      </w:r>
      <w:r>
        <w:t xml:space="preserve">heaters (non-residential)</w:t>
      </w:r>
      <w:r>
        <w:t xml:space="preserve"> </w:t>
      </w:r>
      <w:r>
        <w:t xml:space="preserve">Tube local space heaters63</w:t>
      </w:r>
      <w:r>
        <w:t xml:space="preserve"> </w:t>
      </w:r>
      <w:r>
        <w:t xml:space="preserve">(non-residential)</w:t>
      </w:r>
      <w:r>
        <w:t xml:space="preserve"> </w:t>
      </w:r>
      <w:r>
        <w:t xml:space="preserve">Bulk plastic (e.g. ABS) 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TEC plastic (e.g. PA6) 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Ferro (cast iron) g</w:t>
      </w:r>
      <w:r>
        <w:t xml:space="preserve"> </w:t>
      </w:r>
      <w:r>
        <w:t xml:space="preserve">17,000</w:t>
      </w:r>
      <w:r>
        <w:t xml:space="preserve"> </w:t>
      </w:r>
      <w:r>
        <w:t xml:space="preserve">76,500</w:t>
      </w:r>
      <w:r>
        <w:t xml:space="preserve"> </w:t>
      </w:r>
      <w:r>
        <w:t xml:space="preserve">Non-ferro (CU) g</w:t>
      </w:r>
      <w:r>
        <w:t xml:space="preserve"> </w:t>
      </w:r>
      <w:r>
        <w:t xml:space="preserve">0</w:t>
      </w:r>
      <w:r>
        <w:t xml:space="preserve"> </w:t>
      </w:r>
      <w:r>
        <w:t xml:space="preserve">307</w:t>
      </w:r>
      <w:r>
        <w:t xml:space="preserve"> </w:t>
      </w:r>
      <w:r>
        <w:t xml:space="preserve">Non-ferro (Al) g</w:t>
      </w:r>
      <w:r>
        <w:t xml:space="preserve"> </w:t>
      </w:r>
      <w:r>
        <w:t xml:space="preserve">0</w:t>
      </w:r>
      <w:r>
        <w:t xml:space="preserve"> </w:t>
      </w:r>
      <w:r>
        <w:t xml:space="preserve">307</w:t>
      </w:r>
      <w:r>
        <w:t xml:space="preserve"> </w:t>
      </w:r>
      <w:r>
        <w:t xml:space="preserve">Coating g</w:t>
      </w:r>
      <w:r>
        <w:t xml:space="preserve"> </w:t>
      </w:r>
      <w:r>
        <w:t xml:space="preserve">800</w:t>
      </w:r>
      <w:r>
        <w:t xml:space="preserve"> </w:t>
      </w:r>
      <w:r>
        <w:t xml:space="preserve">3,600</w:t>
      </w:r>
      <w:r>
        <w:t xml:space="preserve"> </w:t>
      </w:r>
      <w:r>
        <w:t xml:space="preserve">Electronics (PCBs) g</w:t>
      </w:r>
      <w:r>
        <w:t xml:space="preserve"> </w:t>
      </w:r>
      <w:r>
        <w:t xml:space="preserve">400</w:t>
      </w:r>
      <w:r>
        <w:t xml:space="preserve"> </w:t>
      </w:r>
      <w:r>
        <w:t xml:space="preserve">1,800</w:t>
      </w:r>
    </w:p>
    <w:p>
      <w:pPr>
        <w:pStyle w:val="BodyText"/>
      </w:pPr>
      <w:r>
        <w:t xml:space="preserve">63 Large tube heaters (120-300 kW) have been scaled up based on an average capacity of 200 kW.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Miscellaneous g</w:t>
      </w:r>
      <w:r>
        <w:t xml:space="preserve"> </w:t>
      </w:r>
      <w:r>
        <w:t xml:space="preserve">1,800</w:t>
      </w:r>
      <w:r>
        <w:t xml:space="preserve"> </w:t>
      </w:r>
      <w:r>
        <w:t xml:space="preserve">8,100</w:t>
      </w:r>
      <w:r>
        <w:t xml:space="preserve"> </w:t>
      </w:r>
      <w:r>
        <w:t xml:space="preserve">Total</w:t>
      </w:r>
      <w:r>
        <w:t xml:space="preserve"> </w:t>
      </w:r>
      <w:r>
        <w:t xml:space="preserve">20,000</w:t>
      </w:r>
      <w:r>
        <w:t xml:space="preserve"> </w:t>
      </w:r>
      <w:r>
        <w:t xml:space="preserve">90,614</w:t>
      </w:r>
      <w:r>
        <w:t xml:space="preserve"> </w:t>
      </w:r>
      <w:r>
        <w:t xml:space="preserve">Table A4-21. Material composition of commercial heaters</w:t>
      </w:r>
      <w:r>
        <w:t xml:space="preserve"> </w:t>
      </w:r>
      <w:r>
        <w:t xml:space="preserve">5.</w:t>
      </w:r>
      <w:r>
        <w:t xml:space="preserve"> </w:t>
      </w:r>
      <w:r>
        <w:t xml:space="preserve">MAIN ASSUMPTIONS FOR THE MODELLING</w:t>
      </w:r>
      <w:r>
        <w:t xml:space="preserve"> </w:t>
      </w:r>
      <w:r>
        <w:t xml:space="preserve">Due to the lack of available data, some assumptions have been made in order to complete the</w:t>
      </w:r>
      <w:r>
        <w:t xml:space="preserve"> </w:t>
      </w:r>
      <w:r>
        <w:t xml:space="preserve">calculation of the impacts, according to stakeholders input during the review study and notably</w:t>
      </w:r>
      <w:r>
        <w:t xml:space="preserve"> </w:t>
      </w:r>
      <w:r>
        <w:t xml:space="preserve">from the industry. Table A4-22 summarises those assumptions.</w:t>
      </w:r>
    </w:p>
    <w:p>
      <w:pPr>
        <w:pStyle w:val="BodyText"/>
      </w:pPr>
      <w:r>
        <w:t xml:space="preserve">Common to all the new product sub-groups falling in the scope</w:t>
      </w:r>
    </w:p>
    <w:p>
      <w:pPr>
        <w:pStyle w:val="BodyText"/>
      </w:pPr>
      <w:r>
        <w:t xml:space="preserve">The efficiency of the new product sub-groups coming in the scope rises from 78% (BAU)</w:t>
      </w:r>
      <w:r>
        <w:t xml:space="preserve"> </w:t>
      </w:r>
      <w:r>
        <w:t xml:space="preserve">to 81,75%</w:t>
      </w:r>
      <w:r>
        <w:br/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Removing the exemption for slave heaters</w:t>
      </w:r>
      <w:r>
        <w:t xml:space="preserve"> </w:t>
      </w:r>
      <w:r>
        <w:t xml:space="preserve">-</w:t>
      </w:r>
      <w:r>
        <w:t xml:space="preserve"> </w:t>
      </w:r>
      <w:r>
        <w:t xml:space="preserve">Electric fixed heaters: the share of electric fixed slave heaters that do not fulfil the</w:t>
      </w:r>
      <w:r>
        <w:t xml:space="preserve"> </w:t>
      </w:r>
      <w:r>
        <w:t xml:space="preserve">ecodesign requirements and will need to fulfil them due to the application of the</w:t>
      </w:r>
      <w:r>
        <w:t xml:space="preserve"> </w:t>
      </w:r>
      <w:r>
        <w:t xml:space="preserve">measure has been estimated in 30% of the existing stock. This share is based on</w:t>
      </w:r>
      <w:r>
        <w:t xml:space="preserve"> </w:t>
      </w:r>
      <w:r>
        <w:t xml:space="preserve">stakeholders input, mainly from industry.</w:t>
      </w:r>
      <w:r>
        <w:t xml:space="preserve"> </w:t>
      </w:r>
      <w:r>
        <w:t xml:space="preserve">-</w:t>
      </w:r>
      <w:r>
        <w:t xml:space="preserve"> </w:t>
      </w:r>
      <w:r>
        <w:t xml:space="preserve">Electric underfloor heaters: the share of electric underfloor heaters that do not fulfil the</w:t>
      </w:r>
      <w:r>
        <w:t xml:space="preserve"> </w:t>
      </w:r>
      <w:r>
        <w:t xml:space="preserve">ecodesign requirements and will need to fulfil them due to the application of the</w:t>
      </w:r>
      <w:r>
        <w:t xml:space="preserve"> </w:t>
      </w:r>
      <w:r>
        <w:t xml:space="preserve">measure has been estimated in 90% of the existing stock. This share is based on</w:t>
      </w:r>
      <w:r>
        <w:t xml:space="preserve"> </w:t>
      </w:r>
      <w:r>
        <w:t xml:space="preserve">stakeholders input, mainly from industry.</w:t>
      </w:r>
      <w:r>
        <w:t xml:space="preserve"> </w:t>
      </w:r>
      <w:r>
        <w:t xml:space="preserve">Including in the scope of the LSH Regulation electric heaters for drying and heating</w:t>
      </w:r>
      <w:r>
        <w:t xml:space="preserve"> </w:t>
      </w:r>
      <w:r>
        <w:t xml:space="preserve">towels</w:t>
      </w:r>
      <w:r>
        <w:t xml:space="preserve"> </w:t>
      </w:r>
      <w:r>
        <w:t xml:space="preserve">-</w:t>
      </w:r>
      <w:r>
        <w:t xml:space="preserve"> </w:t>
      </w:r>
      <w:r>
        <w:t xml:space="preserve">The share of towel heaters that do not fulfil the ecodesign requirements and will need</w:t>
      </w:r>
      <w:r>
        <w:t xml:space="preserve"> </w:t>
      </w:r>
      <w:r>
        <w:t xml:space="preserve">to fulfil them due to the application of the measure has been estimated in 90% of the</w:t>
      </w:r>
      <w:r>
        <w:t xml:space="preserve"> </w:t>
      </w:r>
      <w:r>
        <w:t xml:space="preserve">existing stock. This share is based on stakeholders input, mainly from industry.</w:t>
      </w:r>
      <w:r>
        <w:t xml:space="preserve"> </w:t>
      </w:r>
      <w:r>
        <w:t xml:space="preserve">-</w:t>
      </w:r>
      <w:r>
        <w:t xml:space="preserve"> </w:t>
      </w:r>
      <w:r>
        <w:t xml:space="preserve">The 10 % of towel heaters that were already on scope of the LSH Regulation are</w:t>
      </w:r>
      <w:r>
        <w:t xml:space="preserve"> </w:t>
      </w:r>
      <w:r>
        <w:t xml:space="preserve">assumed to be above 250 W and therefore feature the same energy efficiency as fixed</w:t>
      </w:r>
      <w:r>
        <w:t xml:space="preserve"> </w:t>
      </w:r>
      <w:r>
        <w:t xml:space="preserve">heaters (i.e. 95% efficiency).</w:t>
      </w:r>
      <w:r>
        <w:br/>
      </w:r>
      <w:r>
        <w:t xml:space="preserve">Including in the scope of the LSH Regulation tube heaters between 120 and 300 kW</w:t>
      </w:r>
      <w:r>
        <w:br/>
      </w:r>
      <w:r>
        <w:t xml:space="preserve">Tube heaters of 120 - 300 kW increase energy efficiency from 83 % to 85 % to match the</w:t>
      </w:r>
      <w:r>
        <w:t xml:space="preserve"> </w:t>
      </w:r>
      <w:r>
        <w:t xml:space="preserve">efficiencies of tube heaters &lt; 120 kW</w:t>
      </w:r>
      <w:r>
        <w:t xml:space="preserve"> </w:t>
      </w:r>
      <w:r>
        <w:t xml:space="preserve">Changing the definition of gas and liquid heaters</w:t>
      </w:r>
      <w:r>
        <w:t xml:space="preserve"> </w:t>
      </w:r>
      <w:r>
        <w:t xml:space="preserve">Gas open combustion/closed fronted increases efficiency from 60 % to 64 %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Removing factor F(4) for standby and replacing it by suitable low power modes</w:t>
      </w:r>
      <w:r>
        <w:t xml:space="preserve"> </w:t>
      </w:r>
      <w:r>
        <w:t xml:space="preserve">All electric products received a 0,5 % increase in energy efficiency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Software updates for apps</w:t>
      </w:r>
      <w:r>
        <w:t xml:space="preserve"> </w:t>
      </w:r>
      <w:r>
        <w:t xml:space="preserve">All electric products get a 0,5 % increase in energy efficiency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Availability of spare parts, repair and maintenance information requirement and</w:t>
      </w:r>
      <w:r>
        <w:t xml:space="preserve"> </w:t>
      </w:r>
      <w:r>
        <w:t xml:space="preserve">EOL information requirement</w:t>
      </w:r>
      <w:r>
        <w:t xml:space="preserve"> </w:t>
      </w:r>
      <w:r>
        <w:t xml:space="preserve">Repair costs</w:t>
      </w:r>
      <w:r>
        <w:t xml:space="preserve"> </w:t>
      </w:r>
      <w:r>
        <w:t xml:space="preserve">-</w:t>
      </w:r>
      <w:r>
        <w:t xml:space="preserve"> </w:t>
      </w:r>
      <w:r>
        <w:t xml:space="preserve">20% of the products are repaired only once over their lifetime</w:t>
      </w:r>
      <w:r>
        <w:t xml:space="preserve"> </w:t>
      </w:r>
      <w:r>
        <w:t xml:space="preserve">-</w:t>
      </w:r>
      <w:r>
        <w:t xml:space="preserve"> </w:t>
      </w:r>
      <w:r>
        <w:t xml:space="preserve">Additional repair rate of 20% of the product price</w:t>
      </w:r>
      <w:r>
        <w:t xml:space="preserve"> </w:t>
      </w:r>
      <w:r>
        <w:t xml:space="preserve">Lifetime electric</w:t>
      </w:r>
      <w:r>
        <w:t xml:space="preserve"> </w:t>
      </w:r>
      <w:r>
        <w:t xml:space="preserve">-</w:t>
      </w:r>
      <w:r>
        <w:t xml:space="preserve"> </w:t>
      </w:r>
      <w:r>
        <w:t xml:space="preserve">No lifetime increase for: electric portable, fixed &lt; 250 W and electric underfloor</w:t>
      </w:r>
      <w:r>
        <w:t xml:space="preserve"> </w:t>
      </w:r>
      <w:r>
        <w:t xml:space="preserve">heaters.</w:t>
      </w:r>
      <w:r>
        <w:br/>
      </w:r>
      <w:r>
        <w:t xml:space="preserve">-</w:t>
      </w:r>
      <w:r>
        <w:t xml:space="preserve"> </w:t>
      </w:r>
      <w:r>
        <w:t xml:space="preserve">5% lifetime increase for: electric fixed &gt; 250 W, storage heaters, visibly glowing,</w:t>
      </w:r>
      <w:r>
        <w:t xml:space="preserve"> </w:t>
      </w:r>
      <w:r>
        <w:t xml:space="preserve">towel heaters</w:t>
      </w:r>
      <w:r>
        <w:t xml:space="preserve"> </w:t>
      </w:r>
      <w:r>
        <w:t xml:space="preserve">Lifetime gas and liquid</w:t>
      </w:r>
      <w:r>
        <w:t xml:space="preserve"> </w:t>
      </w:r>
      <w:r>
        <w:t xml:space="preserve">-</w:t>
      </w:r>
      <w:r>
        <w:t xml:space="preserve"> </w:t>
      </w:r>
      <w:r>
        <w:t xml:space="preserve">No lifetime increase for: flueless and open to chimney</w:t>
      </w:r>
      <w:r>
        <w:t xml:space="preserve"> </w:t>
      </w:r>
      <w:r>
        <w:t xml:space="preserve">-</w:t>
      </w:r>
      <w:r>
        <w:t xml:space="preserve"> </w:t>
      </w:r>
      <w:r>
        <w:t xml:space="preserve">5% lifetime increase for all other gas and liquid types</w:t>
      </w:r>
      <w:r>
        <w:t xml:space="preserve"> </w:t>
      </w:r>
      <w:r>
        <w:t xml:space="preserve">Table A4-22: Overview of each measure and how their quantitative effects are modelled through changes to PO1, i.e. </w:t>
      </w:r>
      <w:r>
        <w:t xml:space="preserve"> </w:t>
      </w:r>
      <w:r>
        <w:t xml:space="preserve">the BAU scenario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ANNEX 5: ADDITIONAL INFORMATION ON THE IMPACTS OF THE</w:t>
      </w:r>
      <w:r>
        <w:t xml:space="preserve"> </w:t>
      </w:r>
      <w:r>
        <w:t xml:space="preserve">MEASURES</w:t>
      </w:r>
      <w:r>
        <w:t xml:space="preserve"> </w:t>
      </w:r>
      <w:r>
        <w:t xml:space="preserve">This section provides additional information on the impacts of the measures proposed. It</w:t>
      </w:r>
      <w:r>
        <w:t xml:space="preserve"> </w:t>
      </w:r>
      <w:r>
        <w:t xml:space="preserve">consists of two parts: the first part provides additional graphic information about the</w:t>
      </w:r>
      <w:r>
        <w:t xml:space="preserve"> </w:t>
      </w:r>
      <w:r>
        <w:t xml:space="preserve">impacts already assessed in section 6 of the report. The second part assesses the impacts</w:t>
      </w:r>
      <w:r>
        <w:t xml:space="preserve"> </w:t>
      </w:r>
      <w:r>
        <w:t xml:space="preserve">of the policy options on two new parameters related to resource efficiency: water</w:t>
      </w:r>
      <w:r>
        <w:t xml:space="preserve"> </w:t>
      </w:r>
      <w:r>
        <w:t xml:space="preserve">consumption and waste generation.</w:t>
      </w:r>
      <w:r>
        <w:t xml:space="preserve"> </w:t>
      </w:r>
      <w:r>
        <w:t xml:space="preserve">1.</w:t>
      </w:r>
      <w:r>
        <w:t xml:space="preserve"> </w:t>
      </w:r>
      <w:r>
        <w:t xml:space="preserve">FURTHER INSIGHT ON THE ANALYSIS OF THE IMPACTS ASSESSED IN SECTION 6 OF</w:t>
      </w:r>
      <w:r>
        <w:t xml:space="preserve"> </w:t>
      </w:r>
      <w:r>
        <w:t xml:space="preserve">THE IA</w:t>
      </w:r>
      <w:r>
        <w:t xml:space="preserve"> </w:t>
      </w:r>
      <w:r>
        <w:t xml:space="preserve">1.1.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1.1.1. In-use energy consumption</w:t>
      </w:r>
      <w:r>
        <w:t xml:space="preserve"> </w:t>
      </w:r>
      <w:r>
        <w:t xml:space="preserve">Under the BAU scenario, the final energy consumption of local space heaters is expected</w:t>
      </w:r>
      <w:r>
        <w:t xml:space="preserve"> </w:t>
      </w:r>
      <w:r>
        <w:t xml:space="preserve">to decrease 19% in 2030 with respect to 2020 levels, from 172 TWh/year down to 140</w:t>
      </w:r>
      <w:r>
        <w:t xml:space="preserve"> </w:t>
      </w:r>
      <w:r>
        <w:t xml:space="preserve">Twh/h. This saving comes from the increase in energy efficiency due to technological</w:t>
      </w:r>
      <w:r>
        <w:t xml:space="preserve"> </w:t>
      </w:r>
      <w:r>
        <w:t xml:space="preserve">improvements, but also from a decrease in the heating demand due to the global warming</w:t>
      </w:r>
      <w:r>
        <w:t xml:space="preserve"> </w:t>
      </w:r>
      <w:r>
        <w:t xml:space="preserve">and a better insulation of buildings.</w:t>
      </w:r>
    </w:p>
    <w:p>
      <w:pPr>
        <w:pStyle w:val="BodyText"/>
      </w:pPr>
      <w:r>
        <w:t xml:space="preserve">Figure A5-1. EU energy consumption 2020-2050 during the use phase for each PO</w:t>
      </w:r>
      <w:r>
        <w:t xml:space="preserve"> </w:t>
      </w:r>
      <w:r>
        <w:t xml:space="preserve">Most savings (in particular until 2040) come from measures that apply exclusively to</w:t>
      </w:r>
      <w:r>
        <w:t xml:space="preserve"> </w:t>
      </w:r>
      <w:r>
        <w:t xml:space="preserve">electric heaters (PO2a, PO2b and PO3). Removing the exemption for slave heaters</w:t>
      </w:r>
      <w:r>
        <w:t xml:space="preserve"> </w:t>
      </w:r>
      <w:r>
        <w:t xml:space="preserve">(measure PO2a) accounts for the highest electricity savings, with around 72% of the total</w:t>
      </w:r>
      <w:r>
        <w:t xml:space="preserve"> </w:t>
      </w:r>
      <w:r>
        <w:t xml:space="preserve">energy savings for 2030.</w:t>
      </w:r>
      <w:r>
        <w:br/>
      </w:r>
      <w:r>
        <w:t xml:space="preserve">Measures related to circular economy (PO4a and PO4b) do not yield significant results</w:t>
      </w:r>
      <w:r>
        <w:t xml:space="preserve"> </w:t>
      </w:r>
      <w:r>
        <w:t xml:space="preserve">on in-use energy savings. Only modularity is able to reduce energy consumption by a</w:t>
      </w:r>
      <w:r>
        <w:t xml:space="preserve"> </w:t>
      </w:r>
      <w:r>
        <w:t xml:space="preserve">very small quantity due to the upgrading of the controllers and the subsequent</w:t>
      </w:r>
      <w:r>
        <w:t xml:space="preserve"> </w:t>
      </w:r>
      <w:r>
        <w:t xml:space="preserve">improvement of energy efficiency.</w:t>
      </w:r>
      <w:r>
        <w:br/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2015</w:t>
      </w:r>
      <w:r>
        <w:t xml:space="preserve"> </w:t>
      </w:r>
      <w:r>
        <w:t xml:space="preserve">2025</w:t>
      </w:r>
      <w:r>
        <w:t xml:space="preserve"> </w:t>
      </w:r>
      <w:r>
        <w:t xml:space="preserve">2035</w:t>
      </w:r>
      <w:r>
        <w:t xml:space="preserve"> </w:t>
      </w:r>
      <w:r>
        <w:t xml:space="preserve">2045</w:t>
      </w:r>
      <w:r>
        <w:t xml:space="preserve"> </w:t>
      </w:r>
      <w:r>
        <w:t xml:space="preserve">TWh/year</w:t>
      </w:r>
      <w:r>
        <w:t xml:space="preserve"> </w:t>
      </w:r>
      <w:r>
        <w:t xml:space="preserve">PO1 (BAU)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1.1.2. Primary energy consumption</w:t>
      </w:r>
      <w:r>
        <w:t xml:space="preserve"> </w:t>
      </w:r>
      <w:r>
        <w:t xml:space="preserve">In addition to the use phase, primary energy includes embedded energy from production,</w:t>
      </w:r>
      <w:r>
        <w:t xml:space="preserve"> </w:t>
      </w:r>
      <w:r>
        <w:t xml:space="preserve">distribution and end-of-life phases, i.e. all life cycle phases other than the use phase. The</w:t>
      </w:r>
      <w:r>
        <w:t xml:space="preserve"> </w:t>
      </w:r>
      <w:r>
        <w:t xml:space="preserve">primary energy consumption follows a similar trend as the final energy consumption seen</w:t>
      </w:r>
      <w:r>
        <w:t xml:space="preserve"> </w:t>
      </w:r>
      <w:r>
        <w:t xml:space="preserve">above, due to the embedded energy being less than 1% (0,4%) of the total energy</w:t>
      </w:r>
      <w:r>
        <w:t xml:space="preserve"> </w:t>
      </w:r>
      <w:r>
        <w:t xml:space="preserve">consumption.</w:t>
      </w:r>
    </w:p>
    <w:p>
      <w:pPr>
        <w:pStyle w:val="BodyText"/>
      </w:pPr>
      <w:r>
        <w:t xml:space="preserve">Figure A5-2. EU primary energy consumption 2020-2050 for embedded energy and during use phase for</w:t>
      </w:r>
      <w:r>
        <w:t xml:space="preserve"> </w:t>
      </w:r>
      <w:r>
        <w:t xml:space="preserve">each PO</w:t>
      </w:r>
      <w:r>
        <w:br/>
      </w:r>
      <w:r>
        <w:t xml:space="preserve">Under BAU, primary energy consumption is expected to decrease by 18% in 2030,</w:t>
      </w:r>
      <w:r>
        <w:t xml:space="preserve"> </w:t>
      </w:r>
      <w:r>
        <w:t xml:space="preserve">namely 5,5 Mtoe/year.</w:t>
      </w:r>
      <w:r>
        <w:br/>
      </w:r>
      <w:r>
        <w:t xml:space="preserve">Measure PO2a provides again the highest savings compared to BAU. The contribution of</w:t>
      </w:r>
      <w:r>
        <w:t xml:space="preserve"> </w:t>
      </w:r>
      <w:r>
        <w:t xml:space="preserve">circular economy measures is still very low, although it can be noticed a slight effect</w:t>
      </w:r>
      <w:r>
        <w:t xml:space="preserve"> </w:t>
      </w:r>
      <w:r>
        <w:t xml:space="preserve">from PO4a on the embedded energy due to the extension of the lifetime of certain types</w:t>
      </w:r>
      <w:r>
        <w:t xml:space="preserve"> </w:t>
      </w:r>
      <w:r>
        <w:t xml:space="preserve">of heaters. This effect is only noticeable as from 2035 as the products purchased in 2025</w:t>
      </w:r>
      <w:r>
        <w:t xml:space="preserve"> </w:t>
      </w:r>
      <w:r>
        <w:t xml:space="preserve">are getting older and need to be repaired.</w:t>
      </w:r>
      <w:r>
        <w:t xml:space="preserve"> </w:t>
      </w:r>
      <w:r>
        <w:t xml:space="preserve">1.1.3. Greenhouse gas emissions reduction</w:t>
      </w:r>
      <w:r>
        <w:t xml:space="preserve"> </w:t>
      </w:r>
      <w:r>
        <w:t xml:space="preserve">Alike primary energy, GHG emissions also include embedded emissions from</w:t>
      </w:r>
      <w:r>
        <w:t xml:space="preserve"> </w:t>
      </w:r>
      <w:r>
        <w:t xml:space="preserve">production, distribution and end-of-life. Under BAU, GHG emissions are reduced by</w:t>
      </w:r>
      <w:r>
        <w:t xml:space="preserve"> </w:t>
      </w:r>
      <w:r>
        <w:t xml:space="preserve">43% from 2020 to 2030 and by 79% in 2050, due to energy savings enhanced by the</w:t>
      </w:r>
      <w:r>
        <w:t xml:space="preserve"> </w:t>
      </w:r>
      <w:r>
        <w:t xml:space="preserve">expected reduction in carbon intensity of the electricity mix.</w:t>
      </w:r>
      <w:r>
        <w:br/>
      </w:r>
      <w:r>
        <w:t xml:space="preserve">Measure PO2a brings about the highest GHG emission savings, approximately a 70% of</w:t>
      </w:r>
      <w:r>
        <w:t xml:space="preserve"> </w:t>
      </w:r>
      <w:r>
        <w:t xml:space="preserve">the total. Same as for the final energy consumption, PO4a has a slight influence on GHG</w:t>
      </w:r>
      <w:r>
        <w:t xml:space="preserve"> </w:t>
      </w:r>
      <w:r>
        <w:t xml:space="preserve">emissions caused by the reduction of embedded energy that is noticed as from 2035.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MToe/year</w:t>
      </w:r>
      <w:r>
        <w:t xml:space="preserve"> </w:t>
      </w:r>
      <w:r>
        <w:t xml:space="preserve">PO1 (BAU)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Figure A5-3. EU GHG emissions 2020-2050 from production, distribution, use and end-of-life for each PO</w:t>
      </w:r>
      <w:r>
        <w:t xml:space="preserve"> </w:t>
      </w:r>
      <w:r>
        <w:t xml:space="preserve">1.2.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1.2.1. Turnover</w:t>
      </w:r>
      <w:r>
        <w:t xml:space="preserve"> </w:t>
      </w:r>
      <w:r>
        <w:t xml:space="preserve">The total turnover of the industry decreased between 2010 and 2015 due to dwindling</w:t>
      </w:r>
      <w:r>
        <w:t xml:space="preserve"> </w:t>
      </w:r>
      <w:r>
        <w:t xml:space="preserve">sales but increased again between 2015 and 2020 due to the better energy efficiencies</w:t>
      </w:r>
      <w:r>
        <w:t xml:space="preserve"> </w:t>
      </w:r>
      <w:r>
        <w:t xml:space="preserve">brought about by the current LSH Regulation. The application of the new policy options,</w:t>
      </w:r>
      <w:r>
        <w:t xml:space="preserve"> </w:t>
      </w:r>
      <w:r>
        <w:t xml:space="preserve">in particular the expansion of the regulatory scope to slave heaters, will lead to higher</w:t>
      </w:r>
      <w:r>
        <w:t xml:space="preserve"> </w:t>
      </w:r>
      <w:r>
        <w:t xml:space="preserve">efficiencies and subsequently higher sales prices and further increase of the turnover. In</w:t>
      </w:r>
      <w:r>
        <w:t xml:space="preserve"> </w:t>
      </w:r>
      <w:r>
        <w:t xml:space="preserve">the longer term, prices are expected to level off and the slight, continuous decrease in</w:t>
      </w:r>
      <w:r>
        <w:t xml:space="preserve"> </w:t>
      </w:r>
      <w:r>
        <w:t xml:space="preserve">sales of oil and gas-fuelled local space heaters, will also slowly reduce turnover towards</w:t>
      </w:r>
      <w:r>
        <w:t xml:space="preserve"> </w:t>
      </w:r>
      <w:r>
        <w:t xml:space="preserve">2050 for all options.</w:t>
      </w:r>
    </w:p>
    <w:p>
      <w:pPr>
        <w:pStyle w:val="BodyText"/>
      </w:pPr>
      <w:r>
        <w:t xml:space="preserve">Figure A5-4. Total turnover within the EU 2020-2050 for each policy option</w:t>
      </w:r>
      <w:r>
        <w:t xml:space="preserve"> </w:t>
      </w:r>
      <w:r>
        <w:t xml:space="preserve">Measure PO4b (modularity) leads to the greatest increase in turnover due to the need to</w:t>
      </w:r>
      <w:r>
        <w:t xml:space="preserve"> </w:t>
      </w:r>
      <w:r>
        <w:t xml:space="preserve">redesign the products in order to support modularity, which is reflected in higher prices.</w:t>
      </w:r>
      <w:r>
        <w:t xml:space="preserve"> </w:t>
      </w:r>
      <w:r>
        <w:t xml:space="preserve">PO4a on the contrary brings about a reduction of turnover in the long term due to a</w:t>
      </w:r>
      <w:r>
        <w:t xml:space="preserve"> </w:t>
      </w:r>
      <w:r>
        <w:t xml:space="preserve">longer lifetime of the products and the subsequent contraction of sales per year. PO2a, as</w:t>
      </w:r>
      <w:r>
        <w:t xml:space="preserve"> </w:t>
      </w:r>
      <w:r>
        <w:t xml:space="preserve">expected, raises also significantly the turnover following the achievement of better</w:t>
      </w:r>
      <w:r>
        <w:t xml:space="preserve"> </w:t>
      </w:r>
      <w:r>
        <w:t xml:space="preserve">efficiencies for slave heaters which leads to an increase of the prices.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MT CO2-eq./year</w:t>
      </w:r>
      <w:r>
        <w:t xml:space="preserve"> </w:t>
      </w:r>
      <w:r>
        <w:t xml:space="preserve">PO1 (BAU)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5.200</w:t>
      </w:r>
      <w:r>
        <w:t xml:space="preserve"> </w:t>
      </w:r>
      <w:r>
        <w:t xml:space="preserve">5.300</w:t>
      </w:r>
      <w:r>
        <w:t xml:space="preserve"> </w:t>
      </w:r>
      <w:r>
        <w:t xml:space="preserve">5.400</w:t>
      </w:r>
      <w:r>
        <w:t xml:space="preserve"> </w:t>
      </w:r>
      <w:r>
        <w:t xml:space="preserve">5.500</w:t>
      </w:r>
      <w:r>
        <w:t xml:space="preserve"> </w:t>
      </w:r>
      <w:r>
        <w:t xml:space="preserve">5.600</w:t>
      </w:r>
      <w:r>
        <w:t xml:space="preserve"> </w:t>
      </w:r>
      <w:r>
        <w:t xml:space="preserve">5.700</w:t>
      </w:r>
      <w:r>
        <w:t xml:space="preserve"> </w:t>
      </w:r>
      <w:r>
        <w:t xml:space="preserve">5.800</w:t>
      </w:r>
      <w:r>
        <w:t xml:space="preserve"> </w:t>
      </w:r>
      <w:r>
        <w:t xml:space="preserve">5.900</w:t>
      </w:r>
      <w:r>
        <w:t xml:space="preserve"> </w:t>
      </w:r>
      <w:r>
        <w:t xml:space="preserve">6.000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million EUR</w:t>
      </w:r>
      <w:r>
        <w:t xml:space="preserve"> </w:t>
      </w:r>
      <w:r>
        <w:t xml:space="preserve">PO1 (BAU)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1.2.2. Consumer expenditure</w:t>
      </w:r>
      <w:r>
        <w:t xml:space="preserve"> </w:t>
      </w:r>
      <w:r>
        <w:t xml:space="preserve">Consumer expenditure includes purchase costs (which in turn incorporates end-of-life</w:t>
      </w:r>
      <w:r>
        <w:t xml:space="preserve"> </w:t>
      </w:r>
      <w:r>
        <w:t xml:space="preserve">costs that are normally paid by the user through a levy at purchase), energy spent during</w:t>
      </w:r>
      <w:r>
        <w:t xml:space="preserve"> </w:t>
      </w:r>
      <w:r>
        <w:t xml:space="preserve">use, and repair and maintenance. The consumer expenditure under BAU is expected to</w:t>
      </w:r>
      <w:r>
        <w:t xml:space="preserve"> </w:t>
      </w:r>
      <w:r>
        <w:t xml:space="preserve">decrease from € 34.161 million in 2020 to € 30.657 million in 2030 (10% reduction) due</w:t>
      </w:r>
      <w:r>
        <w:t xml:space="preserve"> </w:t>
      </w:r>
      <w:r>
        <w:t xml:space="preserve">to energy efficiency improvements, rise of outdoor temperatures and better insulation of</w:t>
      </w:r>
      <w:r>
        <w:t xml:space="preserve"> </w:t>
      </w:r>
      <w:r>
        <w:t xml:space="preserve">buildings.</w:t>
      </w:r>
    </w:p>
    <w:p>
      <w:pPr>
        <w:pStyle w:val="BodyText"/>
      </w:pPr>
      <w:r>
        <w:t xml:space="preserve">Figure A5-5. Consumer expenditure including purchase costs, energy costs and repair &amp; maintenance</w:t>
      </w:r>
      <w:r>
        <w:t xml:space="preserve"> </w:t>
      </w:r>
      <w:r>
        <w:t xml:space="preserve">costs for 2020-2050, for each policy option</w:t>
      </w:r>
      <w:r>
        <w:t xml:space="preserve"> </w:t>
      </w:r>
      <w:r>
        <w:t xml:space="preserve">PO2a yields the highest benefits. Apart from PO4b which cost increase cannot be offset</w:t>
      </w:r>
      <w:r>
        <w:t xml:space="preserve"> </w:t>
      </w:r>
      <w:r>
        <w:t xml:space="preserve">by better energy efficiencies, the lowest benefit for consumer comes from PO2d. This is</w:t>
      </w:r>
      <w:r>
        <w:t xml:space="preserve"> </w:t>
      </w:r>
      <w:r>
        <w:t xml:space="preserve">because gas prices in the baseline scenario is only around 25% of electricity prices, what</w:t>
      </w:r>
      <w:r>
        <w:t xml:space="preserve"> </w:t>
      </w:r>
      <w:r>
        <w:t xml:space="preserve">makes that the increasing purchase prices cannot be fully offset through less fuel</w:t>
      </w:r>
      <w:r>
        <w:t xml:space="preserve"> </w:t>
      </w:r>
      <w:r>
        <w:t xml:space="preserve">consumption. Even if gas and electricity prices information is outdated in the light of the</w:t>
      </w:r>
      <w:r>
        <w:t xml:space="preserve"> </w:t>
      </w:r>
      <w:r>
        <w:t xml:space="preserve">current developments, the effect of PO2d remains nevertheless very small in the overall</w:t>
      </w:r>
      <w:r>
        <w:t xml:space="preserve"> </w:t>
      </w:r>
      <w:r>
        <w:t xml:space="preserve">context.</w:t>
      </w:r>
      <w:r>
        <w:t xml:space="preserve"> </w:t>
      </w:r>
      <w:r>
        <w:t xml:space="preserve">2.</w:t>
      </w:r>
      <w:r>
        <w:t xml:space="preserve"> </w:t>
      </w:r>
      <w:r>
        <w:t xml:space="preserve">RESOURCE EFFICIENCY ANALYSIS</w:t>
      </w:r>
      <w:r>
        <w:t xml:space="preserve"> </w:t>
      </w:r>
      <w:r>
        <w:t xml:space="preserve">From the EcoReport tool, two impacts are considered to be relevant from the point of</w:t>
      </w:r>
      <w:r>
        <w:t xml:space="preserve"> </w:t>
      </w:r>
      <w:r>
        <w:t xml:space="preserve">view of resource efficiency, on top of the analysis already made as regards fuel and</w:t>
      </w:r>
      <w:r>
        <w:t xml:space="preserve"> </w:t>
      </w:r>
      <w:r>
        <w:t xml:space="preserve">material consumption: water use and generation of waste. Water is mostly used during</w:t>
      </w:r>
      <w:r>
        <w:t xml:space="preserve"> </w:t>
      </w:r>
      <w:r>
        <w:t xml:space="preserve">the production phase, whereas waste is related to production and use. EoL waste has been</w:t>
      </w:r>
      <w:r>
        <w:t xml:space="preserve"> </w:t>
      </w:r>
      <w:r>
        <w:t xml:space="preserve">discounted as a negative contribution to total waste to account for recyclability.</w:t>
      </w:r>
      <w:r>
        <w:br/>
      </w:r>
      <w:r>
        <w:t xml:space="preserve">2.1.</w:t>
      </w:r>
      <w:r>
        <w:t xml:space="preserve"> </w:t>
      </w:r>
      <w:r>
        <w:t xml:space="preserve">Water consumption savings</w:t>
      </w:r>
      <w:r>
        <w:t xml:space="preserve"> </w:t>
      </w:r>
      <w:r>
        <w:t xml:space="preserve">Cumulative water consumption savings for each product subgroup have been calculated</w:t>
      </w:r>
      <w:r>
        <w:t xml:space="preserve"> </w:t>
      </w:r>
      <w:r>
        <w:t xml:space="preserve">as follows: first, the cumulative water consumption under BAU is obtained by</w:t>
      </w:r>
      <w:r>
        <w:t xml:space="preserve"> </w:t>
      </w:r>
      <w:r>
        <w:t xml:space="preserve">multiplying the water consumption per unit and product subgroup provided by the</w:t>
      </w:r>
      <w:r>
        <w:t xml:space="preserve"> </w:t>
      </w:r>
      <w:r>
        <w:t xml:space="preserve">EcoReport Tool, by the cumulative sales for the periods considered (2025-2030, 2025-</w:t>
      </w:r>
      <w:r>
        <w:t xml:space="preserve"> </w:t>
      </w:r>
      <w:r>
        <w:t xml:space="preserve">2040 and 2025-2050). Summing the subtotals for each product subgroup gives the total</w:t>
      </w:r>
      <w:r>
        <w:t xml:space="preserve"> </w:t>
      </w:r>
      <w:r>
        <w:t xml:space="preserve">water consumption under BAU, which is then multiplied by the ratio cumulative</w:t>
      </w:r>
      <w:r>
        <w:t xml:space="preserve"> </w:t>
      </w:r>
      <w:r>
        <w:t xml:space="preserve">embedded energy savings/embedded energy consumption under BAU for the same</w:t>
      </w:r>
      <w:r>
        <w:t xml:space="preserve"> </w:t>
      </w:r>
      <w:r>
        <w:t xml:space="preserve">periods, which gives the cumulative water savings. It has been assumed that water</w:t>
      </w:r>
      <w:r>
        <w:t xml:space="preserve"> </w:t>
      </w:r>
      <w:r>
        <w:t xml:space="preserve">25.000</w:t>
      </w:r>
      <w:r>
        <w:t xml:space="preserve"> </w:t>
      </w:r>
      <w:r>
        <w:t xml:space="preserve">27.000</w:t>
      </w:r>
      <w:r>
        <w:t xml:space="preserve"> </w:t>
      </w:r>
      <w:r>
        <w:t xml:space="preserve">29.000</w:t>
      </w:r>
      <w:r>
        <w:t xml:space="preserve"> </w:t>
      </w:r>
      <w:r>
        <w:t xml:space="preserve">31.000</w:t>
      </w:r>
      <w:r>
        <w:t xml:space="preserve"> </w:t>
      </w:r>
      <w:r>
        <w:t xml:space="preserve">33.000</w:t>
      </w:r>
      <w:r>
        <w:t xml:space="preserve"> </w:t>
      </w:r>
      <w:r>
        <w:t xml:space="preserve">35.000</w:t>
      </w:r>
      <w:r>
        <w:t xml:space="preserve"> </w:t>
      </w:r>
      <w:r>
        <w:t xml:space="preserve">37.000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million EUR/year</w:t>
      </w:r>
      <w:r>
        <w:t xml:space="preserve"> </w:t>
      </w:r>
      <w:r>
        <w:t xml:space="preserve">PO1 (BAU)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savings are proportional to embedded energy savings, since the use of water for local</w:t>
      </w:r>
      <w:r>
        <w:t xml:space="preserve"> </w:t>
      </w:r>
      <w:r>
        <w:t xml:space="preserve">space heaters is linked to its production, according to the EcoReport tool.</w:t>
      </w:r>
      <w:r>
        <w:t xml:space="preserve"> </w:t>
      </w:r>
      <w:r>
        <w:t xml:space="preserve">Water</w:t>
      </w:r>
      <w:r>
        <w:t xml:space="preserve"> </w:t>
      </w:r>
      <w:r>
        <w:t xml:space="preserve">consumption</w:t>
      </w:r>
      <w:r>
        <w:t xml:space="preserve"> </w:t>
      </w:r>
      <w:r>
        <w:t xml:space="preserve">per unit</w:t>
      </w:r>
      <w:r>
        <w:t xml:space="preserve"> </w:t>
      </w:r>
      <w:r>
        <w:t xml:space="preserve">Cumulative water</w:t>
      </w:r>
      <w:r>
        <w:t xml:space="preserve"> </w:t>
      </w:r>
      <w:r>
        <w:t xml:space="preserve">consumption</w:t>
      </w:r>
      <w:r>
        <w:t xml:space="preserve"> </w:t>
      </w:r>
      <w:r>
        <w:t xml:space="preserve">(Mlitres)</w:t>
      </w:r>
      <w:r>
        <w:t xml:space="preserve"> </w:t>
      </w:r>
      <w:r>
        <w:t xml:space="preserve">Ratio cumulative</w:t>
      </w:r>
      <w:r>
        <w:t xml:space="preserve"> </w:t>
      </w:r>
      <w:r>
        <w:t xml:space="preserve">energy savings/BAU</w:t>
      </w:r>
      <w:r>
        <w:t xml:space="preserve"> </w:t>
      </w:r>
      <w:r>
        <w:t xml:space="preserve">embedded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Total water saved</w:t>
      </w:r>
      <w:r>
        <w:t xml:space="preserve"> </w:t>
      </w:r>
      <w:r>
        <w:t xml:space="preserve">(Mlitres)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Electric portable</w:t>
      </w:r>
      <w:r>
        <w:br/>
      </w:r>
      <w:r>
        <w:t xml:space="preserve">32</w:t>
      </w:r>
      <w:r>
        <w:t xml:space="preserve"> </w:t>
      </w:r>
      <w:r>
        <w:t xml:space="preserve">1.372 3.658 5.943</w:t>
      </w:r>
    </w:p>
    <w:p>
      <w:pPr>
        <w:pStyle w:val="BodyText"/>
      </w:pPr>
      <w:r>
        <w:t xml:space="preserve">Electric fixed nominal heat</w:t>
      </w:r>
      <w:r>
        <w:t xml:space="preserve"> </w:t>
      </w:r>
      <w:r>
        <w:t xml:space="preserve">output &gt; 250 W</w:t>
      </w:r>
      <w:r>
        <w:t xml:space="preserve"> </w:t>
      </w:r>
      <w:r>
        <w:t xml:space="preserve">39</w:t>
      </w:r>
      <w:r>
        <w:t xml:space="preserve"> </w:t>
      </w:r>
      <w:r>
        <w:t xml:space="preserve">1.174 3.131 5.088</w:t>
      </w:r>
      <w:r>
        <w:t xml:space="preserve"> </w:t>
      </w:r>
      <w:r>
        <w:t xml:space="preserve">Electric fixed nominal heat</w:t>
      </w:r>
      <w:r>
        <w:t xml:space="preserve"> </w:t>
      </w:r>
      <w:r>
        <w:t xml:space="preserve">output =&lt; 250 W</w:t>
      </w:r>
      <w:r>
        <w:t xml:space="preserve"> </w:t>
      </w:r>
      <w:r>
        <w:t xml:space="preserve">29</w:t>
      </w:r>
      <w:r>
        <w:t xml:space="preserve"> </w:t>
      </w:r>
      <w:r>
        <w:t xml:space="preserve">218</w:t>
      </w:r>
      <w:r>
        <w:t xml:space="preserve"> </w:t>
      </w:r>
      <w:r>
        <w:t xml:space="preserve">582</w:t>
      </w:r>
      <w:r>
        <w:t xml:space="preserve"> </w:t>
      </w:r>
      <w:r>
        <w:t xml:space="preserve">946</w:t>
      </w:r>
      <w:r>
        <w:t xml:space="preserve"> </w:t>
      </w:r>
      <w:r>
        <w:t xml:space="preserve">Electric storage</w:t>
      </w:r>
      <w:r>
        <w:br/>
      </w:r>
      <w:r>
        <w:t xml:space="preserve">729</w:t>
      </w:r>
      <w:r>
        <w:t xml:space="preserve"> </w:t>
      </w:r>
      <w:r>
        <w:t xml:space="preserve">1.175 3.134 5.092</w:t>
      </w:r>
      <w:r>
        <w:t xml:space="preserve"> </w:t>
      </w:r>
      <w:r>
        <w:t xml:space="preserve">Electric underfloor</w:t>
      </w:r>
      <w:r>
        <w:t xml:space="preserve"> </w:t>
      </w:r>
      <w:r>
        <w:t xml:space="preserve">39</w:t>
      </w:r>
      <w:r>
        <w:t xml:space="preserve"> </w:t>
      </w:r>
      <w:r>
        <w:t xml:space="preserve">298</w:t>
      </w:r>
      <w:r>
        <w:t xml:space="preserve"> </w:t>
      </w:r>
      <w:r>
        <w:t xml:space="preserve">794</w:t>
      </w:r>
      <w:r>
        <w:t xml:space="preserve"> </w:t>
      </w:r>
      <w:r>
        <w:t xml:space="preserve">1.290</w:t>
      </w:r>
      <w:r>
        <w:t xml:space="preserve"> </w:t>
      </w:r>
      <w:r>
        <w:t xml:space="preserve">Electric visibly glowing radiant</w:t>
      </w:r>
      <w:r>
        <w:t xml:space="preserve"> </w:t>
      </w:r>
      <w:r>
        <w:t xml:space="preserve">nominal heat output &gt;1,2 kW</w:t>
      </w:r>
      <w:r>
        <w:t xml:space="preserve"> </w:t>
      </w:r>
      <w:r>
        <w:t xml:space="preserve">65</w:t>
      </w:r>
      <w:r>
        <w:t xml:space="preserve"> </w:t>
      </w:r>
      <w:r>
        <w:t xml:space="preserve">59</w:t>
      </w:r>
      <w:r>
        <w:t xml:space="preserve"> </w:t>
      </w:r>
      <w:r>
        <w:t xml:space="preserve">157</w:t>
      </w:r>
      <w:r>
        <w:t xml:space="preserve"> </w:t>
      </w:r>
      <w:r>
        <w:t xml:space="preserve">256</w:t>
      </w:r>
      <w:r>
        <w:t xml:space="preserve"> </w:t>
      </w:r>
      <w:r>
        <w:t xml:space="preserve">Electric visibly glowing radiant</w:t>
      </w:r>
      <w:r>
        <w:t xml:space="preserve"> </w:t>
      </w:r>
      <w:r>
        <w:t xml:space="preserve">nominal heat output =&lt; 1,2 kW</w:t>
      </w:r>
      <w:r>
        <w:t xml:space="preserve"> </w:t>
      </w:r>
      <w:r>
        <w:t xml:space="preserve">32</w:t>
      </w:r>
      <w:r>
        <w:t xml:space="preserve"> </w:t>
      </w:r>
      <w:r>
        <w:t xml:space="preserve">12</w:t>
      </w:r>
      <w:r>
        <w:t xml:space="preserve"> </w:t>
      </w:r>
      <w:r>
        <w:t xml:space="preserve">33</w:t>
      </w:r>
      <w:r>
        <w:t xml:space="preserve"> </w:t>
      </w:r>
      <w:r>
        <w:t xml:space="preserve">53.937</w:t>
      </w:r>
      <w:r>
        <w:t xml:space="preserve"> </w:t>
      </w:r>
      <w:r>
        <w:t xml:space="preserve">Towel heaters</w:t>
      </w:r>
      <w:r>
        <w:t xml:space="preserve"> </w:t>
      </w:r>
      <w:r>
        <w:t xml:space="preserve">39</w:t>
      </w:r>
      <w:r>
        <w:t xml:space="preserve"> </w:t>
      </w:r>
      <w:r>
        <w:t xml:space="preserve">44</w:t>
      </w:r>
      <w:r>
        <w:t xml:space="preserve"> </w:t>
      </w:r>
      <w:r>
        <w:t xml:space="preserve">1.176 1.912</w:t>
      </w:r>
      <w:r>
        <w:t xml:space="preserve"> </w:t>
      </w:r>
      <w:r>
        <w:t xml:space="preserve">Subtotal electric</w:t>
      </w:r>
    </w:p>
    <w:p>
      <w:pPr>
        <w:pStyle w:val="BodyText"/>
      </w:pPr>
      <w:r>
        <w:t xml:space="preserve">4.749 12.665 20.581</w:t>
      </w:r>
      <w:r>
        <w:t xml:space="preserve"> </w:t>
      </w:r>
      <w:r>
        <w:t xml:space="preserve">0</w:t>
      </w:r>
      <w:r>
        <w:t xml:space="preserve"> </w:t>
      </w:r>
      <w:r>
        <w:t xml:space="preserve">0,002 0,012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247</w:t>
      </w:r>
      <w:r>
        <w:t xml:space="preserve"> </w:t>
      </w:r>
      <w:r>
        <w:t xml:space="preserve">Gaseous luminous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Gaseous tube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Gaseous fuel open</w:t>
      </w:r>
      <w:r>
        <w:t xml:space="preserve"> </w:t>
      </w:r>
      <w:r>
        <w:t xml:space="preserve">combustion/open fronted with</w:t>
      </w:r>
      <w:r>
        <w:t xml:space="preserve"> </w:t>
      </w:r>
      <w:r>
        <w:t xml:space="preserve">exhaust restriction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Gaseous fuel open</w:t>
      </w:r>
      <w:r>
        <w:t xml:space="preserve"> </w:t>
      </w:r>
      <w:r>
        <w:t xml:space="preserve">combustion/closed fronted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Gaseous fuel balanced flue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Subtotal gas fuel64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0,002 0,012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Liquid tube &gt; 300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Liquid tube 120-300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Liquid fuel open</w:t>
      </w:r>
      <w:r>
        <w:t xml:space="preserve"> </w:t>
      </w:r>
      <w:r>
        <w:t xml:space="preserve">combustion/open fronted with</w:t>
      </w:r>
      <w:r>
        <w:t xml:space="preserve"> </w:t>
      </w:r>
      <w:r>
        <w:t xml:space="preserve">exhaust restriction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Liquid fuel open</w:t>
      </w:r>
      <w:r>
        <w:t xml:space="preserve"> </w:t>
      </w:r>
      <w:r>
        <w:t xml:space="preserve">combustion/closed fronted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Liquid fuel balanced flue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Subtotal liquid fuel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0,002 0,012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cumulative water savings (Mlitres)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247</w:t>
      </w:r>
      <w:r>
        <w:t xml:space="preserve"> </w:t>
      </w:r>
      <w:r>
        <w:t xml:space="preserve">Table A5-1. Cumulative water consumption savings for the preferred policy option</w:t>
      </w:r>
      <w:r>
        <w:t xml:space="preserve"> </w:t>
      </w:r>
      <w:r>
        <w:t xml:space="preserve">2.2.</w:t>
      </w:r>
      <w:r>
        <w:t xml:space="preserve"> </w:t>
      </w:r>
      <w:r>
        <w:t xml:space="preserve">Waste reduction</w:t>
      </w:r>
      <w:r>
        <w:t xml:space="preserve"> </w:t>
      </w:r>
      <w:r>
        <w:t xml:space="preserve">Cumulative waste reduction has been calculated in a similar way as cumulative water</w:t>
      </w:r>
      <w:r>
        <w:t xml:space="preserve"> </w:t>
      </w:r>
      <w:r>
        <w:t xml:space="preserve">savings. The cumulative waste under BAU for each product subgroup has been obtained</w:t>
      </w:r>
      <w:r>
        <w:t xml:space="preserve"> </w:t>
      </w:r>
      <w:r>
        <w:t xml:space="preserve">by multiplying the waste per unit in each product subgroup with the respective</w:t>
      </w:r>
      <w:r>
        <w:t xml:space="preserve"> </w:t>
      </w:r>
      <w:r>
        <w:t xml:space="preserve">cumulative sales over the periods considered (2025-2030, 2025-2040 and 2025-2050).</w:t>
      </w:r>
      <w:r>
        <w:t xml:space="preserve"> </w:t>
      </w:r>
      <w:r>
        <w:t xml:space="preserve">The cumulative waste for each product subgroup is then summed in two subtotals, one</w:t>
      </w:r>
      <w:r>
        <w:t xml:space="preserve"> </w:t>
      </w:r>
      <w:r>
        <w:t xml:space="preserve">for electric heaters and one for gas/liquid fuelled heaters.</w:t>
      </w:r>
      <w:r>
        <w:t xml:space="preserve"> </w:t>
      </w:r>
      <w:r>
        <w:t xml:space="preserve">From the EcoReport Tool, it can be observed that for electric heaters, the vast majority of</w:t>
      </w:r>
      <w:r>
        <w:t xml:space="preserve"> </w:t>
      </w:r>
      <w:r>
        <w:t xml:space="preserve">the waste (more than 99% of the total) is produced during the use phase, whereas for</w:t>
      </w:r>
      <w:r>
        <w:t xml:space="preserve"> </w:t>
      </w:r>
      <w:r>
        <w:t xml:space="preserve">non-electric heaters almost all the waste (around 98,5% of the total) is generated during</w:t>
      </w:r>
      <w:r>
        <w:t xml:space="preserve"> </w:t>
      </w:r>
      <w:r>
        <w:t xml:space="preserve">the production phase. This is because, for electric heaters, the waste is due to the</w:t>
      </w:r>
    </w:p>
    <w:p>
      <w:pPr>
        <w:pStyle w:val="BodyText"/>
      </w:pPr>
      <w:r>
        <w:t xml:space="preserve">64 Due to the lack of information in the EcoReport tool about the water consumed in the manufacturing of</w:t>
      </w:r>
      <w:r>
        <w:t xml:space="preserve"> </w:t>
      </w:r>
      <w:r>
        <w:t xml:space="preserve">gas and liquid fuel local space heaters, the water consumption per unit has been set at zero. This has very</w:t>
      </w:r>
      <w:r>
        <w:t xml:space="preserve"> </w:t>
      </w:r>
      <w:r>
        <w:t xml:space="preserve">little influence in the final results, as the sales of gas and fuelled local space heaters are anyway residual.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transformation of primary energy into electric power, whereas for non-electric heaters</w:t>
      </w:r>
      <w:r>
        <w:t xml:space="preserve"> </w:t>
      </w:r>
      <w:r>
        <w:t xml:space="preserve">this process does not take place and therefore the manufacturing phase is the major</w:t>
      </w:r>
      <w:r>
        <w:t xml:space="preserve"> </w:t>
      </w:r>
      <w:r>
        <w:t xml:space="preserve">generator of waste. For this reason, it is possible to simplify and consider that for electric</w:t>
      </w:r>
      <w:r>
        <w:t xml:space="preserve"> </w:t>
      </w:r>
      <w:r>
        <w:t xml:space="preserve">heaters all waste savings are generated during the in-use phase and for gas and liquid-</w:t>
      </w:r>
      <w:r>
        <w:t xml:space="preserve"> </w:t>
      </w:r>
      <w:r>
        <w:t xml:space="preserve">fuelled heaters all waste savings are generated during the production phase. Following</w:t>
      </w:r>
      <w:r>
        <w:t xml:space="preserve"> </w:t>
      </w:r>
      <w:r>
        <w:t xml:space="preserve">this approach, the cumulative waste subtotal for electric local space heaters is multiplied</w:t>
      </w:r>
      <w:r>
        <w:t xml:space="preserve"> </w:t>
      </w:r>
      <w:r>
        <w:t xml:space="preserve">by the ratio cumulative in-use energy savings/in-use energy consumption under BAU, and</w:t>
      </w:r>
      <w:r>
        <w:t xml:space="preserve"> </w:t>
      </w:r>
      <w:r>
        <w:t xml:space="preserve">the cumulative waste subtotal for gas/liquid fuelled heaters is multiplied by the ratio</w:t>
      </w:r>
      <w:r>
        <w:t xml:space="preserve"> </w:t>
      </w:r>
      <w:r>
        <w:t xml:space="preserve">cumulative embedded energy savings/embedded energy consumption under BAU.</w:t>
      </w:r>
      <w:r>
        <w:br/>
      </w:r>
      <w:r>
        <w:t xml:space="preserve">Waste per</w:t>
      </w:r>
      <w:r>
        <w:t xml:space="preserve"> </w:t>
      </w:r>
      <w:r>
        <w:t xml:space="preserve">unit (Kg)</w:t>
      </w:r>
      <w:r>
        <w:t xml:space="preserve"> </w:t>
      </w:r>
      <w:r>
        <w:t xml:space="preserve">Cumulative waste (Ton)</w:t>
      </w:r>
      <w:r>
        <w:t xml:space="preserve"> </w:t>
      </w:r>
      <w:r>
        <w:t xml:space="preserve">Ratio cumulative energy</w:t>
      </w:r>
      <w:r>
        <w:t xml:space="preserve"> </w:t>
      </w:r>
      <w:r>
        <w:t xml:space="preserve">savings/BAU embedded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Total waste saved (Ton)</w:t>
      </w:r>
    </w:p>
    <w:p>
      <w:pPr>
        <w:pStyle w:val="BodyText"/>
      </w:pPr>
      <w:r>
        <w:t xml:space="preserve">2025-2030 2025-2040 2025-2050</w:t>
      </w:r>
      <w:r>
        <w:t xml:space="preserve"> </w:t>
      </w:r>
      <w:r>
        <w:t xml:space="preserve">2025-2030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2025-</w:t>
      </w:r>
      <w:r>
        <w:t xml:space="preserve"> </w:t>
      </w:r>
      <w:r>
        <w:t xml:space="preserve">2030</w:t>
      </w:r>
      <w:r>
        <w:t xml:space="preserve"> </w:t>
      </w:r>
      <w:r>
        <w:t xml:space="preserve">2025-</w:t>
      </w:r>
      <w:r>
        <w:t xml:space="preserve"> </w:t>
      </w:r>
      <w:r>
        <w:t xml:space="preserve">2040</w:t>
      </w:r>
      <w:r>
        <w:t xml:space="preserve"> </w:t>
      </w:r>
      <w:r>
        <w:t xml:space="preserve">2025-</w:t>
      </w:r>
      <w:r>
        <w:t xml:space="preserve"> </w:t>
      </w:r>
      <w:r>
        <w:t xml:space="preserve">2050</w:t>
      </w:r>
      <w:r>
        <w:t xml:space="preserve"> </w:t>
      </w:r>
      <w:r>
        <w:t xml:space="preserve">Electric portable</w:t>
      </w:r>
      <w:r>
        <w:t xml:space="preserve"> </w:t>
      </w:r>
      <w:r>
        <w:t xml:space="preserve">9,5</w:t>
      </w:r>
      <w:r>
        <w:t xml:space="preserve"> </w:t>
      </w:r>
      <w:r>
        <w:t xml:space="preserve">405.126 1.080.337 1.755.547</w:t>
      </w:r>
    </w:p>
    <w:p>
      <w:pPr>
        <w:pStyle w:val="BodyText"/>
      </w:pPr>
      <w:r>
        <w:t xml:space="preserve">Electric fixed nominal</w:t>
      </w:r>
      <w:r>
        <w:t xml:space="preserve"> </w:t>
      </w:r>
      <w:r>
        <w:t xml:space="preserve">heat output &gt; 250 W</w:t>
      </w:r>
      <w:r>
        <w:t xml:space="preserve"> </w:t>
      </w:r>
      <w:r>
        <w:t xml:space="preserve">49,7</w:t>
      </w:r>
      <w:r>
        <w:t xml:space="preserve"> </w:t>
      </w:r>
      <w:r>
        <w:t xml:space="preserve">1.495.627 3.988.338 6.481.049</w:t>
      </w:r>
      <w:r>
        <w:t xml:space="preserve"> </w:t>
      </w:r>
      <w:r>
        <w:t xml:space="preserve">Electric fixed nominal</w:t>
      </w:r>
      <w:r>
        <w:t xml:space="preserve"> </w:t>
      </w:r>
      <w:r>
        <w:t xml:space="preserve">heat output =&lt; 250 W</w:t>
      </w:r>
      <w:r>
        <w:t xml:space="preserve"> </w:t>
      </w:r>
      <w:r>
        <w:t xml:space="preserve">13,4</w:t>
      </w:r>
      <w:r>
        <w:t xml:space="preserve"> </w:t>
      </w:r>
      <w:r>
        <w:t xml:space="preserve">101.047</w:t>
      </w:r>
      <w:r>
        <w:t xml:space="preserve"> </w:t>
      </w:r>
      <w:r>
        <w:t xml:space="preserve">269.458</w:t>
      </w:r>
      <w:r>
        <w:t xml:space="preserve"> </w:t>
      </w:r>
      <w:r>
        <w:t xml:space="preserve">437.869</w:t>
      </w:r>
      <w:r>
        <w:t xml:space="preserve"> </w:t>
      </w:r>
      <w:r>
        <w:t xml:space="preserve">Electric storage</w:t>
      </w:r>
      <w:r>
        <w:t xml:space="preserve"> </w:t>
      </w:r>
      <w:r>
        <w:t xml:space="preserve">54,0</w:t>
      </w:r>
      <w:r>
        <w:t xml:space="preserve"> </w:t>
      </w:r>
      <w:r>
        <w:t xml:space="preserve">87.081</w:t>
      </w:r>
      <w:r>
        <w:t xml:space="preserve"> </w:t>
      </w:r>
      <w:r>
        <w:t xml:space="preserve">232.215</w:t>
      </w:r>
      <w:r>
        <w:t xml:space="preserve"> </w:t>
      </w:r>
      <w:r>
        <w:t xml:space="preserve">377.350</w:t>
      </w:r>
      <w:r>
        <w:t xml:space="preserve"> </w:t>
      </w:r>
      <w:r>
        <w:t xml:space="preserve">Electric underfloor</w:t>
      </w:r>
      <w:r>
        <w:t xml:space="preserve"> </w:t>
      </w:r>
      <w:r>
        <w:t xml:space="preserve">86,3</w:t>
      </w:r>
      <w:r>
        <w:t xml:space="preserve"> </w:t>
      </w:r>
      <w:r>
        <w:t xml:space="preserve">658.905 1.757.079 2.855.254</w:t>
      </w:r>
      <w:r>
        <w:t xml:space="preserve"> </w:t>
      </w:r>
      <w:r>
        <w:t xml:space="preserve">Electric visibly</w:t>
      </w:r>
      <w:r>
        <w:t xml:space="preserve"> </w:t>
      </w:r>
      <w:r>
        <w:t xml:space="preserve">glowing radiant</w:t>
      </w:r>
      <w:r>
        <w:t xml:space="preserve"> </w:t>
      </w:r>
      <w:r>
        <w:t xml:space="preserve">nominal heat output</w:t>
      </w:r>
      <w:r>
        <w:t xml:space="preserve"> </w:t>
      </w:r>
      <w:r>
        <w:t xml:space="preserve">&gt;1,2 kW</w:t>
      </w:r>
      <w:r>
        <w:t xml:space="preserve"> </w:t>
      </w:r>
      <w:r>
        <w:t xml:space="preserve">33,7</w:t>
      </w:r>
      <w:r>
        <w:t xml:space="preserve"> </w:t>
      </w:r>
      <w:r>
        <w:t xml:space="preserve">30.586</w:t>
      </w:r>
      <w:r>
        <w:t xml:space="preserve"> </w:t>
      </w:r>
      <w:r>
        <w:t xml:space="preserve">81.563</w:t>
      </w:r>
      <w:r>
        <w:t xml:space="preserve"> </w:t>
      </w:r>
      <w:r>
        <w:t xml:space="preserve">132.540</w:t>
      </w:r>
      <w:r>
        <w:t xml:space="preserve"> </w:t>
      </w:r>
      <w:r>
        <w:t xml:space="preserve">Electric visibly</w:t>
      </w:r>
      <w:r>
        <w:t xml:space="preserve"> </w:t>
      </w:r>
      <w:r>
        <w:t xml:space="preserve">glowing radiant</w:t>
      </w:r>
      <w:r>
        <w:t xml:space="preserve"> </w:t>
      </w:r>
      <w:r>
        <w:t xml:space="preserve">nominal heat output =&lt;</w:t>
      </w:r>
      <w:r>
        <w:t xml:space="preserve"> </w:t>
      </w:r>
      <w:r>
        <w:t xml:space="preserve">1,2 kW</w:t>
      </w:r>
      <w:r>
        <w:t xml:space="preserve"> </w:t>
      </w:r>
      <w:r>
        <w:t xml:space="preserve">20,1</w:t>
      </w:r>
      <w:r>
        <w:t xml:space="preserve"> </w:t>
      </w:r>
      <w:r>
        <w:t xml:space="preserve">7.822</w:t>
      </w:r>
      <w:r>
        <w:t xml:space="preserve"> </w:t>
      </w:r>
      <w:r>
        <w:t xml:space="preserve">20.858</w:t>
      </w:r>
      <w:r>
        <w:t xml:space="preserve"> </w:t>
      </w:r>
      <w:r>
        <w:t xml:space="preserve">33.895</w:t>
      </w:r>
      <w:r>
        <w:t xml:space="preserve"> </w:t>
      </w:r>
      <w:r>
        <w:t xml:space="preserve">Towel heaters</w:t>
      </w:r>
      <w:r>
        <w:t xml:space="preserve"> </w:t>
      </w:r>
      <w:r>
        <w:t xml:space="preserve">20,8</w:t>
      </w:r>
      <w:r>
        <w:t xml:space="preserve"> </w:t>
      </w:r>
      <w:r>
        <w:t xml:space="preserve">235.112</w:t>
      </w:r>
      <w:r>
        <w:t xml:space="preserve"> </w:t>
      </w:r>
      <w:r>
        <w:t xml:space="preserve">626.964</w:t>
      </w:r>
      <w:r>
        <w:t xml:space="preserve"> </w:t>
      </w:r>
      <w:r>
        <w:t xml:space="preserve">1.019</w:t>
      </w:r>
      <w:r>
        <w:t xml:space="preserve"> </w:t>
      </w:r>
      <w:r>
        <w:t xml:space="preserve">Subtotal electric</w:t>
      </w:r>
    </w:p>
    <w:p>
      <w:pPr>
        <w:pStyle w:val="BodyText"/>
      </w:pPr>
      <w:r>
        <w:t xml:space="preserve">3.021.305 8.056.813 12.074.523</w:t>
      </w:r>
      <w:r>
        <w:t xml:space="preserve"> </w:t>
      </w:r>
      <w:r>
        <w:t xml:space="preserve">0,0120</w:t>
      </w:r>
      <w:r>
        <w:t xml:space="preserve"> </w:t>
      </w:r>
      <w:r>
        <w:t xml:space="preserve">0,0258</w:t>
      </w:r>
      <w:r>
        <w:t xml:space="preserve"> </w:t>
      </w:r>
      <w:r>
        <w:t xml:space="preserve">0,0347</w:t>
      </w:r>
      <w:r>
        <w:t xml:space="preserve"> </w:t>
      </w:r>
      <w:r>
        <w:t xml:space="preserve">36.387 207.555 453.719</w:t>
      </w:r>
      <w:r>
        <w:t xml:space="preserve"> </w:t>
      </w:r>
      <w:r>
        <w:t xml:space="preserve">Gaseous luminous</w:t>
      </w:r>
      <w:r>
        <w:t xml:space="preserve"> </w:t>
      </w:r>
      <w:r>
        <w:t xml:space="preserve">4,8</w:t>
      </w:r>
      <w:r>
        <w:t xml:space="preserve"> </w:t>
      </w:r>
      <w:r>
        <w:t xml:space="preserve">103</w:t>
      </w:r>
      <w:r>
        <w:t xml:space="preserve"> </w:t>
      </w:r>
      <w:r>
        <w:t xml:space="preserve">263</w:t>
      </w:r>
      <w:r>
        <w:t xml:space="preserve"> </w:t>
      </w:r>
      <w:r>
        <w:t xml:space="preserve">423</w:t>
      </w:r>
    </w:p>
    <w:p>
      <w:pPr>
        <w:pStyle w:val="BodyText"/>
      </w:pPr>
      <w:r>
        <w:t xml:space="preserve">Gaseous tube</w:t>
      </w:r>
      <w:r>
        <w:t xml:space="preserve"> </w:t>
      </w:r>
      <w:r>
        <w:t xml:space="preserve">21,3</w:t>
      </w:r>
      <w:r>
        <w:t xml:space="preserve"> </w:t>
      </w:r>
      <w:r>
        <w:t xml:space="preserve">496</w:t>
      </w:r>
      <w:r>
        <w:t xml:space="preserve"> </w:t>
      </w:r>
      <w:r>
        <w:t xml:space="preserve">1.265</w:t>
      </w:r>
      <w:r>
        <w:t xml:space="preserve"> </w:t>
      </w:r>
      <w:r>
        <w:t xml:space="preserve">2.034</w:t>
      </w:r>
      <w:r>
        <w:t xml:space="preserve"> </w:t>
      </w:r>
      <w:r>
        <w:t xml:space="preserve">Gaseous fuel open</w:t>
      </w:r>
      <w:r>
        <w:t xml:space="preserve"> </w:t>
      </w:r>
      <w:r>
        <w:t xml:space="preserve">combustion/open</w:t>
      </w:r>
      <w:r>
        <w:t xml:space="preserve"> </w:t>
      </w:r>
      <w:r>
        <w:t xml:space="preserve">fronted</w:t>
      </w:r>
      <w:r>
        <w:t xml:space="preserve"> </w:t>
      </w:r>
      <w:r>
        <w:t xml:space="preserve">4,3</w:t>
      </w:r>
      <w:r>
        <w:t xml:space="preserve"> </w:t>
      </w:r>
      <w:r>
        <w:t xml:space="preserve">204</w:t>
      </w:r>
      <w:r>
        <w:t xml:space="preserve"> </w:t>
      </w:r>
      <w:r>
        <w:t xml:space="preserve">520</w:t>
      </w:r>
      <w:r>
        <w:t xml:space="preserve"> </w:t>
      </w:r>
      <w:r>
        <w:t xml:space="preserve">835</w:t>
      </w:r>
      <w:r>
        <w:t xml:space="preserve"> </w:t>
      </w:r>
      <w:r>
        <w:t xml:space="preserve">Gaseous fuel open</w:t>
      </w:r>
      <w:r>
        <w:t xml:space="preserve"> </w:t>
      </w:r>
      <w:r>
        <w:t xml:space="preserve">combustion/closed</w:t>
      </w:r>
      <w:r>
        <w:t xml:space="preserve"> </w:t>
      </w:r>
      <w:r>
        <w:t xml:space="preserve">fronted</w:t>
      </w:r>
      <w:r>
        <w:t xml:space="preserve"> </w:t>
      </w:r>
      <w:r>
        <w:t xml:space="preserve">4,3</w:t>
      </w:r>
      <w:r>
        <w:t xml:space="preserve"> </w:t>
      </w:r>
      <w:r>
        <w:t xml:space="preserve">408</w:t>
      </w:r>
      <w:r>
        <w:t xml:space="preserve"> </w:t>
      </w:r>
      <w:r>
        <w:t xml:space="preserve">1.039</w:t>
      </w:r>
      <w:r>
        <w:t xml:space="preserve"> </w:t>
      </w:r>
      <w:r>
        <w:t xml:space="preserve">1.670</w:t>
      </w:r>
      <w:r>
        <w:t xml:space="preserve"> </w:t>
      </w:r>
      <w:r>
        <w:t xml:space="preserve">Gaseous fuel balanced</w:t>
      </w:r>
      <w:r>
        <w:t xml:space="preserve"> </w:t>
      </w:r>
      <w:r>
        <w:t xml:space="preserve">flue</w:t>
      </w:r>
      <w:r>
        <w:t xml:space="preserve"> </w:t>
      </w:r>
      <w:r>
        <w:t xml:space="preserve">4,3</w:t>
      </w:r>
      <w:r>
        <w:t xml:space="preserve"> </w:t>
      </w:r>
      <w:r>
        <w:t xml:space="preserve">587</w:t>
      </w:r>
      <w:r>
        <w:t xml:space="preserve"> </w:t>
      </w:r>
      <w:r>
        <w:t xml:space="preserve">1.497</w:t>
      </w:r>
      <w:r>
        <w:t xml:space="preserve"> </w:t>
      </w:r>
      <w:r>
        <w:t xml:space="preserve">2.406</w:t>
      </w:r>
      <w:r>
        <w:t xml:space="preserve"> </w:t>
      </w:r>
      <w:r>
        <w:t xml:space="preserve">Liquid tube &gt; 300</w:t>
      </w:r>
      <w:r>
        <w:t xml:space="preserve"> </w:t>
      </w:r>
      <w:r>
        <w:t xml:space="preserve">21,3</w:t>
      </w:r>
      <w:r>
        <w:t xml:space="preserve"> </w:t>
      </w:r>
      <w:r>
        <w:t xml:space="preserve">46</w:t>
      </w:r>
      <w:r>
        <w:t xml:space="preserve"> </w:t>
      </w:r>
      <w:r>
        <w:t xml:space="preserve">117</w:t>
      </w:r>
      <w:r>
        <w:t xml:space="preserve"> </w:t>
      </w:r>
      <w:r>
        <w:t xml:space="preserve">188</w:t>
      </w:r>
      <w:r>
        <w:t xml:space="preserve"> </w:t>
      </w:r>
      <w:r>
        <w:t xml:space="preserve">Liquid fuel open</w:t>
      </w:r>
      <w:r>
        <w:t xml:space="preserve"> </w:t>
      </w:r>
      <w:r>
        <w:t xml:space="preserve">combustion/open</w:t>
      </w:r>
      <w:r>
        <w:t xml:space="preserve"> </w:t>
      </w:r>
      <w:r>
        <w:t xml:space="preserve">fronted</w:t>
      </w:r>
      <w:r>
        <w:t xml:space="preserve"> </w:t>
      </w:r>
      <w:r>
        <w:t xml:space="preserve">4,3</w:t>
      </w:r>
      <w:r>
        <w:t xml:space="preserve"> </w:t>
      </w:r>
      <w:r>
        <w:t xml:space="preserve">20</w:t>
      </w:r>
      <w:r>
        <w:t xml:space="preserve"> </w:t>
      </w:r>
      <w:r>
        <w:t xml:space="preserve">52</w:t>
      </w:r>
      <w:r>
        <w:t xml:space="preserve"> </w:t>
      </w:r>
      <w:r>
        <w:t xml:space="preserve">84</w:t>
      </w:r>
      <w:r>
        <w:t xml:space="preserve"> </w:t>
      </w:r>
      <w:r>
        <w:t xml:space="preserve">Liquid fuel open</w:t>
      </w:r>
      <w:r>
        <w:t xml:space="preserve"> </w:t>
      </w:r>
      <w:r>
        <w:t xml:space="preserve">combustion/closed</w:t>
      </w:r>
      <w:r>
        <w:t xml:space="preserve"> </w:t>
      </w:r>
      <w:r>
        <w:t xml:space="preserve">fronted</w:t>
      </w:r>
      <w:r>
        <w:t xml:space="preserve"> </w:t>
      </w:r>
      <w:r>
        <w:t xml:space="preserve">4,3</w:t>
      </w:r>
      <w:r>
        <w:t xml:space="preserve"> </w:t>
      </w:r>
      <w:r>
        <w:t xml:space="preserve">41</w:t>
      </w:r>
      <w:r>
        <w:t xml:space="preserve"> </w:t>
      </w:r>
      <w:r>
        <w:t xml:space="preserve">104</w:t>
      </w:r>
      <w:r>
        <w:t xml:space="preserve"> </w:t>
      </w:r>
      <w:r>
        <w:t xml:space="preserve">167</w:t>
      </w:r>
      <w:r>
        <w:t xml:space="preserve"> </w:t>
      </w:r>
      <w:r>
        <w:t xml:space="preserve">Liquid fuel balanced</w:t>
      </w:r>
      <w:r>
        <w:t xml:space="preserve"> </w:t>
      </w:r>
      <w:r>
        <w:t xml:space="preserve">flue</w:t>
      </w:r>
      <w:r>
        <w:t xml:space="preserve"> </w:t>
      </w:r>
      <w:r>
        <w:t xml:space="preserve">4,3</w:t>
      </w:r>
      <w:r>
        <w:t xml:space="preserve"> </w:t>
      </w:r>
      <w:r>
        <w:t xml:space="preserve">59</w:t>
      </w:r>
      <w:r>
        <w:t xml:space="preserve"> </w:t>
      </w:r>
      <w:r>
        <w:t xml:space="preserve">150</w:t>
      </w:r>
      <w:r>
        <w:t xml:space="preserve"> </w:t>
      </w:r>
      <w:r>
        <w:t xml:space="preserve">241</w:t>
      </w:r>
      <w:r>
        <w:t xml:space="preserve"> </w:t>
      </w:r>
      <w:r>
        <w:t xml:space="preserve">Subtotal gas/liquid</w:t>
      </w:r>
      <w:r>
        <w:t xml:space="preserve"> </w:t>
      </w:r>
      <w:r>
        <w:t xml:space="preserve">fuel</w:t>
      </w:r>
    </w:p>
    <w:p>
      <w:pPr>
        <w:pStyle w:val="BodyText"/>
      </w:pPr>
      <w:r>
        <w:t xml:space="preserve">1.928</w:t>
      </w:r>
      <w:r>
        <w:t xml:space="preserve"> </w:t>
      </w:r>
      <w:r>
        <w:t xml:space="preserve">4.912</w:t>
      </w:r>
      <w:r>
        <w:t xml:space="preserve"> </w:t>
      </w:r>
      <w:r>
        <w:t xml:space="preserve">7.897</w:t>
      </w:r>
      <w:r>
        <w:t xml:space="preserve"> </w:t>
      </w:r>
      <w:r>
        <w:t xml:space="preserve">0</w:t>
      </w:r>
      <w:r>
        <w:t xml:space="preserve"> </w:t>
      </w:r>
      <w:r>
        <w:t xml:space="preserve">0,002</w:t>
      </w:r>
      <w:r>
        <w:t xml:space="preserve"> </w:t>
      </w:r>
      <w:r>
        <w:t xml:space="preserve">0,012</w:t>
      </w:r>
      <w:r>
        <w:t xml:space="preserve"> </w:t>
      </w: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94</w:t>
      </w:r>
      <w:r>
        <w:t xml:space="preserve"> </w:t>
      </w:r>
      <w:r>
        <w:t xml:space="preserve">Total waste savings (tons)</w:t>
      </w:r>
      <w:r>
        <w:t xml:space="preserve"> </w:t>
      </w:r>
      <w:r>
        <w:t xml:space="preserve">36.387 207.564 453.813</w:t>
      </w:r>
      <w:r>
        <w:t xml:space="preserve"> </w:t>
      </w:r>
      <w:r>
        <w:t xml:space="preserve">Table A5-2. Cumulative waste reduction for the preferred policy option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ANNEX 6: ANALYSIS OF CURRENT ECODESIGN REQUIREMENTS</w:t>
      </w:r>
      <w:r>
        <w:t xml:space="preserve"> </w:t>
      </w:r>
      <w:r>
        <w:t xml:space="preserve">FOR LOCAL SPACE HEATERS</w:t>
      </w:r>
      <w:r>
        <w:t xml:space="preserve"> </w:t>
      </w:r>
      <w:r>
        <w:t xml:space="preserve">In the context of the Better Regulation policy65, the Commission is engaged to evaluate</w:t>
      </w:r>
      <w:r>
        <w:t xml:space="preserve"> </w:t>
      </w:r>
      <w:r>
        <w:t xml:space="preserve">all EU activities intended to impact society or the economy. For the review of the</w:t>
      </w:r>
      <w:r>
        <w:t xml:space="preserve"> </w:t>
      </w:r>
      <w:r>
        <w:t xml:space="preserve">Ecodesign Regulation on local space heaters, three out of the five standard evaluation</w:t>
      </w:r>
      <w:r>
        <w:t xml:space="preserve"> </w:t>
      </w:r>
      <w:r>
        <w:t xml:space="preserve">criteria foreseen by Better Regulation need to be addressed, namely the effectiveness,</w:t>
      </w:r>
      <w:r>
        <w:t xml:space="preserve"> </w:t>
      </w:r>
      <w:r>
        <w:t xml:space="preserve">efficiency and relevance of the proposed measures66.</w:t>
      </w:r>
      <w:r>
        <w:br/>
      </w:r>
      <w:r>
        <w:t xml:space="preserve">The other two evaluation criteria, coherence and EU added-value, have already been</w:t>
      </w:r>
      <w:r>
        <w:t xml:space="preserve"> </w:t>
      </w:r>
      <w:r>
        <w:t xml:space="preserve">addressed at the framework level, i.e. in 2012, when the Ecodesign Directive was</w:t>
      </w:r>
      <w:r>
        <w:t xml:space="preserve"> </w:t>
      </w:r>
      <w:r>
        <w:t xml:space="preserve">reviewed67. Later, a joint evaluation of the Ecodesign and Energy Labelling Directives68</w:t>
      </w:r>
      <w:r>
        <w:t xml:space="preserve"> </w:t>
      </w:r>
      <w:r>
        <w:t xml:space="preserve">was carried out by the Commission in 2015, the main outcome being that the ecodesign</w:t>
      </w:r>
      <w:r>
        <w:t xml:space="preserve"> </w:t>
      </w:r>
      <w:r>
        <w:t xml:space="preserve">and energy labelling measures in place are effective and bring tangible and substantial</w:t>
      </w:r>
      <w:r>
        <w:t xml:space="preserve"> </w:t>
      </w:r>
      <w:r>
        <w:t xml:space="preserve">energy and cost savings. The implementation of the two Directives is estimated to save</w:t>
      </w:r>
      <w:r>
        <w:t xml:space="preserve"> </w:t>
      </w:r>
      <w:r>
        <w:t xml:space="preserve">175 Mtoe primary energy per year by 2020, which corresponds to 19% savings with</w:t>
      </w:r>
      <w:r>
        <w:t xml:space="preserve"> </w:t>
      </w:r>
      <w:r>
        <w:t xml:space="preserve">respect to business-as-usual energy use for those products. These policies will deliver</w:t>
      </w:r>
      <w:r>
        <w:t xml:space="preserve"> </w:t>
      </w:r>
      <w:r>
        <w:t xml:space="preserve">almost half of the 20% energy efficiency target by 2020. Dependency on imports of</w:t>
      </w:r>
      <w:r>
        <w:t xml:space="preserve"> </w:t>
      </w:r>
      <w:r>
        <w:t xml:space="preserve">energy would be reduced by 23% and 37% for natural gas and coal, respectively. In total,</w:t>
      </w:r>
      <w:r>
        <w:t xml:space="preserve"> </w:t>
      </w:r>
      <w:r>
        <w:t xml:space="preserve">the ecodesign and energy labelling measures in place to date are estimated to have saved</w:t>
      </w:r>
      <w:r>
        <w:t xml:space="preserve"> </w:t>
      </w:r>
      <w:r>
        <w:t xml:space="preserve">end-users of products 100 billion euro per year in 2020 through lower utility bills</w:t>
      </w:r>
      <w:r>
        <w:t xml:space="preserve"> </w:t>
      </w:r>
      <w:r>
        <w:t xml:space="preserve">(translated into roughly 500 euros yearly savings in each household).</w:t>
      </w:r>
      <w:r>
        <w:t xml:space="preserve"> </w:t>
      </w:r>
      <w:r>
        <w:t xml:space="preserve">This annex presents the relevant findings of the review of the current LSH Regulation</w:t>
      </w:r>
      <w:r>
        <w:t xml:space="preserve"> </w:t>
      </w:r>
      <w:r>
        <w:t xml:space="preserve">focussing on its effectiveness, efficiency and relevance. The assessment builds on the</w:t>
      </w:r>
      <w:r>
        <w:t xml:space="preserve"> </w:t>
      </w:r>
      <w:r>
        <w:t xml:space="preserve">information collected during the 2019 review study and any data updates on development</w:t>
      </w:r>
      <w:r>
        <w:t xml:space="preserve"> </w:t>
      </w:r>
      <w:r>
        <w:t xml:space="preserve">collected during the present impact assessment.</w:t>
      </w:r>
      <w:r>
        <w:t xml:space="preserve"> </w:t>
      </w:r>
      <w:r>
        <w:t xml:space="preserve">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impacts on energy consumption (and subsequently GHG emissions, which are</w:t>
      </w:r>
      <w:r>
        <w:t xml:space="preserve"> </w:t>
      </w:r>
      <w:r>
        <w:t xml:space="preserve">directly dependent on energy) and NOx reflect the effectiveness of the LSH Regulation,</w:t>
      </w:r>
      <w:r>
        <w:t xml:space="preserve"> </w:t>
      </w:r>
      <w:r>
        <w:t xml:space="preserve">namely its capacity to achieve the objectives. The period analysed is 2000-2020.</w:t>
      </w:r>
    </w:p>
    <w:p>
      <w:pPr>
        <w:pStyle w:val="BodyText"/>
      </w:pPr>
      <w:r>
        <w:t xml:space="preserve">65https://ec.europa.eu/info/law/law-making-process/overview-law-making-process/evaluating-and-</w:t>
      </w:r>
      <w:r>
        <w:t xml:space="preserve"> </w:t>
      </w:r>
      <w:r>
        <w:t xml:space="preserve">improving-existing-laws/reducing-burdens-and-simplifying-law/refit-making-eu-law-simpler-and-less-</w:t>
      </w:r>
      <w:r>
        <w:t xml:space="preserve"> </w:t>
      </w:r>
      <w:r>
        <w:t xml:space="preserve">costly_en</w:t>
      </w:r>
      <w:r>
        <w:br/>
      </w:r>
      <w:r>
        <w:t xml:space="preserve">66https://ec.europa.eu/info/law/law-making-process/planning-and-proposing-law/better-regulation-why-</w:t>
      </w:r>
      <w:r>
        <w:t xml:space="preserve"> </w:t>
      </w:r>
      <w:r>
        <w:t xml:space="preserve">and-how_en</w:t>
      </w:r>
      <w:r>
        <w:br/>
      </w:r>
      <w:r>
        <w:t xml:space="preserve">67 COM(2012) 765 final, REPORT FROM THE COMMISSION TO THE EUROPEAN PARLIAMENT</w:t>
      </w:r>
      <w:r>
        <w:br/>
      </w:r>
      <w:r>
        <w:t xml:space="preserve">AND THE COUNCIL, Review of Directive 2009/125/EC establishing a framework for the setting of</w:t>
      </w:r>
      <w:r>
        <w:br/>
      </w:r>
      <w:r>
        <w:t xml:space="preserve">ecodesign requirements for energy-related products (recast)</w:t>
      </w:r>
      <w:r>
        <w:t xml:space="preserve"> </w:t>
      </w:r>
      <w:r>
        <w:t xml:space="preserve">68 COM(2015) 345 final, Report from the Commission to the European Parliament and the Council Review</w:t>
      </w:r>
      <w:r>
        <w:t xml:space="preserve"> </w:t>
      </w:r>
      <w:r>
        <w:t xml:space="preserve">of Directive 2010/30/EU of the European Parliament and of the Council of 19 May 2010 on the indication</w:t>
      </w:r>
      <w:r>
        <w:t xml:space="preserve"> </w:t>
      </w:r>
      <w:r>
        <w:t xml:space="preserve">of labelling and standard product information of the consumption of energy and other resources by energy-</w:t>
      </w:r>
      <w:r>
        <w:t xml:space="preserve"> </w:t>
      </w:r>
      <w:r>
        <w:t xml:space="preserve">related products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1.1.</w:t>
      </w:r>
      <w:r>
        <w:t xml:space="preserve"> </w:t>
      </w:r>
      <w:r>
        <w:t xml:space="preserve">Energy savings</w:t>
      </w:r>
      <w:r>
        <w:t xml:space="preserve"> </w:t>
      </w:r>
      <w:r>
        <w:t xml:space="preserve">In the 2015 Impact Assessment69 it was estimated under its BAU (BAU 0)70that the stock</w:t>
      </w:r>
      <w:r>
        <w:t xml:space="preserve"> </w:t>
      </w:r>
      <w:r>
        <w:t xml:space="preserve">of local space heaters would continue to grow and that the energy consumption in 2020</w:t>
      </w:r>
      <w:r>
        <w:t xml:space="preserve"> </w:t>
      </w:r>
      <w:r>
        <w:t xml:space="preserve">would rise to 2.362 PJ/year (656,1 TWh/year). The most optimistic policy option casted</w:t>
      </w:r>
      <w:r>
        <w:t xml:space="preserve"> </w:t>
      </w:r>
      <w:r>
        <w:t xml:space="preserve">around 8% energy savings by 202071.</w:t>
      </w:r>
      <w:r>
        <w:t xml:space="preserve"> </w:t>
      </w:r>
      <w:r>
        <w:t xml:space="preserve">These numbers were however not fully accurate, because they included solid fuels local</w:t>
      </w:r>
      <w:r>
        <w:t xml:space="preserve"> </w:t>
      </w:r>
      <w:r>
        <w:t xml:space="preserve">space heaters and were based on a different stock for the different types of local space</w:t>
      </w:r>
      <w:r>
        <w:t xml:space="preserve"> </w:t>
      </w:r>
      <w:r>
        <w:t xml:space="preserve">heaters than what was modelled in the 2019 review study based on updated stakeholder</w:t>
      </w:r>
      <w:r>
        <w:t xml:space="preserve"> </w:t>
      </w:r>
      <w:r>
        <w:t xml:space="preserve">inputs72. The major difference between the stock calculations in the 2015 impact</w:t>
      </w:r>
      <w:r>
        <w:t xml:space="preserve"> </w:t>
      </w:r>
      <w:r>
        <w:t xml:space="preserve">assessment and the 2019 review study were the assumption on lifetime of fixed local</w:t>
      </w:r>
      <w:r>
        <w:t xml:space="preserve"> </w:t>
      </w:r>
      <w:r>
        <w:t xml:space="preserve">space heaters, set to 9 years in the 2015 impact assessment and 15 years in the review</w:t>
      </w:r>
      <w:r>
        <w:t xml:space="preserve"> </w:t>
      </w:r>
      <w:r>
        <w:t xml:space="preserve">study, based on stakeholder inputs during the review process. The resulting difference in</w:t>
      </w:r>
      <w:r>
        <w:t xml:space="preserve"> </w:t>
      </w:r>
      <w:r>
        <w:t xml:space="preserve">stock (which is otherwise based on the same sales data from 1990 to 2010) is shown in</w:t>
      </w:r>
      <w:r>
        <w:t xml:space="preserve"> </w:t>
      </w:r>
      <w:r>
        <w:t xml:space="preserve">Figure A6-173. The large difference in total stock (80 million by 2020) is due to the</w:t>
      </w:r>
      <w:r>
        <w:t xml:space="preserve"> </w:t>
      </w:r>
      <w:r>
        <w:t xml:space="preserve">longer lifetime of fixed electric heaters, which is by far the largest segment of local space</w:t>
      </w:r>
      <w:r>
        <w:t xml:space="preserve"> </w:t>
      </w:r>
      <w:r>
        <w:t xml:space="preserve">heaters.</w:t>
      </w:r>
    </w:p>
    <w:p>
      <w:pPr>
        <w:pStyle w:val="BodyText"/>
      </w:pPr>
      <w:r>
        <w:t xml:space="preserve">Figure A6-1. Comparison of stock data in the 2015 impact assessment and the 2019 review study</w:t>
      </w:r>
    </w:p>
    <w:p>
      <w:pPr>
        <w:pStyle w:val="BodyText"/>
      </w:pPr>
      <w:r>
        <w:t xml:space="preserve">69 COMMISSION STAFF WORKING DOCUMENT IMPACT ASSESSMENT Accompanying the</w:t>
      </w:r>
      <w:r>
        <w:t xml:space="preserve"> </w:t>
      </w:r>
      <w:r>
        <w:t xml:space="preserve">documents Commission Regulation implementing Directive 2009/125/EC of the European Parliament and</w:t>
      </w:r>
      <w:r>
        <w:t xml:space="preserve"> </w:t>
      </w:r>
      <w:r>
        <w:t xml:space="preserve">of the Council with regard to ecodesign requirements for local space heaters, and Commission Delegated</w:t>
      </w:r>
      <w:r>
        <w:t xml:space="preserve"> </w:t>
      </w:r>
      <w:r>
        <w:t xml:space="preserve">Regulation implementing Directive 2010/30/EU of the European Parliament and of the Council with regard</w:t>
      </w:r>
      <w:r>
        <w:t xml:space="preserve"> </w:t>
      </w:r>
      <w:r>
        <w:t xml:space="preserve">to energy labelling for local space heaters https://ec.europa.eu/smart-</w:t>
      </w:r>
      <w:r>
        <w:t xml:space="preserve"> </w:t>
      </w:r>
      <w:r>
        <w:t xml:space="preserve">regulation/impact/ia_carried_out/cia_2015_en.htm</w:t>
      </w:r>
      <w:r>
        <w:br/>
      </w:r>
      <w:r>
        <w:t xml:space="preserve">70 This is also called the “BAU 0” scenario, and represents a scenario where no regulation was in place for</w:t>
      </w:r>
      <w:r>
        <w:t xml:space="preserve"> </w:t>
      </w:r>
      <w:r>
        <w:t xml:space="preserve">local space heaters.</w:t>
      </w:r>
      <w:r>
        <w:br/>
      </w:r>
      <w:r>
        <w:t xml:space="preserve">71 This correspond to Policy Option E from the 2015 Impact Assessment, which is also the one coming</w:t>
      </w:r>
      <w:r>
        <w:t xml:space="preserve"> </w:t>
      </w:r>
      <w:r>
        <w:t xml:space="preserve">closest to the actual regulation implemented.</w:t>
      </w:r>
      <w:r>
        <w:br/>
      </w:r>
      <w:r>
        <w:t xml:space="preserve">72 Review study on Local Space Heaters, Final Report, Viegand Maagøe and Danish Technical Institute,</w:t>
      </w:r>
      <w:r>
        <w:t xml:space="preserve"> </w:t>
      </w:r>
      <w:r>
        <w:t xml:space="preserve">May 2019 for the European Commission. https://www.eco-localspaceheaters.eu/documents</w:t>
      </w:r>
      <w:r>
        <w:t xml:space="preserve"> </w:t>
      </w:r>
      <w:r>
        <w:t xml:space="preserve">73 Numbers adjusted to account only for the scope of the LSH Regulation, i.e. without solid fuel local space</w:t>
      </w:r>
      <w:r>
        <w:t xml:space="preserve"> </w:t>
      </w:r>
      <w:r>
        <w:t xml:space="preserve">heaters, which were included in the 2015 Impact Assessment.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To assess whether the LSH Regulation has been effective, it is then necessary to compare</w:t>
      </w:r>
      <w:r>
        <w:t xml:space="preserve"> </w:t>
      </w:r>
      <w:r>
        <w:t xml:space="preserve">the BAU scenario (henceforth BAU0) in the absence of the LSH Regulation as provided</w:t>
      </w:r>
      <w:r>
        <w:t xml:space="preserve"> </w:t>
      </w:r>
      <w:r>
        <w:t xml:space="preserve">in the 2015 IA but adapted to the abovementioned corrections in terms of stock, with the</w:t>
      </w:r>
      <w:r>
        <w:t xml:space="preserve"> </w:t>
      </w:r>
      <w:r>
        <w:t xml:space="preserve">BAU scenario of the review study (henceforth BAU1).</w:t>
      </w:r>
    </w:p>
    <w:p>
      <w:pPr>
        <w:pStyle w:val="BodyText"/>
      </w:pPr>
      <w:r>
        <w:t xml:space="preserve">Figure A6-2. Total primary energy consumption in BAU0 and BAU1 from2010-2020</w:t>
      </w:r>
      <w:r>
        <w:br/>
      </w:r>
      <w:r>
        <w:t xml:space="preserve">When comparing the relative energy savings in the two studies, the savings expected in</w:t>
      </w:r>
      <w:r>
        <w:t xml:space="preserve"> </w:t>
      </w:r>
      <w:r>
        <w:t xml:space="preserve">2020 in the impact assessment were 158 PJ (44,2TWh or 10%), while they were 88 PJ</w:t>
      </w:r>
      <w:r>
        <w:t xml:space="preserve"> </w:t>
      </w:r>
      <w:r>
        <w:t xml:space="preserve">(24,7 TWh or 5%) in the review study. Hence, overall the expected savings have only</w:t>
      </w:r>
      <w:r>
        <w:t xml:space="preserve"> </w:t>
      </w:r>
      <w:r>
        <w:t xml:space="preserve">been around half of what was expected, despite the larger stock. This is mainly due to</w:t>
      </w:r>
      <w:r>
        <w:t xml:space="preserve"> </w:t>
      </w:r>
      <w:r>
        <w:t xml:space="preserve">two reasons:</w:t>
      </w:r>
      <w:r>
        <w:br/>
      </w:r>
      <w:r>
        <w:t xml:space="preserve">-</w:t>
      </w:r>
      <w:r>
        <w:t xml:space="preserve"> </w:t>
      </w:r>
      <w:r>
        <w:t xml:space="preserve">The expected savings in the 2015 Impact Assessment included the effect of energy</w:t>
      </w:r>
      <w:r>
        <w:t xml:space="preserve"> </w:t>
      </w:r>
      <w:r>
        <w:t xml:space="preserve">labelling, and can thus not be attributed to the LSH Regulation.</w:t>
      </w:r>
      <w:r>
        <w:t xml:space="preserve"> </w:t>
      </w:r>
      <w:r>
        <w:t xml:space="preserve">-</w:t>
      </w:r>
      <w:r>
        <w:t xml:space="preserve"> </w:t>
      </w:r>
      <w:r>
        <w:t xml:space="preserve">The 2015 IA assumed that efficiencies started to increase compared to BAU already</w:t>
      </w:r>
      <w:r>
        <w:t xml:space="preserve"> </w:t>
      </w:r>
      <w:r>
        <w:t xml:space="preserve">by 2010, while the review study set the origin of the efficiency improvement in 2013.</w:t>
      </w:r>
      <w:r>
        <w:t xml:space="preserve"> </w:t>
      </w:r>
      <w:r>
        <w:t xml:space="preserve">This means that the savings calculated in the review study occur around 3 years later than</w:t>
      </w:r>
      <w:r>
        <w:t xml:space="preserve"> </w:t>
      </w:r>
      <w:r>
        <w:t xml:space="preserve">expected in the 2015 IA. Comparing the 2015 IA savings in 2017 with the review study</w:t>
      </w:r>
      <w:r>
        <w:t xml:space="preserve"> </w:t>
      </w:r>
      <w:r>
        <w:t xml:space="preserve">savings in 2020 is therefore more accurate. This yields a saving of 110 PJ (30.9 TWh, or</w:t>
      </w:r>
      <w:r>
        <w:t xml:space="preserve"> </w:t>
      </w:r>
      <w:r>
        <w:t xml:space="preserve">7%) per year in 2017 in the 2015 IA, still higher than the 2020 savings calculated in the</w:t>
      </w:r>
      <w:r>
        <w:t xml:space="preserve"> </w:t>
      </w:r>
      <w:r>
        <w:t xml:space="preserve">review study, even though the difference is smaller.</w:t>
      </w:r>
      <w:r>
        <w:br/>
      </w:r>
      <w:r>
        <w:t xml:space="preserve">Overall, it can be concluded that the LSH Regulation has been effective in achieving</w:t>
      </w:r>
      <w:r>
        <w:t xml:space="preserve"> </w:t>
      </w:r>
      <w:r>
        <w:t xml:space="preserve">energy savings, even though not as effective as anticipated in the 2015 IA. According to</w:t>
      </w:r>
      <w:r>
        <w:t xml:space="preserve"> </w:t>
      </w:r>
      <w:r>
        <w:t xml:space="preserve">stakeholders consulted during the review study, this is not because the measures in the</w:t>
      </w:r>
      <w:r>
        <w:t xml:space="preserve"> </w:t>
      </w:r>
      <w:r>
        <w:t xml:space="preserve">LSH Regulation are not technically ambitious, but because the scope and definitions</w:t>
      </w:r>
      <w:r>
        <w:t xml:space="preserve"> </w:t>
      </w:r>
      <w:r>
        <w:t xml:space="preserve">results in unforeseen loopholes and fewer products than anticipated comply with the</w:t>
      </w:r>
      <w:r>
        <w:t xml:space="preserve"> </w:t>
      </w:r>
      <w:r>
        <w:t xml:space="preserve">requirements. This is precisely the problem that is addressed in this IA.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1.2.</w:t>
      </w:r>
      <w:r>
        <w:t xml:space="preserve"> </w:t>
      </w:r>
      <w:r>
        <w:t xml:space="preserve">NOx emissions</w:t>
      </w:r>
      <w:r>
        <w:t xml:space="preserve"> </w:t>
      </w:r>
      <w:r>
        <w:t xml:space="preserve">As it was the case for the 2015 IA, there is still very little data regarding NOx emissions</w:t>
      </w:r>
      <w:r>
        <w:t xml:space="preserve"> </w:t>
      </w:r>
      <w:r>
        <w:t xml:space="preserve">from local space heaters in the EU, and it has not been therefore possible to quantify the</w:t>
      </w:r>
      <w:r>
        <w:t xml:space="preserve"> </w:t>
      </w:r>
      <w:r>
        <w:t xml:space="preserve">impact of the LSH Regulation on NOx emissions. However, the 2015 impact assessment</w:t>
      </w:r>
      <w:r>
        <w:t xml:space="preserve"> </w:t>
      </w:r>
      <w:r>
        <w:t xml:space="preserve">recommended that a limit value for NOx emissions is set in order to avoid the increase of</w:t>
      </w:r>
      <w:r>
        <w:t xml:space="preserve"> </w:t>
      </w:r>
      <w:r>
        <w:t xml:space="preserve">these emissions in the future. This limit was set at 130 mg/kWh.</w:t>
      </w:r>
      <w:r>
        <w:t xml:space="preserve"> </w:t>
      </w:r>
      <w:r>
        <w:t xml:space="preserve">During the review study, stakeholders reported that they had to discontinue production of</w:t>
      </w:r>
      <w:r>
        <w:t xml:space="preserve"> </w:t>
      </w:r>
      <w:r>
        <w:t xml:space="preserve">some of the products in their portfolio due to the NOx limit, and to modify a majority of</w:t>
      </w:r>
      <w:r>
        <w:t xml:space="preserve"> </w:t>
      </w:r>
      <w:r>
        <w:t xml:space="preserve">the remaining products to make them compliant. Consequently, even though the exact</w:t>
      </w:r>
      <w:r>
        <w:t xml:space="preserve"> </w:t>
      </w:r>
      <w:r>
        <w:t xml:space="preserve">NOx emission savings cannot be quantified, it is evident that the LSH Regulation has led</w:t>
      </w:r>
      <w:r>
        <w:t xml:space="preserve"> </w:t>
      </w:r>
      <w:r>
        <w:t xml:space="preserve">to the decrease of NOx emissions for many of the products on the market, and that the</w:t>
      </w:r>
      <w:r>
        <w:t xml:space="preserve"> </w:t>
      </w:r>
      <w:r>
        <w:t xml:space="preserve">products with the highest NOx emissions have been entirely removed from the EU</w:t>
      </w:r>
      <w:r>
        <w:t xml:space="preserve"> </w:t>
      </w:r>
      <w:r>
        <w:t xml:space="preserve">market. We can therefore conclude that the LSH Regulation has been effective in</w:t>
      </w:r>
      <w:r>
        <w:t xml:space="preserve"> </w:t>
      </w:r>
      <w:r>
        <w:t xml:space="preserve">reducing NOx emissions.</w:t>
      </w:r>
      <w:r>
        <w:t xml:space="preserve"> </w:t>
      </w:r>
      <w:r>
        <w:t xml:space="preserve">2.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impacts on user expenditure, manufacturer turnover and dealers turnover relate to the</w:t>
      </w:r>
      <w:r>
        <w:t xml:space="preserve"> </w:t>
      </w:r>
      <w:r>
        <w:t xml:space="preserve">efficiency of the policy options, namely their capacity to generate energy savings while</w:t>
      </w:r>
      <w:r>
        <w:t xml:space="preserve"> </w:t>
      </w:r>
      <w:r>
        <w:t xml:space="preserve">not generating additional costs to users, manufacturers and dealers, respectively. In</w:t>
      </w:r>
      <w:r>
        <w:t xml:space="preserve"> </w:t>
      </w:r>
      <w:r>
        <w:t xml:space="preserve">general it can be said that a regulation that is directly applicable in all Member States</w:t>
      </w:r>
      <w:r>
        <w:t xml:space="preserve"> </w:t>
      </w:r>
      <w:r>
        <w:t xml:space="preserve">ensure that there are not costs for national administrations related to transposition of the</w:t>
      </w:r>
      <w:r>
        <w:t xml:space="preserve"> </w:t>
      </w:r>
      <w:r>
        <w:t xml:space="preserve">legislation into national law. The use of a regulation also provides a level playing field</w:t>
      </w:r>
      <w:r>
        <w:t xml:space="preserve"> </w:t>
      </w:r>
      <w:r>
        <w:t xml:space="preserve">for the industry, as the measure comes into force simultaneously and identically across</w:t>
      </w:r>
      <w:r>
        <w:t xml:space="preserve"> </w:t>
      </w:r>
      <w:r>
        <w:t xml:space="preserve">all Member States.</w:t>
      </w:r>
      <w:r>
        <w:br/>
      </w:r>
      <w:r>
        <w:t xml:space="preserve">The specific questions answered regarding efficiency are:</w:t>
      </w:r>
      <w:r>
        <w:t xml:space="preserve"> </w:t>
      </w:r>
      <w:r>
        <w:t xml:space="preserve">-</w:t>
      </w:r>
      <w:r>
        <w:t xml:space="preserve"> </w:t>
      </w:r>
      <w:r>
        <w:t xml:space="preserve">To what extent has the LSH Regulation been cost efficient?</w:t>
      </w:r>
      <w:r>
        <w:t xml:space="preserve"> </w:t>
      </w:r>
      <w:r>
        <w:t xml:space="preserve">-</w:t>
      </w:r>
      <w:r>
        <w:t xml:space="preserve"> </w:t>
      </w:r>
      <w:r>
        <w:t xml:space="preserve">What have been the costs and benefits of the LSH Regulation and to which</w:t>
      </w:r>
      <w:r>
        <w:t xml:space="preserve"> </w:t>
      </w:r>
      <w:r>
        <w:t xml:space="preserve">stakeholders they apply?</w:t>
      </w:r>
      <w:r>
        <w:br/>
      </w:r>
      <w:r>
        <w:t xml:space="preserve">-</w:t>
      </w:r>
      <w:r>
        <w:t xml:space="preserve"> </w:t>
      </w:r>
      <w:r>
        <w:t xml:space="preserve">To what extent are the costs of the LSH Regulation justified given the impact</w:t>
      </w:r>
      <w:r>
        <w:t xml:space="preserve"> </w:t>
      </w:r>
      <w:r>
        <w:t xml:space="preserve">achieved?</w:t>
      </w:r>
      <w:r>
        <w:t xml:space="preserve"> </w:t>
      </w:r>
      <w:r>
        <w:t xml:space="preserve">The total consumer expenditure is calculated as the total amount spent by all users in</w:t>
      </w:r>
      <w:r>
        <w:t xml:space="preserve"> </w:t>
      </w:r>
      <w:r>
        <w:t xml:space="preserve">Europe each year on purchasing, using and maintaining their local space heaters. The</w:t>
      </w:r>
      <w:r>
        <w:t xml:space="preserve"> </w:t>
      </w:r>
      <w:r>
        <w:t xml:space="preserve">LSH Regulation has resulted in lower total consumer expenditure compared to no</w:t>
      </w:r>
      <w:r>
        <w:t xml:space="preserve"> </w:t>
      </w:r>
      <w:r>
        <w:t xml:space="preserve">regulation (BAU0) as seen in Figure A6-3, despite increasing product prices. The</w:t>
      </w:r>
      <w:r>
        <w:t xml:space="preserve"> </w:t>
      </w:r>
      <w:r>
        <w:t xml:space="preserve">consumer expenditure under both BAU0 and BAU1 scenarios increases with time due to</w:t>
      </w:r>
      <w:r>
        <w:t xml:space="preserve"> </w:t>
      </w:r>
      <w:r>
        <w:t xml:space="preserve">the rise of fuel prices, which is decoupled from the LSH Regulation.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Figure A6-3. Development in total user expenditure over time for BAU0 (No regulation) and BAU</w:t>
      </w:r>
      <w:r>
        <w:t xml:space="preserve"> </w:t>
      </w:r>
      <w:r>
        <w:t xml:space="preserve">1(current Regulation) scenarios</w:t>
      </w:r>
      <w:r>
        <w:br/>
      </w:r>
      <w:r>
        <w:t xml:space="preserve">Two aspects result from the analysis:</w:t>
      </w:r>
      <w:r>
        <w:br/>
      </w:r>
      <w:r>
        <w:t xml:space="preserve">-</w:t>
      </w:r>
      <w:r>
        <w:t xml:space="preserve"> </w:t>
      </w:r>
      <w:r>
        <w:t xml:space="preserve">The total consumer expenditure increased since 2010 for both scenarios, but mostly</w:t>
      </w:r>
      <w:r>
        <w:t xml:space="preserve"> </w:t>
      </w:r>
      <w:r>
        <w:t xml:space="preserve">in the BAU0 scenario</w:t>
      </w:r>
      <w:r>
        <w:br/>
      </w:r>
      <w:r>
        <w:t xml:space="preserve">-</w:t>
      </w:r>
      <w:r>
        <w:t xml:space="preserve"> </w:t>
      </w:r>
      <w:r>
        <w:t xml:space="preserve">The far majority of consumer expenditure is comprised by fuel costs. This is because</w:t>
      </w:r>
      <w:r>
        <w:t xml:space="preserve"> </w:t>
      </w:r>
      <w:r>
        <w:t xml:space="preserve">the lifetime of the products is generally long. Also, this means that the driver for</w:t>
      </w:r>
      <w:r>
        <w:t xml:space="preserve"> </w:t>
      </w:r>
      <w:r>
        <w:t xml:space="preserve">lower total costs in the BAU1 scenario is the fuel savings (2.029 M€/year lower in</w:t>
      </w:r>
      <w:r>
        <w:t xml:space="preserve"> </w:t>
      </w:r>
      <w:r>
        <w:t xml:space="preserve">2020 compared to BAU0), which outweigh the increased expenditure for product</w:t>
      </w:r>
      <w:r>
        <w:t xml:space="preserve"> </w:t>
      </w:r>
      <w:r>
        <w:t xml:space="preserve">purchase (505 M€/year higher in 2020 compared to BAU0).</w:t>
      </w:r>
    </w:p>
    <w:p>
      <w:pPr>
        <w:pStyle w:val="BodyText"/>
      </w:pPr>
      <w:r>
        <w:t xml:space="preserve">Figure A6-4. Split of total consumer expenditure in 2020 in the BAU 0 (no regulation) and BAU 1 (current</w:t>
      </w:r>
      <w:r>
        <w:t xml:space="preserve"> </w:t>
      </w:r>
      <w:r>
        <w:t xml:space="preserve">regulation) scenarios</w:t>
      </w:r>
      <w:r>
        <w:br/>
      </w:r>
      <w:r>
        <w:t xml:space="preserve">Figure A6-5 show that the more expensive products reaching the market under BAU1,</w:t>
      </w:r>
      <w:r>
        <w:t xml:space="preserve"> </w:t>
      </w:r>
      <w:r>
        <w:t xml:space="preserve">entail an increase of the manufacturer turnover which, in turn, leads to a pace of job</w:t>
      </w:r>
      <w:r>
        <w:t xml:space="preserve"> </w:t>
      </w:r>
      <w:r>
        <w:t xml:space="preserve">creation which is proportional to the turnover.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Figure A6-5. total industry turnover in BAU 0 (no regulation) and BAU 1 (current regulation) in million</w:t>
      </w:r>
      <w:r>
        <w:t xml:space="preserve"> </w:t>
      </w:r>
      <w:r>
        <w:t xml:space="preserve">euros</w:t>
      </w:r>
    </w:p>
    <w:p>
      <w:pPr>
        <w:pStyle w:val="BodyText"/>
      </w:pPr>
      <w:r>
        <w:t xml:space="preserve">Figure A6-6. number jobs in the local space heaters industry in the BAU0 (no regulation) and BAU1</w:t>
      </w:r>
      <w:r>
        <w:t xml:space="preserve"> </w:t>
      </w:r>
      <w:r>
        <w:t xml:space="preserve">(current regulation) scenarios</w:t>
      </w:r>
      <w:r>
        <w:t xml:space="preserve"> </w:t>
      </w:r>
      <w:r>
        <w:t xml:space="preserve">3.</w:t>
      </w:r>
      <w:r>
        <w:t xml:space="preserve"> </w:t>
      </w:r>
      <w:r>
        <w:t xml:space="preserve">RELEVANCE</w:t>
      </w:r>
      <w:r>
        <w:t xml:space="preserve"> </w:t>
      </w:r>
      <w:r>
        <w:t xml:space="preserve">The specific questions to be answered regarding the relevance of the LSH Regulation are:</w:t>
      </w:r>
      <w:r>
        <w:br/>
      </w:r>
      <w:r>
        <w:t xml:space="preserve">-</w:t>
      </w:r>
      <w:r>
        <w:t xml:space="preserve"> </w:t>
      </w:r>
      <w:r>
        <w:t xml:space="preserve">Are the objectives of the current regulation still relevant?</w:t>
      </w:r>
      <w:r>
        <w:br/>
      </w:r>
      <w:r>
        <w:t xml:space="preserve">-</w:t>
      </w:r>
      <w:r>
        <w:t xml:space="preserve"> </w:t>
      </w:r>
      <w:r>
        <w:t xml:space="preserve">Can higher savings be obtained with more requirements?</w:t>
      </w:r>
      <w:r>
        <w:br/>
      </w:r>
      <w:r>
        <w:t xml:space="preserve">The objective of the LSH Regulation is to reduce the energy consumption and NOx</w:t>
      </w:r>
      <w:r>
        <w:t xml:space="preserve"> </w:t>
      </w:r>
      <w:r>
        <w:t xml:space="preserve">emissions of local space heaters. Since the LSH Regulation only entered into force</w:t>
      </w:r>
      <w:r>
        <w:t xml:space="preserve"> </w:t>
      </w:r>
      <w:r>
        <w:t xml:space="preserve">recently, the market is still adjusting to the requirements and the overall goal of the LSH</w:t>
      </w:r>
      <w:r>
        <w:t xml:space="preserve"> </w:t>
      </w:r>
      <w:r>
        <w:t xml:space="preserve">Regulation of reducing CO2 and NOx emissions remains highly relevant for the</w:t>
      </w:r>
      <w:r>
        <w:t xml:space="preserve"> </w:t>
      </w:r>
      <w:r>
        <w:t xml:space="preserve">protection of the environment and human health.</w:t>
      </w:r>
      <w:r>
        <w:br/>
      </w:r>
      <w:r>
        <w:t xml:space="preserve">As far as possible higher savings, the technology of local space heaters is very mature</w:t>
      </w:r>
      <w:r>
        <w:t xml:space="preserve"> </w:t>
      </w:r>
      <w:r>
        <w:t xml:space="preserve">and no or very slow change is seen in the market. The majority of the development in</w:t>
      </w:r>
      <w:r>
        <w:t xml:space="preserve"> </w:t>
      </w:r>
      <w:r>
        <w:t xml:space="preserve">energy efficiency happens through the development of control functions to better regulate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the heat emitted without decreasing comfort. A significant trend for local space heaters is</w:t>
      </w:r>
      <w:r>
        <w:t xml:space="preserve"> </w:t>
      </w:r>
      <w:r>
        <w:t xml:space="preserve">thus more advanced controllers, which is specific to the electric local space heaters rather</w:t>
      </w:r>
      <w:r>
        <w:t xml:space="preserve"> </w:t>
      </w:r>
      <w:r>
        <w:t xml:space="preserve">than to gas of oil fuelled heaters, and where there is still margin for improvement.</w:t>
      </w:r>
      <w:r>
        <w:br/>
      </w:r>
      <w:r>
        <w:t xml:space="preserve">Another path for increasing the energy efficiency from local space heaters is the</w:t>
      </w:r>
      <w:r>
        <w:t xml:space="preserve"> </w:t>
      </w:r>
      <w:r>
        <w:t xml:space="preserve">widening of the scope of the LSH Regulation for instance to slave heaters, which are</w:t>
      </w:r>
      <w:r>
        <w:t xml:space="preserve"> </w:t>
      </w:r>
      <w:r>
        <w:t xml:space="preserve">currently excluded.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ANNEX 7: SOME MEASURES THAT DO NOT ENTAIL ANY DIRECT</w:t>
      </w:r>
      <w:r>
        <w:t xml:space="preserve"> </w:t>
      </w:r>
      <w:r>
        <w:t xml:space="preserve">ENVIRONMENTAL OR ECONOMIC IMPACT</w:t>
      </w:r>
      <w:r>
        <w:t xml:space="preserve"> </w:t>
      </w:r>
      <w:r>
        <w:t xml:space="preserve">The amendment to the LSH Regulation will incorporate some modifications that do not</w:t>
      </w:r>
      <w:r>
        <w:t xml:space="preserve"> </w:t>
      </w:r>
      <w:r>
        <w:t xml:space="preserve">entail any environmental or economic impact and have therefore not been included in the</w:t>
      </w:r>
      <w:r>
        <w:t xml:space="preserve"> </w:t>
      </w:r>
      <w:r>
        <w:t xml:space="preserve">policy options. Nevertheless, it is convenient to mention them in a separate annex. Those</w:t>
      </w:r>
      <w:r>
        <w:t xml:space="preserve"> </w:t>
      </w:r>
      <w:r>
        <w:t xml:space="preserve">modifications are the following:</w:t>
      </w:r>
      <w:r>
        <w:t xml:space="preserve"> </w:t>
      </w:r>
      <w:r>
        <w:t xml:space="preserve">1.</w:t>
      </w:r>
      <w:r>
        <w:t xml:space="preserve"> </w:t>
      </w:r>
      <w:r>
        <w:t xml:space="preserve">REPHRASING THE OVERALL DEFINITION OF LOCAL SPACE HEATERS</w:t>
      </w:r>
      <w:r>
        <w:t xml:space="preserve"> </w:t>
      </w:r>
      <w:r>
        <w:t xml:space="preserve">During the review study, multiple stakeholders made different suggestions for a new</w:t>
      </w:r>
      <w:r>
        <w:t xml:space="preserve"> </w:t>
      </w:r>
      <w:r>
        <w:t xml:space="preserve">definition of local space heaters in order to be able to be more precise about the type of</w:t>
      </w:r>
      <w:r>
        <w:t xml:space="preserve"> </w:t>
      </w:r>
      <w:r>
        <w:t xml:space="preserve">product included in that definition. Some suggested removing the term “human thermal</w:t>
      </w:r>
      <w:r>
        <w:t xml:space="preserve"> </w:t>
      </w:r>
      <w:r>
        <w:t xml:space="preserve">comfort” as this wording could create a loophole as regards of decorative heaters or</w:t>
      </w:r>
      <w:r>
        <w:t xml:space="preserve"> </w:t>
      </w:r>
      <w:r>
        <w:t xml:space="preserve">towel heaters. However, removing those words would raise doubts about the inclusion in</w:t>
      </w:r>
      <w:r>
        <w:t xml:space="preserve"> </w:t>
      </w:r>
      <w:r>
        <w:t xml:space="preserve">the scope of other devices such as those used in e.g. agriculture, industrial facilities and</w:t>
      </w:r>
      <w:r>
        <w:t xml:space="preserve"> </w:t>
      </w:r>
      <w:r>
        <w:t xml:space="preserve">other sectors, which should not be affected by the LSH Regulation. It has been agreed</w:t>
      </w:r>
      <w:r>
        <w:t xml:space="preserve"> </w:t>
      </w:r>
      <w:r>
        <w:t xml:space="preserve">nevertheless to replace the term “reach and maintain a certain level of human thermal</w:t>
      </w:r>
      <w:r>
        <w:t xml:space="preserve"> </w:t>
      </w:r>
      <w:r>
        <w:t xml:space="preserve">comfort” by “contribute to a certain level of human thermal comfort”, to make clear that</w:t>
      </w:r>
      <w:r>
        <w:t xml:space="preserve"> </w:t>
      </w:r>
      <w:r>
        <w:t xml:space="preserve">products that are not the only source of heat are also affected. In addition, the definition</w:t>
      </w:r>
      <w:r>
        <w:t xml:space="preserve"> </w:t>
      </w:r>
      <w:r>
        <w:t xml:space="preserve">has been further simplified by removing redundancies such as the term “in combination</w:t>
      </w:r>
      <w:r>
        <w:t xml:space="preserve"> </w:t>
      </w:r>
      <w:r>
        <w:t xml:space="preserve">with heat transfer to a fluid” which is equivalent to “combined with a heat output to other</w:t>
      </w:r>
      <w:r>
        <w:t xml:space="preserve"> </w:t>
      </w:r>
      <w:r>
        <w:t xml:space="preserve">spaces”. The sentence “through use of the Joule effect or combustion” is unnecessary and</w:t>
      </w:r>
      <w:r>
        <w:t xml:space="preserve"> </w:t>
      </w:r>
      <w:r>
        <w:t xml:space="preserve">has also been removed.</w:t>
      </w:r>
      <w:r>
        <w:br/>
      </w:r>
      <w:r>
        <w:t xml:space="preserve">With all the above, the definition of local space heater will finally be simplified as</w:t>
      </w:r>
      <w:r>
        <w:t xml:space="preserve"> </w:t>
      </w:r>
      <w:r>
        <w:t xml:space="preserve">follows:</w:t>
      </w:r>
      <w:r>
        <w:t xml:space="preserve"> </w:t>
      </w:r>
      <w:r>
        <w:t xml:space="preserve">Current definition: local space heater means a space heating device that emits heat by</w:t>
      </w:r>
      <w:r>
        <w:t xml:space="preserve"> </w:t>
      </w:r>
      <w:r>
        <w:t xml:space="preserve">direct heat transfer or by direct heat transfer in combination with heat transfer to a fluid,</w:t>
      </w:r>
      <w:r>
        <w:t xml:space="preserve"> </w:t>
      </w:r>
      <w:r>
        <w:t xml:space="preserve">in order to reach and maintain a certain level of human thermal comfort within an</w:t>
      </w:r>
      <w:r>
        <w:t xml:space="preserve"> </w:t>
      </w:r>
      <w:r>
        <w:t xml:space="preserve">enclosed space in which the product is situated, possibly combined with a heat output to</w:t>
      </w:r>
      <w:r>
        <w:t xml:space="preserve"> </w:t>
      </w:r>
      <w:r>
        <w:t xml:space="preserve">other spaces and is equipped with one or more heat generators that convert electricity or</w:t>
      </w:r>
      <w:r>
        <w:t xml:space="preserve"> </w:t>
      </w:r>
      <w:r>
        <w:t xml:space="preserve">gaseous, liquid or solid fuels directly into heat, through use of the Joule effect or</w:t>
      </w:r>
      <w:r>
        <w:t xml:space="preserve"> </w:t>
      </w:r>
      <w:r>
        <w:t xml:space="preserve">combustion of fuels respectively.</w:t>
      </w:r>
      <w:r>
        <w:t xml:space="preserve"> </w:t>
      </w:r>
      <w:r>
        <w:t xml:space="preserve">New definition: local space heater means a device that is equipped with one or more heat</w:t>
      </w:r>
      <w:r>
        <w:t xml:space="preserve"> </w:t>
      </w:r>
      <w:r>
        <w:t xml:space="preserve">generators with the purpose of converting electricity or gaseous or liquid fuels directly</w:t>
      </w:r>
      <w:r>
        <w:t xml:space="preserve"> </w:t>
      </w:r>
      <w:r>
        <w:t xml:space="preserve">into heat to contribute to a certain level of human thermal comfort in the enclosed space</w:t>
      </w:r>
      <w:r>
        <w:t xml:space="preserve"> </w:t>
      </w:r>
      <w:r>
        <w:t xml:space="preserve">in which it is situated by direct heat transfer, possibly combined with a heat output to</w:t>
      </w:r>
      <w:r>
        <w:t xml:space="preserve"> </w:t>
      </w:r>
      <w:r>
        <w:t xml:space="preserve">other spaces or with heat transfer to a fluid.</w:t>
      </w:r>
      <w:r>
        <w:t xml:space="preserve"> </w:t>
      </w:r>
      <w:r>
        <w:t xml:space="preserve">Stakeholder views: stakeholders are in favour of the suggested changes and especially the</w:t>
      </w:r>
      <w:r>
        <w:t xml:space="preserve"> </w:t>
      </w:r>
      <w:r>
        <w:t xml:space="preserve">wording ‘contribute’ instead of ‘reach and maintain’.</w:t>
      </w:r>
      <w:r>
        <w:br/>
      </w:r>
      <w:r>
        <w:t xml:space="preserve">2.</w:t>
      </w:r>
      <w:r>
        <w:t xml:space="preserve"> </w:t>
      </w:r>
      <w:r>
        <w:t xml:space="preserve">CHANGING THE DEFINITION OF AIR-HEATING APPLIANCES</w:t>
      </w:r>
      <w:r>
        <w:t xml:space="preserve"> </w:t>
      </w:r>
      <w:r>
        <w:t xml:space="preserve">It is suggested to change the definition of air-heating appliances as the definition of the</w:t>
      </w:r>
      <w:r>
        <w:t xml:space="preserve"> </w:t>
      </w:r>
      <w:r>
        <w:t xml:space="preserve">same product should always be aligned across different regulations to avoid confusion. In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the current definition, it is not clear what is meant with the words “only to an air-based</w:t>
      </w:r>
      <w:r>
        <w:t xml:space="preserve"> </w:t>
      </w:r>
      <w:r>
        <w:t xml:space="preserve">heating system; or that can only be ducted”. Hence, it is suggested to incorporate the</w:t>
      </w:r>
      <w:r>
        <w:t xml:space="preserve"> </w:t>
      </w:r>
      <w:r>
        <w:t xml:space="preserve">definition from Regulation 2016/228174 as follows:</w:t>
      </w:r>
      <w:r>
        <w:t xml:space="preserve"> </w:t>
      </w:r>
      <w:r>
        <w:t xml:space="preserve">Current definition: air heating product means a product providing heat to an air-based</w:t>
      </w:r>
      <w:r>
        <w:t xml:space="preserve"> </w:t>
      </w:r>
      <w:r>
        <w:t xml:space="preserve">heating system only that can be ducted and is designed to be used while fastened or</w:t>
      </w:r>
      <w:r>
        <w:t xml:space="preserve"> </w:t>
      </w:r>
      <w:r>
        <w:t xml:space="preserve">secured in a specific location or wall mounted which distributes the air by means of an</w:t>
      </w:r>
      <w:r>
        <w:t xml:space="preserve"> </w:t>
      </w:r>
      <w:r>
        <w:t xml:space="preserve">air moving device in order to reach and maintain a certain level of human thermal</w:t>
      </w:r>
      <w:r>
        <w:t xml:space="preserve"> </w:t>
      </w:r>
      <w:r>
        <w:t xml:space="preserve">comfort within an enclosed space in which the product is situated.</w:t>
      </w:r>
      <w:r>
        <w:t xml:space="preserve"> </w:t>
      </w:r>
      <w:r>
        <w:t xml:space="preserve">New definition, aligned with Regulation 2016/2281: air heating product means a device</w:t>
      </w:r>
      <w:r>
        <w:t xml:space="preserve"> </w:t>
      </w:r>
      <w:r>
        <w:t xml:space="preserve">that incorporates or provides heat to an air-based heating system; is equipped with one or</w:t>
      </w:r>
      <w:r>
        <w:t xml:space="preserve"> </w:t>
      </w:r>
      <w:r>
        <w:t xml:space="preserve">more heat generators; and may include an air-based heating system for supplying heated</w:t>
      </w:r>
      <w:r>
        <w:t xml:space="preserve"> </w:t>
      </w:r>
      <w:r>
        <w:t xml:space="preserve">air directly into the heated space by means of an air-moving device. A heat generator</w:t>
      </w:r>
      <w:r>
        <w:t xml:space="preserve"> </w:t>
      </w:r>
      <w:r>
        <w:t xml:space="preserve">designed for an air heating product and an air heating product housing designed to be</w:t>
      </w:r>
      <w:r>
        <w:t xml:space="preserve"> </w:t>
      </w:r>
      <w:r>
        <w:t xml:space="preserve">equipped with such a heat generator shall, together, be considered as an air heating</w:t>
      </w:r>
      <w:r>
        <w:t xml:space="preserve"> </w:t>
      </w:r>
      <w:r>
        <w:t xml:space="preserve">product.</w:t>
      </w:r>
      <w:r>
        <w:t xml:space="preserve"> </w:t>
      </w:r>
      <w:r>
        <w:t xml:space="preserve">Stakeholder views: No stakeholders opposed to the new definition.</w:t>
      </w:r>
      <w:r>
        <w:br/>
      </w:r>
      <w:r>
        <w:t xml:space="preserve">3.</w:t>
      </w:r>
      <w:r>
        <w:t xml:space="preserve"> </w:t>
      </w:r>
      <w:r>
        <w:t xml:space="preserve">CHANGE THE DEFINITION OF “ELECTRIC PORTABLE HEATERS”</w:t>
      </w:r>
      <w:r>
        <w:br/>
      </w:r>
      <w:r>
        <w:t xml:space="preserve">A new definition for portable electric heaters shall ensure that this definition is restricted</w:t>
      </w:r>
      <w:r>
        <w:t xml:space="preserve"> </w:t>
      </w:r>
      <w:r>
        <w:t xml:space="preserve">to heaters which can be only used in a portable mode, and which have no option to be</w:t>
      </w:r>
      <w:r>
        <w:t xml:space="preserve"> </w:t>
      </w:r>
      <w:r>
        <w:t xml:space="preserve">used as fixed heaters. Hence, if any accessories are made available for fixing the heater,</w:t>
      </w:r>
      <w:r>
        <w:t xml:space="preserve"> </w:t>
      </w:r>
      <w:r>
        <w:t xml:space="preserve">either together or separately from it, the heater will have to comply with the requirements</w:t>
      </w:r>
      <w:r>
        <w:t xml:space="preserve"> </w:t>
      </w:r>
      <w:r>
        <w:t xml:space="preserve">for fixed heaters.</w:t>
      </w:r>
      <w:r>
        <w:t xml:space="preserve"> </w:t>
      </w:r>
      <w:r>
        <w:t xml:space="preserve">Current definition: electric portable local space heater means an electric local space</w:t>
      </w:r>
      <w:r>
        <w:t xml:space="preserve"> </w:t>
      </w:r>
      <w:r>
        <w:t xml:space="preserve">heater which is not an electric fixed local space heater, electric storage local space heater,</w:t>
      </w:r>
      <w:r>
        <w:t xml:space="preserve"> </w:t>
      </w:r>
      <w:r>
        <w:t xml:space="preserve">electric underfloor local space heater, electric radiant local space heater, electric visibly</w:t>
      </w:r>
      <w:r>
        <w:t xml:space="preserve"> </w:t>
      </w:r>
      <w:r>
        <w:t xml:space="preserve">glowing local space heater or slave heater.</w:t>
      </w:r>
      <w:r>
        <w:t xml:space="preserve"> </w:t>
      </w:r>
      <w:r>
        <w:t xml:space="preserve">New proposed definition: electric portable local space heater means an electric local</w:t>
      </w:r>
      <w:r>
        <w:t xml:space="preserve"> </w:t>
      </w:r>
      <w:r>
        <w:t xml:space="preserve">space heater that is designed to be portable in order to be operated in different rooms or</w:t>
      </w:r>
      <w:r>
        <w:t xml:space="preserve"> </w:t>
      </w:r>
      <w:r>
        <w:t xml:space="preserve">locations. A portable appliance with features which can be used to fix it to a wall and/or</w:t>
      </w:r>
      <w:r>
        <w:t xml:space="preserve"> </w:t>
      </w:r>
      <w:r>
        <w:t xml:space="preserve">floor is considered an electric fixed local space heater.</w:t>
      </w:r>
      <w:r>
        <w:t xml:space="preserve"> </w:t>
      </w:r>
      <w:r>
        <w:t xml:space="preserve">Stakeholder views: No stakeholders opposed to the new definition.</w:t>
      </w:r>
      <w:r>
        <w:t xml:space="preserve"> </w:t>
      </w:r>
      <w:r>
        <w:t xml:space="preserve">4.</w:t>
      </w:r>
      <w:r>
        <w:t xml:space="preserve"> </w:t>
      </w:r>
      <w:r>
        <w:t xml:space="preserve">REMOVE THE “ELECTRIC RADIANT HEATER” CATEGORY</w:t>
      </w:r>
      <w:r>
        <w:br/>
      </w:r>
      <w:r>
        <w:t xml:space="preserve">The term radiant heaters has created confusion, since most electric heaters emit radiant</w:t>
      </w:r>
      <w:r>
        <w:t xml:space="preserve"> </w:t>
      </w:r>
      <w:r>
        <w:t xml:space="preserve">heat and they do not belong to this category. Some stakeholders have suggested renaming</w:t>
      </w:r>
    </w:p>
    <w:p>
      <w:pPr>
        <w:pStyle w:val="BodyText"/>
      </w:pPr>
      <w:r>
        <w:t xml:space="preserve">74 Commission Regulation (EU) 2016/2281 of 30 November 2016 implementing Directive 2009/125/EC of</w:t>
      </w:r>
      <w:r>
        <w:t xml:space="preserve"> </w:t>
      </w:r>
      <w:r>
        <w:t xml:space="preserve">the European Parliament and of the Council establishing a framework for the setting of ecodesign</w:t>
      </w:r>
      <w:r>
        <w:t xml:space="preserve"> </w:t>
      </w:r>
      <w:r>
        <w:t xml:space="preserve">requirements for energy-related products, with regard to ecodesign requirements for air heating products,</w:t>
      </w:r>
      <w:r>
        <w:t xml:space="preserve"> </w:t>
      </w:r>
      <w:r>
        <w:t xml:space="preserve">cooling products, high temperature process chillers and fan coil units (OJ L 346/1, 20.12.2016, p 1)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the category. Other stakeholders have pointed out that they are not aware of any radiant</w:t>
      </w:r>
      <w:r>
        <w:t xml:space="preserve"> </w:t>
      </w:r>
      <w:r>
        <w:t xml:space="preserve">electric heaters with a surface temperature rise of 130 degrees, which means that the</w:t>
      </w:r>
      <w:r>
        <w:t xml:space="preserve"> </w:t>
      </w:r>
      <w:r>
        <w:t xml:space="preserve">category today is empty and other categories cover radiant heaters. Hence, the current</w:t>
      </w:r>
      <w:r>
        <w:t xml:space="preserve"> </w:t>
      </w:r>
      <w:r>
        <w:t xml:space="preserve">definition is considered to be obsolete and only causing confusion among producers,</w:t>
      </w:r>
      <w:r>
        <w:t xml:space="preserve"> </w:t>
      </w:r>
      <w:r>
        <w:t xml:space="preserve">reason why it should be removed.</w:t>
      </w:r>
      <w:r>
        <w:t xml:space="preserve"> </w:t>
      </w:r>
      <w:r>
        <w:t xml:space="preserve">Stakeholder views: no stakeholder has opposed to the removal of the electric radiant</w:t>
      </w:r>
      <w:r>
        <w:t xml:space="preserve"> </w:t>
      </w:r>
      <w:r>
        <w:t xml:space="preserve">heater category.</w:t>
      </w:r>
      <w:r>
        <w:t xml:space="preserve"> </w:t>
      </w:r>
      <w:r>
        <w:t xml:space="preserve">5.</w:t>
      </w:r>
      <w:r>
        <w:t xml:space="preserve"> </w:t>
      </w:r>
      <w:r>
        <w:t xml:space="preserve">CHANGE THE DEFINITIONS FOR LUMINOUS LOCAL SPACE HEATER AND TUBE</w:t>
      </w:r>
      <w:r>
        <w:t xml:space="preserve"> </w:t>
      </w:r>
      <w:r>
        <w:t xml:space="preserve">LOCAL SPACE HEATER</w:t>
      </w:r>
      <w:r>
        <w:t xml:space="preserve"> </w:t>
      </w:r>
      <w:r>
        <w:t xml:space="preserve">During the review study, stakeholders have suggested adding the word commercial to</w:t>
      </w:r>
      <w:r>
        <w:t xml:space="preserve"> </w:t>
      </w:r>
      <w:r>
        <w:t xml:space="preserve">the definitions of luminous local space heater and tube local space heater in order to</w:t>
      </w:r>
      <w:r>
        <w:t xml:space="preserve"> </w:t>
      </w:r>
      <w:r>
        <w:t xml:space="preserve">make clear that these types of devices are only commercial heaters and not domestic.</w:t>
      </w:r>
      <w:r>
        <w:t xml:space="preserve"> </w:t>
      </w:r>
      <w:r>
        <w:t xml:space="preserve">In addition, liquid heaters are removed from the definition of luminous commercial local</w:t>
      </w:r>
      <w:r>
        <w:t xml:space="preserve"> </w:t>
      </w:r>
      <w:r>
        <w:t xml:space="preserve">space heater as these heaters do not exist.</w:t>
      </w:r>
      <w:r>
        <w:br/>
      </w:r>
      <w:r>
        <w:t xml:space="preserve">Stakeholder views: no stakeholder has opposed to the proposed changes.</w:t>
      </w:r>
      <w:r>
        <w:t xml:space="preserve"> </w:t>
      </w:r>
      <w:r>
        <w:t xml:space="preserve">6.</w:t>
      </w:r>
      <w:r>
        <w:t xml:space="preserve"> </w:t>
      </w:r>
      <w:r>
        <w:t xml:space="preserve">UPDATE OF THE CC-FACTOR TO 2,1</w:t>
      </w:r>
      <w:r>
        <w:t xml:space="preserve"> </w:t>
      </w:r>
      <w:r>
        <w:t xml:space="preserve">Following the modification of the correction coefficient (CC) set out in the EED from</w:t>
      </w:r>
      <w:r>
        <w:t xml:space="preserve"> </w:t>
      </w:r>
      <w:r>
        <w:t xml:space="preserve">CC = 2,5 to CC = 2,1, the limit efficiency values in the LSH Regulation need to be</w:t>
      </w:r>
      <w:r>
        <w:t xml:space="preserve"> </w:t>
      </w:r>
      <w:r>
        <w:t xml:space="preserve">modified accordingly.</w:t>
      </w:r>
      <w:r>
        <w:br/>
      </w:r>
      <w:r>
        <w:t xml:space="preserve">Product category</w:t>
      </w:r>
      <w:r>
        <w:t xml:space="preserve"> </w:t>
      </w:r>
      <w:r>
        <w:t xml:space="preserve">Existing regulation</w:t>
      </w:r>
      <w:r>
        <w:t xml:space="preserve"> </w:t>
      </w:r>
      <w:r>
        <w:t xml:space="preserve">requirements with CC=2.5</w:t>
      </w:r>
      <w:r>
        <w:t xml:space="preserve"> </w:t>
      </w:r>
      <w:r>
        <w:t xml:space="preserve">Revised regulation</w:t>
      </w:r>
      <w:r>
        <w:t xml:space="preserve"> </w:t>
      </w:r>
      <w:r>
        <w:t xml:space="preserve">requirements with CC=2.1</w:t>
      </w:r>
      <w:r>
        <w:t xml:space="preserve"> </w:t>
      </w:r>
      <w:r>
        <w:t xml:space="preserve">Portable</w:t>
      </w:r>
      <w:r>
        <w:t xml:space="preserve"> </w:t>
      </w:r>
      <w:r>
        <w:t xml:space="preserve">36%</w:t>
      </w:r>
      <w:r>
        <w:t xml:space="preserve"> </w:t>
      </w:r>
      <w:r>
        <w:t xml:space="preserve">43,6%</w:t>
      </w:r>
      <w:r>
        <w:t xml:space="preserve"> </w:t>
      </w:r>
      <w:r>
        <w:t xml:space="preserve">Fixed &gt;250 W</w:t>
      </w:r>
      <w:r>
        <w:t xml:space="preserve"> </w:t>
      </w:r>
      <w:r>
        <w:t xml:space="preserve">38%</w:t>
      </w:r>
      <w:r>
        <w:t xml:space="preserve"> </w:t>
      </w:r>
      <w:r>
        <w:t xml:space="preserve">45,6%</w:t>
      </w:r>
      <w:r>
        <w:t xml:space="preserve"> </w:t>
      </w:r>
      <w:r>
        <w:t xml:space="preserve">Fixed &lt;250 W</w:t>
      </w:r>
      <w:r>
        <w:t xml:space="preserve"> </w:t>
      </w:r>
      <w:r>
        <w:t xml:space="preserve">34%</w:t>
      </w:r>
      <w:r>
        <w:t xml:space="preserve"> </w:t>
      </w:r>
      <w:r>
        <w:t xml:space="preserve">41,6%</w:t>
      </w:r>
      <w:r>
        <w:t xml:space="preserve"> </w:t>
      </w:r>
      <w:r>
        <w:t xml:space="preserve">Storage</w:t>
      </w:r>
      <w:r>
        <w:t xml:space="preserve"> </w:t>
      </w:r>
      <w:r>
        <w:t xml:space="preserve">38.5%</w:t>
      </w:r>
      <w:r>
        <w:t xml:space="preserve"> </w:t>
      </w:r>
      <w:r>
        <w:t xml:space="preserve">46,1%</w:t>
      </w:r>
      <w:r>
        <w:t xml:space="preserve"> </w:t>
      </w:r>
      <w:r>
        <w:t xml:space="preserve">Underfloor</w:t>
      </w:r>
      <w:r>
        <w:t xml:space="preserve"> </w:t>
      </w:r>
      <w:r>
        <w:t xml:space="preserve">38%</w:t>
      </w:r>
      <w:r>
        <w:t xml:space="preserve"> </w:t>
      </w:r>
      <w:r>
        <w:t xml:space="preserve">45,6%</w:t>
      </w:r>
      <w:r>
        <w:t xml:space="preserve"> </w:t>
      </w:r>
      <w:r>
        <w:t xml:space="preserve">Visibly glowing &gt;1,2 kW</w:t>
      </w:r>
      <w:r>
        <w:t xml:space="preserve"> </w:t>
      </w:r>
      <w:r>
        <w:t xml:space="preserve">35%</w:t>
      </w:r>
      <w:r>
        <w:t xml:space="preserve"> </w:t>
      </w:r>
      <w:r>
        <w:t xml:space="preserve">42,6%</w:t>
      </w:r>
      <w:r>
        <w:t xml:space="preserve"> </w:t>
      </w:r>
      <w:r>
        <w:t xml:space="preserve">Visibly glowing &lt;1,2 kW</w:t>
      </w:r>
      <w:r>
        <w:t xml:space="preserve"> </w:t>
      </w:r>
      <w:r>
        <w:t xml:space="preserve">31%</w:t>
      </w:r>
      <w:r>
        <w:t xml:space="preserve"> </w:t>
      </w:r>
      <w:r>
        <w:t xml:space="preserve">38,6%</w:t>
      </w:r>
      <w:r>
        <w:t xml:space="preserve"> </w:t>
      </w:r>
      <w:r>
        <w:t xml:space="preserve">Table A7-1. Energy efficiency values for CC=2,5 and CC = 2,1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ANNEX 8: SENSITIVITY ANALYSIS</w:t>
      </w:r>
      <w:r>
        <w:t xml:space="preserve"> </w:t>
      </w:r>
      <w:r>
        <w:t xml:space="preserve">While the calculations and scenario modelling in this impact assessment has been carried</w:t>
      </w:r>
      <w:r>
        <w:t xml:space="preserve"> </w:t>
      </w:r>
      <w:r>
        <w:t xml:space="preserve">out with energy prices, carbon intensity and renovation rates from the EU 2020</w:t>
      </w:r>
      <w:r>
        <w:t xml:space="preserve"> </w:t>
      </w:r>
      <w:r>
        <w:t xml:space="preserve">Reference scenario, a sensitivity assessment is made to cater for future fluctuations of the</w:t>
      </w:r>
      <w:r>
        <w:t xml:space="preserve"> </w:t>
      </w:r>
      <w:r>
        <w:t xml:space="preserve">different parameters. For this sensitivity analysis the MIX scenario (in line with the fit-</w:t>
      </w:r>
      <w:r>
        <w:t xml:space="preserve"> </w:t>
      </w:r>
      <w:r>
        <w:t xml:space="preserve">for-55 objectives)75 has been used, with lower carbon intensity, higher energy prices and</w:t>
      </w:r>
      <w:r>
        <w:t xml:space="preserve"> </w:t>
      </w:r>
      <w:r>
        <w:t xml:space="preserve">higher building renovation rates than REF2020.</w:t>
      </w:r>
      <w:r>
        <w:t xml:space="preserve"> </w:t>
      </w:r>
      <w:r>
        <w:t xml:space="preserve">The input parameters and the corresponding output parameters for which the sensitivity</w:t>
      </w:r>
      <w:r>
        <w:t xml:space="preserve"> </w:t>
      </w:r>
      <w:r>
        <w:t xml:space="preserve">analysis has been analysed are listed in Table A8-1.</w:t>
      </w:r>
      <w:r>
        <w:br/>
      </w:r>
      <w:r>
        <w:t xml:space="preserve">Parameter changed</w:t>
      </w:r>
      <w:r>
        <w:t xml:space="preserve"> </w:t>
      </w:r>
      <w:r>
        <w:t xml:space="preserve">Affected output parameters</w:t>
      </w:r>
      <w:r>
        <w:t xml:space="preserve"> </w:t>
      </w:r>
      <w:r>
        <w:t xml:space="preserve">Carbon intensity of electricity production</w:t>
      </w:r>
      <w:r>
        <w:t xml:space="preserve"> </w:t>
      </w:r>
      <w:r>
        <w:t xml:space="preserve">GHG emissions</w:t>
      </w:r>
      <w:r>
        <w:t xml:space="preserve"> </w:t>
      </w:r>
      <w:r>
        <w:t xml:space="preserve">Fuel prices</w:t>
      </w:r>
      <w:r>
        <w:t xml:space="preserve"> </w:t>
      </w:r>
      <w:r>
        <w:t xml:space="preserve">End user expenditure</w:t>
      </w:r>
      <w:r>
        <w:t xml:space="preserve"> </w:t>
      </w:r>
      <w:r>
        <w:t xml:space="preserve">Renovation rates of buildings</w:t>
      </w:r>
      <w:r>
        <w:t xml:space="preserve"> </w:t>
      </w:r>
      <w:r>
        <w:t xml:space="preserve">GHG emissions</w:t>
      </w:r>
      <w:r>
        <w:t xml:space="preserve"> </w:t>
      </w:r>
      <w:r>
        <w:t xml:space="preserve">Energy consumption</w:t>
      </w:r>
      <w:r>
        <w:t xml:space="preserve"> </w:t>
      </w:r>
      <w:r>
        <w:t xml:space="preserve">End user expenditure</w:t>
      </w:r>
      <w:r>
        <w:t xml:space="preserve"> </w:t>
      </w:r>
      <w:r>
        <w:t xml:space="preserve">Table A8-1. sensitivity parameters</w:t>
      </w:r>
      <w:r>
        <w:t xml:space="preserve"> </w:t>
      </w:r>
      <w:r>
        <w:t xml:space="preserve">The sensitivity analysis is only carried out for the preferred option, but the same effects</w:t>
      </w:r>
      <w:r>
        <w:t xml:space="preserve"> </w:t>
      </w:r>
      <w:r>
        <w:t xml:space="preserve">on end results are applicable to all scenarios.</w:t>
      </w:r>
      <w:r>
        <w:t xml:space="preserve"> </w:t>
      </w:r>
      <w:r>
        <w:t xml:space="preserve">1.</w:t>
      </w:r>
      <w:r>
        <w:t xml:space="preserve"> </w:t>
      </w:r>
      <w:r>
        <w:t xml:space="preserve">DATA INPUTS FROM THE MIX SCENARIO</w:t>
      </w:r>
      <w:r>
        <w:t xml:space="preserve"> </w:t>
      </w:r>
      <w:r>
        <w:t xml:space="preserve">The sensitivity analysis is made for the difference between the REF2020 and the MIX</w:t>
      </w:r>
      <w:r>
        <w:t xml:space="preserve"> </w:t>
      </w:r>
      <w:r>
        <w:t xml:space="preserve">Scenario. Table A8-2 to Table A8-6 show the input parameters from the MIX scenario</w:t>
      </w:r>
      <w:r>
        <w:t xml:space="preserve"> </w:t>
      </w:r>
      <w:r>
        <w:t xml:space="preserve">that are used for the sensitivity analysis.</w:t>
      </w:r>
      <w:r>
        <w:br/>
      </w:r>
      <w:r>
        <w:t xml:space="preserve">Electricity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Households</w:t>
      </w:r>
      <w:r>
        <w:br/>
      </w:r>
      <w:r>
        <w:t xml:space="preserve">168,5</w:t>
      </w:r>
      <w:r>
        <w:t xml:space="preserve"> </w:t>
      </w:r>
      <w:r>
        <w:t xml:space="preserve">175,9</w:t>
      </w:r>
      <w:r>
        <w:t xml:space="preserve"> </w:t>
      </w:r>
      <w:r>
        <w:t xml:space="preserve">191,4</w:t>
      </w:r>
      <w:r>
        <w:t xml:space="preserve"> </w:t>
      </w:r>
      <w:r>
        <w:t xml:space="preserve">203,8</w:t>
      </w:r>
      <w:r>
        <w:t xml:space="preserve"> </w:t>
      </w:r>
      <w:r>
        <w:t xml:space="preserve">210,6</w:t>
      </w:r>
      <w:r>
        <w:t xml:space="preserve"> </w:t>
      </w:r>
      <w:r>
        <w:t xml:space="preserve">216,9</w:t>
      </w:r>
      <w:r>
        <w:t xml:space="preserve"> </w:t>
      </w:r>
      <w:r>
        <w:t xml:space="preserve">224,8</w:t>
      </w:r>
      <w:r>
        <w:t xml:space="preserve"> </w:t>
      </w:r>
      <w:r>
        <w:t xml:space="preserve">229,2</w:t>
      </w:r>
      <w:r>
        <w:t xml:space="preserve"> </w:t>
      </w:r>
      <w:r>
        <w:t xml:space="preserve">224,6</w:t>
      </w:r>
      <w:r>
        <w:t xml:space="preserve"> </w:t>
      </w:r>
      <w:r>
        <w:t xml:space="preserve">Services</w:t>
      </w:r>
      <w:r>
        <w:t xml:space="preserve"> </w:t>
      </w:r>
      <w:r>
        <w:t xml:space="preserve">146,8</w:t>
      </w:r>
      <w:r>
        <w:t xml:space="preserve"> </w:t>
      </w:r>
      <w:r>
        <w:t xml:space="preserve">157,1</w:t>
      </w:r>
      <w:r>
        <w:t xml:space="preserve"> </w:t>
      </w:r>
      <w:r>
        <w:t xml:space="preserve">176,4</w:t>
      </w:r>
      <w:r>
        <w:t xml:space="preserve"> </w:t>
      </w:r>
      <w:r>
        <w:t xml:space="preserve">186,5</w:t>
      </w:r>
      <w:r>
        <w:t xml:space="preserve"> </w:t>
      </w:r>
      <w:r>
        <w:t xml:space="preserve">191,0</w:t>
      </w:r>
      <w:r>
        <w:t xml:space="preserve"> </w:t>
      </w:r>
      <w:r>
        <w:t xml:space="preserve">193,9</w:t>
      </w:r>
      <w:r>
        <w:t xml:space="preserve"> </w:t>
      </w:r>
      <w:r>
        <w:t xml:space="preserve">200,9</w:t>
      </w:r>
      <w:r>
        <w:t xml:space="preserve"> </w:t>
      </w:r>
      <w:r>
        <w:t xml:space="preserve">206,4</w:t>
      </w:r>
      <w:r>
        <w:t xml:space="preserve"> </w:t>
      </w:r>
      <w:r>
        <w:t xml:space="preserve">203,9</w:t>
      </w:r>
      <w:r>
        <w:t xml:space="preserve"> </w:t>
      </w:r>
      <w:r>
        <w:t xml:space="preserve">Table A8-2. Electricity prices from MIX scenario, €/MWh</w:t>
      </w:r>
      <w:r>
        <w:t xml:space="preserve"> </w:t>
      </w:r>
      <w:r>
        <w:t xml:space="preserve">Natural</w:t>
      </w:r>
      <w:r>
        <w:t xml:space="preserve"> </w:t>
      </w:r>
      <w:r>
        <w:t xml:space="preserve">gas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Households</w:t>
      </w:r>
      <w:r>
        <w:br/>
      </w:r>
      <w:r>
        <w:t xml:space="preserve">67,8</w:t>
      </w:r>
      <w:r>
        <w:t xml:space="preserve"> </w:t>
      </w:r>
      <w:r>
        <w:t xml:space="preserve">74,1</w:t>
      </w:r>
      <w:r>
        <w:t xml:space="preserve"> </w:t>
      </w:r>
      <w:r>
        <w:t xml:space="preserve">50,8</w:t>
      </w:r>
      <w:r>
        <w:t xml:space="preserve"> </w:t>
      </w:r>
      <w:r>
        <w:t xml:space="preserve">72,6</w:t>
      </w:r>
      <w:r>
        <w:t xml:space="preserve"> </w:t>
      </w:r>
      <w:r>
        <w:t xml:space="preserve">85,9</w:t>
      </w:r>
      <w:r>
        <w:t xml:space="preserve"> </w:t>
      </w:r>
      <w:r>
        <w:t xml:space="preserve">103,9</w:t>
      </w:r>
      <w:r>
        <w:t xml:space="preserve"> </w:t>
      </w:r>
      <w:r>
        <w:t xml:space="preserve">137,3</w:t>
      </w:r>
      <w:r>
        <w:t xml:space="preserve"> </w:t>
      </w:r>
      <w:r>
        <w:t xml:space="preserve">149,6</w:t>
      </w:r>
      <w:r>
        <w:t xml:space="preserve"> </w:t>
      </w:r>
      <w:r>
        <w:t xml:space="preserve">143,5</w:t>
      </w:r>
      <w:r>
        <w:t xml:space="preserve"> </w:t>
      </w:r>
      <w:r>
        <w:t xml:space="preserve">Services</w:t>
      </w:r>
      <w:r>
        <w:t xml:space="preserve"> </w:t>
      </w:r>
      <w:r>
        <w:t xml:space="preserve">54,6</w:t>
      </w:r>
      <w:r>
        <w:t xml:space="preserve"> </w:t>
      </w:r>
      <w:r>
        <w:t xml:space="preserve">157,1</w:t>
      </w:r>
      <w:r>
        <w:t xml:space="preserve"> </w:t>
      </w:r>
      <w:r>
        <w:t xml:space="preserve">176,4</w:t>
      </w:r>
      <w:r>
        <w:t xml:space="preserve"> </w:t>
      </w:r>
      <w:r>
        <w:t xml:space="preserve">186,5</w:t>
      </w:r>
      <w:r>
        <w:t xml:space="preserve"> </w:t>
      </w:r>
      <w:r>
        <w:t xml:space="preserve">191,0</w:t>
      </w:r>
      <w:r>
        <w:t xml:space="preserve"> </w:t>
      </w:r>
      <w:r>
        <w:t xml:space="preserve">193,9</w:t>
      </w:r>
      <w:r>
        <w:t xml:space="preserve"> </w:t>
      </w:r>
      <w:r>
        <w:t xml:space="preserve">200,9</w:t>
      </w:r>
      <w:r>
        <w:t xml:space="preserve"> </w:t>
      </w:r>
      <w:r>
        <w:t xml:space="preserve">206,4</w:t>
      </w:r>
      <w:r>
        <w:t xml:space="preserve"> </w:t>
      </w:r>
      <w:r>
        <w:t xml:space="preserve">203,9</w:t>
      </w:r>
      <w:r>
        <w:t xml:space="preserve"> </w:t>
      </w:r>
      <w:r>
        <w:t xml:space="preserve">Industry</w:t>
      </w:r>
      <w:r>
        <w:br/>
      </w:r>
      <w:r>
        <w:t xml:space="preserve">37,7</w:t>
      </w:r>
      <w:r>
        <w:t xml:space="preserve"> </w:t>
      </w:r>
      <w:r>
        <w:t xml:space="preserve">35,5</w:t>
      </w:r>
      <w:r>
        <w:t xml:space="preserve"> </w:t>
      </w:r>
      <w:r>
        <w:t xml:space="preserve">22,9</w:t>
      </w:r>
      <w:r>
        <w:t xml:space="preserve"> </w:t>
      </w:r>
      <w:r>
        <w:t xml:space="preserve">29,1</w:t>
      </w:r>
      <w:r>
        <w:t xml:space="preserve"> </w:t>
      </w:r>
      <w:r>
        <w:t xml:space="preserve">35,9</w:t>
      </w:r>
      <w:r>
        <w:t xml:space="preserve"> </w:t>
      </w:r>
      <w:r>
        <w:t xml:space="preserve">39,7</w:t>
      </w:r>
      <w:r>
        <w:t xml:space="preserve"> </w:t>
      </w:r>
      <w:r>
        <w:t xml:space="preserve">54,7</w:t>
      </w:r>
      <w:r>
        <w:t xml:space="preserve"> </w:t>
      </w:r>
      <w:r>
        <w:t xml:space="preserve">104,8</w:t>
      </w:r>
      <w:r>
        <w:t xml:space="preserve"> </w:t>
      </w:r>
      <w:r>
        <w:t xml:space="preserve">107,0</w:t>
      </w:r>
      <w:r>
        <w:t xml:space="preserve"> </w:t>
      </w:r>
      <w:r>
        <w:t xml:space="preserve">Table A8-3. Natural gas prices from EU MIX Scenario in €/MWh</w:t>
      </w:r>
      <w:r>
        <w:t xml:space="preserve"> </w:t>
      </w:r>
      <w:r>
        <w:t xml:space="preserve">LPG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Households</w:t>
      </w:r>
      <w:r>
        <w:br/>
      </w:r>
      <w:r>
        <w:t xml:space="preserve">86,2</w:t>
      </w:r>
      <w:r>
        <w:t xml:space="preserve"> </w:t>
      </w:r>
      <w:r>
        <w:t xml:space="preserve">77,0</w:t>
      </w:r>
      <w:r>
        <w:t xml:space="preserve"> </w:t>
      </w:r>
      <w:r>
        <w:t xml:space="preserve">72,2</w:t>
      </w:r>
      <w:r>
        <w:t xml:space="preserve"> </w:t>
      </w:r>
      <w:r>
        <w:t xml:space="preserve">94,4</w:t>
      </w:r>
      <w:r>
        <w:t xml:space="preserve"> </w:t>
      </w:r>
      <w:r>
        <w:t xml:space="preserve">107,1</w:t>
      </w:r>
      <w:r>
        <w:t xml:space="preserve"> </w:t>
      </w:r>
      <w:r>
        <w:t xml:space="preserve">136,0</w:t>
      </w:r>
      <w:r>
        <w:t xml:space="preserve"> </w:t>
      </w:r>
      <w:r>
        <w:t xml:space="preserve">180,4</w:t>
      </w:r>
      <w:r>
        <w:t xml:space="preserve"> </w:t>
      </w:r>
      <w:r>
        <w:t xml:space="preserve">211,3</w:t>
      </w:r>
      <w:r>
        <w:t xml:space="preserve"> </w:t>
      </w:r>
      <w:r>
        <w:t xml:space="preserve">223,6</w:t>
      </w:r>
      <w:r>
        <w:t xml:space="preserve"> </w:t>
      </w:r>
      <w:r>
        <w:t xml:space="preserve">Services</w:t>
      </w:r>
      <w:r>
        <w:t xml:space="preserve"> </w:t>
      </w:r>
      <w:r>
        <w:t xml:space="preserve">72,5</w:t>
      </w:r>
      <w:r>
        <w:t xml:space="preserve"> </w:t>
      </w:r>
      <w:r>
        <w:t xml:space="preserve">62,4</w:t>
      </w:r>
      <w:r>
        <w:t xml:space="preserve"> </w:t>
      </w:r>
      <w:r>
        <w:t xml:space="preserve">60,4</w:t>
      </w:r>
      <w:r>
        <w:t xml:space="preserve"> </w:t>
      </w:r>
      <w:r>
        <w:t xml:space="preserve">84,9</w:t>
      </w:r>
      <w:r>
        <w:t xml:space="preserve"> </w:t>
      </w:r>
      <w:r>
        <w:t xml:space="preserve">98,4</w:t>
      </w:r>
      <w:r>
        <w:t xml:space="preserve"> </w:t>
      </w:r>
      <w:r>
        <w:t xml:space="preserve">115,3</w:t>
      </w:r>
      <w:r>
        <w:t xml:space="preserve"> </w:t>
      </w:r>
      <w:r>
        <w:t xml:space="preserve">138,1</w:t>
      </w:r>
      <w:r>
        <w:t xml:space="preserve"> </w:t>
      </w:r>
      <w:r>
        <w:t xml:space="preserve">153,2</w:t>
      </w:r>
      <w:r>
        <w:t xml:space="preserve"> </w:t>
      </w:r>
      <w:r>
        <w:t xml:space="preserve">161,4</w:t>
      </w:r>
      <w:r>
        <w:t xml:space="preserve"> </w:t>
      </w:r>
      <w:r>
        <w:t xml:space="preserve">Industry</w:t>
      </w:r>
      <w:r>
        <w:br/>
      </w:r>
      <w:r>
        <w:t xml:space="preserve">84,0</w:t>
      </w:r>
      <w:r>
        <w:t xml:space="preserve"> </w:t>
      </w:r>
      <w:r>
        <w:t xml:space="preserve">70,7</w:t>
      </w:r>
      <w:r>
        <w:t xml:space="preserve"> </w:t>
      </w:r>
      <w:r>
        <w:t xml:space="preserve">71,5</w:t>
      </w:r>
      <w:r>
        <w:t xml:space="preserve"> </w:t>
      </w:r>
      <w:r>
        <w:t xml:space="preserve">89,9</w:t>
      </w:r>
      <w:r>
        <w:t xml:space="preserve"> </w:t>
      </w:r>
      <w:r>
        <w:t xml:space="preserve">100,5</w:t>
      </w:r>
      <w:r>
        <w:t xml:space="preserve"> </w:t>
      </w:r>
      <w:r>
        <w:t xml:space="preserve">103,3</w:t>
      </w:r>
      <w:r>
        <w:t xml:space="preserve"> </w:t>
      </w:r>
      <w:r>
        <w:t xml:space="preserve">104,2</w:t>
      </w:r>
      <w:r>
        <w:t xml:space="preserve"> </w:t>
      </w:r>
      <w:r>
        <w:t xml:space="preserve">104,2</w:t>
      </w:r>
      <w:r>
        <w:t xml:space="preserve"> </w:t>
      </w:r>
      <w:r>
        <w:t xml:space="preserve">102,0</w:t>
      </w:r>
      <w:r>
        <w:t xml:space="preserve"> </w:t>
      </w:r>
      <w:r>
        <w:t xml:space="preserve">Table A8-4. LPG (for liquid local space heaters) prices from EU MIX Scenario in €/MWh</w:t>
      </w:r>
    </w:p>
    <w:p>
      <w:pPr>
        <w:pStyle w:val="BodyText"/>
      </w:pPr>
      <w:r>
        <w:t xml:space="preserve">75 MIX Scenario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MT CO2-</w:t>
      </w:r>
      <w:r>
        <w:t xml:space="preserve"> </w:t>
      </w:r>
      <w:r>
        <w:t xml:space="preserve">eq./TWh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Electricity</w:t>
      </w:r>
      <w:r>
        <w:t xml:space="preserve"> </w:t>
      </w:r>
      <w:r>
        <w:t xml:space="preserve">0,318 0,305 0,213 0,149 0,100</w:t>
      </w:r>
      <w:r>
        <w:br/>
      </w:r>
      <w:r>
        <w:t xml:space="preserve">0,037</w:t>
      </w:r>
      <w:r>
        <w:br/>
      </w:r>
      <w:r>
        <w:t xml:space="preserve">-0,001 -0,004 -0,008</w:t>
      </w:r>
      <w:r>
        <w:br/>
      </w:r>
      <w:r>
        <w:t xml:space="preserve">Natural gas</w:t>
      </w:r>
      <w:r>
        <w:br/>
      </w:r>
      <w:r>
        <w:t xml:space="preserve">0,20</w:t>
      </w:r>
      <w:r>
        <w:t xml:space="preserve"> </w:t>
      </w:r>
      <w:r>
        <w:t xml:space="preserve">Fuel oil</w:t>
      </w:r>
      <w:r>
        <w:t xml:space="preserve"> </w:t>
      </w:r>
      <w:r>
        <w:t xml:space="preserve">0,28</w:t>
      </w:r>
      <w:r>
        <w:t xml:space="preserve"> </w:t>
      </w:r>
      <w:r>
        <w:t xml:space="preserve">Table A8-5 Fuel emission factors 2010-2050. EU MIX Scenario. NB: negative carbon intensity values in</w:t>
      </w:r>
      <w:r>
        <w:t xml:space="preserve"> </w:t>
      </w:r>
      <w:r>
        <w:t xml:space="preserve">the years 2040-2050 are all set to zero instead of the negative values.</w:t>
      </w:r>
      <w:r>
        <w:t xml:space="preserve"> </w:t>
      </w:r>
      <w:r>
        <w:t xml:space="preserve">As seen in table A8-5 the carbon intensity of electricity becomes negative in 2040 and</w:t>
      </w:r>
      <w:r>
        <w:t xml:space="preserve"> </w:t>
      </w:r>
      <w:r>
        <w:t xml:space="preserve">continues to become even more negative towards 2050. In order not to get an analysis</w:t>
      </w:r>
      <w:r>
        <w:t xml:space="preserve"> </w:t>
      </w:r>
      <w:r>
        <w:t xml:space="preserve">showing that the more electricity is used, the better for the climate, these values are</w:t>
      </w:r>
      <w:r>
        <w:t xml:space="preserve"> </w:t>
      </w:r>
      <w:r>
        <w:t xml:space="preserve">instead set to 0,00 in the sensitivity analysis.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Annual renovation</w:t>
      </w:r>
      <w:r>
        <w:t xml:space="preserve"> </w:t>
      </w:r>
      <w:r>
        <w:t xml:space="preserve">rate (as % of entire</w:t>
      </w:r>
      <w:r>
        <w:t xml:space="preserve"> </w:t>
      </w:r>
      <w:r>
        <w:t xml:space="preserve">housing stock)</w:t>
      </w:r>
      <w:r>
        <w:t xml:space="preserve"> </w:t>
      </w:r>
      <w:r>
        <w:t xml:space="preserve">0,7%</w:t>
      </w:r>
      <w:r>
        <w:t xml:space="preserve"> </w:t>
      </w:r>
      <w:r>
        <w:t xml:space="preserve">0,9%</w:t>
      </w:r>
      <w:r>
        <w:t xml:space="preserve"> </w:t>
      </w:r>
      <w:r>
        <w:t xml:space="preserve">1,6%</w:t>
      </w:r>
      <w:r>
        <w:t xml:space="preserve"> </w:t>
      </w:r>
      <w:r>
        <w:t xml:space="preserve">2,1%</w:t>
      </w:r>
      <w:r>
        <w:t xml:space="preserve"> </w:t>
      </w:r>
      <w:r>
        <w:t xml:space="preserve">2,0%</w:t>
      </w:r>
      <w:r>
        <w:t xml:space="preserve"> </w:t>
      </w:r>
      <w:r>
        <w:t xml:space="preserve">2,0%</w:t>
      </w:r>
      <w:r>
        <w:t xml:space="preserve"> </w:t>
      </w:r>
      <w:r>
        <w:t xml:space="preserve">1,9%</w:t>
      </w:r>
      <w:r>
        <w:t xml:space="preserve"> </w:t>
      </w:r>
      <w:r>
        <w:t xml:space="preserve">2,0%</w:t>
      </w:r>
      <w:r>
        <w:t xml:space="preserve"> </w:t>
      </w:r>
      <w:r>
        <w:t xml:space="preserve">Energy Savings from</w:t>
      </w:r>
      <w:r>
        <w:t xml:space="preserve"> </w:t>
      </w:r>
      <w:r>
        <w:t xml:space="preserve">Renovation (% of</w:t>
      </w:r>
      <w:r>
        <w:t xml:space="preserve"> </w:t>
      </w:r>
      <w:r>
        <w:t xml:space="preserve">space-heating,</w:t>
      </w:r>
      <w:r>
        <w:t xml:space="preserve"> </w:t>
      </w:r>
      <w:r>
        <w:t xml:space="preserve">average)</w:t>
      </w:r>
      <w:r>
        <w:t xml:space="preserve"> </w:t>
      </w:r>
      <w:r>
        <w:t xml:space="preserve">10,6%</w:t>
      </w:r>
      <w:r>
        <w:t xml:space="preserve"> </w:t>
      </w:r>
      <w:r>
        <w:t xml:space="preserve">28,2%</w:t>
      </w:r>
      <w:r>
        <w:t xml:space="preserve"> </w:t>
      </w:r>
      <w:r>
        <w:t xml:space="preserve">49,6%</w:t>
      </w:r>
      <w:r>
        <w:t xml:space="preserve"> </w:t>
      </w:r>
      <w:r>
        <w:t xml:space="preserve">61,1%</w:t>
      </w:r>
      <w:r>
        <w:t xml:space="preserve"> </w:t>
      </w:r>
      <w:r>
        <w:t xml:space="preserve">60,2%</w:t>
      </w:r>
      <w:r>
        <w:t xml:space="preserve"> </w:t>
      </w:r>
      <w:r>
        <w:t xml:space="preserve">55,2%</w:t>
      </w:r>
      <w:r>
        <w:t xml:space="preserve"> </w:t>
      </w:r>
      <w:r>
        <w:t xml:space="preserve">50,7%</w:t>
      </w:r>
      <w:r>
        <w:t xml:space="preserve"> </w:t>
      </w:r>
      <w:r>
        <w:t xml:space="preserve">45,0%</w:t>
      </w:r>
      <w:r>
        <w:t xml:space="preserve"> </w:t>
      </w:r>
      <w:r>
        <w:t xml:space="preserve">Combined effect on</w:t>
      </w:r>
      <w:r>
        <w:t xml:space="preserve"> </w:t>
      </w:r>
      <w:r>
        <w:t xml:space="preserve">heat demand (% heat</w:t>
      </w:r>
      <w:r>
        <w:t xml:space="preserve"> </w:t>
      </w:r>
      <w:r>
        <w:t xml:space="preserve">demand reductions)</w:t>
      </w:r>
      <w:r>
        <w:t xml:space="preserve"> </w:t>
      </w:r>
      <w:r>
        <w:t xml:space="preserve">0,07%</w:t>
      </w:r>
      <w:r>
        <w:t xml:space="preserve"> </w:t>
      </w:r>
      <w:r>
        <w:t xml:space="preserve">0,27%</w:t>
      </w:r>
      <w:r>
        <w:t xml:space="preserve"> </w:t>
      </w:r>
      <w:r>
        <w:t xml:space="preserve">0,79%</w:t>
      </w:r>
      <w:r>
        <w:t xml:space="preserve"> </w:t>
      </w:r>
      <w:r>
        <w:t xml:space="preserve">1,26%</w:t>
      </w:r>
      <w:r>
        <w:t xml:space="preserve"> </w:t>
      </w:r>
      <w:r>
        <w:t xml:space="preserve">1,20%</w:t>
      </w:r>
      <w:r>
        <w:t xml:space="preserve"> </w:t>
      </w:r>
      <w:r>
        <w:t xml:space="preserve">1,08%</w:t>
      </w:r>
      <w:r>
        <w:t xml:space="preserve"> </w:t>
      </w:r>
      <w:r>
        <w:t xml:space="preserve">0,94%</w:t>
      </w:r>
      <w:r>
        <w:t xml:space="preserve"> </w:t>
      </w:r>
      <w:r>
        <w:t xml:space="preserve">0,89%</w:t>
      </w:r>
      <w:r>
        <w:t xml:space="preserve"> </w:t>
      </w:r>
      <w:r>
        <w:t xml:space="preserve">Table A8-6. Data on renovation rates and impact from the EU MIX scenario</w:t>
      </w:r>
      <w:r>
        <w:t xml:space="preserve"> </w:t>
      </w:r>
      <w:r>
        <w:t xml:space="preserve">2.</w:t>
      </w:r>
      <w:r>
        <w:t xml:space="preserve"> </w:t>
      </w:r>
      <w:r>
        <w:t xml:space="preserve">EFFECT OF FUEL PRICES: CONSUMER EXPENDITURE</w:t>
      </w:r>
      <w:r>
        <w:t xml:space="preserve"> </w:t>
      </w:r>
      <w:r>
        <w:t xml:space="preserve">In this section only the fuels costs are changed, while all other parameters are kept</w:t>
      </w:r>
      <w:r>
        <w:t xml:space="preserve"> </w:t>
      </w:r>
      <w:r>
        <w:t xml:space="preserve">constant. The fuel costs in the MIX scenario are higher than in REF2020 for all years</w:t>
      </w:r>
      <w:r>
        <w:t xml:space="preserve"> </w:t>
      </w:r>
      <w:r>
        <w:t xml:space="preserve">after 2020, the kick-off year for both scenarios. This results in overall higher consumer</w:t>
      </w:r>
      <w:r>
        <w:t xml:space="preserve"> </w:t>
      </w:r>
      <w:r>
        <w:t xml:space="preserve">cost, and thus lower consumer expenditure savings from 2020 to 2050. Both REF2020</w:t>
      </w:r>
      <w:r>
        <w:t xml:space="preserve"> </w:t>
      </w:r>
      <w:r>
        <w:t xml:space="preserve">and MIX give the same energy savings, but in the MIX scenario the rise in electricity</w:t>
      </w:r>
      <w:r>
        <w:t xml:space="preserve"> </w:t>
      </w:r>
      <w:r>
        <w:t xml:space="preserve">price counteracts those savings, which is not the case in REF2020.</w:t>
      </w:r>
      <w:r>
        <w:br/>
      </w:r>
      <w:r>
        <w:t xml:space="preserve">However, the savings between BAU and the preferred policy option (called PO4 in the</w:t>
      </w:r>
      <w:r>
        <w:t xml:space="preserve"> </w:t>
      </w:r>
      <w:r>
        <w:t xml:space="preserve">figures in this Annex) will be higher in 2050 using the MIX fuel costs (around €1.700</w:t>
      </w:r>
      <w:r>
        <w:t xml:space="preserve"> </w:t>
      </w:r>
      <w:r>
        <w:t xml:space="preserve">million) than the REF2020 fuel costs (around € 1.350 million). This effect can be seen</w:t>
      </w:r>
      <w:r>
        <w:t xml:space="preserve"> </w:t>
      </w:r>
      <w:r>
        <w:t xml:space="preserve">Figure A8-1: on the one hand, consumer expenditure is higher for the two MIX</w:t>
      </w:r>
      <w:r>
        <w:t xml:space="preserve"> </w:t>
      </w:r>
      <w:r>
        <w:t xml:space="preserve">scenarios, but nevertheless the difference between BAU and the preferred policy option</w:t>
      </w:r>
      <w:r>
        <w:t xml:space="preserve"> </w:t>
      </w:r>
      <w:r>
        <w:t xml:space="preserve">is larger for MIX than for REF2020. This indicates that higher energy prices enhance the</w:t>
      </w:r>
      <w:r>
        <w:t xml:space="preserve"> </w:t>
      </w:r>
      <w:r>
        <w:t xml:space="preserve">benefits of energy saving measures.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Figure A8-1. Consumer expenditure for BAU and the preferred policy option using REF2020 (labelled</w:t>
      </w:r>
      <w:r>
        <w:t xml:space="preserve"> </w:t>
      </w:r>
      <w:r>
        <w:t xml:space="preserve">“REF”) and MIX (labelled “carbon intensity”).</w:t>
      </w:r>
      <w:r>
        <w:t xml:space="preserve"> </w:t>
      </w:r>
      <w:r>
        <w:t xml:space="preserve">3.</w:t>
      </w:r>
      <w:r>
        <w:t xml:space="preserve"> </w:t>
      </w:r>
      <w:r>
        <w:t xml:space="preserve">EFFECT OF LOW CARBON ELECTRICITY: GHG EMISSIONS</w:t>
      </w:r>
      <w:r>
        <w:t xml:space="preserve"> </w:t>
      </w:r>
      <w:r>
        <w:t xml:space="preserve">In this section only the carbon intensity of electricity is changed, while all other</w:t>
      </w:r>
      <w:r>
        <w:t xml:space="preserve"> </w:t>
      </w:r>
      <w:r>
        <w:t xml:space="preserve">parameters are kept constant. The carbon intensity of electricity in the MIX scenario is</w:t>
      </w:r>
      <w:r>
        <w:t xml:space="preserve"> </w:t>
      </w:r>
      <w:r>
        <w:t xml:space="preserve">lower than in REF2020, resulting in lower GHG emission savings from the preferred</w:t>
      </w:r>
      <w:r>
        <w:t xml:space="preserve"> </w:t>
      </w:r>
      <w:r>
        <w:t xml:space="preserve">policy option.</w:t>
      </w:r>
      <w:r>
        <w:br/>
      </w:r>
      <w:r>
        <w:t xml:space="preserve">As seen in Figure A8-2 the lower carbon intensities with the MIX scenario result in much</w:t>
      </w:r>
      <w:r>
        <w:t xml:space="preserve"> </w:t>
      </w:r>
      <w:r>
        <w:t xml:space="preserve">lower GHG emissions for both BAU and the preferred policy option, being 0 the</w:t>
      </w:r>
      <w:r>
        <w:t xml:space="preserve"> </w:t>
      </w:r>
      <w:r>
        <w:t xml:space="preserve">difference between BAU and the preferred policy option in 2050 (as the carbon intensity</w:t>
      </w:r>
      <w:r>
        <w:t xml:space="preserve"> </w:t>
      </w:r>
      <w:r>
        <w:t xml:space="preserve">is 0 kg CO2/kWh), while REF2020 shows a difference between the preferred policy</w:t>
      </w:r>
      <w:r>
        <w:t xml:space="preserve"> </w:t>
      </w:r>
      <w:r>
        <w:t xml:space="preserve">option and BAU of 0,4 MT CO2/year by 2050.</w:t>
      </w:r>
    </w:p>
    <w:p>
      <w:pPr>
        <w:pStyle w:val="BodyText"/>
      </w:pPr>
      <w:r>
        <w:t xml:space="preserve">Figure A8-2: Greenhouse gas emissions for BAU and the preferred policy option using REF2020 (labelled</w:t>
      </w:r>
      <w:r>
        <w:t xml:space="preserve"> </w:t>
      </w:r>
      <w:r>
        <w:t xml:space="preserve">“REF”) and MIX (labelled “carbon intensity”).</w:t>
      </w:r>
      <w:r>
        <w:t xml:space="preserve"> </w:t>
      </w:r>
      <w:r>
        <w:t xml:space="preserve">25.000</w:t>
      </w:r>
      <w:r>
        <w:t xml:space="preserve"> </w:t>
      </w:r>
      <w:r>
        <w:t xml:space="preserve">26.000</w:t>
      </w:r>
      <w:r>
        <w:t xml:space="preserve"> </w:t>
      </w:r>
      <w:r>
        <w:t xml:space="preserve">27.000</w:t>
      </w:r>
      <w:r>
        <w:t xml:space="preserve"> </w:t>
      </w:r>
      <w:r>
        <w:t xml:space="preserve">28.000</w:t>
      </w:r>
      <w:r>
        <w:t xml:space="preserve"> </w:t>
      </w:r>
      <w:r>
        <w:t xml:space="preserve">29.000</w:t>
      </w:r>
      <w:r>
        <w:t xml:space="preserve"> </w:t>
      </w:r>
      <w:r>
        <w:t xml:space="preserve">30.000</w:t>
      </w:r>
      <w:r>
        <w:t xml:space="preserve"> </w:t>
      </w:r>
      <w:r>
        <w:t xml:space="preserve">31.000</w:t>
      </w:r>
      <w:r>
        <w:t xml:space="preserve"> </w:t>
      </w:r>
      <w:r>
        <w:t xml:space="preserve">32.000</w:t>
      </w:r>
      <w:r>
        <w:t xml:space="preserve"> </w:t>
      </w:r>
      <w:r>
        <w:t xml:space="preserve">33.000</w:t>
      </w:r>
      <w:r>
        <w:t xml:space="preserve"> </w:t>
      </w:r>
      <w:r>
        <w:t xml:space="preserve">34.000</w:t>
      </w:r>
      <w:r>
        <w:t xml:space="preserve"> </w:t>
      </w:r>
      <w:r>
        <w:t xml:space="preserve">35.000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Consumer expenditure [Mill</w:t>
      </w:r>
      <w:r>
        <w:t xml:space="preserve"> </w:t>
      </w:r>
      <w:r>
        <w:t xml:space="preserve">EUR/year]</w:t>
      </w:r>
      <w:r>
        <w:t xml:space="preserve"> </w:t>
      </w:r>
      <w:r>
        <w:t xml:space="preserve">REF - PO1 (BAU)</w:t>
      </w:r>
      <w:r>
        <w:t xml:space="preserve"> </w:t>
      </w:r>
      <w:r>
        <w:t xml:space="preserve">REF - PO4</w:t>
      </w:r>
      <w:r>
        <w:t xml:space="preserve"> </w:t>
      </w:r>
      <w:r>
        <w:t xml:space="preserve">PO1 (BAU) - fuel prices</w:t>
      </w:r>
      <w:r>
        <w:t xml:space="preserve"> </w:t>
      </w:r>
      <w:r>
        <w:t xml:space="preserve">PO4 - fuel prices</w:t>
      </w:r>
      <w:r>
        <w:t xml:space="preserve"> </w:t>
      </w:r>
      <w:r>
        <w:t xml:space="preserve">-</w:t>
      </w:r>
      <w:r>
        <w:t xml:space="preserve"> </w:t>
      </w:r>
      <w:r>
        <w:t xml:space="preserve">5,0</w:t>
      </w:r>
      <w:r>
        <w:t xml:space="preserve"> </w:t>
      </w:r>
      <w:r>
        <w:t xml:space="preserve">10,0</w:t>
      </w:r>
      <w:r>
        <w:t xml:space="preserve"> </w:t>
      </w:r>
      <w:r>
        <w:t xml:space="preserve">15,0</w:t>
      </w:r>
      <w:r>
        <w:t xml:space="preserve"> </w:t>
      </w:r>
      <w:r>
        <w:t xml:space="preserve">20,0</w:t>
      </w:r>
      <w:r>
        <w:t xml:space="preserve"> </w:t>
      </w:r>
      <w:r>
        <w:t xml:space="preserve">25,0</w:t>
      </w:r>
      <w:r>
        <w:t xml:space="preserve"> </w:t>
      </w:r>
      <w:r>
        <w:t xml:space="preserve">30,0</w:t>
      </w:r>
      <w:r>
        <w:t xml:space="preserve"> </w:t>
      </w:r>
      <w:r>
        <w:t xml:space="preserve">35,0</w:t>
      </w:r>
      <w:r>
        <w:t xml:space="preserve"> </w:t>
      </w:r>
      <w:r>
        <w:t xml:space="preserve">40,0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GHG Emissions - embedded + use</w:t>
      </w:r>
      <w:r>
        <w:t xml:space="preserve"> </w:t>
      </w:r>
      <w:r>
        <w:t xml:space="preserve">phase [MT CO2-eq/year]</w:t>
      </w:r>
      <w:r>
        <w:t xml:space="preserve"> </w:t>
      </w:r>
      <w:r>
        <w:t xml:space="preserve">REF - PO1 (BAU)</w:t>
      </w:r>
      <w:r>
        <w:t xml:space="preserve"> </w:t>
      </w:r>
      <w:r>
        <w:t xml:space="preserve">REF - PO4</w:t>
      </w:r>
      <w:r>
        <w:t xml:space="preserve"> </w:t>
      </w:r>
      <w:r>
        <w:t xml:space="preserve">PO1 (BAU) - Carbon intensity</w:t>
      </w:r>
      <w:r>
        <w:t xml:space="preserve"> </w:t>
      </w:r>
      <w:r>
        <w:t xml:space="preserve">PO4 - Carbon intensity</w:t>
      </w:r>
    </w:p>
    <w:p>
      <w:pPr>
        <w:pStyle w:val="BodyText"/>
      </w:pPr>
      <w:r>
        <w:t xml:space="preserve">89</w:t>
      </w:r>
    </w:p>
    <w:p>
      <w:pPr>
        <w:pStyle w:val="Compact"/>
        <w:numPr>
          <w:ilvl w:val="0"/>
          <w:numId w:val="1001"/>
        </w:numPr>
      </w:pPr>
      <w:r>
        <w:t xml:space="preserve">EFFECT OF RENOVATION RATES: ENERGY CONSUMPTION, GHG EMISSIONS, AND</w:t>
      </w:r>
      <w:r>
        <w:t xml:space="preserve"> </w:t>
      </w:r>
      <w:r>
        <w:t xml:space="preserve">END USER EXPENDITURE</w:t>
      </w:r>
      <w:r>
        <w:t xml:space="preserve"> </w:t>
      </w:r>
      <w:r>
        <w:t xml:space="preserve">In this analysis only the renovation rates and the input parameters influenced by the</w:t>
      </w:r>
      <w:r>
        <w:t xml:space="preserve"> </w:t>
      </w:r>
      <w:r>
        <w:t xml:space="preserve">former are changed, while all other parameters are kept constant. The annual renovation</w:t>
      </w:r>
      <w:r>
        <w:t xml:space="preserve"> </w:t>
      </w:r>
      <w:r>
        <w:t xml:space="preserve">rates and the effect of the energy renovations on heat demand, are both higher in the MIX</w:t>
      </w:r>
      <w:r>
        <w:t xml:space="preserve"> </w:t>
      </w:r>
      <w:r>
        <w:t xml:space="preserve">scenario than in REF2020, resulting in an overall lower heat demand from local space</w:t>
      </w:r>
      <w:r>
        <w:t xml:space="preserve"> </w:t>
      </w:r>
      <w:r>
        <w:t xml:space="preserve">heaters and a consequent lower energy consumption, GHG emissions and consumer</w:t>
      </w:r>
      <w:r>
        <w:t xml:space="preserve"> </w:t>
      </w:r>
      <w:r>
        <w:t xml:space="preserve">expenditure. However, as seen in the following three figures, the differences between</w:t>
      </w:r>
      <w:r>
        <w:t xml:space="preserve"> </w:t>
      </w:r>
      <w:r>
        <w:t xml:space="preserve">REF2020 and MIX are very small, and it can be therefore concluded that the energy</w:t>
      </w:r>
      <w:r>
        <w:t xml:space="preserve"> </w:t>
      </w:r>
      <w:r>
        <w:t xml:space="preserve">savings achieved by the measures proposed in this IA are not significantly affected by a</w:t>
      </w:r>
      <w:r>
        <w:t xml:space="preserve"> </w:t>
      </w:r>
      <w:r>
        <w:t xml:space="preserve">change in scenario.</w:t>
      </w:r>
    </w:p>
    <w:p>
      <w:pPr>
        <w:pStyle w:val="FirstParagraph"/>
      </w:pPr>
      <w:r>
        <w:t xml:space="preserve">Figure A8-3. Effect on total energy consumption of higher renovation rates in the MIX scenario (labelled</w:t>
      </w:r>
      <w:r>
        <w:t xml:space="preserve"> </w:t>
      </w:r>
      <w:r>
        <w:t xml:space="preserve">“renovation”) compared to the REF2020 scenario (labelled “REF”)</w:t>
      </w:r>
    </w:p>
    <w:p>
      <w:pPr>
        <w:pStyle w:val="BodyText"/>
      </w:pPr>
      <w:r>
        <w:t xml:space="preserve">Figure A8-4. Effect on GHG emissions of higher renovation rates in the MIX scenario (labelled</w:t>
      </w:r>
      <w:r>
        <w:t xml:space="preserve"> </w:t>
      </w:r>
      <w:r>
        <w:t xml:space="preserve">“renovation”) compared to the REF2020 scenario (labelled “REF”)</w:t>
      </w:r>
      <w:r>
        <w:br/>
      </w:r>
      <w:r>
        <w:t xml:space="preserve">100</w:t>
      </w:r>
      <w:r>
        <w:t xml:space="preserve"> </w:t>
      </w:r>
      <w:r>
        <w:t xml:space="preserve">110</w:t>
      </w:r>
      <w:r>
        <w:t xml:space="preserve"> </w:t>
      </w:r>
      <w:r>
        <w:t xml:space="preserve">120</w:t>
      </w:r>
      <w:r>
        <w:t xml:space="preserve"> </w:t>
      </w:r>
      <w:r>
        <w:t xml:space="preserve">130</w:t>
      </w:r>
      <w:r>
        <w:t xml:space="preserve"> </w:t>
      </w:r>
      <w:r>
        <w:t xml:space="preserve">140</w:t>
      </w:r>
      <w:r>
        <w:t xml:space="preserve"> </w:t>
      </w:r>
      <w:r>
        <w:t xml:space="preserve">150</w:t>
      </w:r>
      <w:r>
        <w:t xml:space="preserve"> </w:t>
      </w:r>
      <w:r>
        <w:t xml:space="preserve">160</w:t>
      </w:r>
      <w:r>
        <w:t xml:space="preserve"> </w:t>
      </w:r>
      <w:r>
        <w:t xml:space="preserve">170</w:t>
      </w:r>
      <w:r>
        <w:t xml:space="preserve"> </w:t>
      </w:r>
      <w:r>
        <w:t xml:space="preserve">180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Consumption [TWh/year]</w:t>
      </w:r>
      <w:r>
        <w:t xml:space="preserve"> </w:t>
      </w:r>
      <w:r>
        <w:t xml:space="preserve">REF - PO1 (BAU)</w:t>
      </w:r>
      <w:r>
        <w:t xml:space="preserve"> </w:t>
      </w:r>
      <w:r>
        <w:t xml:space="preserve">REF - PO4</w:t>
      </w:r>
      <w:r>
        <w:t xml:space="preserve"> </w:t>
      </w:r>
      <w:r>
        <w:t xml:space="preserve">PO1 (BAU) - renovation</w:t>
      </w:r>
      <w:r>
        <w:t xml:space="preserve"> </w:t>
      </w:r>
      <w:r>
        <w:t xml:space="preserve">PO4 - renovation</w:t>
      </w:r>
      <w:r>
        <w:t xml:space="preserve"> </w:t>
      </w:r>
      <w:r>
        <w:t xml:space="preserve">-</w:t>
      </w:r>
      <w:r>
        <w:t xml:space="preserve"> </w:t>
      </w:r>
      <w:r>
        <w:t xml:space="preserve">5,0</w:t>
      </w:r>
      <w:r>
        <w:t xml:space="preserve"> </w:t>
      </w:r>
      <w:r>
        <w:t xml:space="preserve">10,0</w:t>
      </w:r>
      <w:r>
        <w:t xml:space="preserve"> </w:t>
      </w:r>
      <w:r>
        <w:t xml:space="preserve">15,0</w:t>
      </w:r>
      <w:r>
        <w:t xml:space="preserve"> </w:t>
      </w:r>
      <w:r>
        <w:t xml:space="preserve">20,0</w:t>
      </w:r>
      <w:r>
        <w:t xml:space="preserve"> </w:t>
      </w:r>
      <w:r>
        <w:t xml:space="preserve">25,0</w:t>
      </w:r>
      <w:r>
        <w:t xml:space="preserve"> </w:t>
      </w:r>
      <w:r>
        <w:t xml:space="preserve">30,0</w:t>
      </w:r>
      <w:r>
        <w:t xml:space="preserve"> </w:t>
      </w:r>
      <w:r>
        <w:t xml:space="preserve">35,0</w:t>
      </w:r>
      <w:r>
        <w:t xml:space="preserve"> </w:t>
      </w:r>
      <w:r>
        <w:t xml:space="preserve">40,0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GHG Emissions - embedded + use</w:t>
      </w:r>
      <w:r>
        <w:t xml:space="preserve"> </w:t>
      </w:r>
      <w:r>
        <w:t xml:space="preserve">phase [MT CO2-eq/year]</w:t>
      </w:r>
      <w:r>
        <w:t xml:space="preserve"> </w:t>
      </w:r>
      <w:r>
        <w:t xml:space="preserve">REF - PO1 (BAU)</w:t>
      </w:r>
      <w:r>
        <w:t xml:space="preserve"> </w:t>
      </w:r>
      <w:r>
        <w:t xml:space="preserve">REF - PO4</w:t>
      </w:r>
      <w:r>
        <w:t xml:space="preserve"> </w:t>
      </w:r>
      <w:r>
        <w:t xml:space="preserve">PO1 (BAU) - Renovation</w:t>
      </w:r>
      <w:r>
        <w:t xml:space="preserve"> </w:t>
      </w:r>
      <w:r>
        <w:t xml:space="preserve">PO4 - renovation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Figure A8-5. Effect on end user expenditure of higher renovation rates in the MIX scenario (labelled</w:t>
      </w:r>
      <w:r>
        <w:t xml:space="preserve"> </w:t>
      </w:r>
      <w:r>
        <w:t xml:space="preserve">“renovation”) compared to the REF2020 scenario (labelled “REF”)</w:t>
      </w:r>
    </w:p>
    <w:p>
      <w:pPr>
        <w:pStyle w:val="BodyText"/>
      </w:pPr>
      <w:r>
        <w:t xml:space="preserve">25.000</w:t>
      </w:r>
      <w:r>
        <w:t xml:space="preserve"> </w:t>
      </w:r>
      <w:r>
        <w:t xml:space="preserve">26.000</w:t>
      </w:r>
      <w:r>
        <w:t xml:space="preserve"> </w:t>
      </w:r>
      <w:r>
        <w:t xml:space="preserve">27.000</w:t>
      </w:r>
      <w:r>
        <w:t xml:space="preserve"> </w:t>
      </w:r>
      <w:r>
        <w:t xml:space="preserve">28.000</w:t>
      </w:r>
      <w:r>
        <w:t xml:space="preserve"> </w:t>
      </w:r>
      <w:r>
        <w:t xml:space="preserve">29.000</w:t>
      </w:r>
      <w:r>
        <w:t xml:space="preserve"> </w:t>
      </w:r>
      <w:r>
        <w:t xml:space="preserve">30.000</w:t>
      </w:r>
      <w:r>
        <w:t xml:space="preserve"> </w:t>
      </w:r>
      <w:r>
        <w:t xml:space="preserve">31.000</w:t>
      </w:r>
      <w:r>
        <w:t xml:space="preserve"> </w:t>
      </w:r>
      <w:r>
        <w:t xml:space="preserve">32.000</w:t>
      </w:r>
      <w:r>
        <w:t xml:space="preserve"> </w:t>
      </w:r>
      <w:r>
        <w:t xml:space="preserve">33.000</w:t>
      </w:r>
      <w:r>
        <w:t xml:space="preserve"> </w:t>
      </w:r>
      <w:r>
        <w:t xml:space="preserve">34.000</w:t>
      </w:r>
      <w:r>
        <w:t xml:space="preserve"> </w:t>
      </w:r>
      <w:r>
        <w:t xml:space="preserve">35.000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Consumer expenditure [Mill</w:t>
      </w:r>
      <w:r>
        <w:t xml:space="preserve"> </w:t>
      </w:r>
      <w:r>
        <w:t xml:space="preserve">EUR/year]</w:t>
      </w:r>
      <w:r>
        <w:t xml:space="preserve"> </w:t>
      </w:r>
      <w:r>
        <w:t xml:space="preserve">REF - PO1 (BAU)</w:t>
      </w:r>
      <w:r>
        <w:t xml:space="preserve"> </w:t>
      </w:r>
      <w:r>
        <w:t xml:space="preserve">REF - PO4</w:t>
      </w:r>
      <w:r>
        <w:t xml:space="preserve"> </w:t>
      </w:r>
      <w:r>
        <w:t xml:space="preserve">PO1 (BAU) - renovation</w:t>
      </w:r>
      <w:r>
        <w:t xml:space="preserve"> </w:t>
      </w:r>
      <w:r>
        <w:t xml:space="preserve">PO4 - renovation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ANNEX 9: SME TEST</w:t>
      </w:r>
      <w:r>
        <w:t xml:space="preserve"> </w:t>
      </w:r>
      <w:r>
        <w:t xml:space="preserve">The SME test is carried out according to Tool#23 of the Better Regulation Toolbox.</w:t>
      </w:r>
      <w:r>
        <w:t xml:space="preserve"> </w:t>
      </w:r>
      <w:r>
        <w:t xml:space="preserve">Step (1) of the SME test refers to the identification of the affected businesses and</w:t>
      </w:r>
      <w:r>
        <w:t xml:space="preserve"> </w:t>
      </w:r>
      <w:r>
        <w:t xml:space="preserve">addresses the following threshold question: to what extent is the initiative relevant for</w:t>
      </w:r>
      <w:r>
        <w:t xml:space="preserve"> </w:t>
      </w:r>
      <w:r>
        <w:t xml:space="preserve">SMEs?</w:t>
      </w:r>
      <w:r>
        <w:br/>
      </w:r>
      <w:r>
        <w:t xml:space="preserve">1.</w:t>
      </w:r>
      <w:r>
        <w:t xml:space="preserve"> </w:t>
      </w:r>
      <w:r>
        <w:t xml:space="preserve">IDENTIFICATION OF THE AFFECTED BUSINESSES</w:t>
      </w:r>
      <w:r>
        <w:t xml:space="preserve"> </w:t>
      </w:r>
      <w:r>
        <w:t xml:space="preserve">In the absence of specific data on the number of manufacturers of local space heaters,</w:t>
      </w:r>
      <w:r>
        <w:t xml:space="preserve"> </w:t>
      </w:r>
      <w:r>
        <w:t xml:space="preserve">including SMEs, the share of SMEs in the sector has been worked out from data from the</w:t>
      </w:r>
      <w:r>
        <w:t xml:space="preserve"> </w:t>
      </w:r>
      <w:r>
        <w:t xml:space="preserve">Eurostat Structural Business Statistics. Eurostat provides turnover and number of SMEs</w:t>
      </w:r>
      <w:r>
        <w:t xml:space="preserve"> </w:t>
      </w:r>
      <w:r>
        <w:t xml:space="preserve">for the entire appliance sector (NACE 275). The share of SMEs that are manufacturers of</w:t>
      </w:r>
      <w:r>
        <w:t xml:space="preserve"> </w:t>
      </w:r>
      <w:r>
        <w:t xml:space="preserve">local space heaters is calculated by multiplying the number of SMEs for the appliance</w:t>
      </w:r>
      <w:r>
        <w:t xml:space="preserve"> </w:t>
      </w:r>
      <w:r>
        <w:t xml:space="preserve">sector by the ratio turnover of the local space heaters industry (calculated in section</w:t>
      </w:r>
      <w:r>
        <w:t xml:space="preserve"> </w:t>
      </w:r>
      <w:r>
        <w:t xml:space="preserve">6.2.1)/turnover for the entire appliance sector also from Eurostat. The ratio is</w:t>
      </w:r>
      <w:r>
        <w:t xml:space="preserve"> </w:t>
      </w:r>
      <w:r>
        <w:t xml:space="preserve">1.043M€/54.336M€ = 0,019, which multiplied by 2.983 SMEs for the entire appliance</w:t>
      </w:r>
      <w:r>
        <w:t xml:space="preserve"> </w:t>
      </w:r>
      <w:r>
        <w:t xml:space="preserve">sector, gives 57 SMEs in the local space heaters sector, which will be affected by the</w:t>
      </w:r>
      <w:r>
        <w:t xml:space="preserve"> </w:t>
      </w:r>
      <w:r>
        <w:t xml:space="preserve">measures. Assuming that the share SMEs/total companies remains the same for local</w:t>
      </w:r>
      <w:r>
        <w:t xml:space="preserve"> </w:t>
      </w:r>
      <w:r>
        <w:t xml:space="preserve">space heaters as for the entire appliance sector, 57 SMEs would be equivalent to 96% of</w:t>
      </w:r>
      <w:r>
        <w:t xml:space="preserve"> </w:t>
      </w:r>
      <w:r>
        <w:t xml:space="preserve">the manufacturers.</w:t>
      </w:r>
      <w:r>
        <w:br/>
      </w:r>
      <w:r>
        <w:t xml:space="preserve">2.</w:t>
      </w:r>
      <w:r>
        <w:t xml:space="preserve"> </w:t>
      </w:r>
      <w:r>
        <w:t xml:space="preserve">THRESHOLD QUESTION: TO WHAT EXTENT IS THE INITIATIVE RELEVANT FOR</w:t>
      </w:r>
      <w:r>
        <w:t xml:space="preserve"> </w:t>
      </w:r>
      <w:r>
        <w:t xml:space="preserve">SMES?</w:t>
      </w:r>
      <w:r>
        <w:t xml:space="preserve"> </w:t>
      </w:r>
      <w:r>
        <w:t xml:space="preserve">Although SMEs are in the scope of the initiative, the latter is not specifically targeting</w:t>
      </w:r>
      <w:r>
        <w:t xml:space="preserve"> </w:t>
      </w:r>
      <w:r>
        <w:t xml:space="preserve">SMEs. The initiative will apply to the whole sector of local space heaters, with no</w:t>
      </w:r>
      <w:r>
        <w:t xml:space="preserve"> </w:t>
      </w:r>
      <w:r>
        <w:t xml:space="preserve">distinction between big companies and SMEs.</w:t>
      </w:r>
      <w:r>
        <w:t xml:space="preserve"> </w:t>
      </w:r>
      <w:r>
        <w:t xml:space="preserve">As already addressed in sections 6 and 7, the measures proposed will not have significant</w:t>
      </w:r>
      <w:r>
        <w:t xml:space="preserve"> </w:t>
      </w:r>
      <w:r>
        <w:t xml:space="preserve">negative impacts on the companies affected. SMEs will not be negatively affected either</w:t>
      </w:r>
      <w:r>
        <w:t xml:space="preserve"> </w:t>
      </w:r>
      <w:r>
        <w:t xml:space="preserve">because measures that could entail a significant effort of adaptation and therefore an</w:t>
      </w:r>
      <w:r>
        <w:t xml:space="preserve"> </w:t>
      </w:r>
      <w:r>
        <w:t xml:space="preserve">increase of costs that could not be offset with lower operating costs have been discarded.</w:t>
      </w:r>
      <w:r>
        <w:t xml:space="preserve"> </w:t>
      </w:r>
      <w:r>
        <w:t xml:space="preserve">This concerns two specific measures. First, the possibility to set stricter ecodesign limits,</w:t>
      </w:r>
      <w:r>
        <w:t xml:space="preserve"> </w:t>
      </w:r>
      <w:r>
        <w:t xml:space="preserve">which has been ruled out at an early stage due to the priority given to modify the scope of</w:t>
      </w:r>
      <w:r>
        <w:t xml:space="preserve"> </w:t>
      </w:r>
      <w:r>
        <w:t xml:space="preserve">the LSH Regulation. Second, measure PO4b on modularity has also been ruled out</w:t>
      </w:r>
      <w:r>
        <w:t xml:space="preserve"> </w:t>
      </w:r>
      <w:r>
        <w:t xml:space="preserve">because it would result in a steep increase of costs that would not be offset by its</w:t>
      </w:r>
      <w:r>
        <w:t xml:space="preserve"> </w:t>
      </w:r>
      <w:r>
        <w:t xml:space="preserve">benefits.</w:t>
      </w:r>
      <w:r>
        <w:t xml:space="preserve"> </w:t>
      </w:r>
      <w:r>
        <w:t xml:space="preserve">In addition, after a thorough revision of the feedback provided by stakeholders during the</w:t>
      </w:r>
      <w:r>
        <w:t xml:space="preserve"> </w:t>
      </w:r>
      <w:r>
        <w:t xml:space="preserve">process of legislative review, and in particular the relevant industry representatives</w:t>
      </w:r>
      <w:r>
        <w:t xml:space="preserve"> </w:t>
      </w:r>
      <w:r>
        <w:t xml:space="preserve">mentioned in section 5.4.1, no particular concerns have been noted about SMEs.</w:t>
      </w:r>
      <w:r>
        <w:br/>
      </w:r>
      <w:r>
        <w:t xml:space="preserve">Finally, the SME filter list, which screens all the initiatives published in the “have your</w:t>
      </w:r>
      <w:r>
        <w:t xml:space="preserve"> </w:t>
      </w:r>
      <w:r>
        <w:t xml:space="preserve">say” portal after 1 January 2022, does not mention ecodesign for local space heaters as</w:t>
      </w:r>
      <w:r>
        <w:t xml:space="preserve"> </w:t>
      </w:r>
      <w:r>
        <w:t xml:space="preserve">one of the initiatives that could be relevant for SMEs.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Given the background above, it can be concluded that the initiative does not entail any</w:t>
      </w:r>
      <w:r>
        <w:t xml:space="preserve"> </w:t>
      </w:r>
      <w:r>
        <w:t xml:space="preserve">negative impact on SMEs and subsequently there is no need to carry out the next steps of</w:t>
      </w:r>
      <w:r>
        <w:t xml:space="preserve"> </w:t>
      </w:r>
      <w:r>
        <w:t xml:space="preserve">the SME test as laid down in the Better Regulation Toolbox.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ANNEX 10: MULTI-CRITERIA ANALYSIS</w:t>
      </w:r>
      <w:r>
        <w:t xml:space="preserve"> </w:t>
      </w:r>
      <w:r>
        <w:t xml:space="preserve">1.</w:t>
      </w:r>
      <w:r>
        <w:t xml:space="preserve"> </w:t>
      </w:r>
      <w:r>
        <w:t xml:space="preserve">MULTI-CRITERIA DECISION ANALYSIS METHODOLOGY: BASIC DESCRIPTION OF</w:t>
      </w:r>
      <w:r>
        <w:t xml:space="preserve"> </w:t>
      </w:r>
      <w:r>
        <w:t xml:space="preserve">SOCIAL MULTI-CRITERIA EVALUATION (SMCE) METHODOLOGICAL FRAMEWORK</w:t>
      </w:r>
      <w:r>
        <w:t xml:space="preserve"> </w:t>
      </w:r>
      <w:r>
        <w:t xml:space="preserve">AND SOFTWARE TOOL</w:t>
      </w:r>
      <w:r>
        <w:t xml:space="preserve"> </w:t>
      </w:r>
      <w:r>
        <w:t xml:space="preserve">This section describes the analysis of the impacts carried out with the software</w:t>
      </w:r>
      <w:r>
        <w:t xml:space="preserve"> </w:t>
      </w:r>
      <w:r>
        <w:t xml:space="preserve">SOCRATES (SOcial multi CRiteria AssessmenT of European policieS) developed by</w:t>
      </w:r>
      <w:r>
        <w:t xml:space="preserve"> </w:t>
      </w:r>
      <w:r>
        <w:t xml:space="preserve">the Joint Research Centre. SOCRATES has been used to validate the choice of the</w:t>
      </w:r>
      <w:r>
        <w:t xml:space="preserve"> </w:t>
      </w:r>
      <w:r>
        <w:t xml:space="preserve">preferred policy option according to a mathematical model.</w:t>
      </w:r>
      <w:r>
        <w:br/>
      </w:r>
      <w:r>
        <w:t xml:space="preserve">SOCRATES is a new multiple criteria assessment software tool, explicitly designed for ex-ante</w:t>
      </w:r>
      <w:r>
        <w:t xml:space="preserve"> </w:t>
      </w:r>
      <w:r>
        <w:t xml:space="preserve">Impact Assessment (IA) problems76.</w:t>
      </w:r>
      <w:r>
        <w:br/>
      </w:r>
      <w:r>
        <w:t xml:space="preserve">Quantitative evidence plays an important role in many IAs, but also qualitative data such</w:t>
      </w:r>
      <w:r>
        <w:t xml:space="preserve"> </w:t>
      </w:r>
      <w:r>
        <w:t xml:space="preserve">as stakeholder input, conclusions of evaluations, as well as scientific and expert advice</w:t>
      </w:r>
      <w:r>
        <w:t xml:space="preserve"> </w:t>
      </w:r>
      <w:r>
        <w:t xml:space="preserve">are frequently used. This generates a multitude of criteria, which should be consistently</w:t>
      </w:r>
      <w:r>
        <w:t xml:space="preserve"> </w:t>
      </w:r>
      <w:r>
        <w:t xml:space="preserve">integrated and evaluated when comparing policy options. The most widespread</w:t>
      </w:r>
      <w:r>
        <w:t xml:space="preserve"> </w:t>
      </w:r>
      <w:r>
        <w:t xml:space="preserve">multidimensional approach to ex-ante IAs is multi-criteria decision analysis, which forms</w:t>
      </w:r>
      <w:r>
        <w:t xml:space="preserve"> </w:t>
      </w:r>
      <w:r>
        <w:t xml:space="preserve">the basis for social multi-criteria evaluation (SMCE77), which has been explicitly</w:t>
      </w:r>
      <w:r>
        <w:t xml:space="preserve"> </w:t>
      </w:r>
      <w:r>
        <w:t xml:space="preserve">designed for public policy. SMCE allows taking into account a wide range of assessment</w:t>
      </w:r>
      <w:r>
        <w:t xml:space="preserve"> </w:t>
      </w:r>
      <w:r>
        <w:t xml:space="preserve">criteria, such as the impact on SMEs, the degree of protection of fundamental rights,</w:t>
      </w:r>
      <w:r>
        <w:t xml:space="preserve"> </w:t>
      </w:r>
      <w:r>
        <w:t xml:space="preserve">consumer protection, etc. while all the multidimensional profiles of the problem remain</w:t>
      </w:r>
      <w:r>
        <w:t xml:space="preserve"> </w:t>
      </w:r>
      <w:r>
        <w:t xml:space="preserve">in their original scales of measurement. Indeed, the latter is the main difference with</w:t>
      </w:r>
      <w:r>
        <w:t xml:space="preserve"> </w:t>
      </w:r>
      <w:r>
        <w:t xml:space="preserve">traditional cost-benefit analysis (CBA), which grounds on steps like monetizing all</w:t>
      </w:r>
      <w:r>
        <w:t xml:space="preserve"> </w:t>
      </w:r>
      <w:r>
        <w:t xml:space="preserve">social, environmental, and human rights aspects. In this respect, CBA and SMCE are not</w:t>
      </w:r>
      <w:r>
        <w:t xml:space="preserve"> </w:t>
      </w:r>
      <w:r>
        <w:t xml:space="preserve">conflictual but complementary, as CBA can be utilised as component of a SMCE</w:t>
      </w:r>
      <w:r>
        <w:t xml:space="preserve"> </w:t>
      </w:r>
      <w:r>
        <w:t xml:space="preserve">framework, dealing with the economic dimension.</w:t>
      </w:r>
      <w:r>
        <w:br/>
      </w:r>
      <w:r>
        <w:t xml:space="preserve">Overall, the objective of SOCRATES and the underlying SMCE methodology is not to</w:t>
      </w:r>
      <w:r>
        <w:t xml:space="preserve"> </w:t>
      </w:r>
      <w:r>
        <w:t xml:space="preserve">substitute policy-makers through a mathematical model, but to improve their</w:t>
      </w:r>
      <w:r>
        <w:t xml:space="preserve"> </w:t>
      </w:r>
      <w:r>
        <w:t xml:space="preserve">understanding of the main features of the problem at hand, such as key assumptions,</w:t>
      </w:r>
      <w:r>
        <w:t xml:space="preserve"> </w:t>
      </w:r>
      <w:r>
        <w:t xml:space="preserve">degree of uncertainty, robustness of results and overall technical and social defensibility</w:t>
      </w:r>
      <w:r>
        <w:t xml:space="preserve"> </w:t>
      </w:r>
      <w:r>
        <w:t xml:space="preserve">of options chosen. While SMCE has already been applied in a multitude of policy</w:t>
      </w:r>
      <w:r>
        <w:t xml:space="preserve"> </w:t>
      </w:r>
      <w:r>
        <w:t xml:space="preserve">problems, its recent technical implementation through SOCRATES is now applied for</w:t>
      </w:r>
      <w:r>
        <w:t xml:space="preserve"> </w:t>
      </w:r>
      <w:r>
        <w:t xml:space="preserve">this Impact Assessment.</w:t>
      </w:r>
      <w:r>
        <w:br/>
      </w:r>
      <w:r>
        <w:t xml:space="preserve">SMCE proceeds on the basis of following main concepts: dimensions, objectives,</w:t>
      </w:r>
      <w:r>
        <w:t xml:space="preserve"> </w:t>
      </w:r>
      <w:r>
        <w:t xml:space="preserve">criteria, weights, criterion scores, impact matrix and compromise solution.</w:t>
      </w:r>
    </w:p>
    <w:p>
      <w:pPr>
        <w:pStyle w:val="BodyText"/>
      </w:pPr>
      <w:r>
        <w:t xml:space="preserve">76 Ownership details: The software has been developed in the context of the European Commission’s</w:t>
      </w:r>
      <w:r>
        <w:t xml:space="preserve"> </w:t>
      </w:r>
      <w:r>
        <w:t xml:space="preserve">Competence Centre on Modelling (Non free license).</w:t>
      </w:r>
      <w:r>
        <w:t xml:space="preserve"> </w:t>
      </w:r>
      <w:r>
        <w:t xml:space="preserve">77 Munda, G., A social multi-criteria framework for ex-ante impact assessment: Operational Issues, EUR</w:t>
      </w:r>
      <w:r>
        <w:t xml:space="preserve"> </w:t>
      </w:r>
      <w:r>
        <w:t xml:space="preserve">28752 EN, Publications Office of the European Union, Luxembourg, 2017, ISBN 978-92-79-72293-6,</w:t>
      </w:r>
      <w:r>
        <w:t xml:space="preserve"> </w:t>
      </w:r>
      <w:r>
        <w:t xml:space="preserve">doi:10.2760/909528, JRC107899.; Munda, G., Dealing with Fairness in Public Policy Analysis: A</w:t>
      </w:r>
      <w:r>
        <w:t xml:space="preserve"> </w:t>
      </w:r>
      <w:r>
        <w:t xml:space="preserve">Methodological Framework , EUR 28751 EN, Publications Office of the European Union, Luxembourg,</w:t>
      </w:r>
      <w:r>
        <w:t xml:space="preserve"> </w:t>
      </w:r>
      <w:r>
        <w:t xml:space="preserve">2017, ISBN 978-92-79-72292-9, doi:10.2760/75185, JRC107843.; Munda, G., On the use of Cost-</w:t>
      </w:r>
      <w:r>
        <w:t xml:space="preserve"> </w:t>
      </w:r>
      <w:r>
        <w:t xml:space="preserve">Benefit Analysis and Multi-Criteria Evaluation in ex-ante Impact Assessment, EUR 28768 EN,</w:t>
      </w:r>
      <w:r>
        <w:t xml:space="preserve"> </w:t>
      </w:r>
      <w:r>
        <w:t xml:space="preserve">Publications Office of the European Union, Luxembourg, 2017, ISBN 978-92-79-73213-3,</w:t>
      </w:r>
      <w:r>
        <w:t xml:space="preserve"> </w:t>
      </w:r>
      <w:r>
        <w:t xml:space="preserve">doi:10.2760/311199, JRC107900.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• Dimension is the highest hierarchical level of analysis and indicates the scope of</w:t>
      </w:r>
      <w:r>
        <w:t xml:space="preserve"> </w:t>
      </w:r>
      <w:r>
        <w:t xml:space="preserve">objectives, criteria and criterion scores.</w:t>
      </w:r>
      <w:r>
        <w:br/>
      </w:r>
      <w:r>
        <w:t xml:space="preserve">• Objectives indicate the direction of change desired, e.g. growth has to be maximized,</w:t>
      </w:r>
      <w:r>
        <w:t xml:space="preserve"> </w:t>
      </w:r>
      <w:r>
        <w:t xml:space="preserve">social exclusion has to be minimized, and carbon dioxide emissions have to be</w:t>
      </w:r>
      <w:r>
        <w:t xml:space="preserve"> </w:t>
      </w:r>
      <w:r>
        <w:t xml:space="preserve">reduced.</w:t>
      </w:r>
      <w:r>
        <w:br/>
      </w:r>
      <w:r>
        <w:t xml:space="preserve">• A criterion is a function that associates alternative actions with a variable indicating</w:t>
      </w:r>
      <w:r>
        <w:t xml:space="preserve"> </w:t>
      </w:r>
      <w:r>
        <w:t xml:space="preserve">its desirability.</w:t>
      </w:r>
      <w:r>
        <w:br/>
      </w:r>
      <w:r>
        <w:t xml:space="preserve">• Weights are often used to represent the relative importance attached to dimensions,</w:t>
      </w:r>
      <w:r>
        <w:t xml:space="preserve"> </w:t>
      </w:r>
      <w:r>
        <w:t xml:space="preserve">objectives and criteria. The idea behind this practice is very intuitive and easy, that is,</w:t>
      </w:r>
      <w:r>
        <w:t xml:space="preserve"> </w:t>
      </w:r>
      <w:r>
        <w:t xml:space="preserve">to place the greatest number in the position corresponding to the most important</w:t>
      </w:r>
      <w:r>
        <w:t xml:space="preserve"> </w:t>
      </w:r>
      <w:r>
        <w:t xml:space="preserve">factor.</w:t>
      </w:r>
      <w:r>
        <w:br/>
      </w:r>
      <w:r>
        <w:t xml:space="preserve">• A criterion score is an assessment of the impact consistent with a given criterion</w:t>
      </w:r>
      <w:r>
        <w:t xml:space="preserve"> </w:t>
      </w:r>
      <w:r>
        <w:t xml:space="preserve">with reference to a policy option. Criterion scores can be both qualitative and</w:t>
      </w:r>
      <w:r>
        <w:t xml:space="preserve"> </w:t>
      </w:r>
      <w:r>
        <w:t xml:space="preserve">quantitative.</w:t>
      </w:r>
      <w:r>
        <w:br/>
      </w:r>
      <w:r>
        <w:t xml:space="preserve">• The impact matrix presents in a structured way, the information on the various</w:t>
      </w:r>
      <w:r>
        <w:t xml:space="preserve"> </w:t>
      </w:r>
      <w:r>
        <w:t xml:space="preserve">criterion scores, i.e. each element of the matrix represents the performance of each</w:t>
      </w:r>
      <w:r>
        <w:t xml:space="preserve"> </w:t>
      </w:r>
      <w:r>
        <w:t xml:space="preserve">option according to each criterion.</w:t>
      </w:r>
      <w:r>
        <w:br/>
      </w:r>
      <w:r>
        <w:t xml:space="preserve">In general, in a multi-criterion problem, there is no solution (ideal or utopia solution)</w:t>
      </w:r>
      <w:r>
        <w:t xml:space="preserve"> </w:t>
      </w:r>
      <w:r>
        <w:t xml:space="preserve">optimizing all the criteria at the same time, and therefore “compromise solutions” have</w:t>
      </w:r>
      <w:r>
        <w:t xml:space="preserve"> </w:t>
      </w:r>
      <w:r>
        <w:t xml:space="preserve">to be found.</w:t>
      </w:r>
      <w:r>
        <w:t xml:space="preserve"> </w:t>
      </w:r>
      <w:r>
        <w:t xml:space="preserve">In summary a SMCE approach can supply a methodological framework where the</w:t>
      </w:r>
      <w:r>
        <w:t xml:space="preserve"> </w:t>
      </w:r>
      <w:r>
        <w:t xml:space="preserve">hierarchical structure of the option comparison step of a typical ex-ante IA (including</w:t>
      </w:r>
      <w:r>
        <w:t xml:space="preserve"> </w:t>
      </w:r>
      <w:r>
        <w:t xml:space="preserve">dimensions, objectives and evaluation criteria) is clarified as much as possible by means</w:t>
      </w:r>
      <w:r>
        <w:t xml:space="preserve"> </w:t>
      </w:r>
      <w:r>
        <w:t xml:space="preserve">of well-established concepts in the decision theory literature. This might help in</w:t>
      </w:r>
      <w:r>
        <w:t xml:space="preserve"> </w:t>
      </w:r>
      <w:r>
        <w:t xml:space="preserve">increasing the degree of homogeneity across IA studies. The SOCRATES software helps</w:t>
      </w:r>
      <w:r>
        <w:t xml:space="preserve"> </w:t>
      </w:r>
      <w:r>
        <w:t xml:space="preserve">structuring such a methodological framework.</w:t>
      </w:r>
      <w:r>
        <w:br/>
      </w:r>
      <w:r>
        <w:t xml:space="preserve">A typical SOCRATES input requires the definition of policy options (called alternatives)</w:t>
      </w:r>
      <w:r>
        <w:t xml:space="preserve"> </w:t>
      </w:r>
      <w:r>
        <w:t xml:space="preserve">dimensions, objectives and criteria. This information leads to the construction of an</w:t>
      </w:r>
      <w:r>
        <w:t xml:space="preserve"> </w:t>
      </w:r>
      <w:r>
        <w:t xml:space="preserve">impact matrix, which may include crisp, stochastic or fuzzy measurements of the</w:t>
      </w:r>
      <w:r>
        <w:t xml:space="preserve"> </w:t>
      </w:r>
      <w:r>
        <w:t xml:space="preserve">performance of an alternative with respect to an evaluation criterion. Qualitative</w:t>
      </w:r>
      <w:r>
        <w:t xml:space="preserve"> </w:t>
      </w:r>
      <w:r>
        <w:t xml:space="preserve">information can be introduced too (in the form of linguistic or ordinal criterion scores).</w:t>
      </w:r>
      <w:r>
        <w:t xml:space="preserve"> </w:t>
      </w:r>
      <w:r>
        <w:t xml:space="preserve">Weights as importance coefficients, may also be introduced. They can be attached to</w:t>
      </w:r>
      <w:r>
        <w:t xml:space="preserve"> </w:t>
      </w:r>
      <w:r>
        <w:t xml:space="preserve">dimensions or criteria. Indifference and preference thresholds can also be introduced</w:t>
      </w:r>
      <w:r>
        <w:t xml:space="preserve"> </w:t>
      </w:r>
      <w:r>
        <w:t xml:space="preserve">when needed. Generally a social conflict matrix is also constructed, where the impacts of</w:t>
      </w:r>
      <w:r>
        <w:t xml:space="preserve"> </w:t>
      </w:r>
      <w:r>
        <w:t xml:space="preserve">each policy option on each social group are presented in a transparent way.</w:t>
      </w:r>
      <w:r>
        <w:t xml:space="preserve"> </w:t>
      </w:r>
      <w:r>
        <w:t xml:space="preserve">In this IA, for better granularity the analysis is made with respect to the individual</w:t>
      </w:r>
      <w:r>
        <w:t xml:space="preserve"> </w:t>
      </w:r>
      <w:r>
        <w:t xml:space="preserve">measures instead of for each of the policy options as a whole, so that it is possible to</w:t>
      </w:r>
      <w:r>
        <w:t xml:space="preserve"> </w:t>
      </w:r>
      <w:r>
        <w:t xml:space="preserve">combine those individual measures in a single and preferred policy option. The time</w:t>
      </w:r>
      <w:r>
        <w:t xml:space="preserve"> </w:t>
      </w:r>
      <w:r>
        <w:t xml:space="preserve">horizon taken for the analysis is 2050 because the impact of the measures related to</w:t>
      </w:r>
      <w:r>
        <w:t xml:space="preserve"> </w:t>
      </w:r>
      <w:r>
        <w:t xml:space="preserve">circular economy mostly take place when the stock has aged, being therefore 2030 a too</w:t>
      </w:r>
      <w:r>
        <w:t xml:space="preserve"> </w:t>
      </w:r>
      <w:r>
        <w:t xml:space="preserve">short term to assess PO4, in particular for PO4a. The rest of the policy options keep a</w:t>
      </w:r>
      <w:r>
        <w:t xml:space="preserve"> </w:t>
      </w:r>
      <w:r>
        <w:t xml:space="preserve">similar behaviour throughout the whole period under study.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 number of criteria have been chosen that correspond to the three main objectives of an</w:t>
      </w:r>
      <w:r>
        <w:t xml:space="preserve"> </w:t>
      </w:r>
      <w:r>
        <w:t xml:space="preserve">IA, which is to assess effectiveness, efficiency and coherence of the policy options.</w:t>
      </w:r>
      <w:r>
        <w:br/>
      </w:r>
      <w:r>
        <w:t xml:space="preserve">For effectiveness two criteria have been included: reduction of energy consumption</w:t>
      </w:r>
      <w:r>
        <w:t xml:space="preserve"> </w:t>
      </w:r>
      <w:r>
        <w:t xml:space="preserve">during the use phase and reduction of embedded energy consumption (production,</w:t>
      </w:r>
      <w:r>
        <w:t xml:space="preserve"> </w:t>
      </w:r>
      <w:r>
        <w:t xml:space="preserve">distribution and EoL).</w:t>
      </w:r>
      <w:r>
        <w:br/>
      </w:r>
      <w:r>
        <w:t xml:space="preserve">For efficiency, the following criteria have been included: increase of business turnover,</w:t>
      </w:r>
      <w:r>
        <w:t xml:space="preserve"> </w:t>
      </w:r>
      <w:r>
        <w:t xml:space="preserve">consumer savings and administrative costs.</w:t>
      </w:r>
      <w:r>
        <w:br/>
      </w:r>
      <w:r>
        <w:t xml:space="preserve">As far as coherence, the following concepts have been included: harmonisation with</w:t>
      </w:r>
      <w:r>
        <w:t xml:space="preserve"> </w:t>
      </w:r>
      <w:r>
        <w:t xml:space="preserve">other EU legislation/standards already existing for other products, reduction of legal</w:t>
      </w:r>
      <w:r>
        <w:t xml:space="preserve"> </w:t>
      </w:r>
      <w:r>
        <w:t xml:space="preserve">loopholes/reduction of regulatory confusion and level of stakeholders support.</w:t>
      </w:r>
      <w:r>
        <w:t xml:space="preserve"> </w:t>
      </w:r>
      <w:r>
        <w:t xml:space="preserve">The multi-criteria analysis is made in two steps:</w:t>
      </w:r>
      <w:r>
        <w:br/>
      </w:r>
      <w:r>
        <w:t xml:space="preserve">-</w:t>
      </w:r>
      <w:r>
        <w:t xml:space="preserve"> </w:t>
      </w:r>
      <w:r>
        <w:t xml:space="preserve">First step: multi-criteria analysis for PO2, which will result in a preferred</w:t>
      </w:r>
      <w:r>
        <w:t xml:space="preserve"> </w:t>
      </w:r>
      <w:r>
        <w:t xml:space="preserve">combination of measures (PO2f).</w:t>
      </w:r>
      <w:r>
        <w:br/>
      </w:r>
      <w:r>
        <w:t xml:space="preserve">-</w:t>
      </w:r>
      <w:r>
        <w:t xml:space="preserve"> </w:t>
      </w:r>
      <w:r>
        <w:t xml:space="preserve">Second step: multi-criteria analysis for a preferred policy option combining PO2f,</w:t>
      </w:r>
      <w:r>
        <w:t xml:space="preserve"> </w:t>
      </w:r>
      <w:r>
        <w:t xml:space="preserve">PO3 and PO4a.</w:t>
      </w:r>
      <w:r>
        <w:t xml:space="preserve"> </w:t>
      </w:r>
      <w:r>
        <w:t xml:space="preserve">2.</w:t>
      </w:r>
      <w:r>
        <w:t xml:space="preserve"> </w:t>
      </w:r>
      <w:r>
        <w:t xml:space="preserve">FIRST STEP: MULTI-CRITERIA ANALYSIS FOR PO2</w:t>
      </w:r>
      <w:r>
        <w:t xml:space="preserve"> </w:t>
      </w:r>
      <w:r>
        <w:t xml:space="preserve">PO2 consists of the following four measures:</w:t>
      </w:r>
      <w:r>
        <w:br/>
      </w:r>
      <w:r>
        <w:t xml:space="preserve">PO2a: including slave heaters in the scope.</w:t>
      </w:r>
      <w:r>
        <w:t xml:space="preserve"> </w:t>
      </w:r>
      <w:r>
        <w:t xml:space="preserve">PO2b: including towel heaters in the scope.</w:t>
      </w:r>
      <w:r>
        <w:t xml:space="preserve"> </w:t>
      </w:r>
      <w:r>
        <w:t xml:space="preserve">PO2c: including tube heaters between 120 and 300 W.</w:t>
      </w:r>
      <w:r>
        <w:t xml:space="preserve"> </w:t>
      </w:r>
      <w:r>
        <w:t xml:space="preserve">PO2d: modifying some definitions corresponding to gas and oil fuelled heaters.</w:t>
      </w:r>
      <w:r>
        <w:t xml:space="preserve"> </w:t>
      </w:r>
      <w:r>
        <w:t xml:space="preserve">PO2a is, according to section 6, the measure that generates by far the highest share of</w:t>
      </w:r>
      <w:r>
        <w:t xml:space="preserve"> </w:t>
      </w:r>
      <w:r>
        <w:t xml:space="preserve">positive impacts in terms of effectiveness and efficiency, and considering that any</w:t>
      </w:r>
      <w:r>
        <w:t xml:space="preserve"> </w:t>
      </w:r>
      <w:r>
        <w:t xml:space="preserve">alternative would be significantly weakened if 2a is not included it has been decided to</w:t>
      </w:r>
      <w:r>
        <w:t xml:space="preserve"> </w:t>
      </w:r>
      <w:r>
        <w:t xml:space="preserve">include 2a in all combinations. With this simplification, the number of possible</w:t>
      </w:r>
      <w:r>
        <w:t xml:space="preserve"> </w:t>
      </w:r>
      <w:r>
        <w:t xml:space="preserve">combinations is reduced from 15 to 8.</w:t>
      </w:r>
      <w:r>
        <w:br/>
      </w:r>
      <w:r>
        <w:t xml:space="preserve">The following impact matrix displays the score of the different PO2 configurations</w:t>
      </w:r>
      <w:r>
        <w:t xml:space="preserve"> </w:t>
      </w:r>
      <w:r>
        <w:t xml:space="preserve">against the chosen criteria in order to choose a final combination that will be called PO2f.</w:t>
      </w:r>
      <w:r>
        <w:t xml:space="preserve"> </w:t>
      </w:r>
      <w:r>
        <w:t xml:space="preserve">Criteria</w:t>
      </w:r>
      <w:r>
        <w:t xml:space="preserve"> </w:t>
      </w:r>
      <w:r>
        <w:t xml:space="preserve">PO2a</w:t>
      </w:r>
      <w:r>
        <w:t xml:space="preserve"> </w:t>
      </w:r>
      <w:r>
        <w:t xml:space="preserve">PO2a+</w:t>
      </w:r>
      <w:r>
        <w:t xml:space="preserve"> </w:t>
      </w:r>
      <w:r>
        <w:t xml:space="preserve">PO2b</w:t>
      </w:r>
      <w:r>
        <w:t xml:space="preserve"> </w:t>
      </w:r>
      <w:r>
        <w:t xml:space="preserve">PO2a+P</w:t>
      </w:r>
      <w:r>
        <w:t xml:space="preserve"> </w:t>
      </w:r>
      <w:r>
        <w:t xml:space="preserve">O2c</w:t>
      </w:r>
      <w:r>
        <w:t xml:space="preserve"> </w:t>
      </w:r>
      <w:r>
        <w:t xml:space="preserve">PO2a+P</w:t>
      </w:r>
      <w:r>
        <w:t xml:space="preserve"> </w:t>
      </w:r>
      <w:r>
        <w:t xml:space="preserve">O2d</w:t>
      </w:r>
      <w:r>
        <w:t xml:space="preserve"> </w:t>
      </w:r>
      <w:r>
        <w:t xml:space="preserve">PO2a+PO</w:t>
      </w:r>
      <w:r>
        <w:t xml:space="preserve"> </w:t>
      </w:r>
      <w:r>
        <w:t xml:space="preserve">2b+PO2c</w:t>
      </w:r>
      <w:r>
        <w:t xml:space="preserve"> </w:t>
      </w:r>
      <w:r>
        <w:t xml:space="preserve">PO2a+PO</w:t>
      </w:r>
      <w:r>
        <w:t xml:space="preserve"> </w:t>
      </w:r>
      <w:r>
        <w:t xml:space="preserve">2b+PO2d</w:t>
      </w:r>
      <w:r>
        <w:t xml:space="preserve"> </w:t>
      </w:r>
      <w:r>
        <w:t xml:space="preserve">PO2a+PO</w:t>
      </w:r>
      <w:r>
        <w:t xml:space="preserve"> </w:t>
      </w:r>
      <w:r>
        <w:t xml:space="preserve">2c+PO2d</w:t>
      </w:r>
      <w:r>
        <w:t xml:space="preserve"> </w:t>
      </w:r>
      <w:r>
        <w:t xml:space="preserve">PO2a+PO2b+</w:t>
      </w:r>
      <w:r>
        <w:t xml:space="preserve"> </w:t>
      </w:r>
      <w:r>
        <w:t xml:space="preserve">PO2c+PO2d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C1. Energy savings during the use</w:t>
      </w:r>
      <w:r>
        <w:t xml:space="preserve"> </w:t>
      </w:r>
      <w:r>
        <w:t xml:space="preserve">phase (Twh/year)</w:t>
      </w:r>
      <w:r>
        <w:t xml:space="preserve"> </w:t>
      </w:r>
      <w:r>
        <w:t xml:space="preserve">4,69</w:t>
      </w:r>
      <w:r>
        <w:t xml:space="preserve"> </w:t>
      </w:r>
      <w:r>
        <w:t xml:space="preserve">5,57</w:t>
      </w:r>
      <w:r>
        <w:t xml:space="preserve"> </w:t>
      </w:r>
      <w:r>
        <w:t xml:space="preserve">4,76</w:t>
      </w:r>
      <w:r>
        <w:t xml:space="preserve"> </w:t>
      </w:r>
      <w:r>
        <w:t xml:space="preserve">4,83</w:t>
      </w:r>
      <w:r>
        <w:t xml:space="preserve"> </w:t>
      </w:r>
      <w:r>
        <w:t xml:space="preserve">5,64</w:t>
      </w:r>
      <w:r>
        <w:t xml:space="preserve"> </w:t>
      </w:r>
      <w:r>
        <w:t xml:space="preserve">5,71</w:t>
      </w:r>
      <w:r>
        <w:t xml:space="preserve"> </w:t>
      </w:r>
      <w:r>
        <w:t xml:space="preserve">4,90</w:t>
      </w:r>
      <w:r>
        <w:t xml:space="preserve"> </w:t>
      </w:r>
      <w:r>
        <w:t xml:space="preserve">5,78</w:t>
      </w:r>
      <w:r>
        <w:t xml:space="preserve"> </w:t>
      </w:r>
      <w:r>
        <w:t xml:space="preserve">C2. Reduction of embedded</w:t>
      </w:r>
      <w:r>
        <w:t xml:space="preserve"> </w:t>
      </w:r>
      <w:r>
        <w:t xml:space="preserve">energy consumption (production,</w:t>
      </w:r>
      <w:r>
        <w:t xml:space="preserve"> </w:t>
      </w:r>
      <w:r>
        <w:t xml:space="preserve">distribution and EoL) (Twh/year)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Efficiency</w:t>
      </w:r>
      <w:r>
        <w:t xml:space="preserve"> </w:t>
      </w:r>
      <w:r>
        <w:t xml:space="preserve">C3. Increase of business turnover</w:t>
      </w:r>
      <w:r>
        <w:t xml:space="preserve"> </w:t>
      </w:r>
      <w:r>
        <w:t xml:space="preserve">280,24</w:t>
      </w:r>
      <w:r>
        <w:t xml:space="preserve"> </w:t>
      </w:r>
      <w:r>
        <w:t xml:space="preserve">356,39</w:t>
      </w:r>
      <w:r>
        <w:t xml:space="preserve"> </w:t>
      </w:r>
      <w:r>
        <w:t xml:space="preserve">280,68</w:t>
      </w:r>
      <w:r>
        <w:t xml:space="preserve"> </w:t>
      </w:r>
      <w:r>
        <w:t xml:space="preserve">305,79</w:t>
      </w:r>
      <w:r>
        <w:t xml:space="preserve"> </w:t>
      </w:r>
      <w:r>
        <w:t xml:space="preserve">356,83</w:t>
      </w:r>
      <w:r>
        <w:t xml:space="preserve"> </w:t>
      </w:r>
      <w:r>
        <w:t xml:space="preserve">381,94</w:t>
      </w:r>
      <w:r>
        <w:t xml:space="preserve"> </w:t>
      </w:r>
      <w:r>
        <w:t xml:space="preserve">306,23</w:t>
      </w:r>
      <w:r>
        <w:t xml:space="preserve"> </w:t>
      </w:r>
      <w:r>
        <w:t xml:space="preserve">382,38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(M€/year)</w:t>
      </w:r>
      <w:r>
        <w:t xml:space="preserve"> </w:t>
      </w:r>
      <w:r>
        <w:t xml:space="preserve">C4. Consumer savings (M€/year)</w:t>
      </w:r>
      <w:r>
        <w:t xml:space="preserve"> </w:t>
      </w:r>
      <w:r>
        <w:t xml:space="preserve">849,10</w:t>
      </w:r>
      <w:r>
        <w:t xml:space="preserve"> </w:t>
      </w:r>
      <w:r>
        <w:t xml:space="preserve">996,76</w:t>
      </w:r>
      <w:r>
        <w:t xml:space="preserve"> </w:t>
      </w:r>
      <w:r>
        <w:t xml:space="preserve">852,37</w:t>
      </w:r>
      <w:r>
        <w:t xml:space="preserve"> </w:t>
      </w:r>
      <w:r>
        <w:t xml:space="preserve">847,98</w:t>
      </w:r>
      <w:r>
        <w:t xml:space="preserve"> </w:t>
      </w:r>
      <w:r>
        <w:t xml:space="preserve">1000,03</w:t>
      </w:r>
      <w:r>
        <w:t xml:space="preserve"> </w:t>
      </w:r>
      <w:r>
        <w:t xml:space="preserve">995,64</w:t>
      </w:r>
      <w:r>
        <w:t xml:space="preserve"> </w:t>
      </w:r>
      <w:r>
        <w:t xml:space="preserve">851,25</w:t>
      </w:r>
      <w:r>
        <w:t xml:space="preserve"> </w:t>
      </w:r>
      <w:r>
        <w:t xml:space="preserve">998,91</w:t>
      </w:r>
      <w:r>
        <w:t xml:space="preserve"> </w:t>
      </w:r>
      <w:r>
        <w:t xml:space="preserve">C5. Administrative costs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C6. Harmonisation with other EU</w:t>
      </w:r>
      <w:r>
        <w:t xml:space="preserve"> </w:t>
      </w:r>
      <w:r>
        <w:t xml:space="preserve">legislation /standards</w:t>
      </w:r>
      <w:r>
        <w:t xml:space="preserve"> </w:t>
      </w:r>
      <w:r>
        <w:t xml:space="preserve">=</w:t>
      </w:r>
      <w:r>
        <w:t xml:space="preserve"> </w:t>
      </w:r>
      <w:r>
        <w:t xml:space="preserve">=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C7. Reduction of legal</w:t>
      </w:r>
      <w:r>
        <w:t xml:space="preserve"> </w:t>
      </w:r>
      <w:r>
        <w:t xml:space="preserve">loopholes/reduction of regulatory</w:t>
      </w:r>
      <w:r>
        <w:t xml:space="preserve"> </w:t>
      </w:r>
      <w:r>
        <w:t xml:space="preserve">confusion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C8. Level of stakeholders support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Legend: (-) decrease/bad; (=) indifferent; (+) increase/good; (++) significant increase/very good</w:t>
      </w:r>
      <w:r>
        <w:t xml:space="preserve"> </w:t>
      </w:r>
      <w:r>
        <w:t xml:space="preserve">Table A10-1. Multi-criteria impact matrix for PO2</w:t>
      </w:r>
      <w:r>
        <w:t xml:space="preserve"> </w:t>
      </w:r>
      <w:r>
        <w:t xml:space="preserve">2.1.</w:t>
      </w:r>
      <w:r>
        <w:t xml:space="preserve"> </w:t>
      </w:r>
      <w:r>
        <w:t xml:space="preserve">Justification of the score for the qualitative criteria</w:t>
      </w:r>
      <w:r>
        <w:t xml:space="preserve"> </w:t>
      </w:r>
      <w:r>
        <w:t xml:space="preserve">-</w:t>
      </w:r>
      <w:r>
        <w:t xml:space="preserve"> </w:t>
      </w:r>
      <w:r>
        <w:t xml:space="preserve">On administrative costs, measures that entail a broadening of the scope (PO2a, PO2b</w:t>
      </w:r>
      <w:r>
        <w:t xml:space="preserve"> </w:t>
      </w:r>
      <w:r>
        <w:t xml:space="preserve">and PO2c) have been scored with a +, since some administrative costs will apply to</w:t>
      </w:r>
      <w:r>
        <w:t xml:space="preserve"> </w:t>
      </w:r>
      <w:r>
        <w:t xml:space="preserve">the new products in the scope. Since the effect of PO2a is much larger than PO2b and</w:t>
      </w:r>
      <w:r>
        <w:t xml:space="preserve"> </w:t>
      </w:r>
      <w:r>
        <w:t xml:space="preserve">PO2c (also on new models coming in the scope), it has been considered that the</w:t>
      </w:r>
      <w:r>
        <w:t xml:space="preserve"> </w:t>
      </w:r>
      <w:r>
        <w:t xml:space="preserve">administrative costs brought about by PO2b and PO2c are small compared to PO2a,</w:t>
      </w:r>
      <w:r>
        <w:t xml:space="preserve"> </w:t>
      </w:r>
      <w:r>
        <w:t xml:space="preserve">and this is why the same score has been given to the various measure combinations</w:t>
      </w:r>
      <w:r>
        <w:t xml:space="preserve"> </w:t>
      </w:r>
      <w:r>
        <w:t xml:space="preserve">where PO2a is present.</w:t>
      </w:r>
      <w:r>
        <w:t xml:space="preserve"> </w:t>
      </w:r>
      <w:r>
        <w:t xml:space="preserve">-</w:t>
      </w:r>
      <w:r>
        <w:t xml:space="preserve"> </w:t>
      </w:r>
      <w:r>
        <w:t xml:space="preserve">On harmonisation with other EU legislation/standards, PO2d adds a “+” to the</w:t>
      </w:r>
      <w:r>
        <w:t xml:space="preserve"> </w:t>
      </w:r>
      <w:r>
        <w:t xml:space="preserve">combinations in which it is present due to harmonisation with existing standards. The</w:t>
      </w:r>
      <w:r>
        <w:t xml:space="preserve"> </w:t>
      </w:r>
      <w:r>
        <w:t xml:space="preserve">rest of measures are indifferent in this respect.</w:t>
      </w:r>
      <w:r>
        <w:br/>
      </w:r>
      <w:r>
        <w:t xml:space="preserve">-</w:t>
      </w:r>
      <w:r>
        <w:t xml:space="preserve"> </w:t>
      </w:r>
      <w:r>
        <w:t xml:space="preserve">On reduction of legal loopholes/regulatory confusion, again PO2a and PO2b add a</w:t>
      </w:r>
      <w:r>
        <w:t xml:space="preserve"> </w:t>
      </w:r>
      <w:r>
        <w:t xml:space="preserve">“+” each, combinations with PO2a are scored with a “+”, and when they include</w:t>
      </w:r>
      <w:r>
        <w:t xml:space="preserve"> </w:t>
      </w:r>
      <w:r>
        <w:t xml:space="preserve">PO2b they get an additional “+”. This is because PO2a and PO2b are expected to</w:t>
      </w:r>
      <w:r>
        <w:t xml:space="preserve"> </w:t>
      </w:r>
      <w:r>
        <w:t xml:space="preserve">simplify the judgement of market surveillance authorities and companies on whether</w:t>
      </w:r>
      <w:r>
        <w:t xml:space="preserve"> </w:t>
      </w:r>
      <w:r>
        <w:t xml:space="preserve">a product should or not be considered in the scope, aspect which is currently a source</w:t>
      </w:r>
      <w:r>
        <w:t xml:space="preserve"> </w:t>
      </w:r>
      <w:r>
        <w:t xml:space="preserve">of frequent disputes between authorities and industry, as already pointed out.</w:t>
      </w:r>
      <w:r>
        <w:t xml:space="preserve"> </w:t>
      </w:r>
      <w:r>
        <w:t xml:space="preserve">-</w:t>
      </w:r>
      <w:r>
        <w:t xml:space="preserve"> </w:t>
      </w:r>
      <w:r>
        <w:t xml:space="preserve">On level of stakeholders support, all combinations have been scored with at least a</w:t>
      </w:r>
      <w:r>
        <w:t xml:space="preserve"> </w:t>
      </w:r>
      <w:r>
        <w:t xml:space="preserve">“+” due to the general agreement of stakeholders on the convenience of the measures.</w:t>
      </w:r>
      <w:r>
        <w:t xml:space="preserve"> </w:t>
      </w:r>
      <w:r>
        <w:t xml:space="preserve">Combinations with PO2c or PO2d feature an additional “+” because the support to</w:t>
      </w:r>
      <w:r>
        <w:t xml:space="preserve"> </w:t>
      </w:r>
      <w:r>
        <w:t xml:space="preserve">those measures is not only general but also unanimous.</w:t>
      </w:r>
      <w:r>
        <w:br/>
      </w:r>
      <w:r>
        <w:t xml:space="preserve">2.2.</w:t>
      </w:r>
      <w:r>
        <w:t xml:space="preserve"> </w:t>
      </w:r>
      <w:r>
        <w:t xml:space="preserve">Result of the multi-criteria analysis</w:t>
      </w:r>
      <w:r>
        <w:t xml:space="preserve"> </w:t>
      </w:r>
      <w:r>
        <w:t xml:space="preserve">The multi-criteria analysis run by SOCRATES shows that the preferred option is</w:t>
      </w:r>
      <w:r>
        <w:t xml:space="preserve"> </w:t>
      </w:r>
      <w:r>
        <w:t xml:space="preserve">PO2a+PO2b+PO2c+PO2d. Therefore, PO2f will include the four measures under</w:t>
      </w:r>
      <w:r>
        <w:t xml:space="preserve"> </w:t>
      </w:r>
      <w:r>
        <w:t xml:space="preserve">assessment. This option is the strongest one in terms of effectiveness, as the energy</w:t>
      </w:r>
      <w:r>
        <w:t xml:space="preserve"> </w:t>
      </w:r>
      <w:r>
        <w:t xml:space="preserve">savings and therefore GHG emissions reduction are the highest compared to the rest of</w:t>
      </w:r>
      <w:r>
        <w:t xml:space="preserve"> </w:t>
      </w:r>
      <w:r>
        <w:t xml:space="preserve">the options. On efficiency, PO2a+PO2b+PO2c and PO2a+PO2b+PO2c+PO2d are in a</w:t>
      </w:r>
      <w:r>
        <w:t xml:space="preserve"> </w:t>
      </w:r>
      <w:r>
        <w:t xml:space="preserve">similar situation, the latter encountering slightly higher turnover but also somewhat lower</w:t>
      </w:r>
      <w:r>
        <w:t xml:space="preserve"> </w:t>
      </w:r>
      <w:r>
        <w:t xml:space="preserve">consumer savings. As far as coherence, both combinations are alike.</w:t>
      </w:r>
      <w:r>
        <w:t xml:space="preserve"> </w:t>
      </w:r>
      <w:r>
        <w:t xml:space="preserve">The importance of mathematical approaches in SMCE is their ability to allow a</w:t>
      </w:r>
      <w:r>
        <w:t xml:space="preserve"> </w:t>
      </w:r>
      <w:r>
        <w:t xml:space="preserve">consistent aggregation of the diverse information. Otherwise, even if everybody would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agree on the multidimensional nature of an IA study, the implementation in a real-world</w:t>
      </w:r>
      <w:r>
        <w:t xml:space="preserve"> </w:t>
      </w:r>
      <w:r>
        <w:t xml:space="preserve">assessment exercise would be impossible. The standard objection might be that the</w:t>
      </w:r>
      <w:r>
        <w:t xml:space="preserve"> </w:t>
      </w:r>
      <w:r>
        <w:t xml:space="preserve">aggregation of apples and oranges is impossible. Multi-criteria mathematics does answer</w:t>
      </w:r>
      <w:r>
        <w:t xml:space="preserve"> </w:t>
      </w:r>
      <w:r>
        <w:t xml:space="preserve">to this objection in a definitive way. When using mathematical rules, consistency</w:t>
      </w:r>
      <w:r>
        <w:t xml:space="preserve"> </w:t>
      </w:r>
      <w:r>
        <w:t xml:space="preserve">between the problem structuring and the ranking of policy options is guaranteed, this</w:t>
      </w:r>
      <w:r>
        <w:t xml:space="preserve"> </w:t>
      </w:r>
      <w:r>
        <w:t xml:space="preserve">makes the overall IA study much more defensible.</w:t>
      </w:r>
      <w:r>
        <w:t xml:space="preserve"> </w:t>
      </w:r>
      <w:r>
        <w:t xml:space="preserve">SOCRATES makes all required computations very quick. From a mathematical point of</w:t>
      </w:r>
      <w:r>
        <w:t xml:space="preserve"> </w:t>
      </w:r>
      <w:r>
        <w:t xml:space="preserve">view, the information contained in the impact matrix useful for solving the so-called</w:t>
      </w:r>
      <w:r>
        <w:t xml:space="preserve"> </w:t>
      </w:r>
      <w:r>
        <w:t xml:space="preserve">multi-criterion problem is:</w:t>
      </w:r>
      <w:r>
        <w:t xml:space="preserve"> </w:t>
      </w:r>
      <w:r>
        <w:t xml:space="preserve">•</w:t>
      </w:r>
      <w:r>
        <w:t xml:space="preserve"> </w:t>
      </w:r>
      <w:r>
        <w:t xml:space="preserve">Intensity of preference (when quantitative criterion scores are present).</w:t>
      </w:r>
      <w:r>
        <w:t xml:space="preserve"> </w:t>
      </w:r>
      <w:r>
        <w:t xml:space="preserve">•</w:t>
      </w:r>
      <w:r>
        <w:t xml:space="preserve"> </w:t>
      </w:r>
      <w:r>
        <w:t xml:space="preserve">Number of criteria in favour of a given alternative.</w:t>
      </w:r>
      <w:r>
        <w:t xml:space="preserve"> </w:t>
      </w:r>
      <w:r>
        <w:t xml:space="preserve">•</w:t>
      </w:r>
      <w:r>
        <w:t xml:space="preserve"> </w:t>
      </w:r>
      <w:r>
        <w:t xml:space="preserve">Weight attached to each single criterion.</w:t>
      </w:r>
      <w:r>
        <w:t xml:space="preserve"> </w:t>
      </w:r>
      <w:r>
        <w:t xml:space="preserve">•</w:t>
      </w:r>
      <w:r>
        <w:t xml:space="preserve"> </w:t>
      </w:r>
      <w:r>
        <w:t xml:space="preserve">Relationship of each single alternative with all the other alternatives.</w:t>
      </w:r>
      <w:r>
        <w:t xml:space="preserve"> </w:t>
      </w:r>
      <w:r>
        <w:t xml:space="preserve">Combinations of this information generate different aggregation conventions, i.e. </w:t>
      </w:r>
      <w:r>
        <w:t xml:space="preserve"> </w:t>
      </w:r>
      <w:r>
        <w:t xml:space="preserve">manipulation rules of the available information to arrive at a preference structure. The</w:t>
      </w:r>
      <w:r>
        <w:t xml:space="preserve"> </w:t>
      </w:r>
      <w:r>
        <w:t xml:space="preserve">aggregation of several criteria implies taking a position on the fundamental issue of</w:t>
      </w:r>
      <w:r>
        <w:t xml:space="preserve"> </w:t>
      </w:r>
      <w:r>
        <w:t xml:space="preserve">compensability. For example, in evaluating a policy option that presents a very bad</w:t>
      </w:r>
      <w:r>
        <w:t xml:space="preserve"> </w:t>
      </w:r>
      <w:r>
        <w:t xml:space="preserve">environmental impact and a very good economic impact, it is clear that allowing or not</w:t>
      </w:r>
      <w:r>
        <w:t xml:space="preserve"> </w:t>
      </w:r>
      <w:r>
        <w:t xml:space="preserve">for compensability and to which degree is the key assumption.</w:t>
      </w:r>
      <w:r>
        <w:br/>
      </w:r>
      <w:r>
        <w:t xml:space="preserve">An aggregation rule that is simple, non-compensatory and minimises the rank reversal</w:t>
      </w:r>
      <w:r>
        <w:t xml:space="preserve"> </w:t>
      </w:r>
      <w:r>
        <w:t xml:space="preserve">phenomena is the Kemeny rule. Its basic idea is that the maximum likelihood ranking of</w:t>
      </w:r>
      <w:r>
        <w:t xml:space="preserve"> </w:t>
      </w:r>
      <w:r>
        <w:t xml:space="preserve">policy options is the ranking supported by the maximum number of criteria (or criterion</w:t>
      </w:r>
      <w:r>
        <w:t xml:space="preserve"> </w:t>
      </w:r>
      <w:r>
        <w:t xml:space="preserve">weights) for each pair-wise comparison, summed over all pairs of options considered.</w:t>
      </w:r>
      <w:r>
        <w:t xml:space="preserve"> </w:t>
      </w:r>
      <w:r>
        <w:t xml:space="preserve">There is agreement in the literature that the Kemeny method is “the correct method” for</w:t>
      </w:r>
      <w:r>
        <w:t xml:space="preserve"> </w:t>
      </w:r>
      <w:r>
        <w:t xml:space="preserve">ranking options, and that the only drawback of this aggregation method is the difficulty</w:t>
      </w:r>
      <w:r>
        <w:t xml:space="preserve"> </w:t>
      </w:r>
      <w:r>
        <w:t xml:space="preserve">in computing it when the number of options grows. A numerical algorithm solving this</w:t>
      </w:r>
      <w:r>
        <w:t xml:space="preserve"> </w:t>
      </w:r>
      <w:r>
        <w:t xml:space="preserve">computational drawback in an efficient way has been developed recently at JRC and has</w:t>
      </w:r>
      <w:r>
        <w:t xml:space="preserve"> </w:t>
      </w:r>
      <w:r>
        <w:t xml:space="preserve">been implemented in SOCRATES78.</w:t>
      </w:r>
      <w:r>
        <w:t xml:space="preserve"> </w:t>
      </w:r>
      <w:r>
        <w:t xml:space="preserve">Various authors have argued that the presence of qualitative information in evaluation</w:t>
      </w:r>
      <w:r>
        <w:t xml:space="preserve"> </w:t>
      </w:r>
      <w:r>
        <w:t xml:space="preserve">problems concerning socio-economic issues is a rule, rather than an exception. Thus</w:t>
      </w:r>
      <w:r>
        <w:t xml:space="preserve"> </w:t>
      </w:r>
      <w:r>
        <w:t xml:space="preserve">there is a clear need for methods that are able to take into account information of a</w:t>
      </w:r>
      <w:r>
        <w:t xml:space="preserve"> </w:t>
      </w:r>
      <w:r>
        <w:t xml:space="preserve">“mixed”</w:t>
      </w:r>
      <w:r>
        <w:t xml:space="preserve"> </w:t>
      </w:r>
      <w:r>
        <w:t xml:space="preserve">type (both qualitative and quantitative criterion scores). Moreover, ideally, this</w:t>
      </w:r>
      <w:r>
        <w:t xml:space="preserve"> </w:t>
      </w:r>
      <w:r>
        <w:t xml:space="preserve">information should be precise, certain, exhaustive and unequivocal. Nevertheless, in</w:t>
      </w:r>
      <w:r>
        <w:t xml:space="preserve"> </w:t>
      </w:r>
      <w:r>
        <w:t xml:space="preserve">reality, it is often necessary to use information which does not have those characteristics</w:t>
      </w:r>
      <w:r>
        <w:t xml:space="preserve"> </w:t>
      </w:r>
      <w:r>
        <w:t xml:space="preserve">so that one has to face the uncertainty of a stochastic and/or fuzzy nature present in the</w:t>
      </w:r>
      <w:r>
        <w:t xml:space="preserve"> </w:t>
      </w:r>
      <w:r>
        <w:t xml:space="preserve">data. Therefore, multi-criteria methods able to tackle consistently the widest types of</w:t>
      </w:r>
      <w:r>
        <w:t xml:space="preserve"> </w:t>
      </w:r>
      <w:r>
        <w:t xml:space="preserve">mixed information should be considered as desirable ones in the IA framework.</w:t>
      </w:r>
      <w:r>
        <w:t xml:space="preserve"> </w:t>
      </w:r>
      <w:r>
        <w:t xml:space="preserve">From a mathematical point of view, SOCRATES deals with two main issues:</w:t>
      </w:r>
    </w:p>
    <w:p>
      <w:pPr>
        <w:pStyle w:val="BodyText"/>
      </w:pPr>
      <w:r>
        <w:t xml:space="preserve">78 Azzini I. and Munda G. (2020) – A New Approach for Identifying the Kemeny Median Ranking,</w:t>
      </w:r>
      <w:r>
        <w:t xml:space="preserve"> </w:t>
      </w:r>
      <w:r>
        <w:t xml:space="preserve">European</w:t>
      </w:r>
      <w:r>
        <w:t xml:space="preserve"> </w:t>
      </w:r>
      <w:r>
        <w:t xml:space="preserve">Journal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Research,</w:t>
      </w:r>
      <w:r>
        <w:t xml:space="preserve"> </w:t>
      </w:r>
      <w:r>
        <w:t xml:space="preserve">Vol.</w:t>
      </w:r>
      <w:r>
        <w:t xml:space="preserve"> </w:t>
      </w:r>
      <w:r>
        <w:t xml:space="preserve">281,</w:t>
      </w:r>
      <w:r>
        <w:t xml:space="preserve"> </w:t>
      </w:r>
      <w:r>
        <w:t xml:space="preserve">pp. </w:t>
      </w:r>
      <w:r>
        <w:t xml:space="preserve"> </w:t>
      </w:r>
      <w:r>
        <w:t xml:space="preserve">388-401</w:t>
      </w:r>
      <w:r>
        <w:t xml:space="preserve"> </w:t>
      </w:r>
      <w:r>
        <w:t xml:space="preserve">https://doi.org/10.1016/j.ejor.2019.08.033.</w:t>
      </w:r>
    </w:p>
    <w:p>
      <w:pPr>
        <w:pStyle w:val="BodyText"/>
      </w:pPr>
      <w:r>
        <w:t xml:space="preserve">98</w:t>
      </w:r>
    </w:p>
    <w:p>
      <w:pPr>
        <w:pStyle w:val="Compact"/>
        <w:numPr>
          <w:ilvl w:val="0"/>
          <w:numId w:val="1002"/>
        </w:numPr>
      </w:pPr>
      <w:r>
        <w:t xml:space="preserve">The problem of equivalence of the procedures used in order to standardize the</w:t>
      </w:r>
      <w:r>
        <w:t xml:space="preserve"> </w:t>
      </w:r>
      <w:r>
        <w:t xml:space="preserve">mixed criterion scores;</w:t>
      </w:r>
    </w:p>
    <w:p>
      <w:pPr>
        <w:pStyle w:val="Compact"/>
        <w:numPr>
          <w:ilvl w:val="0"/>
          <w:numId w:val="1002"/>
        </w:numPr>
      </w:pPr>
      <w:r>
        <w:t xml:space="preserve">The problem of comparison of fuzzy numbers typical of all fuzzy multi-criteria</w:t>
      </w:r>
      <w:r>
        <w:t xml:space="preserve"> </w:t>
      </w:r>
      <w:r>
        <w:t xml:space="preserve">methods.</w:t>
      </w:r>
      <w:r>
        <w:t xml:space="preserve"> </w:t>
      </w:r>
      <w:r>
        <w:t xml:space="preserve">These two issues are dealt with a new semantic distance that is useful in the case of</w:t>
      </w:r>
      <w:r>
        <w:t xml:space="preserve"> </w:t>
      </w:r>
      <w:r>
        <w:t xml:space="preserve">continuous, convex membership functions also allowing a definite integration79.</w:t>
      </w:r>
      <w:r>
        <w:t xml:space="preserve"> </w:t>
      </w:r>
      <w:r>
        <w:t xml:space="preserve">Overall, the objective of SOCRATES is NOT substitution of policy-makers through a</w:t>
      </w:r>
      <w:r>
        <w:t xml:space="preserve"> </w:t>
      </w:r>
      <w:r>
        <w:t xml:space="preserve">mathematical model, on the contrary, the objective is to improve their understanding of</w:t>
      </w:r>
      <w:r>
        <w:t xml:space="preserve"> </w:t>
      </w:r>
      <w:r>
        <w:t xml:space="preserve">the main features of the problem at hand, such as key assumptions, degree of uncertainty,</w:t>
      </w:r>
      <w:r>
        <w:t xml:space="preserve"> </w:t>
      </w:r>
      <w:r>
        <w:t xml:space="preserve">robustness of results and overall technical and social defensibility of options chosen. The</w:t>
      </w:r>
      <w:r>
        <w:t xml:space="preserve"> </w:t>
      </w:r>
      <w:r>
        <w:t xml:space="preserve">philosopher Socrates said: “I cannot teach anybody anything. I can only make them</w:t>
      </w:r>
      <w:r>
        <w:t xml:space="preserve"> </w:t>
      </w:r>
      <w:r>
        <w:t xml:space="preserve">think.” This is the main inspiring principle of the SOCRATES software too.</w:t>
      </w:r>
      <w:r>
        <w:t xml:space="preserve"> </w:t>
      </w:r>
      <w:r>
        <w:t xml:space="preserve">The SOCRATES software offers a measurement framework where the various criterion</w:t>
      </w:r>
      <w:r>
        <w:t xml:space="preserve"> </w:t>
      </w:r>
      <w:r>
        <w:t xml:space="preserve">scores can assess impacts by using both quantitative (e.g. as result of simulation models)</w:t>
      </w:r>
      <w:r>
        <w:t xml:space="preserve"> </w:t>
      </w:r>
      <w:r>
        <w:t xml:space="preserve">and qualitative (e.g. results of participatory techniques) information, and the</w:t>
      </w:r>
      <w:r>
        <w:t xml:space="preserve"> </w:t>
      </w:r>
      <w:r>
        <w:t xml:space="preserve">mathematical aggregation rule guarantees consistency and transparency of results.</w:t>
      </w:r>
      <w:r>
        <w:t xml:space="preserve"> </w:t>
      </w:r>
      <w:r>
        <w:t xml:space="preserve">Three main components constitute the core of SOCRATES: multi-criteria, equity and</w:t>
      </w:r>
      <w:r>
        <w:t xml:space="preserve"> </w:t>
      </w:r>
      <w:r>
        <w:t xml:space="preserve">sensitivity analyses. Multi-criteria analysis requires the definition of relevant dimensions,</w:t>
      </w:r>
      <w:r>
        <w:t xml:space="preserve"> </w:t>
      </w:r>
      <w:r>
        <w:t xml:space="preserve">objectives and criteria. It uses weights as importance coefficients and clarify their role in</w:t>
      </w:r>
      <w:r>
        <w:t xml:space="preserve"> </w:t>
      </w:r>
      <w:r>
        <w:t xml:space="preserve">the hierarchical structure. The impact matrix may include quantitative (including also</w:t>
      </w:r>
      <w:r>
        <w:t xml:space="preserve"> </w:t>
      </w:r>
      <w:r>
        <w:t xml:space="preserve">stochastic and/or fuzzy uncertainty) and qualitative (ordinal and/or linguistic)</w:t>
      </w:r>
      <w:r>
        <w:t xml:space="preserve"> </w:t>
      </w:r>
      <w:r>
        <w:t xml:space="preserve">measurements of the performance of an alternative with respect to an evaluation</w:t>
      </w:r>
      <w:r>
        <w:t xml:space="preserve"> </w:t>
      </w:r>
      <w:r>
        <w:t xml:space="preserve">criterion. It supplies a ranking of the alternatives according to the set of evaluation</w:t>
      </w:r>
      <w:r>
        <w:t xml:space="preserve"> </w:t>
      </w:r>
      <w:r>
        <w:t xml:space="preserve">criteria (i.e. the technical compromise solution/s).</w:t>
      </w:r>
      <w:r>
        <w:br/>
      </w:r>
      <w:r>
        <w:t xml:space="preserve">By applying SOCRATES to the information contained in the impact matrix, the</w:t>
      </w:r>
      <w:r>
        <w:t xml:space="preserve"> </w:t>
      </w:r>
      <w:r>
        <w:t xml:space="preserve">following ranking, described in Figure A10-1 is obtained (under the assumption that all</w:t>
      </w:r>
      <w:r>
        <w:t xml:space="preserve"> </w:t>
      </w:r>
      <w:r>
        <w:t xml:space="preserve">criteria have the same weight, see Figure A10-2 ).</w:t>
      </w:r>
    </w:p>
    <w:p>
      <w:pPr>
        <w:pStyle w:val="FirstParagraph"/>
      </w:pPr>
      <w:r>
        <w:t xml:space="preserve">Figure A10-1. preferred option</w:t>
      </w:r>
      <w:r>
        <w:t xml:space="preserve"> </w:t>
      </w:r>
      <w:r>
        <w:t xml:space="preserve">The ranking is very clear: option PO2a+PO2b+PO2c+PO2d is the best choice followed</w:t>
      </w:r>
      <w:r>
        <w:t xml:space="preserve"> </w:t>
      </w:r>
      <w:r>
        <w:t xml:space="preserve">by option PO2a+PO2b+PO2d. The set composed by options PO2a+PO2c and PO2a is</w:t>
      </w:r>
      <w:r>
        <w:t xml:space="preserve"> </w:t>
      </w:r>
      <w:r>
        <w:t xml:space="preserve">the worst one.</w:t>
      </w:r>
    </w:p>
    <w:p>
      <w:pPr>
        <w:pStyle w:val="BodyText"/>
      </w:pPr>
      <w:r>
        <w:t xml:space="preserve">79 Munda G.– Intensity of Preference and related Uncertainty in Non-Compensatory Aggregation Rules,</w:t>
      </w:r>
      <w:r>
        <w:t xml:space="preserve"> </w:t>
      </w:r>
      <w:r>
        <w:t xml:space="preserve">Theory and Decision, Volume 73, Issue 4 (2012), Pages 649-669, DOI: 10.1007/s11238-012-9317-4.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Figure A10-2. Equal criterion weighting assumption</w:t>
      </w:r>
      <w:r>
        <w:t xml:space="preserve"> </w:t>
      </w:r>
      <w:r>
        <w:t xml:space="preserve">By assuming that all dimensions have the same weight (see Figure A10-3), the ranking</w:t>
      </w:r>
      <w:r>
        <w:t xml:space="preserve"> </w:t>
      </w:r>
      <w:r>
        <w:t xml:space="preserve">stays the same, thus both basic weighting schemes produce the same result. This result</w:t>
      </w:r>
      <w:r>
        <w:t xml:space="preserve"> </w:t>
      </w:r>
      <w:r>
        <w:t xml:space="preserve">robustness will be further checked by means of local and global sensitivity analyses.</w:t>
      </w:r>
    </w:p>
    <w:p>
      <w:pPr>
        <w:pStyle w:val="BodyText"/>
      </w:pPr>
      <w:r>
        <w:t xml:space="preserve">Figure A10-3. Equal dimension weighting assumption</w:t>
      </w:r>
      <w:r>
        <w:t xml:space="preserve"> </w:t>
      </w:r>
      <w:r>
        <w:t xml:space="preserve">More information can be obtained by checking the pairwise comparisons, which allow</w:t>
      </w:r>
      <w:r>
        <w:t xml:space="preserve"> </w:t>
      </w:r>
      <w:r>
        <w:t xml:space="preserve">one to be fully aware of the mutual weaknesses and strengths on each single evaluation</w:t>
      </w:r>
      <w:r>
        <w:t xml:space="preserve"> </w:t>
      </w:r>
      <w:r>
        <w:t xml:space="preserve">criterion. This information is summarised graphically in the following figure A10-4,</w:t>
      </w:r>
      <w:r>
        <w:t xml:space="preserve"> </w:t>
      </w:r>
      <w:r>
        <w:t xml:space="preserve">where the degrees of credibility that any option is preferred or indifferent with respect to</w:t>
      </w:r>
      <w:r>
        <w:t xml:space="preserve"> </w:t>
      </w:r>
      <w:r>
        <w:t xml:space="preserve">another one on each single criterion are illustrated. From this figure it is possible to</w:t>
      </w:r>
      <w:r>
        <w:t xml:space="preserve"> </w:t>
      </w:r>
      <w:r>
        <w:t xml:space="preserve">deduce that options PO2a+PO2b+PO2c+PO2d and PO2a+PO2b+PO2d are indifferent</w:t>
      </w:r>
      <w:r>
        <w:t xml:space="preserve"> </w:t>
      </w:r>
      <w:r>
        <w:t xml:space="preserve">on 5 criteria but 3 criteria show a clear preference towards PO2a+PO2b+PO2c+PO2d.</w:t>
      </w:r>
      <w:r>
        <w:t xml:space="preserve"> </w:t>
      </w:r>
      <w:r>
        <w:t xml:space="preserve">Overall from the pairwise comparison, it can be safely concluded that option</w:t>
      </w:r>
      <w:r>
        <w:t xml:space="preserve"> </w:t>
      </w:r>
      <w:r>
        <w:t xml:space="preserve">PO2a+PO2b+PO2c+PO2d is the preferred option.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Figure A10-4. Pairwise comparison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To further clarify the preference structure, it is advisable to perform a sensitivity analysis.</w:t>
      </w:r>
      <w:r>
        <w:t xml:space="preserve"> </w:t>
      </w:r>
      <w:r>
        <w:t xml:space="preserve">In the framework of SOCRATES, the objective of sensitivity analysis is to check if the</w:t>
      </w:r>
      <w:r>
        <w:t xml:space="preserve"> </w:t>
      </w:r>
      <w:r>
        <w:t xml:space="preserve">rankings provided are stable and to determine which of the input parameters influence</w:t>
      </w:r>
      <w:r>
        <w:t xml:space="preserve"> </w:t>
      </w:r>
      <w:r>
        <w:t xml:space="preserve">more the model output. Local sensitivity analysis looks at the sensitivity of results to a)</w:t>
      </w:r>
      <w:r>
        <w:t xml:space="preserve"> </w:t>
      </w:r>
      <w:r>
        <w:t xml:space="preserve">the exclusion/inclusion of different criteria and dimensions and b) dimensions and</w:t>
      </w:r>
      <w:r>
        <w:t xml:space="preserve"> </w:t>
      </w:r>
      <w:r>
        <w:t xml:space="preserve">criterion weights change. All parameters are changed one per time. Global sensitivity</w:t>
      </w:r>
      <w:r>
        <w:t xml:space="preserve"> </w:t>
      </w:r>
      <w:r>
        <w:t xml:space="preserve">analysis focuses on all the possible combinations of criterion weights; all parameters are</w:t>
      </w:r>
      <w:r>
        <w:t xml:space="preserve"> </w:t>
      </w:r>
      <w:r>
        <w:t xml:space="preserve">changed simultaneously. The whole information produced by local and global sensitivity</w:t>
      </w:r>
      <w:r>
        <w:t xml:space="preserve"> </w:t>
      </w:r>
      <w:r>
        <w:t xml:space="preserve">analyses is synthesised into simple graphics.</w:t>
      </w:r>
      <w:r>
        <w:t xml:space="preserve"> </w:t>
      </w:r>
      <w:r>
        <w:t xml:space="preserve">Let us then first look at the influence of the exclusion of the various criteria and</w:t>
      </w:r>
      <w:r>
        <w:t xml:space="preserve"> </w:t>
      </w:r>
      <w:r>
        <w:t xml:space="preserve">dimensions, first one criteria per time and second the subset of criteria belonging to one</w:t>
      </w:r>
      <w:r>
        <w:t xml:space="preserve"> </w:t>
      </w:r>
      <w:r>
        <w:t xml:space="preserve">dimension only (i.e. first one criterion per time is eliminated and the corresponding</w:t>
      </w:r>
      <w:r>
        <w:t xml:space="preserve"> </w:t>
      </w:r>
      <w:r>
        <w:t xml:space="preserve">ranking is obtained and second a whole dimension with all its criteria is eliminated and</w:t>
      </w:r>
      <w:r>
        <w:t xml:space="preserve"> </w:t>
      </w:r>
      <w:r>
        <w:t xml:space="preserve">the effect on the final ranking is checked).</w:t>
      </w:r>
      <w:r>
        <w:br/>
      </w:r>
      <w:r>
        <w:t xml:space="preserve">The results of this exercise are presented in the following Figure A10-5, where it is</w:t>
      </w:r>
      <w:r>
        <w:t xml:space="preserve"> </w:t>
      </w:r>
      <w:r>
        <w:t xml:space="preserve">indicated how many times each option is present in any rank position, and the percentage</w:t>
      </w:r>
      <w:r>
        <w:t xml:space="preserve"> </w:t>
      </w:r>
      <w:r>
        <w:t xml:space="preserve">each rank position is occupied by each single option. In this way, option</w:t>
      </w:r>
      <w:r>
        <w:t xml:space="preserve"> </w:t>
      </w:r>
      <w:r>
        <w:t xml:space="preserve">PO2a+PO2b+PO2c+PO2d appears as the most desirable one, in fact it occupies the first</w:t>
      </w:r>
      <w:r>
        <w:t xml:space="preserve"> </w:t>
      </w:r>
      <w:r>
        <w:t xml:space="preserve">position in the 92,8 per cent of all the rankings obtained.</w:t>
      </w:r>
    </w:p>
    <w:p>
      <w:pPr>
        <w:pStyle w:val="BodyText"/>
      </w:pPr>
      <w:r>
        <w:t xml:space="preserve">Figure A10-5: Dimensions – criteria summary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Finally, the robustness of results with respect to weights is particularly relevant. The</w:t>
      </w:r>
      <w:r>
        <w:t xml:space="preserve"> </w:t>
      </w:r>
      <w:r>
        <w:t xml:space="preserve">rankings according to the equal criterion and dimension weighting assumptions have</w:t>
      </w:r>
      <w:r>
        <w:t xml:space="preserve"> </w:t>
      </w:r>
      <w:r>
        <w:t xml:space="preserve">already been computed, and now the focus is set on what happens if all possible</w:t>
      </w:r>
      <w:r>
        <w:t xml:space="preserve"> </w:t>
      </w:r>
      <w:r>
        <w:t xml:space="preserve">combinations of criterion weights are considered. This exercise is carried out by means</w:t>
      </w:r>
      <w:r>
        <w:t xml:space="preserve"> </w:t>
      </w:r>
      <w:r>
        <w:t xml:space="preserve">of the global sensitivity analysis.</w:t>
      </w:r>
      <w:r>
        <w:t xml:space="preserve"> </w:t>
      </w:r>
      <w:r>
        <w:t xml:space="preserve">As one can see in figure A10-6, the results are very stable, in fact, whatever weight set is</w:t>
      </w:r>
      <w:r>
        <w:t xml:space="preserve"> </w:t>
      </w:r>
      <w:r>
        <w:t xml:space="preserve">used option PO2a+PO2b+PO2c+PO2d is the top one in the 97 per cent of all the</w:t>
      </w:r>
      <w:r>
        <w:t xml:space="preserve"> </w:t>
      </w:r>
      <w:r>
        <w:t xml:space="preserve">rankings obtained.</w:t>
      </w:r>
    </w:p>
    <w:p>
      <w:pPr>
        <w:pStyle w:val="BodyText"/>
      </w:pPr>
      <w:r>
        <w:t xml:space="preserve">Figure A10-6: Weights summary.</w:t>
      </w:r>
    </w:p>
    <w:p>
      <w:pPr>
        <w:pStyle w:val="BodyText"/>
      </w:pPr>
      <w:r>
        <w:t xml:space="preserve">103</w:t>
      </w:r>
    </w:p>
    <w:p>
      <w:pPr>
        <w:pStyle w:val="Compact"/>
        <w:numPr>
          <w:ilvl w:val="0"/>
          <w:numId w:val="1003"/>
        </w:numPr>
      </w:pPr>
      <w:r>
        <w:t xml:space="preserve">SECOND STEP: MULTI-CRITERIA ANALYSIS FOR A PREFERRED POLICY OPTION</w:t>
      </w:r>
      <w:r>
        <w:t xml:space="preserve"> </w:t>
      </w:r>
      <w:r>
        <w:t xml:space="preserve">COMBINING PO2F, PO3 AND PO4A</w:t>
      </w:r>
      <w:r>
        <w:t xml:space="preserve"> </w:t>
      </w:r>
      <w:r>
        <w:t xml:space="preserve">Criteria</w:t>
      </w:r>
      <w:r>
        <w:t xml:space="preserve"> </w:t>
      </w:r>
      <w:r>
        <w:t xml:space="preserve">PO2f</w:t>
      </w:r>
      <w:r>
        <w:t xml:space="preserve"> </w:t>
      </w:r>
      <w:r>
        <w:t xml:space="preserve">PO3 PO4a PO2f+PO3 PO2f+PO4a PO3+PO4a PO2f+PO3+PO4a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C1. Energy savings during the use</w:t>
      </w:r>
      <w:r>
        <w:t xml:space="preserve"> </w:t>
      </w:r>
      <w:r>
        <w:t xml:space="preserve">phase (Twh/year)</w:t>
      </w:r>
      <w:r>
        <w:t xml:space="preserve"> </w:t>
      </w:r>
      <w:r>
        <w:t xml:space="preserve">5,78</w:t>
      </w:r>
      <w:r>
        <w:t xml:space="preserve"> </w:t>
      </w:r>
      <w:r>
        <w:t xml:space="preserve">0,32</w:t>
      </w:r>
      <w:r>
        <w:t xml:space="preserve"> </w:t>
      </w:r>
      <w:r>
        <w:t xml:space="preserve">0,00</w:t>
      </w:r>
      <w:r>
        <w:t xml:space="preserve"> </w:t>
      </w:r>
      <w:r>
        <w:t xml:space="preserve">6,21</w:t>
      </w:r>
      <w:r>
        <w:t xml:space="preserve"> </w:t>
      </w:r>
      <w:r>
        <w:t xml:space="preserve">5,79</w:t>
      </w:r>
      <w:r>
        <w:t xml:space="preserve"> </w:t>
      </w:r>
      <w:r>
        <w:t xml:space="preserve">0,32</w:t>
      </w:r>
      <w:r>
        <w:t xml:space="preserve"> </w:t>
      </w:r>
      <w:r>
        <w:t xml:space="preserve">6,21</w:t>
      </w:r>
      <w:r>
        <w:t xml:space="preserve"> </w:t>
      </w:r>
      <w:r>
        <w:t xml:space="preserve">C2. Reduction of embedded</w:t>
      </w:r>
      <w:r>
        <w:t xml:space="preserve"> </w:t>
      </w:r>
      <w:r>
        <w:t xml:space="preserve">energy consumption (production,</w:t>
      </w:r>
      <w:r>
        <w:t xml:space="preserve"> </w:t>
      </w:r>
      <w:r>
        <w:t xml:space="preserve">distribution and EoL) (Twh/year)</w:t>
      </w:r>
      <w:r>
        <w:t xml:space="preserve"> </w:t>
      </w: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≈ 0</w:t>
      </w:r>
      <w:r>
        <w:t xml:space="preserve"> </w:t>
      </w:r>
      <w:r>
        <w:t xml:space="preserve">0,00</w:t>
      </w:r>
      <w:r>
        <w:t xml:space="preserve"> </w:t>
      </w:r>
      <w:r>
        <w:t xml:space="preserve">≈ 0</w:t>
      </w:r>
      <w:r>
        <w:t xml:space="preserve"> </w:t>
      </w:r>
      <w:r>
        <w:t xml:space="preserve">≈ 0</w:t>
      </w:r>
      <w:r>
        <w:t xml:space="preserve"> </w:t>
      </w:r>
      <w:r>
        <w:t xml:space="preserve">≈ 0</w:t>
      </w:r>
      <w:r>
        <w:t xml:space="preserve"> </w:t>
      </w:r>
      <w:r>
        <w:t xml:space="preserve">Efficiency</w:t>
      </w:r>
      <w:r>
        <w:t xml:space="preserve"> </w:t>
      </w:r>
      <w:r>
        <w:t xml:space="preserve">C3. Increase of business turnover</w:t>
      </w:r>
      <w:r>
        <w:t xml:space="preserve"> </w:t>
      </w:r>
      <w:r>
        <w:t xml:space="preserve">(M€/year)</w:t>
      </w:r>
      <w:r>
        <w:t xml:space="preserve"> </w:t>
      </w:r>
      <w:r>
        <w:t xml:space="preserve">382,38 18,60</w:t>
      </w:r>
    </w:p>
    <w:p>
      <w:pPr>
        <w:pStyle w:val="Compact"/>
        <w:numPr>
          <w:ilvl w:val="0"/>
          <w:numId w:val="1004"/>
        </w:numPr>
      </w:pPr>
      <w:r>
        <w:t xml:space="preserve">177,38</w:t>
      </w:r>
      <w:r>
        <w:t xml:space="preserve"> </w:t>
      </w:r>
      <w:r>
        <w:t xml:space="preserve">408,50</w:t>
      </w:r>
      <w:r>
        <w:t xml:space="preserve"> </w:t>
      </w:r>
      <w:r>
        <w:t xml:space="preserve">148,99</w:t>
      </w:r>
      <w:r>
        <w:t xml:space="preserve"> </w:t>
      </w:r>
      <w:r>
        <w:t xml:space="preserve">-158,78</w:t>
      </w:r>
      <w:r>
        <w:t xml:space="preserve"> </w:t>
      </w:r>
      <w:r>
        <w:t xml:space="preserve">173,92</w:t>
      </w:r>
      <w:r>
        <w:t xml:space="preserve"> </w:t>
      </w:r>
      <w:r>
        <w:t xml:space="preserve">C4. Consumer savings (M€/year)</w:t>
      </w:r>
      <w:r>
        <w:t xml:space="preserve"> </w:t>
      </w:r>
      <w:r>
        <w:t xml:space="preserve">998,91 58,20 18,46 1.074,72</w:t>
      </w:r>
      <w:r>
        <w:t xml:space="preserve"> </w:t>
      </w:r>
      <w:r>
        <w:t xml:space="preserve">1.023,28</w:t>
      </w:r>
      <w:r>
        <w:t xml:space="preserve"> </w:t>
      </w:r>
      <w:r>
        <w:t xml:space="preserve">76,66</w:t>
      </w:r>
      <w:r>
        <w:t xml:space="preserve"> </w:t>
      </w:r>
      <w:r>
        <w:t xml:space="preserve">1.099,21</w:t>
      </w:r>
      <w:r>
        <w:t xml:space="preserve"> </w:t>
      </w:r>
      <w:r>
        <w:t xml:space="preserve">C5. Administrative costs</w:t>
      </w:r>
      <w:r>
        <w:br/>
      </w:r>
    </w:p>
    <w:p>
      <w:pPr>
        <w:pStyle w:val="Heading1"/>
        <w:numPr>
          <w:ilvl w:val="0"/>
          <w:numId w:val="1004"/>
        </w:numPr>
      </w:pPr>
      <w:bookmarkStart w:id="10" w:name="section-2"/>
      <w:r>
        <w:t xml:space="preserve">=</w:t>
      </w:r>
      <w:bookmarkEnd w:id="10"/>
    </w:p>
    <w:p>
      <w:pPr>
        <w:pStyle w:val="Compact"/>
        <w:numPr>
          <w:ilvl w:val="0"/>
          <w:numId w:val="1004"/>
        </w:numPr>
      </w:pPr>
      <w:r>
        <w:t xml:space="preserve">=</w:t>
      </w:r>
    </w:p>
    <w:p>
      <w:pPr>
        <w:pStyle w:val="Compact"/>
        <w:numPr>
          <w:ilvl w:val="0"/>
          <w:numId w:val="1004"/>
        </w:numPr>
      </w:pPr>
      <w:r>
        <w:t xml:space="preserve">Coherence</w:t>
      </w:r>
      <w:r>
        <w:t xml:space="preserve"> </w:t>
      </w:r>
      <w:r>
        <w:t xml:space="preserve">C6. Harmonisation with other EU</w:t>
      </w:r>
      <w:r>
        <w:t xml:space="preserve"> </w:t>
      </w:r>
      <w:r>
        <w:t xml:space="preserve">legislation /standards</w:t>
      </w:r>
    </w:p>
    <w:p>
      <w:pPr>
        <w:pStyle w:val="Compact"/>
        <w:numPr>
          <w:ilvl w:val="0"/>
          <w:numId w:val="1004"/>
        </w:numPr>
      </w:pPr>
      <w:r>
        <w:t xml:space="preserve">++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04"/>
        </w:numPr>
      </w:pPr>
      <w:r>
        <w:t xml:space="preserve">++</w:t>
      </w:r>
      <w:r>
        <w:t xml:space="preserve"> </w:t>
      </w:r>
      <w:r>
        <w:t xml:space="preserve">C7. Reduction of legal</w:t>
      </w:r>
      <w:r>
        <w:t xml:space="preserve"> </w:t>
      </w:r>
      <w:r>
        <w:t xml:space="preserve">loopholes/reduction of regulatory</w:t>
      </w:r>
      <w:r>
        <w:t xml:space="preserve"> </w:t>
      </w:r>
      <w:r>
        <w:t xml:space="preserve">confusion</w:t>
      </w:r>
      <w:r>
        <w:br/>
      </w:r>
    </w:p>
    <w:p>
      <w:pPr>
        <w:pStyle w:val="Heading1"/>
        <w:numPr>
          <w:ilvl w:val="0"/>
          <w:numId w:val="1004"/>
        </w:numPr>
      </w:pPr>
      <w:bookmarkStart w:id="11" w:name="section-3"/>
      <w:r>
        <w:t xml:space="preserve">=</w:t>
      </w:r>
      <w:bookmarkEnd w:id="11"/>
    </w:p>
    <w:p>
      <w:pPr>
        <w:pStyle w:val="Compact"/>
        <w:numPr>
          <w:ilvl w:val="0"/>
          <w:numId w:val="1004"/>
        </w:numPr>
      </w:pPr>
      <w:r>
        <w:t xml:space="preserve">=</w:t>
      </w:r>
    </w:p>
    <w:p>
      <w:pPr>
        <w:pStyle w:val="Compact"/>
        <w:numPr>
          <w:ilvl w:val="0"/>
          <w:numId w:val="1004"/>
        </w:numPr>
      </w:pPr>
      <w:r>
        <w:t xml:space="preserve">C8. Level of stakeholders support</w:t>
      </w:r>
    </w:p>
    <w:p>
      <w:pPr>
        <w:pStyle w:val="Compact"/>
        <w:numPr>
          <w:ilvl w:val="0"/>
          <w:numId w:val="1004"/>
        </w:numPr>
      </w:pPr>
      <w:r>
        <w:t xml:space="preserve">Table A10-2. Impact matrix of the options obtained by combining PO2f, PO3 and PO4f</w:t>
      </w:r>
      <w:r>
        <w:t xml:space="preserve"> </w:t>
      </w:r>
      <w:r>
        <w:t xml:space="preserve">By assuming that all dimensions have the same weight the ranking sets option</w:t>
      </w:r>
      <w:r>
        <w:t xml:space="preserve"> </w:t>
      </w:r>
      <w:r>
        <w:t xml:space="preserve">PO2f+PO3+PO4f as the best choice followed by option PO2f+PO3 (see figure A10-7).</w:t>
      </w:r>
    </w:p>
    <w:p>
      <w:pPr>
        <w:pStyle w:val="FirstParagraph"/>
      </w:pPr>
      <w:r>
        <w:t xml:space="preserve">Figure A10-7. Preferred option under equal dimension weighting assumption</w:t>
      </w:r>
      <w:r>
        <w:t xml:space="preserve"> </w:t>
      </w:r>
      <w:r>
        <w:t xml:space="preserve">By applying SOCRATES under the assumption that all criteria have the same weight, the</w:t>
      </w:r>
      <w:r>
        <w:t xml:space="preserve"> </w:t>
      </w:r>
      <w:r>
        <w:t xml:space="preserve">rankings show that both PO2f+PO3+PO4f and PO2f+PO3 can be top options (see</w:t>
      </w:r>
      <w:r>
        <w:t xml:space="preserve"> </w:t>
      </w:r>
      <w:r>
        <w:t xml:space="preserve">Figures A10-8 and A10-9).</w:t>
      </w:r>
    </w:p>
    <w:p>
      <w:pPr>
        <w:pStyle w:val="BodyText"/>
      </w:pPr>
      <w:r>
        <w:t xml:space="preserve">Figure A10-8. Preferred option under equal criterion weighting assumption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Figure A10-9. Pairwise comparison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Given this equality, the analysis of the influence of dimensions/criteria more in depth by</w:t>
      </w:r>
      <w:r>
        <w:t xml:space="preserve"> </w:t>
      </w:r>
      <w:r>
        <w:t xml:space="preserve">means of sensitivity analysis becomes particularly important.</w:t>
      </w:r>
      <w:r>
        <w:t xml:space="preserve"> </w:t>
      </w:r>
      <w:r>
        <w:t xml:space="preserve">Let us then first look at the influence of the exclusion of the various criteria and</w:t>
      </w:r>
      <w:r>
        <w:t xml:space="preserve"> </w:t>
      </w:r>
      <w:r>
        <w:t xml:space="preserve">dimensions, first one criteria per time and second the subset of criteria belonging to one</w:t>
      </w:r>
      <w:r>
        <w:t xml:space="preserve"> </w:t>
      </w:r>
      <w:r>
        <w:t xml:space="preserve">dimension only. The results of this exercise are presented in the following Figure A10-</w:t>
      </w:r>
      <w:r>
        <w:t xml:space="preserve"> </w:t>
      </w:r>
      <w:r>
        <w:t xml:space="preserve">10. PO2f+PO3+PO4f is the preferred option, in fact, it occupies the first position in the</w:t>
      </w:r>
      <w:r>
        <w:t xml:space="preserve"> </w:t>
      </w:r>
      <w:r>
        <w:t xml:space="preserve">93 per cent of all the rankings obtained. The preference towards PO2f+PO3+PO4f is</w:t>
      </w:r>
      <w:r>
        <w:t xml:space="preserve"> </w:t>
      </w:r>
      <w:r>
        <w:t xml:space="preserve">even clearer and more robust when exploring the weighting space of dimensions, in fact</w:t>
      </w:r>
      <w:r>
        <w:t xml:space="preserve"> </w:t>
      </w:r>
      <w:r>
        <w:t xml:space="preserve">whatever weight is attached to any of the dimensions, PO2f+PO3+PO4f is always ranked</w:t>
      </w:r>
      <w:r>
        <w:t xml:space="preserve"> </w:t>
      </w:r>
      <w:r>
        <w:t xml:space="preserve">first (see Figure A10-11). This result is corroborated by exploring the criterion weights</w:t>
      </w:r>
      <w:r>
        <w:t xml:space="preserve"> </w:t>
      </w:r>
      <w:r>
        <w:t xml:space="preserve">too by local sensitivity analysis (see Figure A10-12). In this case, weights are changed to</w:t>
      </w:r>
      <w:r>
        <w:t xml:space="preserve"> </w:t>
      </w:r>
      <w:r>
        <w:t xml:space="preserve">one criterion per time till a maximum of 50 per cent of the total importance; 88 per cent</w:t>
      </w:r>
      <w:r>
        <w:t xml:space="preserve"> </w:t>
      </w:r>
      <w:r>
        <w:t xml:space="preserve">of cases is in fact in favour of option PO2f+PO3+PO4f . It is finally checked the effect</w:t>
      </w:r>
      <w:r>
        <w:t xml:space="preserve"> </w:t>
      </w:r>
      <w:r>
        <w:t xml:space="preserve">of changing weights for all criteria by means of the global sensitivity analysis, where all</w:t>
      </w:r>
      <w:r>
        <w:t xml:space="preserve"> </w:t>
      </w:r>
      <w:r>
        <w:t xml:space="preserve">weights are changed at the same time and extreme cases are considered too (e.g. the case</w:t>
      </w:r>
      <w:r>
        <w:t xml:space="preserve"> </w:t>
      </w:r>
      <w:r>
        <w:t xml:space="preserve">where only one criterion has the 100 per cent of importance). As shown in Figure A10-13</w:t>
      </w:r>
      <w:r>
        <w:t xml:space="preserve"> </w:t>
      </w:r>
      <w:r>
        <w:t xml:space="preserve">the results indicate that options PO2f+PO3+PO4f and PO2f+PO3 are closer, but still</w:t>
      </w:r>
      <w:r>
        <w:t xml:space="preserve"> </w:t>
      </w:r>
      <w:r>
        <w:t xml:space="preserve">option PO2f+PO3+PO4f is slightly better than PO2f+PO3 (it is the top option in the 54</w:t>
      </w:r>
      <w:r>
        <w:t xml:space="preserve"> </w:t>
      </w:r>
      <w:r>
        <w:t xml:space="preserve">per cent of all the rankings obtained). In summary, it can be concluded that by</w:t>
      </w:r>
      <w:r>
        <w:t xml:space="preserve"> </w:t>
      </w:r>
      <w:r>
        <w:t xml:space="preserve">considering its overall performance, option PO2f+PO3+PO4f is the best candidate to be</w:t>
      </w:r>
      <w:r>
        <w:t xml:space="preserve"> </w:t>
      </w:r>
      <w:r>
        <w:t xml:space="preserve">the preferred option.</w:t>
      </w:r>
    </w:p>
    <w:p>
      <w:pPr>
        <w:pStyle w:val="BodyText"/>
      </w:pPr>
      <w:r>
        <w:t xml:space="preserve">Figure A10-10: Dimensions – criteria summary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Figure A10-11. Dimension weights summary</w:t>
      </w:r>
    </w:p>
    <w:p>
      <w:pPr>
        <w:pStyle w:val="BodyText"/>
      </w:pPr>
      <w:r>
        <w:t xml:space="preserve">Figure A10-12. Criteria weights summary (local sensitivity analysis)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Figure A10-13. Criteria weights summary (global sensitivity analysis)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ANNEX 11: THE ECODESIGN</w:t>
      </w:r>
      <w:r>
        <w:t xml:space="preserve"> </w:t>
      </w:r>
      <w:r>
        <w:t xml:space="preserve">AND ENERGY LABELLING</w:t>
      </w:r>
      <w:r>
        <w:t xml:space="preserve"> </w:t>
      </w:r>
      <w:r>
        <w:t xml:space="preserve">FRAMEWORK</w:t>
      </w:r>
      <w:r>
        <w:t xml:space="preserve"> </w:t>
      </w:r>
      <w:r>
        <w:t xml:space="preserve">The Ecodesign Framework Directive and Energy Labelling Framework Regulation are</w:t>
      </w:r>
      <w:r>
        <w:t xml:space="preserve"> </w:t>
      </w:r>
      <w:r>
        <w:t xml:space="preserve">framework rules, establishing conditions for laying down product-specific requirements</w:t>
      </w:r>
      <w:r>
        <w:t xml:space="preserve"> </w:t>
      </w:r>
      <w:r>
        <w:t xml:space="preserve">in regulations adopted by the Commission. The Commission’s role in the implementation</w:t>
      </w:r>
      <w:r>
        <w:t xml:space="preserve"> </w:t>
      </w:r>
      <w:r>
        <w:t xml:space="preserve">of delegated and implementing acts is to ensure a maximum of transparency and</w:t>
      </w:r>
      <w:r>
        <w:t xml:space="preserve"> </w:t>
      </w:r>
      <w:r>
        <w:t xml:space="preserve">stakeholder participation in presenting a proposal, based on generally accepted data and</w:t>
      </w:r>
      <w:r>
        <w:t xml:space="preserve"> </w:t>
      </w:r>
      <w:r>
        <w:t xml:space="preserve">information, to the European Parliament and Council for scrutiny. Figure gives an</w:t>
      </w:r>
      <w:r>
        <w:t xml:space="preserve"> </w:t>
      </w:r>
      <w:r>
        <w:t xml:space="preserve">overview of the procedures leading to a voluntary agreement, Ecodesign requirements or</w:t>
      </w:r>
      <w:r>
        <w:t xml:space="preserve"> </w:t>
      </w:r>
      <w:r>
        <w:t xml:space="preserve">an Energy label.</w:t>
      </w:r>
    </w:p>
    <w:p>
      <w:pPr>
        <w:pStyle w:val="BodyText"/>
      </w:pPr>
      <w:r>
        <w:t xml:space="preserve">Figure A11-1. Overview of the three processes</w:t>
      </w:r>
      <w:r>
        <w:t xml:space="preserve"> </w:t>
      </w:r>
      <w:r>
        <w:t xml:space="preserve">Ecodesign and Energy labelling are complementary. Ecodesign implementing measures</w:t>
      </w:r>
      <w:r>
        <w:t xml:space="preserve"> </w:t>
      </w:r>
      <w:r>
        <w:t xml:space="preserve">lay down minimum energy efficiency requirements for a product group and therefore ban</w:t>
      </w:r>
      <w:r>
        <w:t xml:space="preserve"> </w:t>
      </w:r>
      <w:r>
        <w:t xml:space="preserve">worse performing products. In contrast, energy labelling provides objective comparable</w:t>
      </w:r>
      <w:r>
        <w:t xml:space="preserve"> </w:t>
      </w:r>
      <w:r>
        <w:t xml:space="preserve">information to enable consumers to choose better performing products through</w:t>
      </w:r>
      <w:r>
        <w:t xml:space="preserve"> </w:t>
      </w:r>
      <w:r>
        <w:t xml:space="preserve">mandatory rating. In view of the complementarity, energy labelling delegated acts are</w:t>
      </w:r>
      <w:r>
        <w:t xml:space="preserve"> </w:t>
      </w:r>
      <w:r>
        <w:t xml:space="preserve">usually adopted in parallel with Ecodesign implementing acts to ensure coherence</w:t>
      </w:r>
      <w:r>
        <w:t xml:space="preserve"> </w:t>
      </w:r>
      <w:r>
        <w:t xml:space="preserve">between the measures.</w:t>
      </w:r>
      <w:r>
        <w:t xml:space="preserve"> </w:t>
      </w:r>
      <w:r>
        <w:t xml:space="preserve">The process</w:t>
      </w:r>
      <w:r>
        <w:t xml:space="preserve"> </w:t>
      </w:r>
      <w:r>
        <w:t xml:space="preserve">The process starts with establishing the priorities for Union action in this area. Priority</w:t>
      </w:r>
      <w:r>
        <w:t xml:space="preserve"> </w:t>
      </w:r>
      <w:r>
        <w:t xml:space="preserve">product groups are selected based on their potential for cost-effective reduction of energy</w:t>
      </w:r>
      <w:r>
        <w:t xml:space="preserve"> </w:t>
      </w:r>
      <w:r>
        <w:t xml:space="preserve">use and greenhouse gas emissions and follows a transparent process culminating in a</w:t>
      </w:r>
      <w:r>
        <w:t xml:space="preserve"> </w:t>
      </w:r>
      <w:r>
        <w:t xml:space="preserve">working plan that outlines the priorities for the development of implementing measures</w:t>
      </w:r>
      <w:r>
        <w:t xml:space="preserve"> </w:t>
      </w:r>
      <w:r>
        <w:t xml:space="preserve">for the next years. Working plans are adopted by the Commission after consultation of</w:t>
      </w:r>
      <w:r>
        <w:t xml:space="preserve"> </w:t>
      </w:r>
      <w:r>
        <w:t xml:space="preserve">the Ecodesign and Energy labelling Consultation Forum. The forum brings together</w:t>
      </w:r>
      <w:r>
        <w:t xml:space="preserve"> </w:t>
      </w:r>
      <w:r>
        <w:t xml:space="preserve">representatives of Member States and relevant stakeholders.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The Ecodesign Working Plan 2016-2019 identified Local Space Heaters as a priority. A</w:t>
      </w:r>
      <w:r>
        <w:t xml:space="preserve"> </w:t>
      </w:r>
      <w:r>
        <w:t xml:space="preserve">new Ecodesign and Energy labelling Working plan 2022-24 has now been adopted and</w:t>
      </w:r>
      <w:r>
        <w:t xml:space="preserve"> </w:t>
      </w:r>
      <w:r>
        <w:t xml:space="preserve">retains this product.</w:t>
      </w:r>
      <w:r>
        <w:br/>
      </w:r>
      <w:r>
        <w:t xml:space="preserve">Once the product group has been selected, a preparatory study is undertaken by an</w:t>
      </w:r>
      <w:r>
        <w:t xml:space="preserve"> </w:t>
      </w:r>
      <w:r>
        <w:t xml:space="preserve">independent consultant, also involving extensive technical discussions with interested</w:t>
      </w:r>
      <w:r>
        <w:t xml:space="preserve"> </w:t>
      </w:r>
      <w:r>
        <w:t xml:space="preserve">stakeholders. The preparatory study follows the standard Methodology for the Ecodesign</w:t>
      </w:r>
      <w:r>
        <w:t xml:space="preserve"> </w:t>
      </w:r>
      <w:r>
        <w:t xml:space="preserve">of Energy Related Products (MEErP). Subsequently, the Commission’s first drafts of</w:t>
      </w:r>
      <w:r>
        <w:t xml:space="preserve"> </w:t>
      </w:r>
      <w:r>
        <w:t xml:space="preserve">Ecodesign and energy labelling measures are submitted for discussion to the</w:t>
      </w:r>
      <w:r>
        <w:t xml:space="preserve"> </w:t>
      </w:r>
      <w:r>
        <w:t xml:space="preserve">Consultation Forum.</w:t>
      </w:r>
      <w:r>
        <w:t xml:space="preserve"> </w:t>
      </w:r>
      <w:r>
        <w:t xml:space="preserve">After the Consultation Forum, the Commission drafts an impact assessment, which after</w:t>
      </w:r>
      <w:r>
        <w:t xml:space="preserve"> </w:t>
      </w:r>
      <w:r>
        <w:t xml:space="preserve">RSB approval accompanies the draft implementing measures in the Commission’s inter-</w:t>
      </w:r>
      <w:r>
        <w:t xml:space="preserve"> </w:t>
      </w:r>
      <w:r>
        <w:t xml:space="preserve">service consultation. In this and subsequent steps, the Parliament’s functional mailboxes</w:t>
      </w:r>
      <w:r>
        <w:t xml:space="preserve"> </w:t>
      </w:r>
      <w:r>
        <w:t xml:space="preserve">for delegated/implementing acts are copied on each message from the Commission</w:t>
      </w:r>
      <w:r>
        <w:t xml:space="preserve"> </w:t>
      </w:r>
      <w:r>
        <w:t xml:space="preserve">services. After the inter-service consultation, stakeholders are alerted when the draft</w:t>
      </w:r>
      <w:r>
        <w:t xml:space="preserve"> </w:t>
      </w:r>
      <w:r>
        <w:t xml:space="preserve">measures are published in the WTO notification database.</w:t>
      </w:r>
      <w:r>
        <w:t xml:space="preserve"> </w:t>
      </w:r>
      <w:r>
        <w:t xml:space="preserve">After the WTO notification phase is completed, the two procedures follow different</w:t>
      </w:r>
      <w:r>
        <w:t xml:space="preserve"> </w:t>
      </w:r>
      <w:r>
        <w:t xml:space="preserve">paths. The draft energy labelling delegated act is discussed in a Member States Expert</w:t>
      </w:r>
      <w:r>
        <w:t xml:space="preserve"> </w:t>
      </w:r>
      <w:r>
        <w:t xml:space="preserve">Group where opinion(s) are expressed and consensus is sought but no vote is taken. The</w:t>
      </w:r>
      <w:r>
        <w:t xml:space="preserve"> </w:t>
      </w:r>
      <w:r>
        <w:t xml:space="preserve">draft Ecodesign measure is submitted for vote to the Regulatory Committee.</w:t>
      </w:r>
      <w:r>
        <w:t xml:space="preserve"> </w:t>
      </w:r>
      <w:r>
        <w:t xml:space="preserve">The European Parliament and Council have the right of scrutiny for a period of up to four</w:t>
      </w:r>
      <w:r>
        <w:t xml:space="preserve"> </w:t>
      </w:r>
      <w:r>
        <w:t xml:space="preserve">months. Within this time, the co-legislators can block the adoption process by the</w:t>
      </w:r>
      <w:r>
        <w:t xml:space="preserve"> </w:t>
      </w:r>
      <w:r>
        <w:t xml:space="preserve">Commission. Parliament committees sometimes discuss draft objections to measures</w:t>
      </w:r>
      <w:r>
        <w:t xml:space="preserve"> </w:t>
      </w:r>
      <w:r>
        <w:t xml:space="preserve">(light bulbs and fridges in 2009) or vote to reject a measure (vacuum cleaners in 201380).</w:t>
      </w:r>
      <w:r>
        <w:t xml:space="preserve"> </w:t>
      </w:r>
      <w:r>
        <w:t xml:space="preserve">On one occasion, an objection was adopted in plenary, blocking the measure for</w:t>
      </w:r>
      <w:r>
        <w:t xml:space="preserve"> </w:t>
      </w:r>
      <w:r>
        <w:t xml:space="preserve">televisions in 200981.</w:t>
      </w:r>
      <w:r>
        <w:br/>
      </w:r>
      <w:r>
        <w:t xml:space="preserve">Today, 29 Ecodesign Regulations, 14 Energy Labelling Regulations, 3 voluntary</w:t>
      </w:r>
      <w:r>
        <w:t xml:space="preserve"> </w:t>
      </w:r>
      <w:r>
        <w:t xml:space="preserve">agreements and 2 tyre labelling regulations have been implemented. An overview of the</w:t>
      </w:r>
      <w:r>
        <w:t xml:space="preserve"> </w:t>
      </w:r>
      <w:r>
        <w:t xml:space="preserve">measures in force in March 2022 is available on the Europa website.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The Market Surveillance Regulation82 establishes the rules on Union market surveillance</w:t>
      </w:r>
      <w:r>
        <w:t xml:space="preserve"> </w:t>
      </w:r>
      <w:r>
        <w:t xml:space="preserve">and control of products entering the Union market. Market Surveillance Authorities</w:t>
      </w:r>
      <w:r>
        <w:t xml:space="preserve"> </w:t>
      </w:r>
      <w:r>
        <w:t xml:space="preserve">(MSAs), designated by Member States, will verify the conformity of the products with</w:t>
      </w:r>
      <w:r>
        <w:t xml:space="preserve"> </w:t>
      </w:r>
      <w:r>
        <w:t xml:space="preserve">the requirements laid down in the implementing measures and delegated acts. Checks can</w:t>
      </w:r>
      <w:r>
        <w:t xml:space="preserve"> </w:t>
      </w:r>
      <w:r>
        <w:t xml:space="preserve">be done on the product itself or by verifying the technical documentation.</w:t>
      </w:r>
      <w:r>
        <w:br/>
      </w:r>
      <w:r>
        <w:t xml:space="preserve">Revision of the Ecodesign framework</w:t>
      </w:r>
      <w:r>
        <w:t xml:space="preserve"> </w:t>
      </w:r>
      <w:r>
        <w:t xml:space="preserve">In March 2022 the Commission has proposed to amend the Ecodesign legislation by</w:t>
      </w:r>
      <w:r>
        <w:t xml:space="preserve"> </w:t>
      </w:r>
      <w:r>
        <w:t xml:space="preserve">replacing it with a Regulation. The main effects of the proposed changes would be to</w:t>
      </w:r>
    </w:p>
    <w:p>
      <w:pPr>
        <w:pStyle w:val="BodyText"/>
      </w:pPr>
      <w:r>
        <w:t xml:space="preserve">80 This objection was defeated in ENVI committee by 43 votes against and 4 in favour.</w:t>
      </w:r>
      <w:r>
        <w:t xml:space="preserve"> </w:t>
      </w:r>
      <w:r>
        <w:t xml:space="preserve">81 The motivation of the objection was that the EP wanted to delay the discussion of the draft labelling</w:t>
      </w:r>
      <w:r>
        <w:t xml:space="preserve"> </w:t>
      </w:r>
      <w:r>
        <w:t xml:space="preserve">measure so that it would have to become a delegated act under the recast post-Lisbon Energy Labelling</w:t>
      </w:r>
      <w:r>
        <w:t xml:space="preserve"> </w:t>
      </w:r>
      <w:r>
        <w:t xml:space="preserve">Directive in 2010. The measure was subsequently adopted as a delegated act.</w:t>
      </w:r>
      <w:r>
        <w:t xml:space="preserve"> </w:t>
      </w:r>
      <w:r>
        <w:t xml:space="preserve">82 Regulation (EC) No 765/2008 of the European Parliament and of the Council of 9 July 2008 setting out</w:t>
      </w:r>
      <w:r>
        <w:t xml:space="preserve"> </w:t>
      </w:r>
      <w:r>
        <w:t xml:space="preserve">the requirements for accreditation and market surveillance relating to the marketing of products and</w:t>
      </w:r>
      <w:r>
        <w:t xml:space="preserve"> </w:t>
      </w:r>
      <w:r>
        <w:t xml:space="preserve">repealing Regulation (EEC) No 339/93 OJ L 218, 13.8.2008, p. 30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extend the type of products within the scope of the legislation, new potential</w:t>
      </w:r>
      <w:r>
        <w:t xml:space="preserve"> </w:t>
      </w:r>
      <w:r>
        <w:t xml:space="preserve">requirements such as the possibility to introduce requirements that would apply to</w:t>
      </w:r>
      <w:r>
        <w:t xml:space="preserve"> </w:t>
      </w:r>
      <w:r>
        <w:t xml:space="preserve">multiple product groups, Digital Product Passports, requirements for green public</w:t>
      </w:r>
      <w:r>
        <w:t xml:space="preserve"> </w:t>
      </w:r>
      <w:r>
        <w:t xml:space="preserve">procurement and requirements relating to the destruction of unsold goods.</w:t>
      </w:r>
      <w:r>
        <w:br/>
      </w:r>
      <w:r>
        <w:t xml:space="preserve">Ecodesign product regulations adopted under the existing Directive would continue in</w:t>
      </w:r>
      <w:r>
        <w:t xml:space="preserve"> </w:t>
      </w:r>
      <w:r>
        <w:t xml:space="preserve">force until repealed. Under the proposed new Regulation, product specific measures</w:t>
      </w:r>
      <w:r>
        <w:t xml:space="preserve"> </w:t>
      </w:r>
      <w:r>
        <w:t xml:space="preserve">would continue to be carried out under secondary legislation. This proposal is now</w:t>
      </w:r>
      <w:r>
        <w:t xml:space="preserve"> </w:t>
      </w:r>
      <w:r>
        <w:t xml:space="preserve">undergoing the normal legislative procedure. When the legislation is eventually adopted</w:t>
      </w:r>
      <w:r>
        <w:t xml:space="preserve"> </w:t>
      </w:r>
      <w:r>
        <w:t xml:space="preserve">the future amendments to existing product regulations would be carried out under its</w:t>
      </w:r>
      <w:r>
        <w:t xml:space="preserve"> </w:t>
      </w:r>
      <w:r>
        <w:t xml:space="preserve">framework.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2026-07-31T16:48:26Z</dcterms:created>
  <dcterms:modified xsi:type="dcterms:W3CDTF">2026-07-31T16:48:26Z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