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6.2.2024</w:t>
      </w:r>
      <w:r>
        <w:br/>
      </w:r>
      <w:r>
        <w:t xml:space="preserve">SWD(2024) 63 final</w:t>
      </w:r>
      <w:r>
        <w:t xml:space="preserve"> </w:t>
      </w:r>
      <w:r>
        <w:t xml:space="preserve">PART 1/5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Part 1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COMMUNICATION FROM THE COMMISSION TO THE EUROPEAN</w:t>
      </w:r>
      <w:r>
        <w:t xml:space="preserve"> </w:t>
      </w:r>
      <w:r>
        <w:t xml:space="preserve">PARLIAMENT, THE COUNCIL, THE EUROPEAN ECONOMIC AND SOCIAL</w:t>
      </w:r>
      <w:r>
        <w:t xml:space="preserve"> </w:t>
      </w:r>
      <w:r>
        <w:t xml:space="preserve">COMMITTEE AND THE COMMITTEE OF THE REGIONS</w:t>
      </w:r>
    </w:p>
    <w:p>
      <w:pPr>
        <w:pStyle w:val="BodyText"/>
      </w:pPr>
      <w:r>
        <w:t xml:space="preserve">Securing our future</w:t>
      </w:r>
    </w:p>
    <w:p>
      <w:pPr>
        <w:pStyle w:val="BodyText"/>
      </w:pPr>
      <w:r>
        <w:t xml:space="preserve">Europe’s 2040 climate target and path to climate neutrality by 2050 building a</w:t>
      </w:r>
      <w:r>
        <w:t xml:space="preserve"> </w:t>
      </w:r>
      <w:r>
        <w:t xml:space="preserve">sustainable, just and prosperous society</w:t>
      </w:r>
      <w:r>
        <w:t xml:space="preserve"> </w:t>
      </w:r>
      <w:r>
        <w:t xml:space="preserve">{COM(2024) 63 final} - {SEC(2024) 64 final} - {SWD(2024) 64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1.1</w:t>
      </w:r>
      <w:r>
        <w:t xml:space="preserve"> </w:t>
      </w:r>
      <w:r>
        <w:t xml:space="preserve">LEGAL OBLIGATION AND APPROACH ……………………………………………………………………………………………………………….7</w:t>
      </w:r>
      <w:r>
        <w:t xml:space="preserve"> </w:t>
      </w:r>
      <w:r>
        <w:t xml:space="preserve">1.2</w:t>
      </w:r>
      <w:r>
        <w:t xml:space="preserve"> </w:t>
      </w:r>
      <w:r>
        <w:t xml:space="preserve">CLIMATE CHANGE AND COST OF INACTION ……………………………………………………………………………………………………….8</w:t>
      </w:r>
      <w:r>
        <w:t xml:space="preserve"> </w:t>
      </w:r>
      <w:r>
        <w:t xml:space="preserve">1.3</w:t>
      </w:r>
      <w:r>
        <w:t xml:space="preserve"> </w:t>
      </w:r>
      <w:r>
        <w:t xml:space="preserve">INTERNATIONAL CONTEXT ………………………………………………………………………………………………………………………..10</w:t>
      </w:r>
      <w:r>
        <w:t xml:space="preserve"> </w:t>
      </w:r>
      <w:r>
        <w:t xml:space="preserve">1.4</w:t>
      </w:r>
      <w:r>
        <w:t xml:space="preserve"> </w:t>
      </w:r>
      <w:r>
        <w:t xml:space="preserve">EXISTING EU POLICY FRAMEWORK ………………………………………………………………………………………………………………11</w:t>
      </w:r>
      <w:r>
        <w:t xml:space="preserve"> </w:t>
      </w:r>
      <w:r>
        <w:t xml:space="preserve">1.4.1</w:t>
      </w:r>
      <w:r>
        <w:t xml:space="preserve"> </w:t>
      </w:r>
      <w:r>
        <w:t xml:space="preserve">Progress towards the 2030 climate target ……………………………………………………………………………………11</w:t>
      </w:r>
      <w:r>
        <w:t xml:space="preserve"> </w:t>
      </w:r>
      <w:r>
        <w:t xml:space="preserve">1.4.2</w:t>
      </w:r>
      <w:r>
        <w:t xml:space="preserve"> </w:t>
      </w:r>
      <w:r>
        <w:t xml:space="preserve">The “Fit for 55” package and the European Green Deal …………………………………………………………………13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………………………………………………………………………………………………………………………………………..16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 ……………………………………………………………………………………………………….16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…………………………………………………………………………………………………..16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 ……………………………………………………………………………………………………………………………….17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………………………………………………………………………………………………………………………………18</w:t>
      </w:r>
      <w:r>
        <w:t xml:space="preserve"> </w:t>
      </w:r>
      <w:r>
        <w:t xml:space="preserve">4.3</w:t>
      </w:r>
      <w:r>
        <w:t xml:space="preserve"> </w:t>
      </w:r>
      <w:r>
        <w:t xml:space="preserve">INTERVENTION LOGIC ……………………………………………………………………………………………………………………………..21</w:t>
      </w:r>
      <w:r>
        <w:t xml:space="preserve"> </w:t>
      </w:r>
      <w:r>
        <w:t xml:space="preserve">5.1</w:t>
      </w:r>
      <w:r>
        <w:t xml:space="preserve"> </w:t>
      </w:r>
      <w:r>
        <w:t xml:space="preserve">CURRENT POLICY FRAMEWORK …………………………………………………………………………………………………………………..22</w:t>
      </w:r>
      <w:r>
        <w:t xml:space="preserve"> </w:t>
      </w:r>
      <w:r>
        <w:t xml:space="preserve">5.1.1</w:t>
      </w:r>
      <w:r>
        <w:t xml:space="preserve"> </w:t>
      </w:r>
      <w:r>
        <w:t xml:space="preserve">The Climate Law and the Fit-for-55 package ………………………………………………………………………………..22</w:t>
      </w:r>
      <w:r>
        <w:t xml:space="preserve"> </w:t>
      </w:r>
      <w:r>
        <w:t xml:space="preserve">5.1.2</w:t>
      </w:r>
      <w:r>
        <w:t xml:space="preserve"> </w:t>
      </w:r>
      <w:r>
        <w:t xml:space="preserve">What would happen to the net GHGs emissions by 2040 with a continuation of the current policy</w:t>
      </w:r>
      <w:r>
        <w:t xml:space="preserve"> </w:t>
      </w:r>
      <w:r>
        <w:t xml:space="preserve">framework? ………………………………………………………………………………………………………………………………………….22</w:t>
      </w:r>
      <w:r>
        <w:t xml:space="preserve"> </w:t>
      </w:r>
      <w:r>
        <w:t xml:space="preserve">5.1.3</w:t>
      </w:r>
      <w:r>
        <w:t xml:space="preserve"> </w:t>
      </w:r>
      <w:r>
        <w:t xml:space="preserve">Approach for the assessment of the 2040 climate target ……………………………………………………………….24</w:t>
      </w:r>
      <w:r>
        <w:t xml:space="preserve"> </w:t>
      </w:r>
      <w:r>
        <w:t xml:space="preserve">5.2</w:t>
      </w:r>
      <w:r>
        <w:t xml:space="preserve"> </w:t>
      </w:r>
      <w:r>
        <w:t xml:space="preserve">TARGET OPTIONS …………………………………………………………………………………………………………………………………..25</w:t>
      </w:r>
      <w:r>
        <w:t xml:space="preserve"> </w:t>
      </w:r>
      <w:r>
        <w:t xml:space="preserve">5.2.1</w:t>
      </w:r>
      <w:r>
        <w:t xml:space="preserve"> </w:t>
      </w:r>
      <w:r>
        <w:t xml:space="preserve">Discarded target levels ………………………………………………………………………………………………………………26</w:t>
      </w:r>
      <w:r>
        <w:t xml:space="preserve"> </w:t>
      </w:r>
      <w:r>
        <w:t xml:space="preserve">5.2.2</w:t>
      </w:r>
      <w:r>
        <w:t xml:space="preserve"> </w:t>
      </w:r>
      <w:r>
        <w:t xml:space="preserve">Considered target levels …………………………………………………………………………………………………………….26</w:t>
      </w:r>
      <w:r>
        <w:t xml:space="preserve"> </w:t>
      </w:r>
      <w:r>
        <w:t xml:space="preserve">5.2.3</w:t>
      </w:r>
      <w:r>
        <w:t xml:space="preserve"> </w:t>
      </w:r>
      <w:r>
        <w:t xml:space="preserve">Emission profiles and cumulative GHG emissions under the different target options …………………………27</w:t>
      </w:r>
      <w:r>
        <w:t xml:space="preserve"> </w:t>
      </w:r>
      <w:r>
        <w:t xml:space="preserve">5.3</w:t>
      </w:r>
      <w:r>
        <w:t xml:space="preserve"> </w:t>
      </w:r>
      <w:r>
        <w:t xml:space="preserve">THE POLICY SCENARIOS BEHIND THE TARGET OPTIONS () ……………………………………………………………………………………..28</w:t>
      </w:r>
      <w:r>
        <w:t xml:space="preserve"> </w:t>
      </w:r>
      <w:r>
        <w:t xml:space="preserve">5.3.1</w:t>
      </w:r>
      <w:r>
        <w:t xml:space="preserve"> </w:t>
      </w:r>
      <w:r>
        <w:t xml:space="preserve">Scenarios S1, S2 and S3 ……………………………………………………………………………………………………………..29</w:t>
      </w:r>
      <w:r>
        <w:t xml:space="preserve"> </w:t>
      </w:r>
      <w:r>
        <w:t xml:space="preserve">5.3.2</w:t>
      </w:r>
      <w:r>
        <w:t xml:space="preserve"> </w:t>
      </w:r>
      <w:r>
        <w:t xml:space="preserve">LIFE – more sustainable lifestyles ………………………………………………………………………………………………..30</w:t>
      </w:r>
      <w:r>
        <w:t xml:space="preserve"> </w:t>
      </w:r>
      <w:r>
        <w:t xml:space="preserve">6.1</w:t>
      </w:r>
      <w:r>
        <w:t xml:space="preserve"> </w:t>
      </w:r>
      <w:r>
        <w:t xml:space="preserve">GHG EMISSIONS …………………………………………………………………………………………………………………………………..34</w:t>
      </w:r>
      <w:r>
        <w:t xml:space="preserve"> </w:t>
      </w:r>
      <w:r>
        <w:t xml:space="preserve">6.1.1</w:t>
      </w:r>
      <w:r>
        <w:t xml:space="preserve"> </w:t>
      </w:r>
      <w:r>
        <w:t xml:space="preserve">Net GHG emissions ……………………………………………………………………………………………………………………34</w:t>
      </w:r>
      <w:r>
        <w:t xml:space="preserve"> </w:t>
      </w:r>
      <w:r>
        <w:t xml:space="preserve">6.1.2</w:t>
      </w:r>
      <w:r>
        <w:t xml:space="preserve"> </w:t>
      </w:r>
      <w:r>
        <w:t xml:space="preserve">Carbon capture and carbon removals ………………………………………………………………………………………….37</w:t>
      </w:r>
      <w:r>
        <w:t xml:space="preserve"> </w:t>
      </w:r>
      <w:r>
        <w:t xml:space="preserve">6.1.3</w:t>
      </w:r>
      <w:r>
        <w:t xml:space="preserve"> </w:t>
      </w:r>
      <w:r>
        <w:t xml:space="preserve">GHG emissions in the LIFE sensitivity case ……………………………………………………………………………………39</w:t>
      </w:r>
      <w:r>
        <w:t xml:space="preserve"> </w:t>
      </w:r>
      <w:r>
        <w:t xml:space="preserve">6.2</w:t>
      </w:r>
      <w:r>
        <w:t xml:space="preserve"> </w:t>
      </w:r>
      <w:r>
        <w:t xml:space="preserve">EVOLUTION OF THE ENERGY SYSTEM AND ASSOCIATED RAW MATERIAL NEEDS …………………………………………………………….40</w:t>
      </w:r>
      <w:r>
        <w:t xml:space="preserve"> </w:t>
      </w:r>
      <w:r>
        <w:t xml:space="preserve">6.2.1</w:t>
      </w:r>
      <w:r>
        <w:t xml:space="preserve"> </w:t>
      </w:r>
      <w:r>
        <w:t xml:space="preserve">The energy system ……………………………………………………………………………………………………………………40</w:t>
      </w:r>
      <w:r>
        <w:t xml:space="preserve"> </w:t>
      </w:r>
      <w:r>
        <w:t xml:space="preserve">6.2.2</w:t>
      </w:r>
      <w:r>
        <w:t xml:space="preserve"> </w:t>
      </w:r>
      <w:r>
        <w:t xml:space="preserve">Raw materials needs …………………………………………………………………………………………………………………46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AND HEALTH IMPACTS ……………………………………………………………………………………………………….47</w:t>
      </w:r>
      <w:r>
        <w:t xml:space="preserve"> </w:t>
      </w:r>
      <w:r>
        <w:t xml:space="preserve">6.3.1</w:t>
      </w:r>
      <w:r>
        <w:t xml:space="preserve"> </w:t>
      </w:r>
      <w:r>
        <w:t xml:space="preserve">Benefits of climate change mitigation …………………………………………………………………………………………47</w:t>
      </w:r>
      <w:r>
        <w:t xml:space="preserve"> </w:t>
      </w:r>
      <w:r>
        <w:t xml:space="preserve">6.3.2</w:t>
      </w:r>
      <w:r>
        <w:t xml:space="preserve"> </w:t>
      </w:r>
      <w:r>
        <w:t xml:space="preserve">Health impacts …………………………………………………………………………………………………………………………48</w:t>
      </w:r>
      <w:r>
        <w:t xml:space="preserve"> </w:t>
      </w:r>
      <w:r>
        <w:t xml:space="preserve">6.3.3</w:t>
      </w:r>
      <w:r>
        <w:t xml:space="preserve"> </w:t>
      </w:r>
      <w:r>
        <w:t xml:space="preserve">Environmental impacts ……………………………………………………………………………………………………………..50</w:t>
      </w:r>
      <w:r>
        <w:t xml:space="preserve"> </w:t>
      </w:r>
      <w:r>
        <w:t xml:space="preserve">6.4</w:t>
      </w:r>
      <w:r>
        <w:t xml:space="preserve"> </w:t>
      </w:r>
      <w:r>
        <w:t xml:space="preserve">THE SOCIO-ECONOMIC IMPLICATIONS OF MITIGATION () ……………………………………………………………………………………..51</w:t>
      </w:r>
      <w:r>
        <w:t xml:space="preserve"> </w:t>
      </w:r>
      <w:r>
        <w:t xml:space="preserve">6.4.1</w:t>
      </w:r>
      <w:r>
        <w:t xml:space="preserve"> </w:t>
      </w:r>
      <w:r>
        <w:t xml:space="preserve">Macro-economic impacts …………………………………………………………………………………………………………..51</w:t>
      </w:r>
      <w:r>
        <w:t xml:space="preserve"> </w:t>
      </w:r>
      <w:r>
        <w:t xml:space="preserve">6.4.2</w:t>
      </w:r>
      <w:r>
        <w:t xml:space="preserve"> </w:t>
      </w:r>
      <w:r>
        <w:t xml:space="preserve">Investment needs ……………………………………………………………………………………………………………………..55</w:t>
      </w:r>
      <w:r>
        <w:t xml:space="preserve"> </w:t>
      </w:r>
      <w:r>
        <w:t xml:space="preserve">6.4.3</w:t>
      </w:r>
      <w:r>
        <w:t xml:space="preserve"> </w:t>
      </w:r>
      <w:r>
        <w:t xml:space="preserve">Energy system costs and other mitigation costs ……………………………………………………………………………59</w:t>
      </w:r>
      <w:r>
        <w:t xml:space="preserve"> </w:t>
      </w:r>
      <w:r>
        <w:t xml:space="preserve">6.4.4</w:t>
      </w:r>
      <w:r>
        <w:t xml:space="preserve"> </w:t>
      </w:r>
      <w:r>
        <w:t xml:space="preserve">Social impacts and just transition ……………………………………………………………………………………………….65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…………………………………………………………………………………………………………………………………….71</w:t>
      </w:r>
      <w:r>
        <w:t xml:space="preserve"> </w:t>
      </w:r>
      <w:r>
        <w:t xml:space="preserve">7.1.1</w:t>
      </w:r>
      <w:r>
        <w:t xml:space="preserve"> </w:t>
      </w:r>
      <w:r>
        <w:t xml:space="preserve">Specific objectives …………………………………………………………………………………………………………………….71</w:t>
      </w:r>
      <w:r>
        <w:t xml:space="preserve"> </w:t>
      </w:r>
      <w:r>
        <w:t xml:space="preserve">7.1.2</w:t>
      </w:r>
      <w:r>
        <w:t xml:space="preserve"> </w:t>
      </w:r>
      <w:r>
        <w:t xml:space="preserve">Financial and technological feasibility …………………………………………………………………………………………74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………………………………………………………………………………………………………………………………………….79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………………………………………………………………………………………………………………………………………..80</w:t>
      </w:r>
      <w:r>
        <w:t xml:space="preserve"> </w:t>
      </w:r>
      <w:r>
        <w:t xml:space="preserve">7.4</w:t>
      </w:r>
      <w:r>
        <w:t xml:space="preserve"> </w:t>
      </w:r>
      <w:r>
        <w:t xml:space="preserve">SUBSIDIARITY ……………………………………………………………………………………………………………………………………….81</w:t>
      </w:r>
      <w:r>
        <w:t xml:space="preserve"> </w:t>
      </w:r>
      <w:r>
        <w:t xml:space="preserve">7.5</w:t>
      </w:r>
      <w:r>
        <w:t xml:space="preserve"> </w:t>
      </w:r>
      <w:r>
        <w:t xml:space="preserve">PROPORTIONALITY …………………………………………………………………………………………………………………………………82</w:t>
      </w:r>
      <w:r>
        <w:t xml:space="preserve"> </w:t>
      </w:r>
      <w:r>
        <w:t xml:space="preserve">7.6</w:t>
      </w:r>
      <w:r>
        <w:t xml:space="preserve"> </w:t>
      </w:r>
      <w:r>
        <w:t xml:space="preserve">SUMMARY ………………………………………………………………………………………………………………………………………….83</w:t>
      </w:r>
      <w:r>
        <w:t xml:space="preserve"> </w:t>
      </w:r>
      <w:r>
        <w:t xml:space="preserve">2.1.</w:t>
      </w:r>
      <w:r>
        <w:t xml:space="preserve"> </w:t>
      </w:r>
      <w:r>
        <w:t xml:space="preserve">OVERVIEW OF RESPONSES ……………………………………………………………………………………………………………………96</w:t>
      </w:r>
      <w:r>
        <w:t xml:space="preserve"> </w:t>
      </w:r>
      <w:r>
        <w:t xml:space="preserve">2.2.</w:t>
      </w:r>
      <w:r>
        <w:t xml:space="preserve"> </w:t>
      </w:r>
      <w:r>
        <w:t xml:space="preserve">METHODOLOGICAL APPROACH AND CAMPAIGN IDENTIFICATION………………………………………………………………………..98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2.3.</w:t>
      </w:r>
      <w:r>
        <w:t xml:space="preserve"> </w:t>
      </w:r>
      <w:r>
        <w:t xml:space="preserve">RESULTS FROM THE GENERAL SECTION OF THE QUESTIONNAIRE …………………………………………………………………………98</w:t>
      </w:r>
      <w:r>
        <w:t xml:space="preserve"> </w:t>
      </w:r>
      <w:r>
        <w:t xml:space="preserve">2.4.</w:t>
      </w:r>
      <w:r>
        <w:t xml:space="preserve"> </w:t>
      </w:r>
      <w:r>
        <w:t xml:space="preserve">RESULTS FROM THE EXPERT SECTION OF THE QUESTIONNAIRE ……………………………………………………………………….. 102</w:t>
      </w:r>
      <w:r>
        <w:t xml:space="preserve"> </w:t>
      </w:r>
      <w:r>
        <w:t xml:space="preserve">3.1.</w:t>
      </w:r>
      <w:r>
        <w:t xml:space="preserve"> </w:t>
      </w:r>
      <w:r>
        <w:t xml:space="preserve">OVERVIEW OF POSITION PAPERS …………………………………………………………………………………………………………. 104</w:t>
      </w:r>
      <w:r>
        <w:t xml:space="preserve"> </w:t>
      </w:r>
      <w:r>
        <w:t xml:space="preserve">3.2.</w:t>
      </w:r>
      <w:r>
        <w:t xml:space="preserve"> </w:t>
      </w:r>
      <w:r>
        <w:t xml:space="preserve">METHODOLOGICAL APPROACH …………………………………………………………………………………………………………… 105</w:t>
      </w:r>
      <w:r>
        <w:t xml:space="preserve"> </w:t>
      </w:r>
      <w:r>
        <w:t xml:space="preserve">3.3.</w:t>
      </w:r>
      <w:r>
        <w:t xml:space="preserve"> </w:t>
      </w:r>
      <w:r>
        <w:t xml:space="preserve">FOCUS ON POSITION PAPERS RECEIVED FROM PUBLIC AUTHORITIES …………………………………………………………………. 105</w:t>
      </w:r>
      <w:r>
        <w:t xml:space="preserve"> </w:t>
      </w:r>
      <w:r>
        <w:t xml:space="preserve">4.1.</w:t>
      </w:r>
      <w:r>
        <w:t xml:space="preserve"> </w:t>
      </w:r>
      <w:r>
        <w:t xml:space="preserve">RESULTS FROM THE ANALYSIS OF POSITION PAPERS ……………………………………………………………………………………. 107</w:t>
      </w:r>
      <w:r>
        <w:t xml:space="preserve"> </w:t>
      </w:r>
      <w:r>
        <w:t xml:space="preserve">STEP 1/4: IDENTIFICATION OF AFFECTED BUSINESSES ……………………………………………………………………………………………… 117</w:t>
      </w:r>
      <w:r>
        <w:t xml:space="preserve"> </w:t>
      </w:r>
      <w:r>
        <w:t xml:space="preserve">STEP 2/4: CONSULTATION OF SME STAKEHOLDERS ………………………………………………………………………………………………. 120</w:t>
      </w:r>
      <w:r>
        <w:t xml:space="preserve"> </w:t>
      </w:r>
      <w:r>
        <w:t xml:space="preserve">STEP 3/4: ASSESSMENT OF THE IMPACT ON SMES ………………………………………………………………………………………………… 121</w:t>
      </w:r>
      <w:r>
        <w:t xml:space="preserve"> </w:t>
      </w:r>
      <w:r>
        <w:t xml:space="preserve">STEP 4/4: MINIMISING NEGATIVE IMPACTS ON SMES ……………………………………………………………………………………………. 125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AFOLU</w:t>
      </w:r>
      <w:r>
        <w:t xml:space="preserve"> </w:t>
      </w:r>
      <w:r>
        <w:t xml:space="preserve">Agriculture, Forestry and Other Land Use, i.e., IPCC sectors 3 (Agriculture) and 4 (LULUCF) combined. The</w:t>
      </w:r>
      <w:r>
        <w:t xml:space="preserve"> </w:t>
      </w:r>
      <w:r>
        <w:t xml:space="preserve">term ‘land sector’ is used as synonym.</w:t>
      </w:r>
      <w:r>
        <w:t xml:space="preserve"> </w:t>
      </w:r>
      <w:r>
        <w:t xml:space="preserve">BECCS</w:t>
      </w:r>
      <w:r>
        <w:t xml:space="preserve"> </w:t>
      </w:r>
      <w:r>
        <w:t xml:space="preserve">Bioenergy with Carbon Capture and Storage</w:t>
      </w:r>
      <w:r>
        <w:t xml:space="preserve"> </w:t>
      </w:r>
      <w:r>
        <w:t xml:space="preserve">BioCCS</w:t>
      </w:r>
      <w:r>
        <w:t xml:space="preserve"> </w:t>
      </w:r>
      <w:r>
        <w:t xml:space="preserve">Carbon capture and storage of biogenic CO2 emissions originated from the combustion of biomass to produce</w:t>
      </w:r>
      <w:r>
        <w:t xml:space="preserve"> </w:t>
      </w:r>
      <w:r>
        <w:t xml:space="preserve">energy (BECCS) or from the processing of biomass in industrial applications</w:t>
      </w:r>
      <w:r>
        <w:t xml:space="preserve"> </w:t>
      </w:r>
      <w:r>
        <w:t xml:space="preserve">Biogenic carbon</w:t>
      </w:r>
      <w:r>
        <w:t xml:space="preserve"> </w:t>
      </w:r>
      <w:r>
        <w:t xml:space="preserve">Carbon Dioxide resulting from upgrade of biogas to biomethane</w:t>
      </w:r>
      <w:r>
        <w:t xml:space="preserve"> </w:t>
      </w:r>
      <w:r>
        <w:t xml:space="preserve">CAP</w:t>
      </w:r>
      <w:r>
        <w:t xml:space="preserve"> </w:t>
      </w:r>
      <w:r>
        <w:t xml:space="preserve">EU’s common agricultural policy</w:t>
      </w:r>
      <w:r>
        <w:t xml:space="preserve"> </w:t>
      </w:r>
      <w:r>
        <w:t xml:space="preserve">Carbon capture</w:t>
      </w:r>
      <w:r>
        <w:t xml:space="preserve"> </w:t>
      </w:r>
      <w:r>
        <w:t xml:space="preserve">CO2 captured from industrial processes, power and heat production, biogas upgrade and direct air capture.</w:t>
      </w:r>
      <w:r>
        <w:t xml:space="preserve"> </w:t>
      </w:r>
      <w:r>
        <w:t xml:space="preserve">Carbon Pool</w:t>
      </w:r>
      <w:r>
        <w:t xml:space="preserve"> </w:t>
      </w:r>
      <w:r>
        <w:t xml:space="preserve">means the whole or part of a biogeochemical feature or system within the territory of a Member State and within</w:t>
      </w:r>
      <w:r>
        <w:t xml:space="preserve"> </w:t>
      </w:r>
      <w:r>
        <w:t xml:space="preserve">which carbon, any precursor to a greenhouse gas containing carbon, or any greenhouse gas containing carbon is</w:t>
      </w:r>
      <w:r>
        <w:t xml:space="preserve"> </w:t>
      </w:r>
      <w:r>
        <w:t xml:space="preserve">stored</w:t>
      </w:r>
      <w:r>
        <w:br/>
      </w:r>
      <w:r>
        <w:t xml:space="preserve">CBAM</w:t>
      </w:r>
      <w:r>
        <w:t xml:space="preserve"> </w:t>
      </w:r>
      <w:r>
        <w:t xml:space="preserve">Carbon Border Adjustment Mechanism</w:t>
      </w:r>
      <w:r>
        <w:t xml:space="preserve"> </w:t>
      </w:r>
      <w:r>
        <w:t xml:space="preserve">CCS</w:t>
      </w:r>
      <w:r>
        <w:t xml:space="preserve"> </w:t>
      </w:r>
      <w:r>
        <w:t xml:space="preserve">Carbon Capture and Storage (permanently underground and in materials)</w:t>
      </w:r>
      <w:r>
        <w:t xml:space="preserve"> </w:t>
      </w:r>
      <w:r>
        <w:t xml:space="preserve">CCU</w:t>
      </w:r>
      <w:r>
        <w:t xml:space="preserve"> </w:t>
      </w:r>
      <w:r>
        <w:t xml:space="preserve">Carbon capture and usage</w:t>
      </w:r>
      <w:r>
        <w:t xml:space="preserve"> </w:t>
      </w:r>
      <w:r>
        <w:t xml:space="preserve">CH4</w:t>
      </w:r>
      <w:r>
        <w:t xml:space="preserve"> </w:t>
      </w:r>
      <w:r>
        <w:t xml:space="preserve">Methane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A circular economy moves away from the conventional consumption model and aims to decouple economic</w:t>
      </w:r>
      <w:r>
        <w:t xml:space="preserve"> </w:t>
      </w:r>
      <w:r>
        <w:t xml:space="preserve">activity from the consumption of finite resources. Products, raw materials and resources are kept in circulation</w:t>
      </w:r>
      <w:r>
        <w:t xml:space="preserve"> </w:t>
      </w:r>
      <w:r>
        <w:t xml:space="preserve">through maintenance, recycling, reuse or refurbishment. Thereby the generation of waste is minimized.</w:t>
      </w:r>
      <w:r>
        <w:t xml:space="preserve"> </w:t>
      </w:r>
      <w:r>
        <w:t xml:space="preserve">CO2</w:t>
      </w:r>
      <w:r>
        <w:t xml:space="preserve"> </w:t>
      </w:r>
      <w:r>
        <w:t xml:space="preserve">Carbon dioxide</w:t>
      </w:r>
      <w:r>
        <w:t xml:space="preserve"> </w:t>
      </w:r>
      <w:r>
        <w:t xml:space="preserve">DACC</w:t>
      </w:r>
      <w:r>
        <w:t xml:space="preserve"> </w:t>
      </w:r>
      <w:r>
        <w:t xml:space="preserve">Direct Air Carbon Capture. The carbon captured can be stored (DACCS) or used.</w:t>
      </w:r>
      <w:r>
        <w:t xml:space="preserve"> </w:t>
      </w:r>
      <w:r>
        <w:t xml:space="preserve">DACCS</w:t>
      </w:r>
      <w:r>
        <w:t xml:space="preserve"> </w:t>
      </w:r>
      <w:r>
        <w:t xml:space="preserve">Direct Air Carbon Capture and Storage</w:t>
      </w:r>
      <w:r>
        <w:t xml:space="preserve"> </w:t>
      </w:r>
      <w:r>
        <w:t xml:space="preserve">EAF</w:t>
      </w:r>
      <w:r>
        <w:t xml:space="preserve"> </w:t>
      </w:r>
      <w:r>
        <w:t xml:space="preserve">Electric Arc Furnace</w:t>
      </w:r>
      <w:r>
        <w:t xml:space="preserve"> </w:t>
      </w:r>
      <w:r>
        <w:t xml:space="preserve">E-fuels</w:t>
      </w:r>
      <w:r>
        <w:t xml:space="preserve"> </w:t>
      </w:r>
      <w:r>
        <w:t xml:space="preserve">Electro-fuels, manufactured using captured carbon dioxide or carbon monoxide. Note that e-fuels are not the</w:t>
      </w:r>
      <w:r>
        <w:t xml:space="preserve"> </w:t>
      </w:r>
      <w:r>
        <w:t xml:space="preserve">same as RFNBOs (see RFNBO definition in this glossary).</w:t>
      </w:r>
      <w:r>
        <w:br/>
      </w:r>
      <w:r>
        <w:t xml:space="preserve">EJ</w:t>
      </w:r>
      <w:r>
        <w:t xml:space="preserve"> </w:t>
      </w:r>
      <w:r>
        <w:t xml:space="preserve">Exajoule</w:t>
      </w:r>
      <w:r>
        <w:t xml:space="preserve"> </w:t>
      </w:r>
      <w:r>
        <w:t xml:space="preserve">ESABCC</w:t>
      </w:r>
      <w:r>
        <w:t xml:space="preserve"> </w:t>
      </w:r>
      <w:r>
        <w:t xml:space="preserve">European Scientific Advisory Board on Climate Change</w:t>
      </w:r>
      <w:r>
        <w:t xml:space="preserve"> </w:t>
      </w:r>
      <w:r>
        <w:t xml:space="preserve">ESABCC(2023). Scientific advice for the determination of an EU-wide 2040 climate target and a greenhouse gas</w:t>
      </w:r>
      <w:r>
        <w:t xml:space="preserve"> </w:t>
      </w:r>
      <w:r>
        <w:t xml:space="preserve">budget for 2030–2050. DOI: 10.2800/609405</w:t>
      </w:r>
      <w:r>
        <w:t xml:space="preserve"> </w:t>
      </w:r>
      <w:r>
        <w:t xml:space="preserve">ESR</w:t>
      </w:r>
      <w:r>
        <w:t xml:space="preserve"> </w:t>
      </w:r>
      <w:r>
        <w:t xml:space="preserve">Effort Sharing Regulation</w:t>
      </w:r>
      <w:r>
        <w:t xml:space="preserve"> </w:t>
      </w:r>
      <w:r>
        <w:t xml:space="preserve">ETS</w:t>
      </w:r>
      <w:r>
        <w:t xml:space="preserve"> </w:t>
      </w:r>
      <w:r>
        <w:t xml:space="preserve">Emissions Trading System</w:t>
      </w:r>
      <w:r>
        <w:t xml:space="preserve"> </w:t>
      </w:r>
      <w:r>
        <w:t xml:space="preserve">ETS1</w:t>
      </w:r>
      <w:r>
        <w:t xml:space="preserve"> </w:t>
      </w:r>
      <w:r>
        <w:t xml:space="preserve">Existing ETS extended to also include maritime shipping</w:t>
      </w:r>
      <w:r>
        <w:t xml:space="preserve"> </w:t>
      </w:r>
      <w:r>
        <w:t xml:space="preserve">ETS2</w:t>
      </w:r>
      <w:r>
        <w:t xml:space="preserve"> </w:t>
      </w:r>
      <w:r>
        <w:t xml:space="preserve">New ETS covering buildings, road transport and fuels for additional sectors</w:t>
      </w:r>
      <w:r>
        <w:t xml:space="preserve"> </w:t>
      </w:r>
      <w:r>
        <w:t xml:space="preserve">EUR</w:t>
      </w:r>
      <w:r>
        <w:t xml:space="preserve"> </w:t>
      </w:r>
      <w:r>
        <w:t xml:space="preserve">Euro, unless specified otherwise, all monetary figures are expressed in constant 2023 prices (“EUR2023”)</w:t>
      </w:r>
      <w:r>
        <w:t xml:space="preserve"> </w:t>
      </w:r>
      <w:r>
        <w:t xml:space="preserve">FEC</w:t>
      </w:r>
      <w:r>
        <w:t xml:space="preserve"> </w:t>
      </w:r>
      <w:r>
        <w:t xml:space="preserve">Final Energy Consumption: the total energy consumed by end users, such as households, industry and agriculture.</w:t>
      </w:r>
      <w:r>
        <w:t xml:space="preserve"> </w:t>
      </w:r>
      <w:r>
        <w:t xml:space="preserve">It is the energy which reaches the final consumer’s door and excludes that which is used by the energy sector</w:t>
      </w:r>
      <w:r>
        <w:t xml:space="preserve"> </w:t>
      </w:r>
      <w:r>
        <w:t xml:space="preserve">itself</w:t>
      </w:r>
      <w:r>
        <w:t xml:space="preserve"> </w:t>
      </w:r>
      <w:r>
        <w:t xml:space="preserve">Fit-for-55 package Package of legislation makes all sectors of the EU’s economy fit to meet the 2030 climate target of a reduction of</w:t>
      </w:r>
      <w:r>
        <w:t xml:space="preserve"> </w:t>
      </w:r>
      <w:r>
        <w:t xml:space="preserve">its net greenhouse gas emissions by at least 55% by 2030.</w:t>
      </w:r>
      <w:r>
        <w:t xml:space="preserve"> </w:t>
      </w:r>
      <w:r>
        <w:t xml:space="preserve">GAE</w:t>
      </w:r>
      <w:r>
        <w:t xml:space="preserve"> </w:t>
      </w:r>
      <w:r>
        <w:t xml:space="preserve">Gross Available Energy: the overall supply of energy for all activities of a country (defined as: Primary</w:t>
      </w:r>
      <w:r>
        <w:t xml:space="preserve"> </w:t>
      </w:r>
      <w:r>
        <w:t xml:space="preserve">production + Recovered &amp; Recycled products + Imports – Export + Stock changes).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gas(es)</w:t>
      </w:r>
      <w:r>
        <w:t xml:space="preserve"> </w:t>
      </w:r>
      <w:r>
        <w:t xml:space="preserve">GHG budget</w:t>
      </w:r>
      <w:r>
        <w:t xml:space="preserve"> </w:t>
      </w:r>
      <w:r>
        <w:t xml:space="preserve">Total volume of net greenhouse gas emissions that are expected to be emitted over a given period. The European</w:t>
      </w:r>
      <w:r>
        <w:t xml:space="preserve"> </w:t>
      </w:r>
      <w:r>
        <w:t xml:space="preserve">Climate Law refers to the 2030-2050 period.</w:t>
      </w:r>
      <w:r>
        <w:t xml:space="preserve"> </w:t>
      </w:r>
      <w:r>
        <w:t xml:space="preserve">Greenhouse gases</w:t>
      </w:r>
      <w:r>
        <w:t xml:space="preserve"> </w:t>
      </w:r>
      <w:r>
        <w:t xml:space="preserve">Greenhouse gases from the Kyoto Protocol: Carbon dioxide (CO2); Methane (CH4); Nitrous oxide (N2O);</w:t>
      </w:r>
      <w:r>
        <w:t xml:space="preserve"> </w:t>
      </w:r>
      <w:r>
        <w:t xml:space="preserve">Hydrofluorocarbons (HFCs); Perfluorocarbons (PFCs); Sulphur hexafluoride (SF6).</w:t>
      </w:r>
      <w:r>
        <w:t xml:space="preserve"> </w:t>
      </w:r>
      <w:r>
        <w:t xml:space="preserve">Gross Available</w:t>
      </w:r>
      <w:r>
        <w:t xml:space="preserve"> </w:t>
      </w:r>
      <w:r>
        <w:t xml:space="preserve">Energy (GAE)</w:t>
      </w:r>
      <w:r>
        <w:t xml:space="preserve"> </w:t>
      </w:r>
      <w:r>
        <w:t xml:space="preserve">Overall supply of energy for all activities of a country.</w:t>
      </w:r>
      <w:r>
        <w:t xml:space="preserve"> </w:t>
      </w:r>
      <w:r>
        <w:t xml:space="preserve">Gross GHG</w:t>
      </w:r>
      <w:r>
        <w:t xml:space="preserve"> </w:t>
      </w:r>
      <w:r>
        <w:t xml:space="preserve">emissions</w:t>
      </w:r>
      <w:r>
        <w:t xml:space="preserve"> </w:t>
      </w:r>
      <w:r>
        <w:t xml:space="preserve">Total GHG emissions excluding the contribution of industrial carbon removals and of net LULUCF removals.</w:t>
      </w:r>
      <w:r>
        <w:t xml:space="preserve"> </w:t>
      </w:r>
      <w:r>
        <w:t xml:space="preserve">HFCs</w:t>
      </w:r>
      <w:r>
        <w:t xml:space="preserve"> </w:t>
      </w:r>
      <w:r>
        <w:t xml:space="preserve">Hydrofluorocarbons</w:t>
      </w:r>
      <w:r>
        <w:t xml:space="preserve"> </w:t>
      </w:r>
      <w:r>
        <w:t xml:space="preserve">ICE</w:t>
      </w:r>
      <w:r>
        <w:t xml:space="preserve"> </w:t>
      </w:r>
      <w:r>
        <w:t xml:space="preserve">Internal Combustion Engine</w:t>
      </w:r>
      <w:r>
        <w:t xml:space="preserve"> </w:t>
      </w:r>
      <w:r>
        <w:t xml:space="preserve">Industrial Carbon</w:t>
      </w:r>
      <w:r>
        <w:t xml:space="preserve"> </w:t>
      </w:r>
      <w:r>
        <w:t xml:space="preserve">Management</w:t>
      </w:r>
      <w:r>
        <w:t xml:space="preserve"> </w:t>
      </w:r>
      <w:r>
        <w:t xml:space="preserve">Technologies, infrastructures, policies and business models for the capture of carbon dioxide (CO2), its transport,</w:t>
      </w:r>
      <w:r>
        <w:t xml:space="preserve"> </w:t>
      </w:r>
      <w:r>
        <w:t xml:space="preserve">storage, and utilisation as feedstock in industrial processes. The CO2 can be captured from process or energy</w:t>
      </w:r>
      <w:r>
        <w:t xml:space="preserve"> </w:t>
      </w:r>
      <w:r>
        <w:t xml:space="preserve">emissions of industrial installations, also referred as point source emissions, or directly from the atmosphere with</w:t>
      </w:r>
      <w:r>
        <w:t xml:space="preserve"> </w:t>
      </w:r>
      <w:r>
        <w:t xml:space="preserve">Direct Air Carbon Capture (DACC) installations.</w:t>
      </w:r>
      <w:r>
        <w:t xml:space="preserve"> </w:t>
      </w:r>
      <w:r>
        <w:t xml:space="preserve">Industrial Carbon</w:t>
      </w:r>
      <w:r>
        <w:t xml:space="preserve"> </w:t>
      </w:r>
      <w:r>
        <w:t xml:space="preserve">Removals</w:t>
      </w:r>
      <w:r>
        <w:t xml:space="preserve"> </w:t>
      </w:r>
      <w:r>
        <w:t xml:space="preserve">BECCS, DACCS and biogenic carbon</w:t>
      </w:r>
      <w:r>
        <w:t xml:space="preserve"> </w:t>
      </w:r>
      <w:r>
        <w:t xml:space="preserve">IPCC</w:t>
      </w:r>
      <w:r>
        <w:t xml:space="preserve"> </w:t>
      </w:r>
      <w:r>
        <w:t xml:space="preserve">The Intergovernmental Panel on Climate Change</w:t>
      </w:r>
      <w:r>
        <w:t xml:space="preserve"> </w:t>
      </w:r>
      <w:r>
        <w:t xml:space="preserve">Land sector</w:t>
      </w:r>
      <w:r>
        <w:t xml:space="preserve"> </w:t>
      </w:r>
      <w:r>
        <w:t xml:space="preserve">Synonym for AFOLU sector.</w:t>
      </w:r>
      <w:r>
        <w:t xml:space="preserve"> </w:t>
      </w:r>
      <w:r>
        <w:t xml:space="preserve">Lignocellulosic</w:t>
      </w:r>
      <w:r>
        <w:t xml:space="preserve"> </w:t>
      </w:r>
      <w:r>
        <w:t xml:space="preserve">Crops</w:t>
      </w:r>
      <w:r>
        <w:t xml:space="preserve"> </w:t>
      </w:r>
      <w:r>
        <w:t xml:space="preserve">Refers to a range of plants rich in cellulose, hemicelluloses, and lignin including wood from forestry, short</w:t>
      </w:r>
      <w:r>
        <w:t xml:space="preserve"> </w:t>
      </w:r>
      <w:r>
        <w:t xml:space="preserve">rotation coppice, such as willow and poplar, and energy crops, such as energy grasses and reeds. The latter is</w:t>
      </w:r>
      <w:r>
        <w:t xml:space="preserve"> </w:t>
      </w:r>
      <w:r>
        <w:t xml:space="preserve">produced to serve as biomass for the production of advanced / second-generation biofuels.</w:t>
      </w:r>
      <w:r>
        <w:t xml:space="preserve"> </w:t>
      </w:r>
      <w:r>
        <w:t xml:space="preserve">LNG</w:t>
      </w:r>
      <w:r>
        <w:t xml:space="preserve"> </w:t>
      </w:r>
      <w:r>
        <w:t xml:space="preserve">Liquefied Natural Gas</w:t>
      </w:r>
      <w:r>
        <w:t xml:space="preserve"> </w:t>
      </w:r>
      <w:r>
        <w:t xml:space="preserve">LRF</w:t>
      </w:r>
      <w:r>
        <w:t xml:space="preserve"> </w:t>
      </w:r>
      <w:r>
        <w:t xml:space="preserve">Linear Reduction Factors of the ETS</w:t>
      </w:r>
      <w:r>
        <w:t xml:space="preserve"> </w:t>
      </w:r>
      <w:r>
        <w:t xml:space="preserve">LULUCF</w:t>
      </w:r>
      <w:r>
        <w:t xml:space="preserve"> </w:t>
      </w:r>
      <w:r>
        <w:t xml:space="preserve">Land Use, Land Use Change and Forestry</w:t>
      </w:r>
      <w:r>
        <w:t xml:space="preserve"> </w:t>
      </w:r>
      <w:r>
        <w:t xml:space="preserve">LULUCF net</w:t>
      </w:r>
      <w:r>
        <w:t xml:space="preserve"> </w:t>
      </w:r>
      <w:r>
        <w:t xml:space="preserve">removals</w:t>
      </w:r>
      <w:r>
        <w:br/>
      </w:r>
      <w:r>
        <w:t xml:space="preserve">Aggregated emissions from and nature-based carbon removals in the LULUCF sector creates a net removal in the</w:t>
      </w:r>
      <w:r>
        <w:t xml:space="preserve"> </w:t>
      </w:r>
      <w:r>
        <w:t xml:space="preserve">EU, as the sector absorbs more greenhouse gases than it emits.</w:t>
      </w:r>
      <w:r>
        <w:br/>
      </w:r>
      <w:r>
        <w:t xml:space="preserve">MACC</w:t>
      </w:r>
      <w:r>
        <w:t xml:space="preserve"> </w:t>
      </w:r>
      <w:r>
        <w:t xml:space="preserve">Marginal Abatement Cost Curve, which shows the marginal cost of additional reductions in greenhouse gas</w:t>
      </w:r>
      <w:r>
        <w:t xml:space="preserve"> </w:t>
      </w:r>
      <w:r>
        <w:t xml:space="preserve">emissions.</w:t>
      </w:r>
      <w:r>
        <w:t xml:space="preserve"> </w:t>
      </w:r>
      <w:r>
        <w:t xml:space="preserve">MFF</w:t>
      </w:r>
      <w:r>
        <w:t xml:space="preserve"> </w:t>
      </w:r>
      <w:r>
        <w:t xml:space="preserve">Multiannual financial framework</w:t>
      </w:r>
      <w:r>
        <w:t xml:space="preserve"> </w:t>
      </w:r>
      <w:r>
        <w:t xml:space="preserve">Mha</w:t>
      </w:r>
      <w:r>
        <w:t xml:space="preserve"> </w:t>
      </w:r>
      <w:r>
        <w:t xml:space="preserve">Million hectares</w:t>
      </w:r>
      <w:r>
        <w:t xml:space="preserve"> </w:t>
      </w:r>
      <w:r>
        <w:t xml:space="preserve">MIDAS</w:t>
      </w:r>
      <w:r>
        <w:t xml:space="preserve"> </w:t>
      </w:r>
      <w:r>
        <w:t xml:space="preserve">Modelling Inventory and Knowledge Management System of the European Commission</w:t>
      </w:r>
      <w:r>
        <w:t xml:space="preserve"> </w:t>
      </w:r>
      <w:r>
        <w:t xml:space="preserve">MRV</w:t>
      </w:r>
      <w:r>
        <w:t xml:space="preserve"> </w:t>
      </w:r>
      <w:r>
        <w:t xml:space="preserve">Monitoring, Reporting and Verification</w:t>
      </w:r>
      <w:r>
        <w:t xml:space="preserve"> </w:t>
      </w:r>
      <w:r>
        <w:t xml:space="preserve">N2O</w:t>
      </w:r>
      <w:r>
        <w:t xml:space="preserve"> </w:t>
      </w:r>
      <w:r>
        <w:t xml:space="preserve">Nitrous oxide</w:t>
      </w:r>
      <w:r>
        <w:t xml:space="preserve"> </w:t>
      </w:r>
      <w:r>
        <w:t xml:space="preserve">Nature-based</w:t>
      </w:r>
      <w:r>
        <w:t xml:space="preserve"> </w:t>
      </w:r>
      <w:r>
        <w:t xml:space="preserve">removals</w:t>
      </w:r>
      <w:r>
        <w:t xml:space="preserve"> </w:t>
      </w:r>
      <w:r>
        <w:t xml:space="preserve">Nature-based removals are a collection of approaches using the potential of healthy ecosystems to both reduce</w:t>
      </w:r>
      <w:r>
        <w:t xml:space="preserve"> </w:t>
      </w:r>
      <w:r>
        <w:t xml:space="preserve">and remove emissions. They are either enhancing the ability of healthy ecosystems to sequester carbon dioxide by</w:t>
      </w:r>
      <w:r>
        <w:t xml:space="preserve"> </w:t>
      </w:r>
      <w:r>
        <w:t xml:space="preserve">making ecosystems more resilient whilst preserving or enhancing locally adapted biodiversity and the</w:t>
      </w:r>
      <w:r>
        <w:t xml:space="preserve"> </w:t>
      </w:r>
      <w:r>
        <w:t xml:space="preserve">ecosystems’ wide range of ecosystem services or restore a degraded ecosystem so that it no longer emits harmful</w:t>
      </w:r>
      <w:r>
        <w:t xml:space="preserve"> </w:t>
      </w:r>
      <w:r>
        <w:t xml:space="preserve">greenhouse gas emissions. Nature-based removals can be one of several functions of nature-based solutions.</w:t>
      </w:r>
      <w:r>
        <w:t xml:space="preserve"> </w:t>
      </w:r>
      <w:r>
        <w:t xml:space="preserve">Nature-based</w:t>
      </w:r>
      <w:r>
        <w:t xml:space="preserve"> </w:t>
      </w:r>
      <w:r>
        <w:t xml:space="preserve">solutions</w:t>
      </w:r>
      <w:r>
        <w:t xml:space="preserve"> </w:t>
      </w:r>
      <w:r>
        <w:t xml:space="preserve">Solutions that are inspired and supported by nature, which are cost-effective, simultaneously provide</w:t>
      </w:r>
      <w:r>
        <w:t xml:space="preserve"> </w:t>
      </w:r>
      <w:r>
        <w:t xml:space="preserve">environmental, social, and economic benefits and help build resilience. Such solutions bring more, and more</w:t>
      </w:r>
      <w:r>
        <w:t xml:space="preserve"> </w:t>
      </w:r>
      <w:r>
        <w:t xml:space="preserve">diverse, nature and natural features and processes into cities, landscapes, and seascapes, through locally adapted,</w:t>
      </w:r>
      <w:r>
        <w:t xml:space="preserve"> </w:t>
      </w:r>
      <w:r>
        <w:t xml:space="preserve">resource-efficient and systemic interventions. Nature-based solutions must therefore benefit biodiversity and</w:t>
      </w:r>
      <w:r>
        <w:t xml:space="preserve"> </w:t>
      </w:r>
      <w:r>
        <w:t xml:space="preserve">support the delivery of a range of ecosystem services.</w:t>
      </w:r>
      <w:r>
        <w:t xml:space="preserve"> </w:t>
      </w:r>
      <w:r>
        <w:t xml:space="preserve">NDC</w:t>
      </w:r>
      <w:r>
        <w:t xml:space="preserve"> </w:t>
      </w:r>
      <w:r>
        <w:t xml:space="preserve">Nationally Determined Contribution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NECP</w:t>
      </w:r>
      <w:r>
        <w:t xml:space="preserve"> </w:t>
      </w:r>
      <w:r>
        <w:t xml:space="preserve">National Energy and Climate Plans. This analysis uses the NECPs as submitted in 2019 by the Member States</w:t>
      </w:r>
      <w:r>
        <w:t xml:space="preserve"> </w:t>
      </w:r>
      <w:r>
        <w:t xml:space="preserve">and analysed by the Commission in 2020. The current NECP update runs in parallel with the preparation of this</w:t>
      </w:r>
      <w:r>
        <w:t xml:space="preserve"> </w:t>
      </w:r>
      <w:r>
        <w:t xml:space="preserve">Impact Assessment and could not be taken into account.</w:t>
      </w:r>
      <w:r>
        <w:t xml:space="preserve"> </w:t>
      </w:r>
      <w:r>
        <w:t xml:space="preserve">PFCs</w:t>
      </w:r>
      <w:r>
        <w:t xml:space="preserve"> </w:t>
      </w:r>
      <w:r>
        <w:t xml:space="preserve">Perfluorocarbons</w:t>
      </w:r>
      <w:r>
        <w:t xml:space="preserve"> </w:t>
      </w:r>
      <w:r>
        <w:t xml:space="preserve">RFNBO</w:t>
      </w:r>
      <w:r>
        <w:t xml:space="preserve"> </w:t>
      </w:r>
      <w:r>
        <w:t xml:space="preserve">“Renewable Fuels of Non-Biological Origin” are liquid or gaseous fuels, the energy content of which is derived</w:t>
      </w:r>
      <w:r>
        <w:t xml:space="preserve"> </w:t>
      </w:r>
      <w:r>
        <w:t xml:space="preserve">from renewable sources other than biomass. This term designates renewable hydrogen but also its derivatives</w:t>
      </w:r>
      <w:r>
        <w:t xml:space="preserve"> </w:t>
      </w:r>
      <w:r>
        <w:t xml:space="preserve">(e.g., e-fuels).</w:t>
      </w:r>
      <w:r>
        <w:t xml:space="preserve"> </w:t>
      </w:r>
      <w:r>
        <w:t xml:space="preserve">RRF</w:t>
      </w:r>
    </w:p>
    <w:p>
      <w:pPr>
        <w:pStyle w:val="BodyText"/>
      </w:pPr>
      <w:r>
        <w:t xml:space="preserve">Recovery and Resilience Facility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SF6</w:t>
      </w:r>
      <w:r>
        <w:t xml:space="preserve"> </w:t>
      </w:r>
      <w:r>
        <w:t xml:space="preserve">Sulphur hexafluoride</w:t>
      </w:r>
      <w:r>
        <w:t xml:space="preserve"> </w:t>
      </w:r>
      <w:r>
        <w:t xml:space="preserve">Sink / (carbon)</w:t>
      </w:r>
      <w:r>
        <w:t xml:space="preserve"> </w:t>
      </w:r>
      <w:r>
        <w:t xml:space="preserve">removal</w:t>
      </w:r>
      <w:r>
        <w:br/>
      </w:r>
      <w:r>
        <w:t xml:space="preserve">Means any process, activity or mechanism that removes a greenhouse gas, an aerosol, or a precursor to a</w:t>
      </w:r>
      <w:r>
        <w:t xml:space="preserve"> </w:t>
      </w:r>
      <w:r>
        <w:t xml:space="preserve">greenhouse gas from the atmosphere via natural and technological solutions. It includes industrial carbon</w:t>
      </w:r>
      <w:r>
        <w:t xml:space="preserve"> </w:t>
      </w:r>
      <w:r>
        <w:t xml:space="preserve">removals and certain nature-based carbon removals that remove carbon dioxide from the atmosphere (CO2).</w:t>
      </w:r>
      <w:r>
        <w:t xml:space="preserve"> </w:t>
      </w:r>
      <w:r>
        <w:t xml:space="preserve">Source / emission</w:t>
      </w:r>
      <w:r>
        <w:t xml:space="preserve"> </w:t>
      </w:r>
      <w:r>
        <w:t xml:space="preserve">Means any process, activity or mechanism that releases a greenhouse gas, an aerosol or a precursor to a</w:t>
      </w:r>
      <w:r>
        <w:t xml:space="preserve"> </w:t>
      </w:r>
      <w:r>
        <w:t xml:space="preserve">greenhouse gas into the atmosphere</w:t>
      </w:r>
      <w:r>
        <w:t xml:space="preserve"> </w:t>
      </w:r>
      <w:r>
        <w:t xml:space="preserve">UNFCCC</w:t>
      </w:r>
      <w:r>
        <w:t xml:space="preserve"> </w:t>
      </w:r>
      <w:r>
        <w:t xml:space="preserve">United Nations Framework Convention on Climate Change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References to policy documents</w:t>
      </w:r>
      <w:r>
        <w:t xml:space="preserve"> </w:t>
      </w:r>
      <w:r>
        <w:t xml:space="preserve">Policy document</w:t>
      </w:r>
      <w:r>
        <w:t xml:space="preserve"> </w:t>
      </w:r>
      <w:r>
        <w:t xml:space="preserve">Reference</w:t>
      </w:r>
      <w:r>
        <w:t xml:space="preserve"> </w:t>
      </w:r>
      <w:r>
        <w:t xml:space="preserve">EU Biodiversity Strategy for 2030</w:t>
      </w:r>
      <w:r>
        <w:t xml:space="preserve"> </w:t>
      </w:r>
      <w:r>
        <w:t xml:space="preserve">COM/2020/380 final</w:t>
      </w:r>
      <w:r>
        <w:t xml:space="preserve"> </w:t>
      </w:r>
      <w:r>
        <w:t xml:space="preserve">2030 Climate Target Plan</w:t>
      </w:r>
      <w:r>
        <w:t xml:space="preserve"> </w:t>
      </w:r>
      <w:r>
        <w:t xml:space="preserve">COM(2020) 562 final</w:t>
      </w:r>
      <w:r>
        <w:t xml:space="preserve"> </w:t>
      </w:r>
      <w:r>
        <w:t xml:space="preserve">CO2 standards for cars and vans</w:t>
      </w:r>
      <w:r>
        <w:t xml:space="preserve"> </w:t>
      </w:r>
      <w:r>
        <w:t xml:space="preserve">Regulation (EU) 2023/851</w:t>
      </w:r>
      <w:r>
        <w:t xml:space="preserve"> </w:t>
      </w:r>
      <w:r>
        <w:t xml:space="preserve">Critical Raw Materials Act (proposal)</w:t>
      </w:r>
      <w:r>
        <w:t xml:space="preserve"> </w:t>
      </w:r>
      <w:r>
        <w:t xml:space="preserve">COM(2023) 165 final</w:t>
      </w:r>
      <w:r>
        <w:t xml:space="preserve"> </w:t>
      </w:r>
      <w:r>
        <w:t xml:space="preserve">EU’s Long-Term Strategy – A Clean Planet for all A</w:t>
      </w:r>
      <w:r>
        <w:t xml:space="preserve"> </w:t>
      </w:r>
      <w:r>
        <w:t xml:space="preserve">European strategic long-term vision for a prosperous,</w:t>
      </w:r>
      <w:r>
        <w:t xml:space="preserve"> </w:t>
      </w:r>
      <w:r>
        <w:t xml:space="preserve">modern, competitive and climate neutral economy</w:t>
      </w:r>
      <w:r>
        <w:t xml:space="preserve"> </w:t>
      </w:r>
      <w:r>
        <w:t xml:space="preserve">COM (2018) 773 final</w:t>
      </w:r>
      <w:r>
        <w:t xml:space="preserve"> </w:t>
      </w:r>
      <w:r>
        <w:t xml:space="preserve">Complemented by: “In-depth analysis in support of the Commission</w:t>
      </w:r>
      <w:r>
        <w:t xml:space="preserve"> </w:t>
      </w:r>
      <w:r>
        <w:t xml:space="preserve">Communication COM(2018) 773”</w:t>
      </w:r>
      <w:r>
        <w:t xml:space="preserve"> </w:t>
      </w:r>
      <w:r>
        <w:t xml:space="preserve">ETS Directive</w:t>
      </w:r>
      <w:r>
        <w:t xml:space="preserve"> </w:t>
      </w:r>
      <w:r>
        <w:t xml:space="preserve">Directive 2003/87/EC (amended by Directive (EU) 2023/958)</w:t>
      </w:r>
      <w:r>
        <w:t xml:space="preserve"> </w:t>
      </w:r>
      <w:r>
        <w:t xml:space="preserve">European Climate Law</w:t>
      </w:r>
      <w:r>
        <w:t xml:space="preserve"> </w:t>
      </w:r>
      <w:r>
        <w:t xml:space="preserve">Regulation (EU) 2021/1119</w:t>
      </w:r>
      <w:r>
        <w:t xml:space="preserve"> </w:t>
      </w:r>
      <w:r>
        <w:t xml:space="preserve">Farm to Fork Strategy</w:t>
      </w:r>
      <w:r>
        <w:t xml:space="preserve"> </w:t>
      </w:r>
      <w:r>
        <w:t xml:space="preserve">COM/2020/381 final</w:t>
      </w:r>
      <w:r>
        <w:t xml:space="preserve"> </w:t>
      </w:r>
      <w:r>
        <w:t xml:space="preserve">Fluorinated greenhouse gases Regulation (proposal)</w:t>
      </w:r>
      <w:r>
        <w:t xml:space="preserve"> </w:t>
      </w:r>
      <w:r>
        <w:t xml:space="preserve">COM/2022/150 final</w:t>
      </w:r>
      <w:r>
        <w:t xml:space="preserve"> </w:t>
      </w:r>
      <w:r>
        <w:t xml:space="preserve">Governance Regulation</w:t>
      </w:r>
      <w:r>
        <w:t xml:space="preserve"> </w:t>
      </w:r>
      <w:r>
        <w:t xml:space="preserve">Regulation (EU) 2018/1999 on the Governance of the Energy Union</w:t>
      </w:r>
      <w:r>
        <w:t xml:space="preserve"> </w:t>
      </w:r>
      <w:r>
        <w:t xml:space="preserve">and Climate Action</w:t>
      </w:r>
      <w:r>
        <w:t xml:space="preserve"> </w:t>
      </w:r>
      <w:r>
        <w:t xml:space="preserve">Green paper for a 2030 framework for climate and</w:t>
      </w:r>
      <w:r>
        <w:t xml:space="preserve"> </w:t>
      </w:r>
      <w:r>
        <w:t xml:space="preserve">energy policies</w:t>
      </w:r>
      <w:r>
        <w:t xml:space="preserve"> </w:t>
      </w:r>
      <w:r>
        <w:t xml:space="preserve">COM(2013) 169 final</w:t>
      </w:r>
      <w:r>
        <w:t xml:space="preserve"> </w:t>
      </w:r>
      <w:r>
        <w:t xml:space="preserve">Greening Freight Transport package</w:t>
      </w:r>
      <w:r>
        <w:t xml:space="preserve"> </w:t>
      </w:r>
      <w:r>
        <w:t xml:space="preserve">COM(2023) 440 final</w:t>
      </w:r>
      <w:r>
        <w:t xml:space="preserve"> </w:t>
      </w:r>
      <w:r>
        <w:t xml:space="preserve">Industrial Emissions Directive (proposal)</w:t>
      </w:r>
      <w:r>
        <w:t xml:space="preserve"> </w:t>
      </w:r>
      <w:r>
        <w:t xml:space="preserve">COM(2022) 156 final/3</w:t>
      </w:r>
      <w:r>
        <w:t xml:space="preserve"> </w:t>
      </w:r>
      <w:r>
        <w:t xml:space="preserve">Net Zero Industry Act (proposal)</w:t>
      </w:r>
      <w:r>
        <w:t xml:space="preserve"> </w:t>
      </w:r>
      <w:r>
        <w:t xml:space="preserve">COM(2023) 161 Final</w:t>
      </w:r>
      <w:r>
        <w:t xml:space="preserve"> </w:t>
      </w:r>
      <w:r>
        <w:t xml:space="preserve">Regulation of methane emissions reductions in the</w:t>
      </w:r>
      <w:r>
        <w:t xml:space="preserve"> </w:t>
      </w:r>
      <w:r>
        <w:t xml:space="preserve">energy sector (proposal)</w:t>
      </w:r>
      <w:r>
        <w:t xml:space="preserve"> </w:t>
      </w:r>
      <w:r>
        <w:t xml:space="preserve">COM/2021/805 final</w:t>
      </w:r>
      <w:r>
        <w:t xml:space="preserve"> </w:t>
      </w:r>
      <w:r>
        <w:t xml:space="preserve">Urban waste-water treatment Directive (proposal)</w:t>
      </w:r>
      <w:r>
        <w:t xml:space="preserve"> </w:t>
      </w:r>
      <w:r>
        <w:t xml:space="preserve">COM(2022) 541 final</w:t>
      </w:r>
      <w:r>
        <w:t xml:space="preserve"> </w:t>
      </w:r>
      <w:r>
        <w:t xml:space="preserve">2023 State of the Energy Union Report</w:t>
      </w:r>
      <w:r>
        <w:t xml:space="preserve"> </w:t>
      </w:r>
      <w:r>
        <w:t xml:space="preserve">COM(2023) 650 final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INTRODUCTION: POLITICAL AND LEGAL CONTEXT</w:t>
      </w:r>
      <w:r>
        <w:br/>
      </w:r>
      <w:r>
        <w:t xml:space="preserve">1.1</w:t>
      </w:r>
      <w:r>
        <w:t xml:space="preserve"> </w:t>
      </w:r>
      <w:r>
        <w:t xml:space="preserve">Legal obligation and approach</w:t>
      </w:r>
      <w:r>
        <w:t xml:space="preserve"> </w:t>
      </w:r>
      <w:r>
        <w:t xml:space="preserve">This report accompanies a Communication on the EU climate target for 2040 in view of</w:t>
      </w:r>
      <w:r>
        <w:t xml:space="preserve"> </w:t>
      </w:r>
      <w:r>
        <w:t xml:space="preserve">implementing the European Climate Law, which enshrines in law the EU’s commitment</w:t>
      </w:r>
      <w:r>
        <w:t xml:space="preserve"> </w:t>
      </w:r>
      <w:r>
        <w:t xml:space="preserve">to become climate neutral by 2050 and the EU’s 2030 climate target to reduce net</w:t>
      </w:r>
      <w:r>
        <w:t xml:space="preserve"> </w:t>
      </w:r>
      <w:r>
        <w:t xml:space="preserve">greenhouse gas (GHG emissions) by at least 55% in 2030 relative to 1990. This initiative</w:t>
      </w:r>
      <w:r>
        <w:t xml:space="preserve"> </w:t>
      </w:r>
      <w:r>
        <w:t xml:space="preserve">does not aim at developing and committing on the post-2030 policy framework</w:t>
      </w:r>
      <w:r>
        <w:t xml:space="preserve"> </w:t>
      </w:r>
      <w:r>
        <w:t xml:space="preserve">implementing that 2040 climate target at this stage.</w:t>
      </w:r>
      <w:r>
        <w:t xml:space="preserve"> </w:t>
      </w:r>
      <w:r>
        <w:t xml:space="preserve">The Climate Law mandates the Commission to make a legislative proposal, as</w:t>
      </w:r>
      <w:r>
        <w:t xml:space="preserve"> </w:t>
      </w:r>
      <w:r>
        <w:t xml:space="preserve">appropriate, for a Union-wide 2040 climate target within 6 months of the global</w:t>
      </w:r>
      <w:r>
        <w:t xml:space="preserve"> </w:t>
      </w:r>
      <w:r>
        <w:t xml:space="preserve">stocktake under the Paris Agreement, which will be completed at the Conference of the</w:t>
      </w:r>
      <w:r>
        <w:t xml:space="preserve"> </w:t>
      </w:r>
      <w:r>
        <w:t xml:space="preserve">Parties in December 2023. The 2040 target will also inform the EU’s future post-2030</w:t>
      </w:r>
      <w:r>
        <w:t xml:space="preserve"> </w:t>
      </w:r>
      <w:r>
        <w:t xml:space="preserve">Nationally Determined Contribution (NDC) that all Parties must submit to the UNFCCC</w:t>
      </w:r>
      <w:r>
        <w:t xml:space="preserve"> </w:t>
      </w:r>
      <w:r>
        <w:t xml:space="preserve">by 2025 (under Article 4(9) of the Paris Agreement).</w:t>
      </w:r>
      <w:r>
        <w:t xml:space="preserve"> </w:t>
      </w:r>
      <w:r>
        <w:t xml:space="preserve">The Climate law also calls on the Commission, when making the proposal for the Union</w:t>
      </w:r>
      <w:r>
        <w:t xml:space="preserve"> </w:t>
      </w:r>
      <w:r>
        <w:t xml:space="preserve">2040 climate target, ‘at the same time, to publish in a separate report the projected</w:t>
      </w:r>
      <w:r>
        <w:t xml:space="preserve"> </w:t>
      </w:r>
      <w:r>
        <w:t xml:space="preserve">indicative Union greenhouse gas budget for the 2030-2050 period’ taking into account</w:t>
      </w:r>
      <w:r>
        <w:t xml:space="preserve"> </w:t>
      </w:r>
      <w:r>
        <w:t xml:space="preserve">the advice of the European Scientific Advisory Board on Climate Change (see box).</w:t>
      </w:r>
      <w:r>
        <w:br/>
      </w:r>
      <w:r>
        <w:t xml:space="preserve">The European Scientific Advisory Board on Climate Change (ESABCC), set up</w:t>
      </w:r>
      <w:r>
        <w:t xml:space="preserve"> </w:t>
      </w:r>
      <w:r>
        <w:t xml:space="preserve">under the 2021 European Climate Law (article 3), serves as an independent point of</w:t>
      </w:r>
      <w:r>
        <w:t xml:space="preserve"> </w:t>
      </w:r>
      <w:r>
        <w:t xml:space="preserve">reference for the EU on the science of climate change. Its tasks include providing</w:t>
      </w:r>
      <w:r>
        <w:t xml:space="preserve"> </w:t>
      </w:r>
      <w:r>
        <w:t xml:space="preserve">scientific advice and issuing reports on existing and proposed Union measures, climate</w:t>
      </w:r>
      <w:r>
        <w:t xml:space="preserve"> </w:t>
      </w:r>
      <w:r>
        <w:t xml:space="preserve">targets and indicative greenhouse gas budgets. In June 2023, it published advice (1)</w:t>
      </w:r>
      <w:r>
        <w:t xml:space="preserve"> </w:t>
      </w:r>
      <w:r>
        <w:t xml:space="preserve">recommending a 2040 target for the EU to reduce net GHG emissions in the range of</w:t>
      </w:r>
      <w:r>
        <w:t xml:space="preserve"> </w:t>
      </w:r>
      <w:r>
        <w:t xml:space="preserve">90-95% compared to 1990.</w:t>
      </w:r>
      <w:r>
        <w:br/>
      </w:r>
      <w:r>
        <w:t xml:space="preserve">The “GHG budget” for the EU for 2030 to 2050 is defined in the Climate Law as the</w:t>
      </w:r>
      <w:r>
        <w:t xml:space="preserve"> </w:t>
      </w:r>
      <w:r>
        <w:t xml:space="preserve">total volume of EU net greenhouse gas emissions expected to be emitted in that period</w:t>
      </w:r>
      <w:r>
        <w:t xml:space="preserve"> </w:t>
      </w:r>
      <w:r>
        <w:t xml:space="preserve">(2). It combines a “carbon” budget (cumulative CO2 emissions) with cumulative</w:t>
      </w:r>
      <w:r>
        <w:t xml:space="preserve"> </w:t>
      </w:r>
      <w:r>
        <w:t xml:space="preserve">emissions of non-CO2 GHGs (3). The GHG budget is strongly dependent on the level of</w:t>
      </w:r>
      <w:r>
        <w:t xml:space="preserve"> </w:t>
      </w:r>
      <w:r>
        <w:t xml:space="preserve">net GHG emissions reached in 2040, as the intermediate point between 2030 and 2050,</w:t>
      </w:r>
      <w:r>
        <w:t xml:space="preserve"> </w:t>
      </w:r>
      <w:r>
        <w:t xml:space="preserve">and is used to assess the climate performance of the 2040 climate target and the fairness</w:t>
      </w:r>
      <w:r>
        <w:t xml:space="preserve"> </w:t>
      </w:r>
      <w:r>
        <w:t xml:space="preserve">of the EU’s contribution to global climate action (4).</w:t>
      </w:r>
    </w:p>
    <w:p>
      <w:pPr>
        <w:pStyle w:val="Compact"/>
        <w:numPr>
          <w:ilvl w:val="0"/>
          <w:numId w:val="1001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</w:t>
      </w:r>
    </w:p>
    <w:p>
      <w:pPr>
        <w:pStyle w:val="Compact"/>
        <w:numPr>
          <w:ilvl w:val="0"/>
          <w:numId w:val="1001"/>
        </w:numPr>
      </w:pPr>
      <w:r>
        <w:t xml:space="preserve">European Climate Law, Article 4(4).</w:t>
      </w:r>
    </w:p>
    <w:p>
      <w:pPr>
        <w:pStyle w:val="Compact"/>
        <w:numPr>
          <w:ilvl w:val="0"/>
          <w:numId w:val="1001"/>
        </w:numPr>
      </w:pPr>
      <w:r>
        <w:t xml:space="preserve">Non-CO2 GHG emissions defined in the Kyoto Protocol: CH4, N2O, SF6, PFCs and HFCs. They are</w:t>
      </w:r>
      <w:r>
        <w:t xml:space="preserve"> </w:t>
      </w:r>
      <w:r>
        <w:t xml:space="preserve">converted into “CO2 equivalent” using the global warming potential for a 100-year time horizon from the</w:t>
      </w:r>
      <w:r>
        <w:t xml:space="preserve"> </w:t>
      </w:r>
      <w:r>
        <w:t xml:space="preserve">IPCC Fifth Assessment Report (“AR5”).</w:t>
      </w:r>
    </w:p>
    <w:p>
      <w:pPr>
        <w:pStyle w:val="Compact"/>
        <w:numPr>
          <w:ilvl w:val="0"/>
          <w:numId w:val="1001"/>
        </w:numPr>
      </w:pPr>
      <w:r>
        <w:t xml:space="preserve">According to the IPCC, given the nearly linear relationship between cumulative CO2 emissions and</w:t>
      </w:r>
      <w:r>
        <w:t xml:space="preserve"> </w:t>
      </w:r>
      <w:r>
        <w:t xml:space="preserve">increases in global surface temperature, cumulative CO2 emissions are relevant for understanding how past</w:t>
      </w:r>
      <w:r>
        <w:t xml:space="preserve"> </w:t>
      </w:r>
      <w:r>
        <w:t xml:space="preserve">and future CO2 emissions affect global surface temperature. IPCC Sixth Assessment report (AR6),</w:t>
      </w:r>
      <w:r>
        <w:t xml:space="preserve"> </w:t>
      </w:r>
      <w:r>
        <w:t xml:space="preserve">Working Group 1 “The physical science”, Technical summary, Table TS.3 | Estimates of remaining carbon</w:t>
      </w:r>
      <w:r>
        <w:t xml:space="preserve"> </w:t>
      </w:r>
      <w:r>
        <w:t xml:space="preserve">budgets and their uncertainties.</w:t>
      </w:r>
    </w:p>
    <w:p>
      <w:pPr>
        <w:pStyle w:val="FirstParagraph"/>
      </w:pPr>
      <w:r>
        <w:t xml:space="preserve">8</w:t>
      </w:r>
    </w:p>
    <w:p>
      <w:pPr>
        <w:pStyle w:val="BodyText"/>
      </w:pPr>
      <w:r>
        <w:t xml:space="preserve">This impact assessment thus assesses different levels of net GHG emissions in 2040 and</w:t>
      </w:r>
      <w:r>
        <w:t xml:space="preserve"> </w:t>
      </w:r>
      <w:r>
        <w:t xml:space="preserve">the associated sectoral pathways bridging 2030 to climate neutrality by 2050. It does not</w:t>
      </w:r>
      <w:r>
        <w:t xml:space="preserve"> </w:t>
      </w:r>
      <w:r>
        <w:t xml:space="preserve">assess the post-2030 energy and climate policy framework, to be developed at a later</w:t>
      </w:r>
      <w:r>
        <w:t xml:space="preserve"> </w:t>
      </w:r>
      <w:r>
        <w:t xml:space="preserve">stage.</w:t>
      </w:r>
      <w:r>
        <w:br/>
      </w:r>
      <w:r>
        <w:t xml:space="preserve">The assessment of the 2040 climate target will largely be determined by two main</w:t>
      </w:r>
      <w:r>
        <w:t xml:space="preserve"> </w:t>
      </w:r>
      <w:r>
        <w:t xml:space="preserve">dimensions: on the one hand the GHG budget measuring the climate performance of the</w:t>
      </w:r>
      <w:r>
        <w:t xml:space="preserve"> </w:t>
      </w:r>
      <w:r>
        <w:t xml:space="preserve">target and the fairness of the contribution of the EU to the global climate agenda and, on</w:t>
      </w:r>
      <w:r>
        <w:t xml:space="preserve"> </w:t>
      </w:r>
      <w:r>
        <w:t xml:space="preserve">the other hand feasibility, including costs, technological deployment and trade-offs.</w:t>
      </w:r>
      <w:r>
        <w:t xml:space="preserve"> </w:t>
      </w:r>
      <w:r>
        <w:t xml:space="preserve">1.2</w:t>
      </w:r>
      <w:r>
        <w:t xml:space="preserve"> </w:t>
      </w:r>
      <w:r>
        <w:t xml:space="preserve">Climate change and cost of inaction</w:t>
      </w:r>
      <w:r>
        <w:t xml:space="preserve"> </w:t>
      </w:r>
      <w:r>
        <w:t xml:space="preserve">Climate change will remain the defining challenge of the coming decades, shaping the</w:t>
      </w:r>
      <w:r>
        <w:t xml:space="preserve"> </w:t>
      </w:r>
      <w:r>
        <w:t xml:space="preserve">future of the global society and economy through its impacts and our response. The</w:t>
      </w:r>
      <w:r>
        <w:t xml:space="preserve"> </w:t>
      </w:r>
      <w:r>
        <w:t xml:space="preserve">harmful impacts of global warming are increasing in scale and frequency, with</w:t>
      </w:r>
      <w:r>
        <w:t xml:space="preserve"> </w:t>
      </w:r>
      <w:r>
        <w:t xml:space="preserve">devastating effects on people, nature, and economic systems across the globe. Droughts,</w:t>
      </w:r>
      <w:r>
        <w:t xml:space="preserve"> </w:t>
      </w:r>
      <w:r>
        <w:t xml:space="preserve">heatwaves, floods, wildfires and storms are becoming more frequent and severe,</w:t>
      </w:r>
      <w:r>
        <w:t xml:space="preserve"> </w:t>
      </w:r>
      <w:r>
        <w:t xml:space="preserve">impacting wider areas and hurting more people, businesses, critical infrastructure,</w:t>
      </w:r>
      <w:r>
        <w:t xml:space="preserve"> </w:t>
      </w:r>
      <w:r>
        <w:t xml:space="preserve">ecosystems, and affecting our ability to sustain prosperity and stability in the long run.</w:t>
      </w:r>
      <w:r>
        <w:br/>
      </w:r>
      <w:r>
        <w:t xml:space="preserve">This is happening alongside interrelated challenges of biodiversity loss and natural</w:t>
      </w:r>
      <w:r>
        <w:t xml:space="preserve"> </w:t>
      </w:r>
      <w:r>
        <w:t xml:space="preserve">resource depletion, unsustainable use of natural resources, including water, raw</w:t>
      </w:r>
      <w:r>
        <w:t xml:space="preserve"> </w:t>
      </w:r>
      <w:r>
        <w:t xml:space="preserve">materials, and land, increasing the risk of crossing further planetary boundaries (5)(6) and</w:t>
      </w:r>
      <w:r>
        <w:t xml:space="preserve"> </w:t>
      </w:r>
      <w:r>
        <w:t xml:space="preserve">decreasing the stability and resilience of natural and human systems. This reduces their</w:t>
      </w:r>
      <w:r>
        <w:t xml:space="preserve"> </w:t>
      </w:r>
      <w:r>
        <w:t xml:space="preserve">capacity to both mitigate and adapt to climate change and leads to further negative</w:t>
      </w:r>
      <w:r>
        <w:t xml:space="preserve"> </w:t>
      </w:r>
      <w:r>
        <w:t xml:space="preserve">impacts.</w:t>
      </w:r>
      <w:r>
        <w:br/>
      </w:r>
      <w:r>
        <w:t xml:space="preserve">As recently confirmed by the work of the Intergovernmental Panel on Climate Change</w:t>
      </w:r>
      <w:r>
        <w:t xml:space="preserve"> </w:t>
      </w:r>
      <w:r>
        <w:t xml:space="preserve">(IPCC) (7), the scientific evidence is unequivocal: emissions of greenhouse gases (GHG)</w:t>
      </w:r>
      <w:r>
        <w:t xml:space="preserve"> </w:t>
      </w:r>
      <w:r>
        <w:t xml:space="preserve">from human activities are at the root of global warming observed since at least the 1950s.</w:t>
      </w:r>
      <w:r>
        <w:t xml:space="preserve"> </w:t>
      </w:r>
      <w:r>
        <w:t xml:space="preserve">The scale of changes in the climate system is already unprecedented, but with every</w:t>
      </w:r>
      <w:r>
        <w:t xml:space="preserve"> </w:t>
      </w:r>
      <w:r>
        <w:t xml:space="preserve">additional increase in warming, the risks for society and nature will increase and become</w:t>
      </w:r>
      <w:r>
        <w:t xml:space="preserve"> </w:t>
      </w:r>
      <w:r>
        <w:t xml:space="preserve">more difficult to manage. The last eight years have been the warmest on record at global</w:t>
      </w:r>
      <w:r>
        <w:t xml:space="preserve"> </w:t>
      </w:r>
      <w:r>
        <w:t xml:space="preserve">level and 2023 was the warmest year with several regions of the globe seeing record-</w:t>
      </w:r>
    </w:p>
    <w:p>
      <w:pPr>
        <w:pStyle w:val="Compact"/>
        <w:numPr>
          <w:ilvl w:val="0"/>
          <w:numId w:val="1002"/>
        </w:numPr>
      </w:pPr>
      <w:r>
        <w:t xml:space="preserve">A safe operating space for societies is defined by planetary boundaries to man-made perturbation of</w:t>
      </w:r>
      <w:r>
        <w:t xml:space="preserve"> </w:t>
      </w:r>
      <w:r>
        <w:t xml:space="preserve">nine critical Earth-system processes: climate change, ocean acidification, stratospheric ozone, global</w:t>
      </w:r>
      <w:r>
        <w:t xml:space="preserve"> </w:t>
      </w:r>
      <w:r>
        <w:t xml:space="preserve">phosphorus and nitrogen cycles, atmospheric aerosol loading, freshwater use, land use change, biodiversity</w:t>
      </w:r>
      <w:r>
        <w:t xml:space="preserve"> </w:t>
      </w:r>
      <w:r>
        <w:t xml:space="preserve">loss, and chemical pollution. Crossing such boundaries can lead to catastrophic impacts for societies. See</w:t>
      </w:r>
      <w:r>
        <w:t xml:space="preserve"> </w:t>
      </w:r>
      <w:r>
        <w:t xml:space="preserve">Rockström J. et al., Planetary boundaries: Exploring the safe operating space for humanity. Ecol. Soc. 14,</w:t>
      </w:r>
      <w:r>
        <w:t xml:space="preserve"> </w:t>
      </w:r>
      <w:r>
        <w:t xml:space="preserve">32 (2009). http://www.ecologyandsociety.org/vol14/iss2/art32/</w:t>
      </w:r>
    </w:p>
    <w:p>
      <w:pPr>
        <w:pStyle w:val="Compact"/>
        <w:numPr>
          <w:ilvl w:val="0"/>
          <w:numId w:val="1002"/>
        </w:numPr>
      </w:pPr>
      <w:r>
        <w:t xml:space="preserve">Richardson, Katherine, Will Steffen, Wolfgang Lucht, Jørgen Bendtsen, Sarah E. Cornell, Jonathan F.</w:t>
      </w:r>
      <w:r>
        <w:t xml:space="preserve"> </w:t>
      </w:r>
      <w:r>
        <w:t xml:space="preserve">Donges, Markus Drüke et al. </w:t>
      </w:r>
      <w:r>
        <w:t xml:space="preserve">“Earth beyond six of nine planetary boundaries.”</w:t>
      </w:r>
      <w:r>
        <w:t xml:space="preserve"> </w:t>
      </w:r>
      <w:r>
        <w:t xml:space="preserve">Science Advances 9, no. 37</w:t>
      </w:r>
      <w:r>
        <w:t xml:space="preserve"> </w:t>
      </w:r>
      <w:r>
        <w:t xml:space="preserve">(2023): eadh2458.</w:t>
      </w:r>
    </w:p>
    <w:p>
      <w:pPr>
        <w:pStyle w:val="Compact"/>
        <w:numPr>
          <w:ilvl w:val="0"/>
          <w:numId w:val="1002"/>
        </w:numPr>
      </w:pPr>
      <w:r>
        <w:t xml:space="preserve">IPCC, 2023: Sections. In: Climate Change 2023: Synthesis Report. Contribution of Working Groups I,</w:t>
      </w:r>
      <w:r>
        <w:t xml:space="preserve"> </w:t>
      </w:r>
      <w:r>
        <w:t xml:space="preserve">II and III to the Sixth Assessment Report of the Intergovernmental Panel on Climate Change [Core Writing</w:t>
      </w:r>
      <w:r>
        <w:t xml:space="preserve"> </w:t>
      </w:r>
      <w:r>
        <w:t xml:space="preserve">Team, H. Lee and J. Romero (eds.)]. IPCC, Geneva, Switzerland, pp. 35-115, doi: 10.59327/IPCC/AR6-</w:t>
      </w:r>
      <w:r>
        <w:t xml:space="preserve"> </w:t>
      </w:r>
      <w:r>
        <w:t xml:space="preserve">9789291691647</w:t>
      </w:r>
    </w:p>
    <w:p>
      <w:pPr>
        <w:pStyle w:val="FirstParagraph"/>
      </w:pPr>
      <w:r>
        <w:t xml:space="preserve">9</w:t>
      </w:r>
    </w:p>
    <w:p>
      <w:pPr>
        <w:pStyle w:val="BodyText"/>
      </w:pPr>
      <w:r>
        <w:t xml:space="preserve">breaking temperatures (8). Globally, the year 2023 was 1.48oC warmer than the pre-</w:t>
      </w:r>
      <w:r>
        <w:t xml:space="preserve"> </w:t>
      </w:r>
      <w:r>
        <w:t xml:space="preserve">industrial level9. According to the World Meteorological Organization (10), Europe is</w:t>
      </w:r>
      <w:r>
        <w:t xml:space="preserve"> </w:t>
      </w:r>
      <w:r>
        <w:t xml:space="preserve">warming twice as fast as the global average, with annual average temperature reaching</w:t>
      </w:r>
      <w:r>
        <w:t xml:space="preserve"> </w:t>
      </w:r>
      <w:r>
        <w:t xml:space="preserve">2.3°C above pre-industrial (1850-1900) average in 2022, compared to the global average</w:t>
      </w:r>
      <w:r>
        <w:t xml:space="preserve"> </w:t>
      </w:r>
      <w:r>
        <w:t xml:space="preserve">of 1.15°C.</w:t>
      </w:r>
      <w:r>
        <w:t xml:space="preserve"> </w:t>
      </w:r>
      <w:r>
        <w:t xml:space="preserve">With current NDCs and policies, the world is not on track to meet the Paris Agreement</w:t>
      </w:r>
      <w:r>
        <w:t xml:space="preserve"> </w:t>
      </w:r>
      <w:r>
        <w:t xml:space="preserve">objectives of limiting the temperature increase to well below 2°C above pre-industrial</w:t>
      </w:r>
      <w:r>
        <w:t xml:space="preserve"> </w:t>
      </w:r>
      <w:r>
        <w:t xml:space="preserve">levels and pursuing efforts to limit the temperature increase to 1.5°C above pre-industrial</w:t>
      </w:r>
      <w:r>
        <w:t xml:space="preserve"> </w:t>
      </w:r>
      <w:r>
        <w:t xml:space="preserve">levels. Exceeding this threshold will result in additional adverse impacts, some of which</w:t>
      </w:r>
      <w:r>
        <w:t xml:space="preserve"> </w:t>
      </w:r>
      <w:r>
        <w:t xml:space="preserve">will be irreversible, and further constrain our adaptation options. Accelerated action is</w:t>
      </w:r>
      <w:r>
        <w:t xml:space="preserve"> </w:t>
      </w:r>
      <w:r>
        <w:t xml:space="preserve">essential to avoid the worst impacts of climate change and requires deep, rapid and</w:t>
      </w:r>
      <w:r>
        <w:t xml:space="preserve"> </w:t>
      </w:r>
      <w:r>
        <w:t xml:space="preserve">sustained greenhouse gas emissions reductions in all sectors and regions, while stepping</w:t>
      </w:r>
      <w:r>
        <w:t xml:space="preserve"> </w:t>
      </w:r>
      <w:r>
        <w:t xml:space="preserve">up adaptation efforts (11).</w:t>
      </w:r>
      <w:r>
        <w:t xml:space="preserve"> </w:t>
      </w:r>
      <w:r>
        <w:t xml:space="preserve">The experienced cost of climate change is continuously increasing, and with increasing</w:t>
      </w:r>
      <w:r>
        <w:t xml:space="preserve"> </w:t>
      </w:r>
      <w:r>
        <w:t xml:space="preserve">global warming, the impacts are expected to become even more severe and widespread in</w:t>
      </w:r>
      <w:r>
        <w:t xml:space="preserve"> </w:t>
      </w:r>
      <w:r>
        <w:t xml:space="preserve">the coming decades. Without urgent climate action globally, several parts of the climate</w:t>
      </w:r>
      <w:r>
        <w:t xml:space="preserve"> </w:t>
      </w:r>
      <w:r>
        <w:t xml:space="preserve">system are increasingly likely to reach irreversible tipping points, with devastating</w:t>
      </w:r>
      <w:r>
        <w:t xml:space="preserve"> </w:t>
      </w:r>
      <w:r>
        <w:t xml:space="preserve">consequences, leading to uncharted and high-risk conditions for human and natural</w:t>
      </w:r>
      <w:r>
        <w:t xml:space="preserve"> </w:t>
      </w:r>
      <w:r>
        <w:t xml:space="preserve">systems. Heatwaves, floods, wildfires, and other climate-related factors are already</w:t>
      </w:r>
      <w:r>
        <w:t xml:space="preserve"> </w:t>
      </w:r>
      <w:r>
        <w:t xml:space="preserve">adversely affecting human health and well-being. All countries and regions are</w:t>
      </w:r>
      <w:r>
        <w:t xml:space="preserve"> </w:t>
      </w:r>
      <w:r>
        <w:t xml:space="preserve">concerned, but least developed regions and low-income population groups are</w:t>
      </w:r>
      <w:r>
        <w:t xml:space="preserve"> </w:t>
      </w:r>
      <w:r>
        <w:t xml:space="preserve">particularly exposed and vulnerable to climate change.</w:t>
      </w:r>
      <w:r>
        <w:br/>
      </w:r>
      <w:r>
        <w:t xml:space="preserve">It is estimated that global damages from climate change could reach 10-12% of GDP by</w:t>
      </w:r>
      <w:r>
        <w:t xml:space="preserve"> </w:t>
      </w:r>
      <w:r>
        <w:t xml:space="preserve">the end of the century. However, such estimates are conservative, since they do not</w:t>
      </w:r>
      <w:r>
        <w:t xml:space="preserve"> </w:t>
      </w:r>
      <w:r>
        <w:t xml:space="preserve">include the wider impacts on society and natural systems, notably in the most exposed</w:t>
      </w:r>
      <w:r>
        <w:t xml:space="preserve"> </w:t>
      </w:r>
      <w:r>
        <w:t xml:space="preserve">countries and regions, with likely knock-on regional or global effects on geo-political</w:t>
      </w:r>
      <w:r>
        <w:t xml:space="preserve"> </w:t>
      </w:r>
      <w:r>
        <w:t xml:space="preserve">stability and security. In addition, given the difficulty in doing so, most economic</w:t>
      </w:r>
      <w:r>
        <w:t xml:space="preserve"> </w:t>
      </w:r>
      <w:r>
        <w:t xml:space="preserve">analyses do not represent the impacts of crossing climate tipping points, which are</w:t>
      </w:r>
      <w:r>
        <w:t xml:space="preserve"> </w:t>
      </w:r>
      <w:r>
        <w:t xml:space="preserve">increasingly likely with every incremental increase in global warming, and which will</w:t>
      </w:r>
      <w:r>
        <w:t xml:space="preserve"> </w:t>
      </w:r>
      <w:r>
        <w:t xml:space="preserve">significantly impact the global economy. Looking forwards, the cost of unmitigated</w:t>
      </w:r>
      <w:r>
        <w:t xml:space="preserve"> </w:t>
      </w:r>
      <w:r>
        <w:t xml:space="preserve">climate change will greatly exceed the cost of reducing GHG emissions, both in</w:t>
      </w:r>
      <w:r>
        <w:t xml:space="preserve"> </w:t>
      </w:r>
      <w:r>
        <w:t xml:space="preserve">magnitude and extent. A growing number of analyses and estimates point to the high</w:t>
      </w:r>
      <w:r>
        <w:t xml:space="preserve"> </w:t>
      </w:r>
      <w:r>
        <w:t xml:space="preserve">costs already incurred now by our economies due to floods, droughts, heatwaves and</w:t>
      </w:r>
      <w:r>
        <w:t xml:space="preserve"> </w:t>
      </w:r>
      <w:r>
        <w:t xml:space="preserve">other climate change related events. And this is without taking into account the human</w:t>
      </w:r>
      <w:r>
        <w:t xml:space="preserve"> </w:t>
      </w:r>
      <w:r>
        <w:t xml:space="preserve">suffering caused by these events.</w:t>
      </w:r>
    </w:p>
    <w:p>
      <w:pPr>
        <w:pStyle w:val="Compact"/>
        <w:numPr>
          <w:ilvl w:val="0"/>
          <w:numId w:val="1003"/>
        </w:numPr>
      </w:pPr>
      <w:r>
        <w:t xml:space="preserve">European State of the Climate 2022 | Copernicus</w:t>
      </w:r>
    </w:p>
    <w:p>
      <w:pPr>
        <w:pStyle w:val="Compact"/>
        <w:numPr>
          <w:ilvl w:val="0"/>
          <w:numId w:val="1003"/>
        </w:numPr>
      </w:pPr>
      <w:r>
        <w:t xml:space="preserve">https://climate.copernicus.eu/global-climate-highlights-2023</w:t>
      </w:r>
    </w:p>
    <w:p>
      <w:pPr>
        <w:pStyle w:val="Compact"/>
        <w:numPr>
          <w:ilvl w:val="0"/>
          <w:numId w:val="1003"/>
        </w:numPr>
      </w:pPr>
      <w:r>
        <w:t xml:space="preserve">World Meteorological Organization, 2023. State of the Climate in Europe. WMO-No. 1320.</w:t>
      </w:r>
    </w:p>
    <w:p>
      <w:pPr>
        <w:pStyle w:val="Compact"/>
        <w:numPr>
          <w:ilvl w:val="0"/>
          <w:numId w:val="1003"/>
        </w:numPr>
      </w:pPr>
      <w:r>
        <w:t xml:space="preserve">IPCC. AR6 Synthesis Report: Climate Change 2023; AR6 Climate Change 2022: Impacts, Adaptation</w:t>
      </w:r>
      <w:r>
        <w:t xml:space="preserve"> </w:t>
      </w:r>
      <w:r>
        <w:t xml:space="preserve">and Vulnerability; AR6 Climate Change 2022: Mitigation of Climate Change; AR6 Climate Change 2022:</w:t>
      </w:r>
      <w:r>
        <w:t xml:space="preserve"> </w:t>
      </w:r>
      <w:r>
        <w:t xml:space="preserve">The Physical Science Basis.</w:t>
      </w:r>
    </w:p>
    <w:p>
      <w:pPr>
        <w:pStyle w:val="FirstParagraph"/>
      </w:pPr>
      <w:r>
        <w:t xml:space="preserve">10</w:t>
      </w:r>
    </w:p>
    <w:p>
      <w:pPr>
        <w:pStyle w:val="BodyText"/>
      </w:pPr>
      <w:r>
        <w:t xml:space="preserve">1.3</w:t>
      </w:r>
      <w:r>
        <w:t xml:space="preserve"> </w:t>
      </w:r>
      <w:r>
        <w:t xml:space="preserve">International context</w:t>
      </w:r>
      <w:r>
        <w:t xml:space="preserve"> </w:t>
      </w:r>
      <w:r>
        <w:t xml:space="preserve">The urgent need for stronger action to tackle climate change comes at a time of multiple</w:t>
      </w:r>
      <w:r>
        <w:t xml:space="preserve"> </w:t>
      </w:r>
      <w:r>
        <w:t xml:space="preserve">global crises. The COVID-19 pandemic severely hit the global economy, especially in</w:t>
      </w:r>
      <w:r>
        <w:t xml:space="preserve"> </w:t>
      </w:r>
      <w:r>
        <w:t xml:space="preserve">2020, and resulted in temporary GHG emissions reductions in the EU and across the</w:t>
      </w:r>
      <w:r>
        <w:t xml:space="preserve"> </w:t>
      </w:r>
      <w:r>
        <w:t xml:space="preserve">globe. Global emissions rebounded in 2021-2022 and reached a new high in 202212.</w:t>
      </w:r>
      <w:r>
        <w:t xml:space="preserve"> </w:t>
      </w:r>
      <w:r>
        <w:t xml:space="preserve">Globally, the longer lasting impacts of the pandemic, including increases in extreme</w:t>
      </w:r>
      <w:r>
        <w:t xml:space="preserve"> </w:t>
      </w:r>
      <w:r>
        <w:t xml:space="preserve">poverty, gender and social inequality, and impacts on health exacerbate vulnerability to</w:t>
      </w:r>
      <w:r>
        <w:t xml:space="preserve"> </w:t>
      </w:r>
      <w:r>
        <w:t xml:space="preserve">climate change and lead to compound impacts. With the Fit-for-55 package, REPower</w:t>
      </w:r>
      <w:r>
        <w:t xml:space="preserve"> </w:t>
      </w:r>
      <w:r>
        <w:t xml:space="preserve">EU, NextGenerationEU and the Multiannual Financial Framework for 2021-2027, the</w:t>
      </w:r>
      <w:r>
        <w:t xml:space="preserve"> </w:t>
      </w:r>
      <w:r>
        <w:t xml:space="preserve">EU has developed a collective response to the economic crisis caused by the pandemic</w:t>
      </w:r>
      <w:r>
        <w:t xml:space="preserve"> </w:t>
      </w:r>
      <w:r>
        <w:t xml:space="preserve">that allows it to continue to drive the twin green and digital transition.</w:t>
      </w:r>
      <w:r>
        <w:br/>
      </w:r>
      <w:r>
        <w:t xml:space="preserve">The pandemic has also revealed global supply chain vulnerabilities. Increasing geo-</w:t>
      </w:r>
      <w:r>
        <w:t xml:space="preserve"> </w:t>
      </w:r>
      <w:r>
        <w:t xml:space="preserve">economic and geopolitical tensions, together with Russia’s illegal, unprovoked, and</w:t>
      </w:r>
      <w:r>
        <w:t xml:space="preserve"> </w:t>
      </w:r>
      <w:r>
        <w:t xml:space="preserve">unjustified war of aggression against Ukraine, are further impacting global trade and</w:t>
      </w:r>
      <w:r>
        <w:t xml:space="preserve"> </w:t>
      </w:r>
      <w:r>
        <w:t xml:space="preserve">investment flows, increasing the risk of trade restrictions and supply chain disruptions.</w:t>
      </w:r>
      <w:r>
        <w:t xml:space="preserve"> </w:t>
      </w:r>
      <w:r>
        <w:t xml:space="preserve">These developments highlight the vulnerability that can result from dependencies in</w:t>
      </w:r>
      <w:r>
        <w:t xml:space="preserve"> </w:t>
      </w:r>
      <w:r>
        <w:t xml:space="preserve">strategically important sectors, including access to critical raw materials, which are</w:t>
      </w:r>
      <w:r>
        <w:t xml:space="preserve"> </w:t>
      </w:r>
      <w:r>
        <w:t xml:space="preserve">necessary for the twin transition (13). As other countries grasp the strategic importance of</w:t>
      </w:r>
      <w:r>
        <w:t xml:space="preserve"> </w:t>
      </w:r>
      <w:r>
        <w:t xml:space="preserve">decarbonising their economies, there is intense competition for the materials, skills,</w:t>
      </w:r>
      <w:r>
        <w:t xml:space="preserve"> </w:t>
      </w:r>
      <w:r>
        <w:t xml:space="preserve">technologies and investments needed to secure essential supply chains and for a share of</w:t>
      </w:r>
      <w:r>
        <w:t xml:space="preserve"> </w:t>
      </w:r>
      <w:r>
        <w:t xml:space="preserve">the global market of the products and services of the future.</w:t>
      </w:r>
      <w:r>
        <w:br/>
      </w:r>
      <w:r>
        <w:t xml:space="preserve">As a response, Europe is taking necessary steps towards open strategic autonomy to</w:t>
      </w:r>
      <w:r>
        <w:t xml:space="preserve"> </w:t>
      </w:r>
      <w:r>
        <w:t xml:space="preserve">protect its strategic interests and collective security, and to strengthen the resilience of its</w:t>
      </w:r>
      <w:r>
        <w:t xml:space="preserve"> </w:t>
      </w:r>
      <w:r>
        <w:t xml:space="preserve">supply chains to external shocks, including through stronger international cooperation</w:t>
      </w:r>
      <w:r>
        <w:t xml:space="preserve"> </w:t>
      </w:r>
      <w:r>
        <w:t xml:space="preserve">with likeminded third countries and the proposed Net Zero Industry Act and European</w:t>
      </w:r>
      <w:r>
        <w:t xml:space="preserve"> </w:t>
      </w:r>
      <w:r>
        <w:t xml:space="preserve">Critical Raw Materials Act. The EU is investing in European industrial capacity to</w:t>
      </w:r>
      <w:r>
        <w:t xml:space="preserve"> </w:t>
      </w:r>
      <w:r>
        <w:t xml:space="preserve">manufacture net-zero technologies and in deploying these technologies to meet the EU’s</w:t>
      </w:r>
      <w:r>
        <w:t xml:space="preserve"> </w:t>
      </w:r>
      <w:r>
        <w:t xml:space="preserve">2050 climate objective.</w:t>
      </w:r>
      <w:r>
        <w:br/>
      </w:r>
      <w:r>
        <w:t xml:space="preserve">The high energy prices and geopolitical tensions following Russia’s military aggression</w:t>
      </w:r>
      <w:r>
        <w:t xml:space="preserve"> </w:t>
      </w:r>
      <w:r>
        <w:t xml:space="preserve">against Ukraine have exacerbated the need for the EU to ensure its energy security and</w:t>
      </w:r>
      <w:r>
        <w:t xml:space="preserve"> </w:t>
      </w:r>
      <w:r>
        <w:t xml:space="preserve">robustness of its supply chains for raw materials and net-zero technologies. This has</w:t>
      </w:r>
      <w:r>
        <w:t xml:space="preserve"> </w:t>
      </w:r>
      <w:r>
        <w:t xml:space="preserve">highlighted the economic and strategic vulnerabilities that come with dependence on</w:t>
      </w:r>
      <w:r>
        <w:t xml:space="preserve"> </w:t>
      </w:r>
      <w:r>
        <w:t xml:space="preserve">fossil fuels, the main drivers of climate change. The energy crisis brought about by the</w:t>
      </w:r>
      <w:r>
        <w:t xml:space="preserve"> </w:t>
      </w:r>
      <w:r>
        <w:t xml:space="preserve">war has made very clear the need to step up the transition to clean energy, energy</w:t>
      </w:r>
    </w:p>
    <w:p>
      <w:pPr>
        <w:pStyle w:val="Compact"/>
        <w:numPr>
          <w:ilvl w:val="0"/>
          <w:numId w:val="1004"/>
        </w:numPr>
      </w:pPr>
      <w:r>
        <w:t xml:space="preserve">Total GHG emissions (without LULUCF) reached 53.8 GtCO2-eq in 2022. See JRC EDGAR database</w:t>
      </w:r>
      <w:r>
        <w:t xml:space="preserve"> </w:t>
      </w:r>
      <w:r>
        <w:t xml:space="preserve">and report: GHG emissions of all world countries, Publications Office of the European Union,</w:t>
      </w:r>
      <w:r>
        <w:t xml:space="preserve"> </w:t>
      </w:r>
      <w:r>
        <w:t xml:space="preserve">Luxembourg, 2023, doi:10.2760/953322, JRC134504.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2023 Strategic Foresight Report: Sustainability and people’s wellbeing at the heart of Europe’s Open</w:t>
      </w:r>
      <w:r>
        <w:t xml:space="preserve"> </w:t>
      </w:r>
      <w:r>
        <w:t xml:space="preserve">Strategic Autonomy.</w:t>
      </w:r>
    </w:p>
    <w:p>
      <w:pPr>
        <w:pStyle w:val="FirstParagraph"/>
      </w:pPr>
      <w:r>
        <w:t xml:space="preserve">11</w:t>
      </w:r>
    </w:p>
    <w:p>
      <w:pPr>
        <w:pStyle w:val="BodyText"/>
      </w:pPr>
      <w:r>
        <w:t xml:space="preserve">efficiency and climate neutrality in the EU and globally (14) whilst avoiding the creation</w:t>
      </w:r>
      <w:r>
        <w:t xml:space="preserve"> </w:t>
      </w:r>
      <w:r>
        <w:t xml:space="preserve">of new strategic dependencies.</w:t>
      </w:r>
      <w:r>
        <w:br/>
      </w:r>
      <w:r>
        <w:t xml:space="preserve">The EU has intensified its Climate and Energy Diplomacy, guided by regular Council</w:t>
      </w:r>
      <w:r>
        <w:t xml:space="preserve"> </w:t>
      </w:r>
      <w:r>
        <w:t xml:space="preserve">Conclusions from the EU Foreign Affairs and Environment ministers. The 2022 EU</w:t>
      </w:r>
      <w:r>
        <w:t xml:space="preserve"> </w:t>
      </w:r>
      <w:r>
        <w:t xml:space="preserve">external energy engagement strategy as part of the REPowerEU Plan has been</w:t>
      </w:r>
      <w:r>
        <w:t xml:space="preserve"> </w:t>
      </w:r>
      <w:r>
        <w:t xml:space="preserve">strengthened, outlining how the EU supports a global, clean, and just energy transition to</w:t>
      </w:r>
      <w:r>
        <w:t xml:space="preserve"> </w:t>
      </w:r>
      <w:r>
        <w:t xml:space="preserve">ensure sustainable, secure and affordable energy. Meanwhile, however, in 2022 subsidies</w:t>
      </w:r>
      <w:r>
        <w:t xml:space="preserve"> </w:t>
      </w:r>
      <w:r>
        <w:t xml:space="preserve">for fossil-fuel consumption reached a record $7 trillion globally (7.1% of world GDP)</w:t>
      </w:r>
      <w:r>
        <w:t xml:space="preserve"> </w:t>
      </w:r>
      <w:r>
        <w:t xml:space="preserve">(15).</w:t>
      </w:r>
      <w:r>
        <w:t xml:space="preserve"> </w:t>
      </w:r>
      <w:r>
        <w:t xml:space="preserve">In December 2023 at COP28, the first Global Stocktake (GST) will assess (16) the</w:t>
      </w:r>
      <w:r>
        <w:t xml:space="preserve"> </w:t>
      </w:r>
      <w:r>
        <w:t xml:space="preserve">progress towards the goals of the Paris Agreement.</w:t>
      </w:r>
      <w:r>
        <w:br/>
      </w:r>
      <w:r>
        <w:t xml:space="preserve">1.4</w:t>
      </w:r>
      <w:r>
        <w:t xml:space="preserve"> </w:t>
      </w:r>
      <w:r>
        <w:t xml:space="preserve">Existing EU policy framework</w:t>
      </w:r>
      <w:r>
        <w:t xml:space="preserve"> </w:t>
      </w:r>
      <w:r>
        <w:t xml:space="preserve">1.4.1 Progress towards the 2030 climate target</w:t>
      </w:r>
      <w:r>
        <w:t xml:space="preserve"> </w:t>
      </w:r>
      <w:r>
        <w:t xml:space="preserve">Over the past decades, the EU has developed and regularly updated a comprehensive set</w:t>
      </w:r>
      <w:r>
        <w:t xml:space="preserve"> </w:t>
      </w:r>
      <w:r>
        <w:t xml:space="preserve">of climate, energy, and other relevant enabling policies that have allowed a decoupling of</w:t>
      </w:r>
      <w:r>
        <w:t xml:space="preserve"> </w:t>
      </w:r>
      <w:r>
        <w:t xml:space="preserve">economic activity from GHG emissions (Figure 1) and spurred the development of clean</w:t>
      </w:r>
      <w:r>
        <w:t xml:space="preserve"> </w:t>
      </w:r>
      <w:r>
        <w:t xml:space="preserve">energy (17).</w:t>
      </w:r>
      <w:r>
        <w:t xml:space="preserve"> </w:t>
      </w:r>
      <w:r>
        <w:t xml:space="preserve">Figure 1: GHG emissions and GDP development in the EU since 1990</w:t>
      </w:r>
    </w:p>
    <w:p>
      <w:pPr>
        <w:pStyle w:val="BodyText"/>
      </w:pPr>
      <w:r>
        <w:t xml:space="preserve">Source: GHG from EEA GHG data viewer (extracted 20/6/2023), GDP in real terms from AMECO and WB</w:t>
      </w:r>
    </w:p>
    <w:p>
      <w:pPr>
        <w:pStyle w:val="Compact"/>
        <w:numPr>
          <w:ilvl w:val="0"/>
          <w:numId w:val="1005"/>
        </w:numPr>
      </w:pPr>
      <w:r>
        <w:t xml:space="preserve">State of the Energy Union 2022. Report from the Commission to the European Parliament, the Council,</w:t>
      </w:r>
      <w:r>
        <w:t xml:space="preserve"> </w:t>
      </w:r>
      <w:r>
        <w:t xml:space="preserve">the European Economic and Social Committee and the Committee of the Regions.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Black, Simon, Antung Liu, Ian Parry, and Nate Vernon (2023). “IMF Fossil Fuel Subsidies Data: 2023</w:t>
      </w:r>
      <w:r>
        <w:t xml:space="preserve"> </w:t>
      </w:r>
      <w:r>
        <w:t xml:space="preserve">Update.” Working paper, IMF, Washington, DC.</w:t>
      </w:r>
    </w:p>
    <w:p>
      <w:pPr>
        <w:pStyle w:val="Compact"/>
        <w:numPr>
          <w:ilvl w:val="0"/>
          <w:numId w:val="1005"/>
        </w:numPr>
      </w:pPr>
      <w:r>
        <w:t xml:space="preserve">[Placeholder for GST conclusions]</w:t>
      </w:r>
    </w:p>
    <w:p>
      <w:pPr>
        <w:pStyle w:val="Compact"/>
        <w:numPr>
          <w:ilvl w:val="0"/>
          <w:numId w:val="1005"/>
        </w:numPr>
      </w:pPr>
      <w:r>
        <w:t xml:space="preserve">Annex 10 provides a summary of the evolution of GHG emissions under the different climate</w:t>
      </w:r>
      <w:r>
        <w:t xml:space="preserve"> </w:t>
      </w:r>
      <w:r>
        <w:t xml:space="preserve">legislation instruments and of the energy system. A more detailed analysis can be found in the Climate</w:t>
      </w:r>
      <w:r>
        <w:t xml:space="preserve"> </w:t>
      </w:r>
      <w:r>
        <w:t xml:space="preserve">Action Progress Report (GHG emissions) and in the State of the Energy Union Report (energy).</w:t>
      </w:r>
      <w:r>
        <w:t xml:space="preserve"> </w:t>
      </w:r>
      <w:r>
        <w:t xml:space="preserve">67</w:t>
      </w:r>
      <w:r>
        <w:t xml:space="preserve"> </w:t>
      </w:r>
      <w:r>
        <w:t xml:space="preserve">-32</w:t>
      </w:r>
      <w:r>
        <w:t xml:space="preserve"> </w:t>
      </w:r>
      <w:r>
        <w:t xml:space="preserve">-40</w:t>
      </w:r>
      <w:r>
        <w:t xml:space="preserve"> </w:t>
      </w:r>
      <w:r>
        <w:t xml:space="preserve">-20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1990 1992 1994 1998 2000 2002 2004 2006 2008 2010 2012 2014 2016 2018 2020 2022</w:t>
      </w:r>
      <w:r>
        <w:t xml:space="preserve"> </w:t>
      </w:r>
      <w:r>
        <w:t xml:space="preserve">% vs 1990</w:t>
      </w:r>
      <w:r>
        <w:t xml:space="preserve"> </w:t>
      </w:r>
      <w:r>
        <w:t xml:space="preserve">GDP</w:t>
      </w:r>
      <w:r>
        <w:t xml:space="preserve"> </w:t>
      </w:r>
      <w:r>
        <w:t xml:space="preserve">GHG emissions</w:t>
      </w:r>
    </w:p>
    <w:p>
      <w:pPr>
        <w:pStyle w:val="FirstParagraph"/>
      </w:pPr>
      <w:r>
        <w:t xml:space="preserve">12</w:t>
      </w:r>
    </w:p>
    <w:p>
      <w:pPr>
        <w:pStyle w:val="BodyText"/>
      </w:pPr>
      <w:r>
        <w:t xml:space="preserve">Provisional data (18) for 2022 show that total EU net GHG emissions decreased by</w:t>
      </w:r>
      <w:r>
        <w:t xml:space="preserve"> </w:t>
      </w:r>
      <w:r>
        <w:t xml:space="preserve">around 3% compared to 2021, whilst EU GDP grew by 3.5%. 2022 emissions therefore</w:t>
      </w:r>
      <w:r>
        <w:t xml:space="preserve"> </w:t>
      </w:r>
      <w:r>
        <w:t xml:space="preserve">continued their descending trend with reductions compared to 2019 of 5.6%. Emissions</w:t>
      </w:r>
      <w:r>
        <w:t xml:space="preserve"> </w:t>
      </w:r>
      <w:r>
        <w:t xml:space="preserve">covered by the current ETS reduced by 0.2% compared to 2021 (and are 8% below the</w:t>
      </w:r>
      <w:r>
        <w:t xml:space="preserve"> </w:t>
      </w:r>
      <w:r>
        <w:t xml:space="preserve">2019 pre-COVID and pre-war level) while emissions under the ESR, decreased by 2.9%.</w:t>
      </w:r>
      <w:r>
        <w:t xml:space="preserve"> </w:t>
      </w:r>
      <w:r>
        <w:t xml:space="preserve">Net removals from the Land Use, Land-use Change and Forestry (LULUCF) sector show</w:t>
      </w:r>
      <w:r>
        <w:t xml:space="preserve"> </w:t>
      </w:r>
      <w:r>
        <w:t xml:space="preserve">a break In their recent declining trend, with an expected increase in carbon sinks of 6%</w:t>
      </w:r>
      <w:r>
        <w:t xml:space="preserve"> </w:t>
      </w:r>
      <w:r>
        <w:t xml:space="preserve">compared to 2021.</w:t>
      </w:r>
      <w:r>
        <w:t xml:space="preserve"> </w:t>
      </w:r>
      <w:r>
        <w:t xml:space="preserve">Exceptional events over the last 3 to 4 years have made the assessment of GHG emission</w:t>
      </w:r>
      <w:r>
        <w:t xml:space="preserve"> </w:t>
      </w:r>
      <w:r>
        <w:t xml:space="preserve">trends more complex and continue to have an impact on 2022 emissions. The COVID-19</w:t>
      </w:r>
      <w:r>
        <w:t xml:space="preserve"> </w:t>
      </w:r>
      <w:r>
        <w:t xml:space="preserve">lockdowns and restrictions led to an unprecedented but temporary drop in GHG</w:t>
      </w:r>
      <w:r>
        <w:t xml:space="preserve"> </w:t>
      </w:r>
      <w:r>
        <w:t xml:space="preserve">emissions of 8% in 2020. In 2021, the economic recovery affected regions and sectors</w:t>
      </w:r>
      <w:r>
        <w:t xml:space="preserve"> </w:t>
      </w:r>
      <w:r>
        <w:t xml:space="preserve">differently. Some sectors, such as the transport sector and travel-related emissions,</w:t>
      </w:r>
      <w:r>
        <w:t xml:space="preserve"> </w:t>
      </w:r>
      <w:r>
        <w:t xml:space="preserve">recovered fully only in 2022. The energy crisis that started in 2021 continued in 2022,</w:t>
      </w:r>
      <w:r>
        <w:t xml:space="preserve"> </w:t>
      </w:r>
      <w:r>
        <w:t xml:space="preserve">exacerbated by Russia’s unprovoked and unjustified invasion of Ukraine, which drove</w:t>
      </w:r>
      <w:r>
        <w:t xml:space="preserve"> </w:t>
      </w:r>
      <w:r>
        <w:t xml:space="preserve">energy prices to record highs, particularly gas prices.</w:t>
      </w:r>
      <w:r>
        <w:t xml:space="preserve"> </w:t>
      </w:r>
      <w:r>
        <w:t xml:space="preserve">Overall, the EU’s domestic GHG net emissions are on a clear downward path, falling</w:t>
      </w:r>
      <w:r>
        <w:t xml:space="preserve"> </w:t>
      </w:r>
      <w:r>
        <w:t xml:space="preserve">steadily over the last 5 years. The transformation of the energy sector has been the main</w:t>
      </w:r>
      <w:r>
        <w:t xml:space="preserve"> </w:t>
      </w:r>
      <w:r>
        <w:t xml:space="preserve">driver of the decarbonisation of the EU economy over the last decades, through</w:t>
      </w:r>
      <w:r>
        <w:t xml:space="preserve"> </w:t>
      </w:r>
      <w:r>
        <w:t xml:space="preserve">improvement of the energy intensity of the economic activity and decarbonisation of the</w:t>
      </w:r>
      <w:r>
        <w:t xml:space="preserve"> </w:t>
      </w:r>
      <w:r>
        <w:t xml:space="preserve">energy mix (19).</w:t>
      </w:r>
      <w:r>
        <w:br/>
      </w:r>
      <w:r>
        <w:t xml:space="preserve">Still, in view of meeting the 2030 climate target, the pace of emission reductions will</w:t>
      </w:r>
      <w:r>
        <w:t xml:space="preserve"> </w:t>
      </w:r>
      <w:r>
        <w:t xml:space="preserve">need to pick up and almost triple the average annual reduction achieved over the last</w:t>
      </w:r>
      <w:r>
        <w:t xml:space="preserve"> </w:t>
      </w:r>
      <w:r>
        <w:t xml:space="preserve">decade. Relative to past mitigation efforts, the most significant cuts in emissions are</w:t>
      </w:r>
      <w:r>
        <w:t xml:space="preserve"> </w:t>
      </w:r>
      <w:r>
        <w:t xml:space="preserve">needed in buildings and transport, where the pace of decarbonisation has remained</w:t>
      </w:r>
      <w:r>
        <w:t xml:space="preserve"> </w:t>
      </w:r>
      <w:r>
        <w:t xml:space="preserve">sluggish or even moving in the opposite direction. At the same time, action in the</w:t>
      </w:r>
      <w:r>
        <w:t xml:space="preserve"> </w:t>
      </w:r>
      <w:r>
        <w:t xml:space="preserve">LULUCF sector is essential to enhance carbon removals. Although reaching the</w:t>
      </w:r>
      <w:r>
        <w:t xml:space="preserve"> </w:t>
      </w:r>
      <w:r>
        <w:t xml:space="preserve">emissions cuts required from agriculture looks achievable when looking at the evolution</w:t>
      </w:r>
      <w:r>
        <w:t xml:space="preserve"> </w:t>
      </w:r>
      <w:r>
        <w:t xml:space="preserve">over the past three decades, the lack of substantial progress in recent years is a concern,</w:t>
      </w:r>
      <w:r>
        <w:t xml:space="preserve"> </w:t>
      </w:r>
      <w:r>
        <w:t xml:space="preserve">calling for a gear change. (20)</w:t>
      </w:r>
      <w:r>
        <w:t xml:space="preserve"> </w:t>
      </w:r>
      <w:r>
        <w:t xml:space="preserve">The energy crisis highlighted how dependence on imported fossil fuels makes Europe</w:t>
      </w:r>
      <w:r>
        <w:t xml:space="preserve"> </w:t>
      </w:r>
      <w:r>
        <w:t xml:space="preserve">vulnerable to geopolitical threats. The EU responded collectively and effectively to</w:t>
      </w:r>
      <w:r>
        <w:t xml:space="preserve"> </w:t>
      </w:r>
      <w:r>
        <w:t xml:space="preserve">Russia’s weaponisation of its energy supplies. A series of emergency legislative</w:t>
      </w:r>
      <w:r>
        <w:t xml:space="preserve"> </w:t>
      </w:r>
      <w:r>
        <w:t xml:space="preserve">measures ensured that Europe avoided major energy supply disruptions and is now better</w:t>
      </w:r>
      <w:r>
        <w:t xml:space="preserve"> </w:t>
      </w:r>
      <w:r>
        <w:t xml:space="preserve">prepared. However, deeper structural changes are needed to mitigate Europe’s</w:t>
      </w:r>
    </w:p>
    <w:p>
      <w:pPr>
        <w:pStyle w:val="Compact"/>
        <w:numPr>
          <w:ilvl w:val="0"/>
          <w:numId w:val="1006"/>
        </w:numPr>
      </w:pPr>
      <w:r>
        <w:t xml:space="preserve">The Governance Regulation ((EU) 2018/1999) requires Member States to report approximated GHG</w:t>
      </w:r>
      <w:r>
        <w:t xml:space="preserve"> </w:t>
      </w:r>
      <w:r>
        <w:t xml:space="preserve">inventories annually by 31 July. Based on this reported data, the EEA compiles a Union approximated</w:t>
      </w:r>
      <w:r>
        <w:t xml:space="preserve"> </w:t>
      </w:r>
      <w:r>
        <w:t xml:space="preserve">GHG inventory or, if a Member State has not communicated its approximated GHG emissions by that date,</w:t>
      </w:r>
      <w:r>
        <w:t xml:space="preserve"> </w:t>
      </w:r>
      <w:r>
        <w:t xml:space="preserve">on the basis of EEA’s own estimates. This provides an early estimate of GHG emissions ahead of the full</w:t>
      </w:r>
      <w:r>
        <w:t xml:space="preserve"> </w:t>
      </w:r>
      <w:r>
        <w:t xml:space="preserve">GHG inventory.</w:t>
      </w:r>
    </w:p>
    <w:p>
      <w:pPr>
        <w:pStyle w:val="Compact"/>
        <w:numPr>
          <w:ilvl w:val="0"/>
          <w:numId w:val="1006"/>
        </w:numPr>
      </w:pPr>
      <w:r>
        <w:t xml:space="preserve">Climate Action Progress Report 2023 accompanying SWD. Section 3.2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Climate Action Progress Report 2023</w:t>
      </w:r>
    </w:p>
    <w:p>
      <w:pPr>
        <w:pStyle w:val="FirstParagraph"/>
      </w:pPr>
      <w:r>
        <w:t xml:space="preserve">13</w:t>
      </w:r>
    </w:p>
    <w:p>
      <w:pPr>
        <w:pStyle w:val="BodyText"/>
      </w:pPr>
      <w:r>
        <w:t xml:space="preserve">vulnerability. The EU needs to accelerate the energy transition to ensure affordable,</w:t>
      </w:r>
      <w:r>
        <w:t xml:space="preserve"> </w:t>
      </w:r>
      <w:r>
        <w:t xml:space="preserve">reliable access to energy for households and businesses.</w:t>
      </w:r>
      <w:r>
        <w:t xml:space="preserve"> </w:t>
      </w:r>
      <w:r>
        <w:t xml:space="preserve">The “Fit for 55” package sets the EU on a path to reach its climate targets in a fair, cost-</w:t>
      </w:r>
      <w:r>
        <w:t xml:space="preserve"> </w:t>
      </w:r>
      <w:r>
        <w:t xml:space="preserve">effective, and competitive way. Most of the key proposals in the package have been</w:t>
      </w:r>
      <w:r>
        <w:t xml:space="preserve"> </w:t>
      </w:r>
      <w:r>
        <w:t xml:space="preserve">adopted by co-legislators and EU policies are now aligned with the updated 2030 target</w:t>
      </w:r>
      <w:r>
        <w:t xml:space="preserve"> </w:t>
      </w:r>
      <w:r>
        <w:t xml:space="preserve">set in the European Climate Law. Implementing the new legislation under the Fit for 55</w:t>
      </w:r>
      <w:r>
        <w:t xml:space="preserve"> </w:t>
      </w:r>
      <w:r>
        <w:t xml:space="preserve">package will enable the EU and its Member States to reduce net GHG emissions by at</w:t>
      </w:r>
      <w:r>
        <w:t xml:space="preserve"> </w:t>
      </w:r>
      <w:r>
        <w:t xml:space="preserve">least 55% compared to 1990 levels by 2030 (21).</w:t>
      </w:r>
      <w:r>
        <w:t xml:space="preserve"> </w:t>
      </w:r>
      <w:r>
        <w:t xml:space="preserve">1.4.2 The “Fit for 55” package and the European Green Deal</w:t>
      </w:r>
      <w:r>
        <w:t xml:space="preserve"> </w:t>
      </w:r>
      <w:r>
        <w:t xml:space="preserve">The European Climate Law enshrines the EU’s commitment to become climate neutral</w:t>
      </w:r>
      <w:r>
        <w:t xml:space="preserve"> </w:t>
      </w:r>
      <w:r>
        <w:t xml:space="preserve">by 2050 in law, providing a clear direction of travel for the transition. It expresses the</w:t>
      </w:r>
      <w:r>
        <w:t xml:space="preserve"> </w:t>
      </w:r>
      <w:r>
        <w:t xml:space="preserve">EU’s commitment to reduce net GHG emissions by at least 55% in 2030 relative to 1990,</w:t>
      </w:r>
      <w:r>
        <w:t xml:space="preserve"> </w:t>
      </w:r>
      <w:r>
        <w:t xml:space="preserve">as the EU contribution to achieving the Paris Agreement goals. An essential part of the</w:t>
      </w:r>
      <w:r>
        <w:t xml:space="preserve"> </w:t>
      </w:r>
      <w:r>
        <w:t xml:space="preserve">European Green Deal, the ‘Fit for 55’ legislative package provided the policy framework</w:t>
      </w:r>
      <w:r>
        <w:t xml:space="preserve"> </w:t>
      </w:r>
      <w:r>
        <w:t xml:space="preserve">to meet the 2030 climate target, ensuring a just and socially fair transition, while</w:t>
      </w:r>
      <w:r>
        <w:t xml:space="preserve"> </w:t>
      </w:r>
      <w:r>
        <w:t xml:space="preserve">strengthening innovation and preserving the competitiveness of EU industry (22).</w:t>
      </w:r>
    </w:p>
    <w:p>
      <w:pPr>
        <w:pStyle w:val="BodyText"/>
      </w:pPr>
      <w:r>
        <w:t xml:space="preserve">The Fit-for-55 package includes the following adopted or agreed proposals: reform of</w:t>
      </w:r>
      <w:r>
        <w:t xml:space="preserve"> </w:t>
      </w:r>
      <w:r>
        <w:t xml:space="preserve">the EU Emissions Trading System (ETS) and the Market Stability Reserve (MSR); a</w:t>
      </w:r>
      <w:r>
        <w:t xml:space="preserve"> </w:t>
      </w:r>
      <w:r>
        <w:t xml:space="preserve">new, self-standing ETS for buildings, road transport and fuels for additional sectors</w:t>
      </w:r>
      <w:r>
        <w:t xml:space="preserve"> </w:t>
      </w:r>
      <w:r>
        <w:t xml:space="preserve">(ETS2); revised Effort Sharing Regulation (ESR); the Carbon Border Adjustment</w:t>
      </w:r>
      <w:r>
        <w:t xml:space="preserve"> </w:t>
      </w:r>
      <w:r>
        <w:t xml:space="preserve">Mechanism (CBAM); the Social Climate Fund (SCF); a revised Land Use, Land-Use</w:t>
      </w:r>
      <w:r>
        <w:t xml:space="preserve"> </w:t>
      </w:r>
      <w:r>
        <w:t xml:space="preserve">Change and Forestry (LULUCF) Regulation; updated CO2 emission standards for cars</w:t>
      </w:r>
      <w:r>
        <w:t xml:space="preserve"> </w:t>
      </w:r>
      <w:r>
        <w:t xml:space="preserve">and vans; the Alternative Fuel Infrastructure Regulation (AFIR); FuelEU Maritime;</w:t>
      </w:r>
      <w:r>
        <w:t xml:space="preserve"> </w:t>
      </w:r>
      <w:r>
        <w:t xml:space="preserve">ReFuelEU Aviation; the Energy Efficiency Directive (EED); Renewable Energy</w:t>
      </w:r>
      <w:r>
        <w:t xml:space="preserve"> </w:t>
      </w:r>
      <w:r>
        <w:t xml:space="preserve">Directive (RED); the Regulation on methane emissions reduction in the energy sector;</w:t>
      </w:r>
      <w:r>
        <w:t xml:space="preserve"> </w:t>
      </w:r>
      <w:r>
        <w:t xml:space="preserve">and the associated revision of the Regulation on Fluorinated Greenhouse Gases.</w:t>
      </w:r>
      <w:r>
        <w:br/>
      </w:r>
      <w:r>
        <w:t xml:space="preserve">The Fit-for-55 and associated proposals that are still under negotiation with the co-</w:t>
      </w:r>
      <w:r>
        <w:t xml:space="preserve"> </w:t>
      </w:r>
      <w:r>
        <w:t xml:space="preserve">legislators at the time of drafting this report are: the Energy Performance of Buildings</w:t>
      </w:r>
      <w:r>
        <w:t xml:space="preserve"> </w:t>
      </w:r>
      <w:r>
        <w:t xml:space="preserve">Directive (EPBD); the Hydrogen and decarbonised gas market package; the proposal for</w:t>
      </w:r>
      <w:r>
        <w:t xml:space="preserve"> </w:t>
      </w:r>
      <w:r>
        <w:t xml:space="preserve">a revised Energy Taxation Directive; and the revision of the Regulation on CO2 emission</w:t>
      </w:r>
      <w:r>
        <w:t xml:space="preserve"> </w:t>
      </w:r>
      <w:r>
        <w:t xml:space="preserve">standards for heavy-duty vehicles.</w:t>
      </w:r>
    </w:p>
    <w:p>
      <w:pPr>
        <w:pStyle w:val="Compact"/>
        <w:numPr>
          <w:ilvl w:val="0"/>
          <w:numId w:val="1007"/>
        </w:numPr>
      </w:pPr>
      <w:r>
        <w:t xml:space="preserve">The legislation as adopted is estimated to result in a net domestic reduction of GHG emissions of 57%</w:t>
      </w:r>
      <w:r>
        <w:t xml:space="preserve"> </w:t>
      </w:r>
      <w:r>
        <w:t xml:space="preserve">by 2030 compared to 1990. An overview of targets is presented in Chapter 1 of the staff working document</w:t>
      </w:r>
      <w:r>
        <w:t xml:space="preserve"> </w:t>
      </w:r>
      <w:r>
        <w:t xml:space="preserve">– ‘Technical information’ accompanying the Climate Action Progress Report 2023.</w:t>
      </w:r>
    </w:p>
    <w:p>
      <w:pPr>
        <w:pStyle w:val="Compact"/>
        <w:numPr>
          <w:ilvl w:val="0"/>
          <w:numId w:val="1007"/>
        </w:numPr>
      </w:pPr>
      <w:r>
        <w:t xml:space="preserve">This ambition has been mirrored by the EU’s closest neighbours (Western Balkans, Moldova, Ukraine</w:t>
      </w:r>
      <w:r>
        <w:t xml:space="preserve"> </w:t>
      </w:r>
      <w:r>
        <w:t xml:space="preserve">and Georgia) through the adoption of the 2030 climate targets, in line with the clean energy package, in the</w:t>
      </w:r>
      <w:r>
        <w:t xml:space="preserve"> </w:t>
      </w:r>
      <w:r>
        <w:t xml:space="preserve">framework of the Energy Community Initiative.</w:t>
      </w:r>
    </w:p>
    <w:p>
      <w:pPr>
        <w:pStyle w:val="FirstParagraph"/>
      </w:pPr>
      <w:r>
        <w:t xml:space="preserve">14</w:t>
      </w:r>
    </w:p>
    <w:p>
      <w:pPr>
        <w:pStyle w:val="BodyText"/>
      </w:pPr>
      <w:r>
        <w:t xml:space="preserve">REPowerEU plan, the EU’s reply to the energy crisis derived from Russia’s military</w:t>
      </w:r>
      <w:r>
        <w:t xml:space="preserve"> </w:t>
      </w:r>
      <w:r>
        <w:t xml:space="preserve">aggression against Ukraine, stepped up EU’s renewable energy and energy efficiency</w:t>
      </w:r>
      <w:r>
        <w:t xml:space="preserve"> </w:t>
      </w:r>
      <w:r>
        <w:t xml:space="preserve">ambitions. Renewables and energy efficiency measures reduce both emissions and</w:t>
      </w:r>
      <w:r>
        <w:t xml:space="preserve"> </w:t>
      </w:r>
      <w:r>
        <w:t xml:space="preserve">dependency on imported fuels: there is no contradiction between the Green Deal and</w:t>
      </w:r>
      <w:r>
        <w:t xml:space="preserve"> </w:t>
      </w:r>
      <w:r>
        <w:t xml:space="preserve">REPowerEU. The forthcoming final updates of the National Energy and Climate Plans,</w:t>
      </w:r>
      <w:r>
        <w:t xml:space="preserve"> </w:t>
      </w:r>
      <w:r>
        <w:t xml:space="preserve">to be submitted in June 2024, will also be a key instrument for Member States and the</w:t>
      </w:r>
      <w:r>
        <w:t xml:space="preserve"> </w:t>
      </w:r>
      <w:r>
        <w:t xml:space="preserve">EU to achieve the 2030 climate target.</w:t>
      </w:r>
      <w:r>
        <w:t xml:space="preserve"> </w:t>
      </w:r>
      <w:r>
        <w:t xml:space="preserve">The EU enabling framework to support the transition to climate neutrality has been</w:t>
      </w:r>
      <w:r>
        <w:t xml:space="preserve"> </w:t>
      </w:r>
      <w:r>
        <w:t xml:space="preserve">expanding. The EU Emissions Trading System (ETS) reduces emissions and generated</w:t>
      </w:r>
      <w:r>
        <w:t xml:space="preserve"> </w:t>
      </w:r>
      <w:r>
        <w:t xml:space="preserve">more than EUR 150 billion in auction revenues (23), which Member States are to use to</w:t>
      </w:r>
      <w:r>
        <w:t xml:space="preserve"> </w:t>
      </w:r>
      <w:r>
        <w:t xml:space="preserve">support climate action. At least 30% of the EU’s multiannual financial framework’ for</w:t>
      </w:r>
      <w:r>
        <w:t xml:space="preserve"> </w:t>
      </w:r>
      <w:r>
        <w:t xml:space="preserve">2021-2027 and of NextGenerationEU (potentially, over EUR 670 billion) are to be spent</w:t>
      </w:r>
      <w:r>
        <w:t xml:space="preserve"> </w:t>
      </w:r>
      <w:r>
        <w:t xml:space="preserve">on climate related investments. Increasing provisions to address the needs of the most</w:t>
      </w:r>
      <w:r>
        <w:t xml:space="preserve"> </w:t>
      </w:r>
      <w:r>
        <w:t xml:space="preserve">vulnerable include the Just Transition Fund for the most affected territories that must</w:t>
      </w:r>
      <w:r>
        <w:t xml:space="preserve"> </w:t>
      </w:r>
      <w:r>
        <w:t xml:space="preserve">cease fossil-fuel related activities, transform and restructure carbon-intensive industries,</w:t>
      </w:r>
      <w:r>
        <w:t xml:space="preserve"> </w:t>
      </w:r>
      <w:r>
        <w:t xml:space="preserve">and invest in future-proof jobs opportunities and training. The Social Climate Fund</w:t>
      </w:r>
      <w:r>
        <w:t xml:space="preserve"> </w:t>
      </w:r>
      <w:r>
        <w:t xml:space="preserve">supports social cohesion and will mobilise EUR 86.7 billion from 2026 to 2032 using</w:t>
      </w:r>
      <w:r>
        <w:t xml:space="preserve"> </w:t>
      </w:r>
      <w:r>
        <w:t xml:space="preserve">revenues from the ETS2, alongside the Modernisation Fund that supports clean energy</w:t>
      </w:r>
      <w:r>
        <w:t xml:space="preserve"> </w:t>
      </w:r>
      <w:r>
        <w:t xml:space="preserve">investments in lower-income Member States and the Innovation Fund, one of the world’s</w:t>
      </w:r>
      <w:r>
        <w:t xml:space="preserve"> </w:t>
      </w:r>
      <w:r>
        <w:t xml:space="preserve">largest funds for the demonstration of innovative net-zero technologies, with revenues</w:t>
      </w:r>
      <w:r>
        <w:t xml:space="preserve"> </w:t>
      </w:r>
      <w:r>
        <w:t xml:space="preserve">from the EU ETS.</w:t>
      </w:r>
      <w:r>
        <w:t xml:space="preserve"> </w:t>
      </w:r>
      <w:r>
        <w:t xml:space="preserve">The Green Deal Industrial Plan accelerates the transition to climate neutrality by</w:t>
      </w:r>
      <w:r>
        <w:t xml:space="preserve"> </w:t>
      </w:r>
      <w:r>
        <w:t xml:space="preserve">reinforcing European industry’s lead in the supply of clean technologies and products</w:t>
      </w:r>
      <w:r>
        <w:t xml:space="preserve"> </w:t>
      </w:r>
      <w:r>
        <w:t xml:space="preserve">while ensuring global cooperation and making trade work for the green transition. It</w:t>
      </w:r>
      <w:r>
        <w:t xml:space="preserve"> </w:t>
      </w:r>
      <w:r>
        <w:t xml:space="preserve">promotes a simpler and predictable framework for the skills and access to finance needed</w:t>
      </w:r>
      <w:r>
        <w:t xml:space="preserve"> </w:t>
      </w:r>
      <w:r>
        <w:t xml:space="preserve">for the transition. This includes making best use of the Innovation Fund, simplified</w:t>
      </w:r>
      <w:r>
        <w:t xml:space="preserve"> </w:t>
      </w:r>
      <w:r>
        <w:t xml:space="preserve">granting of State aid to accelerate the transition (24), the Net Zero Industry Act to</w:t>
      </w:r>
      <w:r>
        <w:t xml:space="preserve"> </w:t>
      </w:r>
      <w:r>
        <w:t xml:space="preserve">strengthen and scale-up European manufacturing capacity for net-zero technologies and</w:t>
      </w:r>
      <w:r>
        <w:t xml:space="preserve"> </w:t>
      </w:r>
      <w:r>
        <w:t xml:space="preserve">the Critical Raw Materials Act to ensure a secured and sustainable supply of raw</w:t>
      </w:r>
      <w:r>
        <w:t xml:space="preserve"> </w:t>
      </w:r>
      <w:r>
        <w:t xml:space="preserve">materials important for the green and digital transition.</w:t>
      </w:r>
      <w:r>
        <w:br/>
      </w:r>
      <w:r>
        <w:t xml:space="preserve">As a follow-up to the Farm to Fork Strategy and the Biodiversity Strategy for 2030, the</w:t>
      </w:r>
      <w:r>
        <w:t xml:space="preserve"> </w:t>
      </w:r>
      <w:r>
        <w:t xml:space="preserve">EU has also made several proposals to enhance nature-based solutions that can mitigate</w:t>
      </w:r>
      <w:r>
        <w:t xml:space="preserve"> </w:t>
      </w:r>
      <w:r>
        <w:t xml:space="preserve">climate change and enhance ecosystems’ resilience to climate change. Relevant</w:t>
      </w:r>
      <w:r>
        <w:t xml:space="preserve"> </w:t>
      </w:r>
      <w:r>
        <w:t xml:space="preserve">legislative and policy proposals include the Carbon Removal Certification Framework,</w:t>
      </w:r>
      <w:r>
        <w:t xml:space="preserve"> </w:t>
      </w:r>
      <w:r>
        <w:t xml:space="preserve">the Nature Restoration Law, the Circular Economy Action Plan, the Framework for</w:t>
      </w:r>
      <w:r>
        <w:t xml:space="preserve"> </w:t>
      </w:r>
      <w:r>
        <w:t xml:space="preserve">Sustainable Food Systems, and the Soil Monitoring Law.</w:t>
      </w:r>
    </w:p>
    <w:p>
      <w:pPr>
        <w:pStyle w:val="Compact"/>
        <w:numPr>
          <w:ilvl w:val="0"/>
          <w:numId w:val="1008"/>
        </w:numPr>
      </w:pPr>
      <w:r>
        <w:t xml:space="preserve">Revenues from the ETS calculated in the period 2012-2022 and until 31 August 2023 (COM(2019) 557</w:t>
      </w:r>
      <w:r>
        <w:t xml:space="preserve"> </w:t>
      </w:r>
      <w:r>
        <w:t xml:space="preserve">final/2, COM(2020) 740 final, SWD(2021) 308 final, and EEX for most recent data).</w:t>
      </w:r>
    </w:p>
    <w:p>
      <w:pPr>
        <w:pStyle w:val="Compact"/>
        <w:numPr>
          <w:ilvl w:val="0"/>
          <w:numId w:val="1008"/>
        </w:numPr>
      </w:pPr>
      <w:r>
        <w:t xml:space="preserve">There are possibilities for simplified granting of State aid under the Temporary Crisis and Transition</w:t>
      </w:r>
      <w:r>
        <w:t xml:space="preserve"> </w:t>
      </w:r>
      <w:r>
        <w:t xml:space="preserve">Framework and the recently revised General Block Exemption Regulation. While State aid can help</w:t>
      </w:r>
      <w:r>
        <w:t xml:space="preserve"> </w:t>
      </w:r>
      <w:r>
        <w:t xml:space="preserve">incentivise and accelerate the green transition by supporting relevant initiatives, it needs to comply with the</w:t>
      </w:r>
      <w:r>
        <w:t xml:space="preserve"> </w:t>
      </w:r>
      <w:r>
        <w:t xml:space="preserve">applicable rules, which foresee among others, that it should be limited to the minimum amount necessary</w:t>
      </w:r>
      <w:r>
        <w:t xml:space="preserve"> </w:t>
      </w:r>
      <w:r>
        <w:t xml:space="preserve">and that it should address situations where State intervention is needed, e.g. due to the presence of market</w:t>
      </w:r>
      <w:r>
        <w:t xml:space="preserve"> </w:t>
      </w:r>
      <w:r>
        <w:t xml:space="preserve">failures.</w:t>
      </w:r>
    </w:p>
    <w:p>
      <w:pPr>
        <w:pStyle w:val="FirstParagraph"/>
      </w:pPr>
      <w:r>
        <w:t xml:space="preserve">15</w:t>
      </w:r>
    </w:p>
    <w:p>
      <w:pPr>
        <w:pStyle w:val="BodyText"/>
      </w:pPr>
      <w:r>
        <w:t xml:space="preserve">This comprehensive framework should enable the EU to meet its commitments under the</w:t>
      </w:r>
      <w:r>
        <w:t xml:space="preserve"> </w:t>
      </w:r>
      <w:r>
        <w:t xml:space="preserve">Paris Agreement. In doing so, it provides an important example to encourage other</w:t>
      </w:r>
      <w:r>
        <w:t xml:space="preserve"> </w:t>
      </w:r>
      <w:r>
        <w:t xml:space="preserve">Parties to the United Nations Framework Convention on Climate Change (UNFCCC) to</w:t>
      </w:r>
      <w:r>
        <w:t xml:space="preserve"> </w:t>
      </w:r>
      <w:r>
        <w:t xml:space="preserve">take more ambitious commitments and put in place the measures needed to implement</w:t>
      </w:r>
      <w:r>
        <w:t xml:space="preserve"> </w:t>
      </w:r>
      <w:r>
        <w:t xml:space="preserve">these, driving the global transition to climate neutrality.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br/>
      </w:r>
      <w:r>
        <w:t xml:space="preserve">The core problem this initiative aims to tackle is the absence of an EU-wide, economy-</w:t>
      </w:r>
      <w:r>
        <w:t xml:space="preserve"> </w:t>
      </w:r>
      <w:r>
        <w:t xml:space="preserve">wide ambition level for 2040, in terms of net greenhouse gas emission reduction, as an</w:t>
      </w:r>
      <w:r>
        <w:t xml:space="preserve"> </w:t>
      </w:r>
      <w:r>
        <w:t xml:space="preserve">interim target to climate neutrality in 2050.</w:t>
      </w:r>
      <w:r>
        <w:br/>
      </w:r>
      <w:r>
        <w:t xml:space="preserve">An intermediate climate target for 2040 needs to be set to provide much needed</w:t>
      </w:r>
      <w:r>
        <w:t xml:space="preserve"> </w:t>
      </w:r>
      <w:r>
        <w:t xml:space="preserve">predictability for Member States, stakeholders, investors, and EU decision makers for the</w:t>
      </w:r>
      <w:r>
        <w:t xml:space="preserve"> </w:t>
      </w:r>
      <w:r>
        <w:t xml:space="preserve">decisions needed to achieve climate neutrality by 2050, including decisions taken in the</w:t>
      </w:r>
      <w:r>
        <w:t xml:space="preserve"> </w:t>
      </w:r>
      <w:r>
        <w:t xml:space="preserve">coming years to meet the EU’s 2030 target.</w:t>
      </w:r>
      <w:r>
        <w:br/>
      </w:r>
      <w:r>
        <w:t xml:space="preserve">As set out in section 1.4 above, the EU needs to step up the existing pace of emissions</w:t>
      </w:r>
      <w:r>
        <w:t xml:space="preserve"> </w:t>
      </w:r>
      <w:r>
        <w:t xml:space="preserve">reductions across all sectors to meet its 2030 target. The ‘Fit-for-55” legislation’ adopted</w:t>
      </w:r>
      <w:r>
        <w:t xml:space="preserve"> </w:t>
      </w:r>
      <w:r>
        <w:t xml:space="preserve">in 2023 allows the EU to exceed the -55% reduction by 2030, when fully implemented,</w:t>
      </w:r>
      <w:r>
        <w:t xml:space="preserve"> </w:t>
      </w:r>
      <w:r>
        <w:t xml:space="preserve">but requires a focus on implementation, including through the updated NECPs that</w:t>
      </w:r>
      <w:r>
        <w:t xml:space="preserve"> </w:t>
      </w:r>
      <w:r>
        <w:t xml:space="preserve">Member States will submit to the Commission in June 2024.</w:t>
      </w:r>
      <w:r>
        <w:br/>
      </w:r>
      <w:r>
        <w:t xml:space="preserve">Many decisions taken now by the EU, Member States and other actors have implications</w:t>
      </w:r>
      <w:r>
        <w:t xml:space="preserve"> </w:t>
      </w:r>
      <w:r>
        <w:t xml:space="preserve">for EU greenhouse gas emissions that extend well beyond 2030.</w:t>
      </w:r>
      <w:r>
        <w:br/>
      </w:r>
      <w:r>
        <w:t xml:space="preserve">This need for certainty is set out in the European Climate Law, which calls on the</w:t>
      </w:r>
      <w:r>
        <w:t xml:space="preserve"> </w:t>
      </w:r>
      <w:r>
        <w:t xml:space="preserve">Commission to come forward with a proposal for a 2040 climate target within six months</w:t>
      </w:r>
      <w:r>
        <w:t xml:space="preserve"> </w:t>
      </w:r>
      <w:r>
        <w:t xml:space="preserve">of the global stocktake. Implementation of the Climate Law requires an intermediate</w:t>
      </w:r>
      <w:r>
        <w:t xml:space="preserve"> </w:t>
      </w:r>
      <w:r>
        <w:t xml:space="preserve">2040 climate target to set the pace for EU-wide reductions of net GHG emissions over</w:t>
      </w:r>
      <w:r>
        <w:t xml:space="preserve"> </w:t>
      </w:r>
      <w:r>
        <w:t xml:space="preserve">2030-2050.</w:t>
      </w:r>
      <w:r>
        <w:t xml:space="preserve"> </w:t>
      </w:r>
      <w:r>
        <w:t xml:space="preserve">The 2040 climate target will provide essential information to allow the definition in the</w:t>
      </w:r>
      <w:r>
        <w:t xml:space="preserve"> </w:t>
      </w:r>
      <w:r>
        <w:t xml:space="preserve">coming years of the future climate, energy, and wider enabling framework, to meet the</w:t>
      </w:r>
      <w:r>
        <w:t xml:space="preserve"> </w:t>
      </w:r>
      <w:r>
        <w:t xml:space="preserve">2040 target. The post-2030 policy framework will be designed during the next</w:t>
      </w:r>
      <w:r>
        <w:t xml:space="preserve"> </w:t>
      </w:r>
      <w:r>
        <w:t xml:space="preserve">Commission mandate (25).</w:t>
      </w:r>
      <w:r>
        <w:br/>
      </w:r>
      <w:r>
        <w:t xml:space="preserve">Finally, a 2040 target is needed that reflects the scale of the global challenge and that</w:t>
      </w:r>
      <w:r>
        <w:t xml:space="preserve"> </w:t>
      </w:r>
      <w:r>
        <w:t xml:space="preserve">ensures that the EU continues to lead by example to push ambitious global action.</w:t>
      </w:r>
      <w:r>
        <w:t xml:space="preserve"> </w:t>
      </w:r>
      <w:r>
        <w:t xml:space="preserve">Limiting global warming to the Paris Agreement temperature target of 1.5oC requires</w:t>
      </w:r>
      <w:r>
        <w:t xml:space="preserve"> </w:t>
      </w:r>
      <w:r>
        <w:t xml:space="preserve">GHG emissions to be at net zero globally by the early 2050s (26). The remaining global</w:t>
      </w:r>
    </w:p>
    <w:p>
      <w:pPr>
        <w:pStyle w:val="Compact"/>
        <w:numPr>
          <w:ilvl w:val="0"/>
          <w:numId w:val="1009"/>
        </w:numPr>
      </w:pPr>
      <w:r>
        <w:t xml:space="preserve">The approach of first agreeing the ambition level and then the policy framework to implement the</w:t>
      </w:r>
      <w:r>
        <w:t xml:space="preserve"> </w:t>
      </w:r>
      <w:r>
        <w:t xml:space="preserve">target was also used in previous cycles to set the 2020 and 2030 climate and energy targets.</w:t>
      </w:r>
    </w:p>
    <w:p>
      <w:pPr>
        <w:pStyle w:val="Compact"/>
        <w:numPr>
          <w:ilvl w:val="0"/>
          <w:numId w:val="1009"/>
        </w:numPr>
      </w:pPr>
      <w:r>
        <w:t xml:space="preserve">IPCC, 2023: Summary for Policymakers. In: Climate Change 2023: Synthesis Report. Contribution of</w:t>
      </w:r>
      <w:r>
        <w:t xml:space="preserve"> </w:t>
      </w:r>
      <w:r>
        <w:t xml:space="preserve">Working Groups I, II and III to the Sixth Assessment Report of the Intergovernmental Panel on Climate</w:t>
      </w:r>
      <w:r>
        <w:t xml:space="preserve"> </w:t>
      </w:r>
      <w:r>
        <w:t xml:space="preserve">Change [Core Writing Team, H. Lee and J. Romero (eds.)]. IPCC, Geneva, Switzerland, pp. 1-34, doi:</w:t>
      </w:r>
      <w:r>
        <w:t xml:space="preserve"> </w:t>
      </w:r>
      <w:r>
        <w:t xml:space="preserve">10.59327/IPCC/AR6-9789291691647.001</w:t>
      </w:r>
    </w:p>
    <w:p>
      <w:pPr>
        <w:pStyle w:val="FirstParagraph"/>
      </w:pPr>
      <w:r>
        <w:t xml:space="preserve">16</w:t>
      </w:r>
    </w:p>
    <w:p>
      <w:pPr>
        <w:pStyle w:val="BodyText"/>
      </w:pPr>
      <w:r>
        <w:t xml:space="preserve">carbon budget compatible with this objective, estimated at 500 GtCO2 (27) from the start</w:t>
      </w:r>
      <w:r>
        <w:t xml:space="preserve"> </w:t>
      </w:r>
      <w:r>
        <w:t xml:space="preserve">of 2020, is being depleted at a rate of above 40 GtCO2 per year (28). As global climate</w:t>
      </w:r>
      <w:r>
        <w:t xml:space="preserve"> </w:t>
      </w:r>
      <w:r>
        <w:t xml:space="preserve">action is delayed and GHGs continue to accumulate in the atmosphere, climate change is</w:t>
      </w:r>
      <w:r>
        <w:t xml:space="preserve"> </w:t>
      </w:r>
      <w:r>
        <w:t xml:space="preserve">accelerating and the risk of reaching irreversible tipping points in the climate system,</w:t>
      </w:r>
      <w:r>
        <w:t xml:space="preserve"> </w:t>
      </w:r>
      <w:r>
        <w:t xml:space="preserve">with unknown and potentially catastrophic consequences for humans and ecosystems, is</w:t>
      </w:r>
      <w:r>
        <w:t xml:space="preserve"> </w:t>
      </w:r>
      <w:r>
        <w:t xml:space="preserve">increasing.</w:t>
      </w:r>
      <w:r>
        <w:t xml:space="preserve"> </w:t>
      </w:r>
      <w:r>
        <w:t xml:space="preserve">The adoption of a 2040 climate target is needed for the definition of the new NDC that</w:t>
      </w:r>
      <w:r>
        <w:t xml:space="preserve"> </w:t>
      </w:r>
      <w:r>
        <w:t xml:space="preserve">the EU will submit the UNFCCC by 2025 as required under the Paris Agreement. Its</w:t>
      </w:r>
      <w:r>
        <w:t xml:space="preserve"> </w:t>
      </w:r>
      <w:r>
        <w:t xml:space="preserve">absence would compromise the EU’s contribution to the global climate agenda at a</w:t>
      </w:r>
      <w:r>
        <w:t xml:space="preserve"> </w:t>
      </w:r>
      <w:r>
        <w:t xml:space="preserve">moment when new momentum for global climate action is urgently needed.</w:t>
      </w:r>
      <w:r>
        <w:t xml:space="preserve"> </w:t>
      </w:r>
      <w:r>
        <w:t xml:space="preserve">3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According to Article 11 of the Treaty on the Functioning of the European Union (TFEU),</w:t>
      </w:r>
      <w:r>
        <w:t xml:space="preserve"> </w:t>
      </w:r>
      <w:r>
        <w:t xml:space="preserve">environmental protection requirements must be integrated into the Unio’’s policies and</w:t>
      </w:r>
      <w:r>
        <w:t xml:space="preserve"> </w:t>
      </w:r>
      <w:r>
        <w:t xml:space="preserve">activities, in particular with a view to promoting sustainable development. Articles 191 to</w:t>
      </w:r>
      <w:r>
        <w:t xml:space="preserve"> </w:t>
      </w:r>
      <w:r>
        <w:t xml:space="preserve">193 of TFEU further clarify that Union policy shall preserve, protect, and improve the</w:t>
      </w:r>
      <w:r>
        <w:t xml:space="preserve"> </w:t>
      </w:r>
      <w:r>
        <w:t xml:space="preserve">quality of the environment; protect human health; and promote measures at the</w:t>
      </w:r>
      <w:r>
        <w:t xml:space="preserve"> </w:t>
      </w:r>
      <w:r>
        <w:t xml:space="preserve">international level to deal with regional or worldwide environmental problems. Article</w:t>
      </w:r>
      <w:r>
        <w:t xml:space="preserve"> </w:t>
      </w:r>
      <w:r>
        <w:t xml:space="preserve">191 cites climate change as an example of this type of problem. This initiative responds</w:t>
      </w:r>
      <w:r>
        <w:t xml:space="preserve"> </w:t>
      </w:r>
      <w:r>
        <w:t xml:space="preserve">to the legal requirement under the European Climate Law Article 4(3), which calls on the</w:t>
      </w:r>
      <w:r>
        <w:t xml:space="preserve"> </w:t>
      </w:r>
      <w:r>
        <w:t xml:space="preserve">Commission to make a legislative proposal, as appropriate, for a Union-wide 2040</w:t>
      </w:r>
      <w:r>
        <w:t xml:space="preserve"> </w:t>
      </w:r>
      <w:r>
        <w:t xml:space="preserve">climate target within 6 months of the global stocktake referred to in Article 14 of the</w:t>
      </w:r>
      <w:r>
        <w:t xml:space="preserve"> </w:t>
      </w:r>
      <w:r>
        <w:t xml:space="preserve">Paris Agreement (29).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Climate change is a trans-boundary problem. For trans-boundary problems, individual</w:t>
      </w:r>
      <w:r>
        <w:t xml:space="preserve"> </w:t>
      </w:r>
      <w:r>
        <w:t xml:space="preserve">action is unlikely to lead to optimal outcomes. Instead, coordinated EU action can</w:t>
      </w:r>
      <w:r>
        <w:t xml:space="preserve"> </w:t>
      </w:r>
      <w:r>
        <w:t xml:space="preserve">effectively supplement and reinforce national and local action. Coordination at the</w:t>
      </w:r>
      <w:r>
        <w:t xml:space="preserve"> </w:t>
      </w:r>
      <w:r>
        <w:t xml:space="preserve">European level enhances the effectiveness of climate action. EU action is justified on</w:t>
      </w:r>
      <w:r>
        <w:t xml:space="preserve"> </w:t>
      </w:r>
      <w:r>
        <w:t xml:space="preserve">grounds of subsidiarity in line with Article 191 of the Treaty on the Functioning of the</w:t>
      </w:r>
      <w:r>
        <w:t xml:space="preserve"> </w:t>
      </w:r>
      <w:r>
        <w:t xml:space="preserve">European Union.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 Union-wide climate target for 2040 will have implications across the entire EU</w:t>
      </w:r>
      <w:r>
        <w:t xml:space="preserve"> </w:t>
      </w:r>
      <w:r>
        <w:t xml:space="preserve">economy. It is needed to guide a wide range of EU policies and will require EU level</w:t>
      </w:r>
      <w:r>
        <w:t xml:space="preserve"> </w:t>
      </w:r>
      <w:r>
        <w:t xml:space="preserve">policy responses, beyond climate policy. The impacts on economic activity, employment,</w:t>
      </w:r>
    </w:p>
    <w:p>
      <w:pPr>
        <w:pStyle w:val="Compact"/>
        <w:numPr>
          <w:ilvl w:val="0"/>
          <w:numId w:val="1010"/>
        </w:numPr>
      </w:pPr>
      <w:r>
        <w:t xml:space="preserve">with 50% likelihood of limiting global warming to 1.5 degrees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Forster, P. M., et al. (2023). Indicators of Global Climate Change 2022: annual update of large-scale</w:t>
      </w:r>
      <w:r>
        <w:t xml:space="preserve"> </w:t>
      </w:r>
      <w:r>
        <w:t xml:space="preserve">indicators of the state of the climate system and human influence, Earth Syst. Sci. Data, 15, 2295–2327,</w:t>
      </w:r>
      <w:r>
        <w:t xml:space="preserve"> </w:t>
      </w:r>
      <w:r>
        <w:t xml:space="preserve">https://doi.org/10.5194/essd-15-2295-2023.</w:t>
      </w:r>
    </w:p>
    <w:p>
      <w:pPr>
        <w:pStyle w:val="Compact"/>
        <w:numPr>
          <w:ilvl w:val="0"/>
          <w:numId w:val="1010"/>
        </w:numPr>
      </w:pPr>
      <w:r>
        <w:t xml:space="preserve">The first global stocktake taking place end of 2023.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cohesion, environment, energy, transport, food security, health, affordability,</w:t>
      </w:r>
      <w:r>
        <w:t xml:space="preserve"> </w:t>
      </w:r>
      <w:r>
        <w:t xml:space="preserve">distributional effects, trade, and international relations are policy areas better considered</w:t>
      </w:r>
      <w:r>
        <w:t xml:space="preserve"> </w:t>
      </w:r>
      <w:r>
        <w:t xml:space="preserve">at EU level.</w:t>
      </w:r>
      <w:r>
        <w:br/>
      </w:r>
      <w:r>
        <w:t xml:space="preserve">Coordinated EU policies and support measures have a much bigger chance of leading to</w:t>
      </w:r>
      <w:r>
        <w:t xml:space="preserve"> </w:t>
      </w:r>
      <w:r>
        <w:t xml:space="preserve">a true transformation via 2040 and towards EU climate neutrality by 2050. Through</w:t>
      </w:r>
      <w:r>
        <w:t xml:space="preserve"> </w:t>
      </w:r>
      <w:r>
        <w:t xml:space="preserve">coordinated action it will be possible to take the different capabilities of Member States</w:t>
      </w:r>
      <w:r>
        <w:t xml:space="preserve"> </w:t>
      </w:r>
      <w:r>
        <w:t xml:space="preserve">and regions to act into account and to use the power of the EU single market as a driver</w:t>
      </w:r>
      <w:r>
        <w:t xml:space="preserve"> </w:t>
      </w:r>
      <w:r>
        <w:t xml:space="preserve">for cost-efficient change.</w:t>
      </w:r>
      <w:r>
        <w:t xml:space="preserve"> </w:t>
      </w:r>
      <w:r>
        <w:t xml:space="preserve">Coordinated climate action at EU level is also of importance for international climate</w:t>
      </w:r>
      <w:r>
        <w:t xml:space="preserve"> </w:t>
      </w:r>
      <w:r>
        <w:t xml:space="preserve">action. Since 1992, the EU has worked to develop joint solutions and push for a global</w:t>
      </w:r>
      <w:r>
        <w:t xml:space="preserve"> </w:t>
      </w:r>
      <w:r>
        <w:t xml:space="preserve">agreement to fight climate change. These efforts helped to reach the Paris Agreement in</w:t>
      </w:r>
      <w:r>
        <w:t xml:space="preserve"> </w:t>
      </w:r>
      <w:r>
        <w:t xml:space="preserve">2015. International climate policy and climate diplomacy are stronger due to climate</w:t>
      </w:r>
      <w:r>
        <w:t xml:space="preserve"> </w:t>
      </w:r>
      <w:r>
        <w:t xml:space="preserve">policy coordination at EU level, even more crucial in a world in which the EU accounts</w:t>
      </w:r>
      <w:r>
        <w:t xml:space="preserve"> </w:t>
      </w:r>
      <w:r>
        <w:t xml:space="preserve">for only around 7% of global GHG emissions (30). The assessment of pathways for</w:t>
      </w:r>
      <w:r>
        <w:t xml:space="preserve"> </w:t>
      </w:r>
      <w:r>
        <w:t xml:space="preserve">setting a Union-wide climate target for 2040 will be a powerful example for the EU’s</w:t>
      </w:r>
      <w:r>
        <w:t xml:space="preserve"> </w:t>
      </w:r>
      <w:r>
        <w:t xml:space="preserve">closest neighbours and international community. It is also a necessary step for</w:t>
      </w:r>
      <w:r>
        <w:t xml:space="preserve"> </w:t>
      </w:r>
      <w:r>
        <w:t xml:space="preserve">determining the EU’s Nationally Determined Contribution under the Paris Agreement to</w:t>
      </w:r>
      <w:r>
        <w:t xml:space="preserve"> </w:t>
      </w:r>
      <w:r>
        <w:t xml:space="preserve">be communicated in 2025. Without it, the EU and its Member States risk undermining</w:t>
      </w:r>
      <w:r>
        <w:t xml:space="preserve"> </w:t>
      </w:r>
      <w:r>
        <w:t xml:space="preserve">their capacity to stimulate climate action at the global level.</w:t>
      </w:r>
      <w:r>
        <w:br/>
      </w:r>
      <w:r>
        <w:t xml:space="preserve">4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</w:t>
      </w:r>
      <w:r>
        <w:t xml:space="preserve"> </w:t>
      </w:r>
      <w:r>
        <w:t xml:space="preserve">The general objective of this initiative is to propose a Union-wide, economy-wide GHG</w:t>
      </w:r>
      <w:r>
        <w:t xml:space="preserve"> </w:t>
      </w:r>
      <w:r>
        <w:t xml:space="preserve">target for 2040 that will put the EU on an effective, cost-efficient, and just trajectory</w:t>
      </w:r>
      <w:r>
        <w:t xml:space="preserve"> </w:t>
      </w:r>
      <w:r>
        <w:t xml:space="preserve">towards climate neutrality by 2050, as called for under the European Climate Law.</w:t>
      </w:r>
      <w:r>
        <w:br/>
      </w:r>
      <w:r>
        <w:t xml:space="preserve">What is not an objective of this initiative and Impact Assessment?</w:t>
      </w:r>
      <w:r>
        <w:t xml:space="preserve"> </w:t>
      </w:r>
      <w:r>
        <w:t xml:space="preserve">This initiative does not:</w:t>
      </w:r>
      <w:r>
        <w:t xml:space="preserve"> </w:t>
      </w:r>
      <w:r>
        <w:t xml:space="preserve">o Evaluate the suitability or coherence of the existing 2030 energy and climate</w:t>
      </w:r>
      <w:r>
        <w:t xml:space="preserve"> </w:t>
      </w:r>
      <w:r>
        <w:t xml:space="preserve">policy framework (for an overview see Section 1.4) for the period 2031-2040;</w:t>
      </w:r>
      <w:r>
        <w:t xml:space="preserve"> </w:t>
      </w:r>
      <w:r>
        <w:t xml:space="preserve">o Develop a new post-2030 energy and climate policy framework to implement the</w:t>
      </w:r>
      <w:r>
        <w:t xml:space="preserve"> </w:t>
      </w:r>
      <w:r>
        <w:t xml:space="preserve">2040 GHG ambition level.</w:t>
      </w:r>
      <w:r>
        <w:t xml:space="preserve"> </w:t>
      </w:r>
      <w:r>
        <w:t xml:space="preserve">The objectives of this initiative are more like those of the 2013 Green paper for a 2030</w:t>
      </w:r>
      <w:r>
        <w:t xml:space="preserve"> </w:t>
      </w:r>
      <w:r>
        <w:t xml:space="preserve">framework for climate and energy policies or the EU’s 2018 Long Term Strategy than</w:t>
      </w:r>
      <w:r>
        <w:t xml:space="preserve"> </w:t>
      </w:r>
      <w:r>
        <w:t xml:space="preserve">like the 2030 Climate Target Plan of September 2020, as the latter already outlined</w:t>
      </w:r>
      <w:r>
        <w:t xml:space="preserve"> </w:t>
      </w:r>
      <w:r>
        <w:t xml:space="preserve">possible updates of the then existing framework for 2030.</w:t>
      </w:r>
    </w:p>
    <w:p>
      <w:pPr>
        <w:pStyle w:val="Compact"/>
        <w:numPr>
          <w:ilvl w:val="0"/>
          <w:numId w:val="1011"/>
        </w:numPr>
      </w:pPr>
      <w:r>
        <w:t xml:space="preserve">Data for year 2021, excluding international shipping and aviation. Source: EDGAR</w:t>
      </w:r>
    </w:p>
    <w:p>
      <w:pPr>
        <w:pStyle w:val="FirstParagraph"/>
      </w:pPr>
      <w:r>
        <w:t xml:space="preserve">18</w:t>
      </w:r>
    </w:p>
    <w:p>
      <w:pPr>
        <w:pStyle w:val="BodyText"/>
      </w:pP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The adoption of a GHG target for 2040 aims at ensuring that the EU achieves its climate</w:t>
      </w:r>
      <w:r>
        <w:t xml:space="preserve"> </w:t>
      </w:r>
      <w:r>
        <w:t xml:space="preserve">neutrality target in 2050 while respecting its other long-term priorities. The analysis in</w:t>
      </w:r>
      <w:r>
        <w:t xml:space="preserve"> </w:t>
      </w:r>
      <w:r>
        <w:t xml:space="preserve">this impact assessment will evaluate the different target options according to their ability</w:t>
      </w:r>
      <w:r>
        <w:t xml:space="preserve"> </w:t>
      </w:r>
      <w:r>
        <w:t xml:space="preserve">to deliver on the following seven specific objectives.</w:t>
      </w:r>
      <w:r>
        <w:br/>
      </w:r>
      <w:r>
        <w:t xml:space="preserve">SO1: Ensure that climate neutrality is delivered</w:t>
      </w:r>
      <w:r>
        <w:t xml:space="preserve"> </w:t>
      </w:r>
      <w:r>
        <w:t xml:space="preserve">Reaching the emissions reduction target of 2030 will largely happen through fast</w:t>
      </w:r>
      <w:r>
        <w:t xml:space="preserve"> </w:t>
      </w:r>
      <w:r>
        <w:t xml:space="preserve">emission reductions in sectors with low abatement costs, such as power generation.</w:t>
      </w:r>
      <w:r>
        <w:br/>
      </w:r>
      <w:r>
        <w:t xml:space="preserve">Beyond this date, the contribution of hard-to-abate sectors (e.g., transport, some</w:t>
      </w:r>
      <w:r>
        <w:t xml:space="preserve"> </w:t>
      </w:r>
      <w:r>
        <w:t xml:space="preserve">industrial processes) to the mitigation effort must significantly increase. Some sectors,</w:t>
      </w:r>
      <w:r>
        <w:t xml:space="preserve"> </w:t>
      </w:r>
      <w:r>
        <w:t xml:space="preserve">such as agriculture and air travel, will not be able to cut their GHG emissions to zero in</w:t>
      </w:r>
      <w:r>
        <w:t xml:space="preserve"> </w:t>
      </w:r>
      <w:r>
        <w:t xml:space="preserve">the coming decades, because they deliver goods and services that can only be partially</w:t>
      </w:r>
      <w:r>
        <w:t xml:space="preserve"> </w:t>
      </w:r>
      <w:r>
        <w:t xml:space="preserve">substituted or there are inherent limits to the GHG mitigation options available to them.</w:t>
      </w:r>
      <w:r>
        <w:t xml:space="preserve"> </w:t>
      </w:r>
      <w:r>
        <w:t xml:space="preserve">Science is clear that large amounts of compensating “negative” emissions (“carbon</w:t>
      </w:r>
      <w:r>
        <w:t xml:space="preserve"> </w:t>
      </w:r>
      <w:r>
        <w:t xml:space="preserve">removals”) will be needed in the EU and globally by the second half of the century (31) to</w:t>
      </w:r>
      <w:r>
        <w:t xml:space="preserve"> </w:t>
      </w:r>
      <w:r>
        <w:t xml:space="preserve">meet the goals of the Paris Agreement, and, after 2050, the EU economy should generate</w:t>
      </w:r>
      <w:r>
        <w:t xml:space="preserve"> </w:t>
      </w:r>
      <w:r>
        <w:t xml:space="preserve">net negative emissions (32).</w:t>
      </w:r>
      <w:r>
        <w:br/>
      </w:r>
      <w:r>
        <w:t xml:space="preserve">This specific objective thus relates to the degree to which a given 2040 target level</w:t>
      </w:r>
      <w:r>
        <w:t xml:space="preserve"> </w:t>
      </w:r>
      <w:r>
        <w:t xml:space="preserve">entails GHG abatement in the different sectors, including through the contribution of</w:t>
      </w:r>
      <w:r>
        <w:br/>
      </w:r>
      <w:r>
        <w:t xml:space="preserve">carbon removals, already in the first decade 2031-2040 to avoid delaying such actions to</w:t>
      </w:r>
      <w:r>
        <w:t xml:space="preserve"> </w:t>
      </w:r>
      <w:r>
        <w:t xml:space="preserve">the last decade, which would jeopardize reaching the objective of climate neutrality by</w:t>
      </w:r>
      <w:r>
        <w:t xml:space="preserve"> </w:t>
      </w:r>
      <w:r>
        <w:t xml:space="preserve">2050.</w:t>
      </w:r>
      <w:r>
        <w:br/>
      </w:r>
      <w:r>
        <w:t xml:space="preserve">SO2: Minimise the EU’s GHG budget</w:t>
      </w:r>
      <w:r>
        <w:br/>
      </w:r>
      <w:r>
        <w:t xml:space="preserve">According to IPCC AR6 report there is a near-linear relationship between cumulative</w:t>
      </w:r>
      <w:r>
        <w:t xml:space="preserve"> </w:t>
      </w:r>
      <w:r>
        <w:t xml:space="preserve">anthropogenic CO2 emissions and the global warming they cause. The remaining global</w:t>
      </w:r>
      <w:r>
        <w:t xml:space="preserve"> </w:t>
      </w:r>
      <w:r>
        <w:t xml:space="preserve">“carbon budget” (i.e., the cumulative CO2 emissions) corresponding to the Paris</w:t>
      </w:r>
      <w:r>
        <w:t xml:space="preserve"> </w:t>
      </w:r>
      <w:r>
        <w:t xml:space="preserve">Agreement temperature goals is decreasing every year (see Annex 14).</w:t>
      </w:r>
      <w:r>
        <w:br/>
      </w:r>
      <w:r>
        <w:t xml:space="preserve">The Climate Law refers to the “GHG budget” as the cumulative net GHG emissions over</w:t>
      </w:r>
      <w:r>
        <w:t xml:space="preserve"> </w:t>
      </w:r>
      <w:r>
        <w:t xml:space="preserve">2030-2050, which is used in this impact assessment to measure the climate performance</w:t>
      </w:r>
      <w:r>
        <w:t xml:space="preserve"> </w:t>
      </w:r>
      <w:r>
        <w:t xml:space="preserve">of the different 2040 target options and the corresponding contribution of the EU to the</w:t>
      </w:r>
      <w:r>
        <w:t xml:space="preserve"> </w:t>
      </w:r>
      <w:r>
        <w:t xml:space="preserve">global climate agenda.</w:t>
      </w:r>
      <w:r>
        <w:br/>
      </w:r>
      <w:r>
        <w:t xml:space="preserve">SO3: Ensure that the transition is just</w:t>
      </w:r>
      <w:r>
        <w:t xml:space="preserve"> </w:t>
      </w:r>
      <w:r>
        <w:t xml:space="preserve">The transition towards climate neutrality will need to be socially just and fair in order to</w:t>
      </w:r>
      <w:r>
        <w:t xml:space="preserve"> </w:t>
      </w:r>
      <w:r>
        <w:t xml:space="preserve">succeed.</w:t>
      </w:r>
      <w:r>
        <w:br/>
      </w:r>
      <w:r>
        <w:t xml:space="preserve">The pace of action will have important implications for households, as consumers,</w:t>
      </w:r>
      <w:r>
        <w:t xml:space="preserve"> </w:t>
      </w:r>
      <w:r>
        <w:t xml:space="preserve">investors, and workers. Economic and social inequalities mean that many households do</w:t>
      </w:r>
      <w:r>
        <w:t xml:space="preserve"> </w:t>
      </w:r>
      <w:r>
        <w:t xml:space="preserve">not have the resources or incentives to make the necessary investments in low-carbon</w:t>
      </w:r>
    </w:p>
    <w:p>
      <w:pPr>
        <w:pStyle w:val="Compact"/>
        <w:numPr>
          <w:ilvl w:val="0"/>
          <w:numId w:val="1012"/>
        </w:numPr>
      </w:pPr>
      <w:r>
        <w:t xml:space="preserve">IPCC (2018). Special Report on 1.5°C. Frequently Asked Questions Chapter 4 (FAQ 4.2).</w:t>
      </w:r>
    </w:p>
    <w:p>
      <w:pPr>
        <w:pStyle w:val="Compact"/>
        <w:numPr>
          <w:ilvl w:val="0"/>
          <w:numId w:val="1012"/>
        </w:numPr>
      </w:pPr>
      <w:r>
        <w:t xml:space="preserve">European Climate Law, article 2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goods (e.g., electric vehicles, building renovations) that would allow them to reduce their</w:t>
      </w:r>
      <w:r>
        <w:t xml:space="preserve"> </w:t>
      </w:r>
      <w:r>
        <w:t xml:space="preserve">energy costs and GHG emissions without measures to support action. Achieving climate</w:t>
      </w:r>
      <w:r>
        <w:t xml:space="preserve"> </w:t>
      </w:r>
      <w:r>
        <w:t xml:space="preserve">neutrality will lead to the disappearance of jobs in fossil fuel extraction and GHG-</w:t>
      </w:r>
      <w:r>
        <w:t xml:space="preserve"> </w:t>
      </w:r>
      <w:r>
        <w:t xml:space="preserve">intensive sectors, but also to the diversification of existing sectors and jobs and the</w:t>
      </w:r>
      <w:r>
        <w:t xml:space="preserve"> </w:t>
      </w:r>
      <w:r>
        <w:t xml:space="preserve">emergence of new ones. The level of ambition for 2040 affects the investments that need</w:t>
      </w:r>
      <w:r>
        <w:t xml:space="preserve"> </w:t>
      </w:r>
      <w:r>
        <w:t xml:space="preserve">to be made already before 2030, for example in manufacturing capacity of net-zero</w:t>
      </w:r>
      <w:r>
        <w:t xml:space="preserve"> </w:t>
      </w:r>
      <w:r>
        <w:t xml:space="preserve">technologies, in building renovations, and in servicing of net zero equipment, which all</w:t>
      </w:r>
      <w:r>
        <w:t xml:space="preserve"> </w:t>
      </w:r>
      <w:r>
        <w:t xml:space="preserve">require additional skilled workers.</w:t>
      </w:r>
      <w:r>
        <w:t xml:space="preserve"> </w:t>
      </w:r>
      <w:r>
        <w:t xml:space="preserve">Determining the ambition level for 2040 has implications for planning and funding of</w:t>
      </w:r>
      <w:r>
        <w:t xml:space="preserve"> </w:t>
      </w:r>
      <w:r>
        <w:t xml:space="preserve">social, redistributive, education, training, and employment policies, and can serve as an</w:t>
      </w:r>
      <w:r>
        <w:t xml:space="preserve"> </w:t>
      </w:r>
      <w:r>
        <w:t xml:space="preserve">opportunity to address social and employment inequalities.</w:t>
      </w:r>
      <w:r>
        <w:t xml:space="preserve"> </w:t>
      </w:r>
      <w:r>
        <w:t xml:space="preserve">SO 4: Ensure that the long-term competitiveness of the EU economy is maintained</w:t>
      </w:r>
      <w:r>
        <w:t xml:space="preserve"> </w:t>
      </w:r>
      <w:r>
        <w:t xml:space="preserve">The transition to climate neutrality will engender deep economic transformations that</w:t>
      </w:r>
      <w:r>
        <w:t xml:space="preserve"> </w:t>
      </w:r>
      <w:r>
        <w:t xml:space="preserve">have important implications for the competitiveness of the EU economy. Some historical</w:t>
      </w:r>
      <w:r>
        <w:t xml:space="preserve"> </w:t>
      </w:r>
      <w:r>
        <w:t xml:space="preserve">European industries, such as car manufacturing and energy intensive manufacturing, will</w:t>
      </w:r>
      <w:r>
        <w:t xml:space="preserve"> </w:t>
      </w:r>
      <w:r>
        <w:t xml:space="preserve">have to invest in new low-carbon production processes and products. The transition will</w:t>
      </w:r>
      <w:r>
        <w:t xml:space="preserve"> </w:t>
      </w:r>
      <w:r>
        <w:t xml:space="preserve">also lead to investment in innovations that drive productivity and competitiveness.</w:t>
      </w:r>
      <w:r>
        <w:br/>
      </w:r>
      <w:r>
        <w:t xml:space="preserve">The EU’s partners and other key players have understood the strategic importance of</w:t>
      </w:r>
      <w:r>
        <w:t xml:space="preserve"> </w:t>
      </w:r>
      <w:r>
        <w:t xml:space="preserve">investing in the industries and technologies needed for the transition to climate neutrality</w:t>
      </w:r>
      <w:r>
        <w:t xml:space="preserve"> </w:t>
      </w:r>
      <w:r>
        <w:t xml:space="preserve">(33). The global demand for materials, skilled people, technologies, and investments in</w:t>
      </w:r>
      <w:r>
        <w:t xml:space="preserve"> </w:t>
      </w:r>
      <w:r>
        <w:t xml:space="preserve">clean industries will increase steadily as other major economies embark on the climate</w:t>
      </w:r>
      <w:r>
        <w:t xml:space="preserve"> </w:t>
      </w:r>
      <w:r>
        <w:t xml:space="preserve">transition. There is strong competition to seize market shares and first-mover advantages</w:t>
      </w:r>
      <w:r>
        <w:t xml:space="preserve"> </w:t>
      </w:r>
      <w:r>
        <w:t xml:space="preserve">(34) in the growing global market clean products and services. The post-2030 policy</w:t>
      </w:r>
      <w:r>
        <w:t xml:space="preserve"> </w:t>
      </w:r>
      <w:r>
        <w:t xml:space="preserve">framework will need to build on the Green Deal Industrial Plan and the Net-Zero</w:t>
      </w:r>
      <w:r>
        <w:t xml:space="preserve"> </w:t>
      </w:r>
      <w:r>
        <w:t xml:space="preserve">Industry Act.</w:t>
      </w:r>
      <w:r>
        <w:br/>
      </w:r>
      <w:r>
        <w:t xml:space="preserve">SO 5: Provide predictability for the deployment of best-available, cost-effective, and</w:t>
      </w:r>
      <w:r>
        <w:t xml:space="preserve"> </w:t>
      </w:r>
      <w:r>
        <w:t xml:space="preserve">scalable technologies</w:t>
      </w:r>
      <w:r>
        <w:t xml:space="preserve"> </w:t>
      </w:r>
      <w:r>
        <w:t xml:space="preserve">Climate neutrality by 2050 and negative net emissions after 2050 hinge on the very</w:t>
      </w:r>
      <w:r>
        <w:t xml:space="preserve"> </w:t>
      </w:r>
      <w:r>
        <w:t xml:space="preserve">important deployment of several climate-neutral technologies that are not currently</w:t>
      </w:r>
      <w:r>
        <w:t xml:space="preserve"> </w:t>
      </w:r>
      <w:r>
        <w:t xml:space="preserve">deployed at scale. The faster these become affordable for companies and households, the</w:t>
      </w:r>
      <w:r>
        <w:t xml:space="preserve"> </w:t>
      </w:r>
      <w:r>
        <w:t xml:space="preserve">easier the path to climate neutrality. This requires removing barriers to innovation,</w:t>
      </w:r>
      <w:r>
        <w:t xml:space="preserve"> </w:t>
      </w:r>
      <w:r>
        <w:t xml:space="preserve">deployment, and finance for key technologies and to develop new skills for new jobs.</w:t>
      </w:r>
      <w:r>
        <w:t xml:space="preserve"> </w:t>
      </w:r>
      <w:r>
        <w:t xml:space="preserve">New supply chains are needed to ensure that affordable and effective clean solutions are</w:t>
      </w:r>
      <w:r>
        <w:t xml:space="preserve"> </w:t>
      </w:r>
      <w:r>
        <w:t xml:space="preserve">available to all, including for sustainable lifestyle choices.</w:t>
      </w:r>
    </w:p>
    <w:p>
      <w:pPr>
        <w:pStyle w:val="Compact"/>
        <w:numPr>
          <w:ilvl w:val="0"/>
          <w:numId w:val="1013"/>
        </w:numPr>
      </w:pPr>
      <w:r>
        <w:t xml:space="preserve">Annex 3 of the Staff Working Document on investment needs assessment and funding availabilities to</w:t>
      </w:r>
      <w:r>
        <w:t xml:space="preserve"> </w:t>
      </w:r>
      <w:r>
        <w:t xml:space="preserve">strengthen EU’s Net-Zero technology manufacturing capacity (SWD(2023) 68 final: the US Inflation</w:t>
      </w:r>
      <w:r>
        <w:t xml:space="preserve"> </w:t>
      </w:r>
      <w:r>
        <w:t xml:space="preserve">Reduction Act of 2022provides major investments to reduce US GHG emissions (USD 370 billion</w:t>
      </w:r>
      <w:r>
        <w:t xml:space="preserve"> </w:t>
      </w:r>
      <w:r>
        <w:t xml:space="preserve">estimated by Congress. In China, support to New Energy Vehicle manufacturers over the past decade</w:t>
      </w:r>
      <w:r>
        <w:t xml:space="preserve"> </w:t>
      </w:r>
      <w:r>
        <w:t xml:space="preserve">(including consumer subsidies and rebates, exemption from sales tax, R&amp;D and public procurement) is</w:t>
      </w:r>
      <w:r>
        <w:t xml:space="preserve"> </w:t>
      </w:r>
      <w:r>
        <w:t xml:space="preserve">estimated at more than USD 100 million.</w:t>
      </w:r>
    </w:p>
    <w:p>
      <w:pPr>
        <w:pStyle w:val="Compact"/>
        <w:numPr>
          <w:ilvl w:val="0"/>
          <w:numId w:val="1013"/>
        </w:numPr>
      </w:pPr>
      <w:r>
        <w:t xml:space="preserve">Strategic Perspectives (2023). Competing in the new zero-carbon industrial era. Assessing the</w:t>
      </w:r>
      <w:r>
        <w:t xml:space="preserve"> </w:t>
      </w:r>
      <w:r>
        <w:t xml:space="preserve">performance of five major economies on key decarbonisation technologies.</w:t>
      </w:r>
    </w:p>
    <w:p>
      <w:pPr>
        <w:pStyle w:val="FirstParagraph"/>
      </w:pPr>
      <w:r>
        <w:t xml:space="preserve">20</w:t>
      </w:r>
    </w:p>
    <w:p>
      <w:pPr>
        <w:pStyle w:val="BodyText"/>
      </w:pPr>
      <w:r>
        <w:t xml:space="preserve">SO 6: Ensure the security of supply of energy and resources</w:t>
      </w:r>
      <w:r>
        <w:br/>
      </w:r>
      <w:r>
        <w:t xml:space="preserve">The COVID pandemic and Russia’s military aggression against Ukraine demonstrated</w:t>
      </w:r>
      <w:r>
        <w:t xml:space="preserve"> </w:t>
      </w:r>
      <w:r>
        <w:t xml:space="preserve">how supply chain disruptions and energy crises can negatively affect the EU economy. A</w:t>
      </w:r>
      <w:r>
        <w:t xml:space="preserve"> </w:t>
      </w:r>
      <w:r>
        <w:t xml:space="preserve">sharp decrease in the EU’s reliance on imported fossil fuels will be an important co-</w:t>
      </w:r>
      <w:r>
        <w:t xml:space="preserve"> </w:t>
      </w:r>
      <w:r>
        <w:t xml:space="preserve">benefit of the transition towards climate neutrality. However, supply disruptions (e.g., of</w:t>
      </w:r>
      <w:r>
        <w:t xml:space="preserve"> </w:t>
      </w:r>
      <w:r>
        <w:t xml:space="preserve">clean energy technologies, raw materials, water, or components) have the potential to</w:t>
      </w:r>
      <w:r>
        <w:t xml:space="preserve"> </w:t>
      </w:r>
      <w:r>
        <w:t xml:space="preserve">slow the green transition and make it more expensive and the EU needs to avoid</w:t>
      </w:r>
      <w:r>
        <w:t xml:space="preserve"> </w:t>
      </w:r>
      <w:r>
        <w:t xml:space="preserve">replacing one strategic dependence, for example on Russian fossil fuels, with another.</w:t>
      </w:r>
      <w:r>
        <w:t xml:space="preserve"> </w:t>
      </w:r>
      <w:r>
        <w:t xml:space="preserve">The EU’s reliance on imports of many critical raw materials and components necessary</w:t>
      </w:r>
      <w:r>
        <w:t xml:space="preserve"> </w:t>
      </w:r>
      <w:r>
        <w:t xml:space="preserve">for the low-carbon transition can lead to vulnerabilities if supply is too concentrated.</w:t>
      </w:r>
      <w:r>
        <w:br/>
      </w:r>
      <w:r>
        <w:t xml:space="preserve">SO 7: Ensure environmental effectiveness</w:t>
      </w:r>
      <w:r>
        <w:t xml:space="preserve"> </w:t>
      </w:r>
      <w:r>
        <w:t xml:space="preserve">The pathway to climate neutrality needs to be one that protects and enhances</w:t>
      </w:r>
      <w:r>
        <w:t xml:space="preserve"> </w:t>
      </w:r>
      <w:r>
        <w:t xml:space="preserve">biodiversity, water resources, air quality, food security, and other essential natural</w:t>
      </w:r>
      <w:r>
        <w:t xml:space="preserve"> </w:t>
      </w:r>
      <w:r>
        <w:t xml:space="preserve">services needed for our sustainable development. It should also reduce the risk of climate</w:t>
      </w:r>
      <w:r>
        <w:t xml:space="preserve"> </w:t>
      </w:r>
      <w:r>
        <w:t xml:space="preserve">disasters and support adaptation to climate change to ensure an adequate response to the</w:t>
      </w:r>
      <w:r>
        <w:t xml:space="preserve"> </w:t>
      </w:r>
      <w:r>
        <w:t xml:space="preserve">increasing impacts of climate change. Setting a 2040 target and pathway from 2030-</w:t>
      </w:r>
      <w:r>
        <w:t xml:space="preserve"> </w:t>
      </w:r>
      <w:r>
        <w:t xml:space="preserve">2050, allows anticipation and exploitation of synergies between climate neutrality,</w:t>
      </w:r>
      <w:r>
        <w:t xml:space="preserve"> </w:t>
      </w:r>
      <w:r>
        <w:t xml:space="preserve">biodiversity, and other environmental objectives.</w:t>
      </w:r>
      <w:r>
        <w:t xml:space="preserve"> </w:t>
      </w:r>
      <w:r>
        <w:t xml:space="preserve">Table 3 maps these seven specific objectives to Article 4(5) of the Climate Law. The</w:t>
      </w:r>
      <w:r>
        <w:t xml:space="preserve"> </w:t>
      </w:r>
      <w:r>
        <w:t xml:space="preserve">consideration (h) “fairness and solidarity between and within Member States” will</w:t>
      </w:r>
      <w:r>
        <w:t xml:space="preserve"> </w:t>
      </w:r>
      <w:r>
        <w:t xml:space="preserve">depend on the future framework.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Table 1: Mapping of the Specific Objectives to Article 4(5) of the Climate Law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Climate Law Article 4(5) “When proposing the Union 2040</w:t>
      </w:r>
      <w:r>
        <w:t xml:space="preserve"> </w:t>
      </w:r>
      <w:r>
        <w:t xml:space="preserve">climate target […], the Commission shall consider the following:”</w:t>
      </w:r>
      <w:r>
        <w:t xml:space="preserve"> </w:t>
      </w:r>
      <w:r>
        <w:t xml:space="preserve">SO 1: Ensure that climate neutrality is delivered</w:t>
      </w:r>
      <w:r>
        <w:t xml:space="preserve"> </w:t>
      </w:r>
      <w:r>
        <w:t xml:space="preserve">(Climate Law article 2)</w:t>
      </w:r>
      <w:r>
        <w:t xml:space="preserve"> </w:t>
      </w:r>
      <w:r>
        <w:t xml:space="preserve">SO 2: Minimise the EU’s GHG budget</w:t>
      </w:r>
      <w:r>
        <w:t xml:space="preserve"> </w:t>
      </w:r>
      <w:r>
        <w:t xml:space="preserve">(a) “the best available and most recent scientific evidence,</w:t>
      </w:r>
      <w:r>
        <w:t xml:space="preserve"> </w:t>
      </w:r>
      <w:r>
        <w:t xml:space="preserve">including the latest reports of the IPCC and the Advisory Board”</w:t>
      </w:r>
      <w:r>
        <w:t xml:space="preserve"> </w:t>
      </w:r>
      <w:r>
        <w:t xml:space="preserve">(b) “the [..] costs of inaction”</w:t>
      </w:r>
      <w:r>
        <w:t xml:space="preserve"> </w:t>
      </w:r>
      <w:r>
        <w:t xml:space="preserve">(l) “international developments and efforts undertaken to achieve</w:t>
      </w:r>
      <w:r>
        <w:t xml:space="preserve"> </w:t>
      </w:r>
      <w:r>
        <w:t xml:space="preserve">the long-term objectives of the Paris Agreement and the ultimate</w:t>
      </w:r>
      <w:r>
        <w:t xml:space="preserve"> </w:t>
      </w:r>
      <w:r>
        <w:t xml:space="preserve">objective of the UNFCCC”</w:t>
      </w:r>
      <w:r>
        <w:t xml:space="preserve"> </w:t>
      </w:r>
      <w:r>
        <w:t xml:space="preserve">(m) “existing information on the projected indicative Union</w:t>
      </w:r>
      <w:r>
        <w:t xml:space="preserve"> </w:t>
      </w:r>
      <w:r>
        <w:t xml:space="preserve">greenhouse gas budget for the 2030-2050 period“</w:t>
      </w:r>
      <w:r>
        <w:t xml:space="preserve"> </w:t>
      </w:r>
      <w:r>
        <w:t xml:space="preserve">SO 3: Ensure that the transition is just</w:t>
      </w:r>
      <w:r>
        <w:t xml:space="preserve"> </w:t>
      </w:r>
      <w:r>
        <w:t xml:space="preserve">(b) “the social […] impacts”</w:t>
      </w:r>
      <w:r>
        <w:t xml:space="preserve"> </w:t>
      </w:r>
      <w:r>
        <w:t xml:space="preserve">(c) “the need to ensure a just and socially fair transition for all”</w:t>
      </w:r>
      <w:r>
        <w:t xml:space="preserve"> </w:t>
      </w:r>
      <w:r>
        <w:t xml:space="preserve">(g) “energy affordability”</w:t>
      </w:r>
      <w:r>
        <w:t xml:space="preserve"> </w:t>
      </w:r>
      <w:r>
        <w:t xml:space="preserve">SO 4: Ensure that the long-term competitiveness</w:t>
      </w:r>
      <w:r>
        <w:t xml:space="preserve"> </w:t>
      </w:r>
      <w:r>
        <w:t xml:space="preserve">of the EU economy is maintained</w:t>
      </w:r>
      <w:r>
        <w:t xml:space="preserve"> </w:t>
      </w:r>
      <w:r>
        <w:t xml:space="preserve">(b) “the economic impacts, including the costs of inaction”</w:t>
      </w:r>
      <w:r>
        <w:t xml:space="preserve"> </w:t>
      </w:r>
      <w:r>
        <w:t xml:space="preserve">(d) “cost-effectiveness and economic efficiency”</w:t>
      </w:r>
      <w:r>
        <w:t xml:space="preserve"> </w:t>
      </w:r>
      <w:r>
        <w:t xml:space="preserve">(e) “competitiveness of the Union’s economy, in particular small</w:t>
      </w:r>
      <w:r>
        <w:t xml:space="preserve"> </w:t>
      </w:r>
      <w:r>
        <w:t xml:space="preserve">and medium-sized enterprises and sectors most exposed to carbon</w:t>
      </w:r>
      <w:r>
        <w:t xml:space="preserve"> </w:t>
      </w:r>
      <w:r>
        <w:t xml:space="preserve">leakage”</w:t>
      </w:r>
      <w:r>
        <w:t xml:space="preserve"> </w:t>
      </w:r>
      <w:r>
        <w:t xml:space="preserve">SO 5: Provide predictability for the deployment</w:t>
      </w:r>
      <w:r>
        <w:t xml:space="preserve"> </w:t>
      </w:r>
      <w:r>
        <w:t xml:space="preserve">of best-available, cost-effective and scalable</w:t>
      </w:r>
      <w:r>
        <w:t xml:space="preserve"> </w:t>
      </w:r>
      <w:r>
        <w:t xml:space="preserve">technologies</w:t>
      </w:r>
      <w:r>
        <w:t xml:space="preserve"> </w:t>
      </w:r>
      <w:r>
        <w:t xml:space="preserve">(k) “investment needs and opportunities”</w:t>
      </w:r>
      <w:r>
        <w:t xml:space="preserve"> </w:t>
      </w:r>
      <w:r>
        <w:t xml:space="preserve">(f) “best available cost-effective, safe and scalable technologies”</w:t>
      </w:r>
      <w:r>
        <w:t xml:space="preserve"> </w:t>
      </w:r>
      <w:r>
        <w:t xml:space="preserve">(g) “energy efficiency and the ‘energy efficiency first’ principle,</w:t>
      </w:r>
      <w:r>
        <w:t xml:space="preserve"> </w:t>
      </w:r>
      <w:r>
        <w:t xml:space="preserve">[…] and security of supply”</w:t>
      </w:r>
      <w:r>
        <w:t xml:space="preserve"> </w:t>
      </w:r>
      <w:r>
        <w:t xml:space="preserve">SO 6: Ensure the security of energy supply of the</w:t>
      </w:r>
      <w:r>
        <w:t xml:space="preserve"> </w:t>
      </w:r>
      <w:r>
        <w:t xml:space="preserve">European Union.</w:t>
      </w:r>
      <w:r>
        <w:t xml:space="preserve"> </w:t>
      </w:r>
      <w:r>
        <w:t xml:space="preserve">(g) “energy [..] security of supply”</w:t>
      </w:r>
      <w:r>
        <w:t xml:space="preserve"> </w:t>
      </w:r>
      <w:r>
        <w:t xml:space="preserve">SO 7: Ensure environmental effectiveness</w:t>
      </w:r>
      <w:r>
        <w:t xml:space="preserve"> </w:t>
      </w:r>
      <w:r>
        <w:t xml:space="preserve">(b) “the environmental impacts, including the costs of inaction”</w:t>
      </w:r>
      <w:r>
        <w:t xml:space="preserve"> </w:t>
      </w:r>
      <w:r>
        <w:t xml:space="preserve">(i) “the need to ensure environmental effectiveness and</w:t>
      </w:r>
      <w:r>
        <w:t xml:space="preserve"> </w:t>
      </w:r>
      <w:r>
        <w:t xml:space="preserve">progression over time”</w:t>
      </w:r>
      <w:r>
        <w:t xml:space="preserve"> </w:t>
      </w:r>
      <w:r>
        <w:t xml:space="preserve">(j) “the need to maintain, manage and enhance natural sinks in the</w:t>
      </w:r>
      <w:r>
        <w:t xml:space="preserve"> </w:t>
      </w:r>
      <w:r>
        <w:t xml:space="preserve">long term and protect and restore biodiversity”</w:t>
      </w:r>
    </w:p>
    <w:p>
      <w:pPr>
        <w:pStyle w:val="BodyText"/>
      </w:pPr>
      <w:r>
        <w:t xml:space="preserve">4.3</w:t>
      </w:r>
      <w:r>
        <w:t xml:space="preserve"> </w:t>
      </w:r>
      <w:r>
        <w:t xml:space="preserve">Intervention logic</w:t>
      </w:r>
      <w:r>
        <w:t xml:space="preserve"> </w:t>
      </w:r>
      <w:r>
        <w:t xml:space="preserve">Figure 2 summarises the intervention logic, mapping the core problem to the general</w:t>
      </w:r>
      <w:r>
        <w:t xml:space="preserve"> </w:t>
      </w:r>
      <w:r>
        <w:t xml:space="preserve">objective and the seven specific objectives.</w:t>
      </w:r>
      <w:r>
        <w:br/>
      </w:r>
      <w:r>
        <w:t xml:space="preserve">Figure 2: Intervention logic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WHAT ARE THE AVAILABLE TARGET OPTIONS?</w:t>
      </w:r>
      <w:r>
        <w:br/>
      </w:r>
      <w:r>
        <w:t xml:space="preserve">5.1</w:t>
      </w:r>
      <w:r>
        <w:t xml:space="preserve"> </w:t>
      </w:r>
      <w:r>
        <w:t xml:space="preserve">Current policy framework</w:t>
      </w:r>
      <w:r>
        <w:t xml:space="preserve"> </w:t>
      </w:r>
      <w:r>
        <w:t xml:space="preserve">5.1.1 The Climate Law and the Fit-for-55 package</w:t>
      </w:r>
      <w:r>
        <w:t xml:space="preserve"> </w:t>
      </w:r>
      <w:r>
        <w:t xml:space="preserve">This impact assessment aims to identify the most appropriate 2040 target level to bring</w:t>
      </w:r>
      <w:r>
        <w:t xml:space="preserve"> </w:t>
      </w:r>
      <w:r>
        <w:t xml:space="preserve">the EU to climate neutrality by 2050. This 2040 target level is framed by the two existing</w:t>
      </w:r>
      <w:r>
        <w:t xml:space="preserve"> </w:t>
      </w:r>
      <w:r>
        <w:t xml:space="preserve">climate targets, as defined in the European Climate Law: the 2030 climate target and the</w:t>
      </w:r>
      <w:r>
        <w:t xml:space="preserve"> </w:t>
      </w:r>
      <w:r>
        <w:t xml:space="preserve">climate neutrality objective by 2050. The “Fit-for-55” package is the policy framework</w:t>
      </w:r>
      <w:r>
        <w:t xml:space="preserve"> </w:t>
      </w:r>
      <w:r>
        <w:t xml:space="preserve">that implements the 2030 climate target.</w:t>
      </w:r>
      <w:r>
        <w:br/>
      </w:r>
      <w:r>
        <w:t xml:space="preserve">5.1.2 What would happen to the net GHGs emissions by 2040 with a continuation of the</w:t>
      </w:r>
      <w:r>
        <w:t xml:space="preserve"> </w:t>
      </w:r>
      <w:r>
        <w:t xml:space="preserve">current policy framework?</w:t>
      </w:r>
      <w:r>
        <w:t xml:space="preserve"> </w:t>
      </w:r>
      <w:r>
        <w:t xml:space="preserve">With the “Fit-for-55” policy framework, the EU economy meets its 2030 climate target</w:t>
      </w:r>
      <w:r>
        <w:t xml:space="preserve"> </w:t>
      </w:r>
      <w:r>
        <w:t xml:space="preserve">of a domestic reduction of net (35) GHG emissions of at least 55% compared to 1990</w:t>
      </w:r>
      <w:r>
        <w:t xml:space="preserve"> </w:t>
      </w:r>
      <w:r>
        <w:t xml:space="preserve">levels. While the “Fitfor-55” policy framework is designed for the period up to 2030, a</w:t>
      </w:r>
      <w:r>
        <w:t xml:space="preserve"> </w:t>
      </w:r>
      <w:r>
        <w:t xml:space="preserve">limited part of the legislative package includes explicit, sectoral, post-2030 GHG</w:t>
      </w:r>
      <w:r>
        <w:t xml:space="preserve"> </w:t>
      </w:r>
      <w:r>
        <w:t xml:space="preserve">emissions targets. In the absence of a review, the current design of the EU ETS Directive</w:t>
      </w:r>
      <w:r>
        <w:t xml:space="preserve"> </w:t>
      </w:r>
      <w:r>
        <w:t xml:space="preserve">also applies beyond 2030.</w:t>
      </w:r>
      <w:r>
        <w:br/>
      </w:r>
      <w:r>
        <w:t xml:space="preserve">This section looks at the net GHG emissions reductions that would theoretically be</w:t>
      </w:r>
      <w:r>
        <w:t xml:space="preserve"> </w:t>
      </w:r>
      <w:r>
        <w:t xml:space="preserve">reached in 2040 with a continuation of this framework. Figure 3 (36) depicts the GHG</w:t>
      </w:r>
      <w:r>
        <w:t xml:space="preserve"> </w:t>
      </w:r>
      <w:r>
        <w:t xml:space="preserve">trajectories for 3 main categories: (1) LULUCF net removals, (2) non-CO2 emissions, (3)</w:t>
      </w:r>
      <w:r>
        <w:t xml:space="preserve"> </w:t>
      </w:r>
      <w:r>
        <w:t xml:space="preserve">CO2 from energy, transport and industrial processes, a large part of which are covered by</w:t>
      </w:r>
      <w:r>
        <w:t xml:space="preserve"> </w:t>
      </w:r>
      <w:r>
        <w:t xml:space="preserve">the ETS.</w:t>
      </w:r>
    </w:p>
    <w:p>
      <w:pPr>
        <w:pStyle w:val="Compact"/>
        <w:numPr>
          <w:ilvl w:val="0"/>
          <w:numId w:val="1014"/>
        </w:numPr>
      </w:pPr>
      <w:r>
        <w:t xml:space="preserve">GHG emissions after deduction of carbon removals</w:t>
      </w:r>
    </w:p>
    <w:p>
      <w:pPr>
        <w:pStyle w:val="Compact"/>
        <w:numPr>
          <w:ilvl w:val="0"/>
          <w:numId w:val="1014"/>
        </w:numPr>
      </w:pPr>
      <w:r>
        <w:t xml:space="preserve">A further description of the implied emission reductions under the prolongation of the current policy</w:t>
      </w:r>
      <w:r>
        <w:t xml:space="preserve"> </w:t>
      </w:r>
      <w:r>
        <w:t xml:space="preserve">framework, including unchanged “linear reduction factors” in the ETS, can be found in Annex 6, section 4.</w:t>
      </w:r>
    </w:p>
    <w:p>
      <w:pPr>
        <w:pStyle w:val="FirstParagraph"/>
      </w:pPr>
      <w:r>
        <w:t xml:space="preserve">23</w:t>
      </w:r>
    </w:p>
    <w:p>
      <w:pPr>
        <w:pStyle w:val="BodyText"/>
      </w:pPr>
      <w:r>
        <w:t xml:space="preserve">Figure 3: Theoretical 2030-2040 GHG emissions with the current policy framework</w:t>
      </w:r>
    </w:p>
    <w:p>
      <w:pPr>
        <w:pStyle w:val="BodyText"/>
      </w:pPr>
      <w:r>
        <w:t xml:space="preserve">Note: ETS1 and ETS2 apply their respective linear reduction factor in 2030 onwards (corresponding to yearly</w:t>
      </w:r>
      <w:r>
        <w:t xml:space="preserve"> </w:t>
      </w:r>
      <w:r>
        <w:t xml:space="preserve">reductions of about 90 MtCO2 in ETS1 and 63.2 MtCO2 in ETS2), “Rest energy, transport &amp; industrial CO2” is</w:t>
      </w:r>
      <w:r>
        <w:t xml:space="preserve"> </w:t>
      </w:r>
      <w:r>
        <w:t xml:space="preserve">derived from the EU Reference Scenario 2020 (37), non-CO2 is from GAINS model (assuming no specific</w:t>
      </w:r>
      <w:r>
        <w:t xml:space="preserve"> </w:t>
      </w:r>
      <w:r>
        <w:t xml:space="preserve">mitigation), LULUCF is from GLOBIOM (assuming no mitigation post-2030).</w:t>
      </w:r>
      <w:r>
        <w:t xml:space="preserve"> </w:t>
      </w:r>
      <w:r>
        <w:t xml:space="preserve">(1) In the absence of a policy for LULUCF beyond 2030, modelling shows that (1)</w:t>
      </w:r>
      <w:r>
        <w:t xml:space="preserve"> </w:t>
      </w:r>
      <w:r>
        <w:t xml:space="preserve">LULUCF net removals would be limited to -220/-230 MtCO2-eq.</w:t>
      </w:r>
      <w:r>
        <w:br/>
      </w:r>
      <w:r>
        <w:t xml:space="preserve">(2) About half of current non-CO2 emissions (38) currently come from agricultural</w:t>
      </w:r>
      <w:r>
        <w:t xml:space="preserve"> </w:t>
      </w:r>
      <w:r>
        <w:t xml:space="preserve">activities (e.g., enteric fermentation, use of fertilisers and manure management). Without</w:t>
      </w:r>
      <w:r>
        <w:t xml:space="preserve"> </w:t>
      </w:r>
      <w:r>
        <w:t xml:space="preserve">any dedicated post-2030 GHG mitigation policy objective, the agricultural activities</w:t>
      </w:r>
      <w:r>
        <w:t xml:space="preserve"> </w:t>
      </w:r>
      <w:r>
        <w:t xml:space="preserve">would still be significant emitters by 2050. Legislative initiatives such as the review of</w:t>
      </w:r>
      <w:r>
        <w:t xml:space="preserve"> </w:t>
      </w:r>
      <w:r>
        <w:t xml:space="preserve">the fluorinated greenhouse gases Regulation, the Regulation of methane emissions</w:t>
      </w:r>
      <w:r>
        <w:t xml:space="preserve"> </w:t>
      </w:r>
      <w:r>
        <w:t xml:space="preserve">reductions in the energy sector, the revision of the Industrial Emissions Directive, or the</w:t>
      </w:r>
      <w:r>
        <w:t xml:space="preserve"> </w:t>
      </w:r>
      <w:r>
        <w:t xml:space="preserve">revision of the urban waste-water treatment Directive will reduce the “other” non-CO2</w:t>
      </w:r>
      <w:r>
        <w:t xml:space="preserve"> </w:t>
      </w:r>
      <w:r>
        <w:t xml:space="preserve">emissions by a third over 2030-2040. By 2040, total non-CO2 emissions with still be too</w:t>
      </w:r>
      <w:r>
        <w:t xml:space="preserve"> </w:t>
      </w:r>
      <w:r>
        <w:t xml:space="preserve">large (around 460 MtCO2-eq, 10-15% lower than in 2030), notably in agriculture.</w:t>
      </w:r>
      <w:r>
        <w:t xml:space="preserve"> </w:t>
      </w:r>
      <w:r>
        <w:t xml:space="preserve">(3) A small part of CO2 emissions from energy, transport and industrial processes are</w:t>
      </w:r>
      <w:r>
        <w:t xml:space="preserve"> </w:t>
      </w:r>
      <w:r>
        <w:t xml:space="preserve">not under the ETS (39). The revised ETS will cover sectors which currently represent</w:t>
      </w:r>
      <w:r>
        <w:t xml:space="preserve"> </w:t>
      </w:r>
      <w:r>
        <w:t xml:space="preserve">more than 90% of CO2 emissions from energy, transport, and industrial processes. In the</w:t>
      </w:r>
      <w:r>
        <w:t xml:space="preserve"> </w:t>
      </w:r>
      <w:r>
        <w:t xml:space="preserve">absence of any new post-2030 legislation, the emissions outside the ETS would decrease</w:t>
      </w:r>
      <w:r>
        <w:t xml:space="preserve"> </w:t>
      </w:r>
      <w:r>
        <w:t xml:space="preserve">only very little over time, reaching together around 100 MtCO2 in 2040. The ETS sets an</w:t>
      </w:r>
      <w:r>
        <w:t xml:space="preserve"> </w:t>
      </w:r>
      <w:r>
        <w:t xml:space="preserve">emissions cap reducing every year by a “Linear Reduction Factor” (LRF) both for</w:t>
      </w:r>
      <w:r>
        <w:t xml:space="preserve"> </w:t>
      </w:r>
      <w:r>
        <w:t xml:space="preserve">“ETS1” (the existing ETS extended to cover also maritime shipping) and for “ETS2” (the</w:t>
      </w:r>
      <w:r>
        <w:t xml:space="preserve"> </w:t>
      </w:r>
      <w:r>
        <w:t xml:space="preserve">new system covering buildings, road transport and the remaining energy-related CO2</w:t>
      </w:r>
    </w:p>
    <w:p>
      <w:pPr>
        <w:pStyle w:val="Compact"/>
        <w:numPr>
          <w:ilvl w:val="0"/>
          <w:numId w:val="1015"/>
        </w:numPr>
      </w:pPr>
      <w:r>
        <w:t xml:space="preserve">https://energy.ec.europa.eu/data-and-analysis/energy-modelling/eu-reference-scenario-2020_en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Excluding non-CO2 emissions from the LULUCF sector and the very small share of non-CO2 GHGs</w:t>
      </w:r>
      <w:r>
        <w:t xml:space="preserve"> </w:t>
      </w:r>
      <w:r>
        <w:t xml:space="preserve">covered by the ETS that will follow the same pattern as discussed in the related paragraph.</w:t>
      </w:r>
    </w:p>
    <w:p>
      <w:pPr>
        <w:pStyle w:val="Compact"/>
        <w:numPr>
          <w:ilvl w:val="0"/>
          <w:numId w:val="1015"/>
        </w:numPr>
      </w:pPr>
      <w:r>
        <w:t xml:space="preserve">Part of CO2 emissions from industrial processes, as well as CO2 emissions from fossil fuel combustion</w:t>
      </w:r>
      <w:r>
        <w:t xml:space="preserve"> </w:t>
      </w:r>
      <w:r>
        <w:t xml:space="preserve">in the agriculture sector (2.6% of total 2021 CO2 emissions included in GHG inventories categories 1 and</w:t>
      </w:r>
      <w:r>
        <w:t xml:space="preserve"> </w:t>
      </w:r>
      <w:r>
        <w:t xml:space="preserve">2), inland waterways transport (0.6%) and rail transport (0.1%).</w:t>
      </w:r>
    </w:p>
    <w:p>
      <w:pPr>
        <w:pStyle w:val="FirstParagraph"/>
      </w:pPr>
      <w:r>
        <w:t xml:space="preserve">24</w:t>
      </w:r>
    </w:p>
    <w:p>
      <w:pPr>
        <w:pStyle w:val="BodyText"/>
      </w:pPr>
      <w:r>
        <w:t xml:space="preserve">from industry). Without a change to the current LRFs after 2030, the cap under ETS1</w:t>
      </w:r>
      <w:r>
        <w:t xml:space="preserve"> </w:t>
      </w:r>
      <w:r>
        <w:t xml:space="preserve">reaches almost zero in 2040 (40), and the cap under ETS2 reaches zero in 2044.</w:t>
      </w:r>
      <w:r>
        <w:br/>
      </w:r>
      <w:r>
        <w:t xml:space="preserve">In addition, the transport-related emissions under the ETS are also covered by specific</w:t>
      </w:r>
      <w:r>
        <w:t xml:space="preserve"> </w:t>
      </w:r>
      <w:r>
        <w:t xml:space="preserve">instruments with explicitly defined post-2030 targets: CO2 standards for vehicles in road</w:t>
      </w:r>
      <w:r>
        <w:t xml:space="preserve"> </w:t>
      </w:r>
      <w:r>
        <w:t xml:space="preserve">transport, limits on the GHG intensity on energy used in the maritime sector and shares</w:t>
      </w:r>
      <w:r>
        <w:t xml:space="preserve"> </w:t>
      </w:r>
      <w:r>
        <w:t xml:space="preserve">of sustainable advanced fuels in aviation emissions.</w:t>
      </w:r>
      <w:r>
        <w:br/>
      </w:r>
      <w:r>
        <w:t xml:space="preserve">The resulting theoretical net GHG emissions under an unchanged policy framework</w:t>
      </w:r>
      <w:r>
        <w:t xml:space="preserve"> </w:t>
      </w:r>
      <w:r>
        <w:t xml:space="preserve">would amount to -88% in 2040 compared to 1990. This reduction level is therefore</w:t>
      </w:r>
      <w:r>
        <w:t xml:space="preserve"> </w:t>
      </w:r>
      <w:r>
        <w:t xml:space="preserve">considered as the “baseline” climate target for 2040 to which other target levels are</w:t>
      </w:r>
      <w:r>
        <w:t xml:space="preserve"> </w:t>
      </w:r>
      <w:r>
        <w:t xml:space="preserve">compared.</w:t>
      </w:r>
      <w:r>
        <w:t xml:space="preserve"> </w:t>
      </w:r>
      <w:r>
        <w:t xml:space="preserve">This “baseline” target level goes beyond the reductions of net GHGs corresponding to the</w:t>
      </w:r>
      <w:r>
        <w:t xml:space="preserve"> </w:t>
      </w:r>
      <w:r>
        <w:t xml:space="preserve">“linear” trajectory linking the 2030 climate target and climate neutrality in 2050 referred</w:t>
      </w:r>
      <w:r>
        <w:t xml:space="preserve"> </w:t>
      </w:r>
      <w:r>
        <w:t xml:space="preserve">to in the Climate Law (Article 8)(41), which translates into a reduction of net GHG</w:t>
      </w:r>
      <w:r>
        <w:t xml:space="preserve"> </w:t>
      </w:r>
      <w:r>
        <w:t xml:space="preserve">emissions compared to 1990 of 78% (77.5% if starting from 55% reduction in 2030 or</w:t>
      </w:r>
      <w:r>
        <w:t xml:space="preserve"> </w:t>
      </w:r>
      <w:r>
        <w:t xml:space="preserve">78.5% in 2040 considering the estimated EU-wide net domestic GHG emissions cut by</w:t>
      </w:r>
      <w:r>
        <w:t xml:space="preserve"> </w:t>
      </w:r>
      <w:r>
        <w:t xml:space="preserve">57% by 2030 compared to 1990 under the Fit-for-55 legislation as adopted (42)).</w:t>
      </w:r>
      <w:r>
        <w:br/>
      </w:r>
      <w:r>
        <w:t xml:space="preserve">5.1.3 Approach for the assessment of the 2040 climate target</w:t>
      </w:r>
      <w:r>
        <w:t xml:space="preserve"> </w:t>
      </w:r>
      <w:r>
        <w:t xml:space="preserve">The impact assessment is framed by the 2030 climate target and by the objective of</w:t>
      </w:r>
      <w:r>
        <w:t xml:space="preserve"> </w:t>
      </w:r>
      <w:r>
        <w:t xml:space="preserve">climate neutrality by 2050. Up to 2030, the impact assessment reflects and fully</w:t>
      </w:r>
      <w:r>
        <w:t xml:space="preserve"> </w:t>
      </w:r>
      <w:r>
        <w:t xml:space="preserve">implements the Fit-for-55 policy framework and associated targets.</w:t>
      </w:r>
      <w:r>
        <w:br/>
      </w:r>
      <w:r>
        <w:t xml:space="preserve">Table 2 shows all explicitly defined and impact-assessed policies with concrete impacts</w:t>
      </w:r>
      <w:r>
        <w:t xml:space="preserve"> </w:t>
      </w:r>
      <w:r>
        <w:t xml:space="preserve">on GHG emissions beyond 2030. These policies are included in all 2040 climate target</w:t>
      </w:r>
      <w:r>
        <w:t xml:space="preserve"> </w:t>
      </w:r>
      <w:r>
        <w:t xml:space="preserve">options and accompanying analytical scenarios (see section 5.3), but these policies alone</w:t>
      </w:r>
      <w:r>
        <w:t xml:space="preserve"> </w:t>
      </w:r>
      <w:r>
        <w:t xml:space="preserve">are neither sufficient to meet the 2040 target options considered nor climate neutrality by</w:t>
      </w:r>
      <w:r>
        <w:t xml:space="preserve"> </w:t>
      </w:r>
      <w:r>
        <w:t xml:space="preserve">2050.</w:t>
      </w:r>
    </w:p>
    <w:p>
      <w:pPr>
        <w:pStyle w:val="Compact"/>
        <w:numPr>
          <w:ilvl w:val="0"/>
          <w:numId w:val="1016"/>
        </w:numPr>
      </w:pPr>
      <w:r>
        <w:t xml:space="preserve">While the cap in Article 9 of the EU ETS Directive (stationary and maritime) would reach close to zero</w:t>
      </w:r>
      <w:r>
        <w:t xml:space="preserve"> </w:t>
      </w:r>
      <w:r>
        <w:t xml:space="preserve">already in 2039 and zero in 2040, the allowances issued due to Art 3c (aviation) of the Directive are above</w:t>
      </w:r>
      <w:r>
        <w:t xml:space="preserve"> </w:t>
      </w:r>
      <w:r>
        <w:t xml:space="preserve">0 until 2044 included, getting to zero from 2045.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The Climate Law Article 8(1) refers to an indicative linear trajectory which sets out the pathway for the</w:t>
      </w:r>
      <w:r>
        <w:t xml:space="preserve"> </w:t>
      </w:r>
      <w:r>
        <w:t xml:space="preserve">reduction of net emissions at Union level on which the Commission shall base its assessments on Union</w:t>
      </w:r>
      <w:r>
        <w:t xml:space="preserve"> </w:t>
      </w:r>
      <w:r>
        <w:t xml:space="preserve">progress and measures and national measures.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See the Climate Action Progress Report 2023.</w:t>
      </w:r>
    </w:p>
    <w:p>
      <w:pPr>
        <w:pStyle w:val="FirstParagraph"/>
      </w:pPr>
      <w:r>
        <w:t xml:space="preserve">25</w:t>
      </w:r>
    </w:p>
    <w:p>
      <w:pPr>
        <w:pStyle w:val="BodyText"/>
      </w:pPr>
      <w:r>
        <w:t xml:space="preserve">Table 2: Pieces of legislation considered in the default post-2030 framework</w:t>
      </w:r>
      <w:r>
        <w:t xml:space="preserve"> </w:t>
      </w:r>
      <w:r>
        <w:t xml:space="preserve">GHG and sector</w:t>
      </w:r>
      <w:r>
        <w:t xml:space="preserve"> </w:t>
      </w:r>
      <w:r>
        <w:t xml:space="preserve">Legislation</w:t>
      </w:r>
      <w:r>
        <w:t xml:space="preserve"> </w:t>
      </w:r>
      <w:r>
        <w:t xml:space="preserve">Status at the time of</w:t>
      </w:r>
      <w:r>
        <w:t xml:space="preserve"> </w:t>
      </w:r>
      <w:r>
        <w:t xml:space="preserve">the analysis</w:t>
      </w:r>
      <w:r>
        <w:t xml:space="preserve"> </w:t>
      </w:r>
      <w:r>
        <w:t xml:space="preserve">CO2 emissions in</w:t>
      </w:r>
      <w:r>
        <w:t xml:space="preserve"> </w:t>
      </w:r>
      <w:r>
        <w:t xml:space="preserve">transport</w:t>
      </w:r>
      <w:r>
        <w:t xml:space="preserve"> </w:t>
      </w:r>
      <w:r>
        <w:t xml:space="preserve">CO2 emission standards for cars and vans</w:t>
      </w:r>
      <w:r>
        <w:t xml:space="preserve"> </w:t>
      </w:r>
      <w:r>
        <w:t xml:space="preserve">Adopted</w:t>
      </w:r>
      <w:r>
        <w:t xml:space="preserve"> </w:t>
      </w:r>
      <w:r>
        <w:t xml:space="preserve">CO2 emission standards for heavy-duty vehicles</w:t>
      </w:r>
      <w:r>
        <w:t xml:space="preserve"> </w:t>
      </w:r>
      <w:r>
        <w:t xml:space="preserve">Proposal</w:t>
      </w:r>
      <w:r>
        <w:t xml:space="preserve"> </w:t>
      </w:r>
      <w:r>
        <w:t xml:space="preserve">TEN-T Regulation</w:t>
      </w:r>
      <w:r>
        <w:t xml:space="preserve"> </w:t>
      </w:r>
      <w:r>
        <w:t xml:space="preserve">Agreed</w:t>
      </w:r>
      <w:r>
        <w:t xml:space="preserve"> </w:t>
      </w:r>
      <w:r>
        <w:t xml:space="preserve">Alternative Fuel Infrastructure Regulation</w:t>
      </w:r>
      <w:r>
        <w:br/>
      </w:r>
      <w:r>
        <w:t xml:space="preserve">Adopted</w:t>
      </w:r>
      <w:r>
        <w:t xml:space="preserve"> </w:t>
      </w:r>
      <w:r>
        <w:t xml:space="preserve">Intelligent Transport Systems Directive</w:t>
      </w:r>
      <w:r>
        <w:t xml:space="preserve"> </w:t>
      </w:r>
      <w:r>
        <w:t xml:space="preserve">Adopted</w:t>
      </w:r>
      <w:r>
        <w:t xml:space="preserve"> </w:t>
      </w:r>
      <w:r>
        <w:t xml:space="preserve">Greening Freight Package</w:t>
      </w:r>
      <w:r>
        <w:t xml:space="preserve"> </w:t>
      </w:r>
      <w:r>
        <w:t xml:space="preserve">Proposal</w:t>
      </w:r>
      <w:r>
        <w:t xml:space="preserve"> </w:t>
      </w:r>
      <w:r>
        <w:t xml:space="preserve">ReFuelEU Aviation</w:t>
      </w:r>
      <w:r>
        <w:t xml:space="preserve"> </w:t>
      </w:r>
      <w:r>
        <w:t xml:space="preserve">Adopted</w:t>
      </w:r>
      <w:r>
        <w:t xml:space="preserve"> </w:t>
      </w:r>
      <w:r>
        <w:t xml:space="preserve">FuelEU Maritime</w:t>
      </w:r>
      <w:r>
        <w:t xml:space="preserve"> </w:t>
      </w:r>
      <w:r>
        <w:t xml:space="preserve">Adopted</w:t>
      </w:r>
      <w:r>
        <w:t xml:space="preserve"> </w:t>
      </w:r>
      <w:r>
        <w:t xml:space="preserve">CH4 from the energy</w:t>
      </w:r>
      <w:r>
        <w:t xml:space="preserve"> </w:t>
      </w:r>
      <w:r>
        <w:t xml:space="preserve">sector</w:t>
      </w:r>
      <w:r>
        <w:t xml:space="preserve"> </w:t>
      </w:r>
      <w:r>
        <w:t xml:space="preserve">Regulation on methane emissions reduction in the energy sector</w:t>
      </w:r>
      <w:r>
        <w:t xml:space="preserve"> </w:t>
      </w:r>
      <w:r>
        <w:t xml:space="preserve">Agreed</w:t>
      </w:r>
      <w:r>
        <w:t xml:space="preserve"> </w:t>
      </w:r>
      <w:r>
        <w:t xml:space="preserve">F gases</w:t>
      </w:r>
      <w:r>
        <w:br/>
      </w:r>
      <w:r>
        <w:t xml:space="preserve">F-Gas Regulation</w:t>
      </w:r>
      <w:r>
        <w:t xml:space="preserve"> </w:t>
      </w:r>
      <w:r>
        <w:t xml:space="preserve">Proposal</w:t>
      </w:r>
      <w:r>
        <w:t xml:space="preserve"> </w:t>
      </w:r>
      <w:r>
        <w:t xml:space="preserve">Methane from waste</w:t>
      </w:r>
      <w:r>
        <w:t xml:space="preserve"> </w:t>
      </w:r>
      <w:r>
        <w:t xml:space="preserve">Landfill Directive</w:t>
      </w:r>
      <w:r>
        <w:t xml:space="preserve"> </w:t>
      </w:r>
      <w:r>
        <w:t xml:space="preserve">Not recently reviewed</w:t>
      </w:r>
      <w:r>
        <w:t xml:space="preserve"> </w:t>
      </w:r>
      <w:r>
        <w:t xml:space="preserve">Waste Framework Directive</w:t>
      </w:r>
      <w:r>
        <w:t xml:space="preserve"> </w:t>
      </w:r>
      <w:r>
        <w:t xml:space="preserve">Not recently reviewed</w:t>
      </w:r>
      <w:r>
        <w:t xml:space="preserve"> </w:t>
      </w:r>
      <w:r>
        <w:t xml:space="preserve">Urban Wastewater Treatment Directive</w:t>
      </w:r>
      <w:r>
        <w:t xml:space="preserve"> </w:t>
      </w:r>
      <w:r>
        <w:t xml:space="preserve">Proposal</w:t>
      </w:r>
      <w:r>
        <w:t xml:space="preserve"> </w:t>
      </w:r>
      <w:r>
        <w:t xml:space="preserve">Methane from</w:t>
      </w:r>
      <w:r>
        <w:t xml:space="preserve"> </w:t>
      </w:r>
      <w:r>
        <w:t xml:space="preserve">agriculture</w:t>
      </w:r>
      <w:r>
        <w:t xml:space="preserve"> </w:t>
      </w:r>
      <w:r>
        <w:t xml:space="preserve">Industrial Emissions Directive</w:t>
      </w:r>
      <w:r>
        <w:t xml:space="preserve"> </w:t>
      </w:r>
      <w:r>
        <w:t xml:space="preserve">Proposal</w:t>
      </w:r>
      <w:r>
        <w:t xml:space="preserve"> </w:t>
      </w:r>
      <w:r>
        <w:t xml:space="preserve">GHG emissions from</w:t>
      </w:r>
      <w:r>
        <w:t xml:space="preserve"> </w:t>
      </w:r>
      <w:r>
        <w:t xml:space="preserve">the energy sector</w:t>
      </w:r>
      <w:r>
        <w:t xml:space="preserve"> </w:t>
      </w:r>
      <w:r>
        <w:t xml:space="preserve">Energy Taxation Directive</w:t>
      </w:r>
      <w:r>
        <w:t xml:space="preserve"> </w:t>
      </w:r>
      <w:r>
        <w:t xml:space="preserve">Proposal</w:t>
      </w:r>
      <w:r>
        <w:t xml:space="preserve"> </w:t>
      </w:r>
      <w:r>
        <w:t xml:space="preserve">Note: “Adopted” means formally adopted by the European Parliament and European Council. “Agreed” means</w:t>
      </w:r>
      <w:r>
        <w:t xml:space="preserve"> </w:t>
      </w:r>
      <w:r>
        <w:t xml:space="preserve">that a political agreement between the co-legislators has been reached. “Proposal” means proposed by the</w:t>
      </w:r>
      <w:r>
        <w:t xml:space="preserve"> </w:t>
      </w:r>
      <w:r>
        <w:t xml:space="preserve">European Commission. “Not recently reviewed” means that this legislation is in force and has not been reviewed</w:t>
      </w:r>
      <w:r>
        <w:t xml:space="preserve"> </w:t>
      </w:r>
      <w:r>
        <w:t xml:space="preserve">in recent years.</w:t>
      </w:r>
      <w:r>
        <w:t xml:space="preserve"> </w:t>
      </w:r>
      <w:r>
        <w:t xml:space="preserve">The rest of the post-2030 policy framework is still to be defined, or to be reviewed so</w:t>
      </w:r>
      <w:r>
        <w:t xml:space="preserve"> </w:t>
      </w:r>
      <w:r>
        <w:t xml:space="preserve">that it can be aligned with achieving climate neutrality by 2050 and with the 2040 climate</w:t>
      </w:r>
      <w:r>
        <w:t xml:space="preserve"> </w:t>
      </w:r>
      <w:r>
        <w:t xml:space="preserve">target once that target has been set. This applies to the ETS Directive, which already</w:t>
      </w:r>
      <w:r>
        <w:t xml:space="preserve"> </w:t>
      </w:r>
      <w:r>
        <w:t xml:space="preserve">foresees a review (43) in view of being compliant with the 2040 climate target. As a</w:t>
      </w:r>
      <w:r>
        <w:t xml:space="preserve"> </w:t>
      </w:r>
      <w:r>
        <w:t xml:space="preserve">result, this assessment of the 2040 target does not assume a prolongation of unrevised</w:t>
      </w:r>
      <w:r>
        <w:t xml:space="preserve"> </w:t>
      </w:r>
      <w:r>
        <w:t xml:space="preserve">ETS provisions after 2030 within the default post-2030 policy framework.</w:t>
      </w:r>
      <w:r>
        <w:br/>
      </w:r>
      <w:r>
        <w:t xml:space="preserve">The impact assessment uses economic modelling to analyse the evolution of sectoral</w:t>
      </w:r>
      <w:r>
        <w:t xml:space="preserve"> </w:t>
      </w:r>
      <w:r>
        <w:t xml:space="preserve">emissions and the contribution of technologies that are necessary to meet different 2040</w:t>
      </w:r>
      <w:r>
        <w:t xml:space="preserve"> </w:t>
      </w:r>
      <w:r>
        <w:t xml:space="preserve">target levels and climate neutrality by 2050.</w:t>
      </w:r>
      <w:r>
        <w:br/>
      </w:r>
      <w:r>
        <w:t xml:space="preserve">5.2</w:t>
      </w:r>
      <w:r>
        <w:t xml:space="preserve"> </w:t>
      </w:r>
      <w:r>
        <w:t xml:space="preserve">Target options</w:t>
      </w:r>
      <w:r>
        <w:t xml:space="preserve"> </w:t>
      </w:r>
      <w:r>
        <w:t xml:space="preserve">This impact assessment aims to identify the most appropriate 2040 target level to bring</w:t>
      </w:r>
      <w:r>
        <w:t xml:space="preserve"> </w:t>
      </w:r>
      <w:r>
        <w:t xml:space="preserve">the EU to climate neutrality by 2050 and to contribute to international action to fight</w:t>
      </w:r>
      <w:r>
        <w:t xml:space="preserve"> </w:t>
      </w:r>
      <w:r>
        <w:t xml:space="preserve">climate change. The different target options considered in this impact assessment are</w:t>
      </w:r>
      <w:r>
        <w:t xml:space="preserve"> </w:t>
      </w:r>
      <w:r>
        <w:t xml:space="preserve">therefore focused on different levels of net GHG emissions reduction in 2040 compared</w:t>
      </w:r>
      <w:r>
        <w:t xml:space="preserve"> </w:t>
      </w:r>
      <w:r>
        <w:t xml:space="preserve">to 1990.</w:t>
      </w:r>
    </w:p>
    <w:p>
      <w:pPr>
        <w:pStyle w:val="Compact"/>
        <w:numPr>
          <w:ilvl w:val="0"/>
          <w:numId w:val="1017"/>
        </w:numPr>
      </w:pPr>
      <w:r>
        <w:t xml:space="preserve">Including the EU ETS Directive, which foresees a review in 2026, including in view of being in line</w:t>
      </w:r>
      <w:r>
        <w:t xml:space="preserve"> </w:t>
      </w:r>
      <w:r>
        <w:t xml:space="preserve">with the Union’s 2040 climate target (Article 30(3) of Directive 2003/87/EC).</w:t>
      </w:r>
    </w:p>
    <w:p>
      <w:pPr>
        <w:pStyle w:val="FirstParagraph"/>
      </w:pPr>
      <w:r>
        <w:t xml:space="preserve">26</w:t>
      </w:r>
    </w:p>
    <w:p>
      <w:pPr>
        <w:pStyle w:val="BodyText"/>
      </w:pPr>
      <w:r>
        <w:t xml:space="preserve">5.2.1 Discarded target levels</w:t>
      </w:r>
      <w:r>
        <w:t xml:space="preserve"> </w:t>
      </w:r>
      <w:r>
        <w:t xml:space="preserve">The assessment discards target levels below 75%. A target lower than 75% has the lowest</w:t>
      </w:r>
      <w:r>
        <w:t xml:space="preserve"> </w:t>
      </w:r>
      <w:r>
        <w:t xml:space="preserve">support in the Public Consultation, from citizens, civil society organisations, businesses,</w:t>
      </w:r>
      <w:r>
        <w:t xml:space="preserve"> </w:t>
      </w:r>
      <w:r>
        <w:t xml:space="preserve">and academic institutions alike, with less than 10% of support across all replies. A target</w:t>
      </w:r>
      <w:r>
        <w:t xml:space="preserve"> </w:t>
      </w:r>
      <w:r>
        <w:t xml:space="preserve">lower than 75% is below the linear trajectory and would imply a complete break in the</w:t>
      </w:r>
      <w:r>
        <w:t xml:space="preserve"> </w:t>
      </w:r>
      <w:r>
        <w:t xml:space="preserve">trend of GHG emission reductions compared to 2021-2030 and even a slowdown</w:t>
      </w:r>
      <w:r>
        <w:t xml:space="preserve"> </w:t>
      </w:r>
      <w:r>
        <w:t xml:space="preserve">compared to the average 2011-2030 (see Table 3). It would also mean that steeper</w:t>
      </w:r>
      <w:r>
        <w:t xml:space="preserve"> </w:t>
      </w:r>
      <w:r>
        <w:t xml:space="preserve">emissions reductions would be needed between 2041–2050, with a substantial risk, due</w:t>
      </w:r>
      <w:r>
        <w:t xml:space="preserve"> </w:t>
      </w:r>
      <w:r>
        <w:t xml:space="preserve">to postponing more of the decarbonisation effort to the last decade, that the EU does not</w:t>
      </w:r>
      <w:r>
        <w:t xml:space="preserve"> </w:t>
      </w:r>
      <w:r>
        <w:t xml:space="preserve">reach its legal objective of net climate neutrality by 2050. This option has the highest</w:t>
      </w:r>
      <w:r>
        <w:t xml:space="preserve"> </w:t>
      </w:r>
      <w:r>
        <w:t xml:space="preserve">corresponding GHG budget (at least 23 GtCO2-eq), so the lowest climate performance,</w:t>
      </w:r>
      <w:r>
        <w:t xml:space="preserve"> </w:t>
      </w:r>
      <w:r>
        <w:t xml:space="preserve">and is thus not consistent with the EU commitments to global climate action.</w:t>
      </w:r>
      <w:r>
        <w:br/>
      </w:r>
      <w:r>
        <w:t xml:space="preserve">The assessment also discards target levels above 95%. In its analysis for the</w:t>
      </w:r>
      <w:r>
        <w:t xml:space="preserve"> </w:t>
      </w:r>
      <w:r>
        <w:t xml:space="preserve">recommendation on the 2040 target, the ESABCC concludes that all scenarios with 2040</w:t>
      </w:r>
      <w:r>
        <w:t xml:space="preserve"> </w:t>
      </w:r>
      <w:r>
        <w:t xml:space="preserve">emissions reductions above 95% exceed one or more of the environmental risk levels or</w:t>
      </w:r>
      <w:r>
        <w:t xml:space="preserve"> </w:t>
      </w:r>
      <w:r>
        <w:t xml:space="preserve">limits used to rule out pathways not considered feasible, based on levels of carbon</w:t>
      </w:r>
      <w:r>
        <w:t xml:space="preserve"> </w:t>
      </w:r>
      <w:r>
        <w:t xml:space="preserve">capture deployment, carbon removals from the land sink or bioenergy use. No other</w:t>
      </w:r>
      <w:r>
        <w:t xml:space="preserve"> </w:t>
      </w:r>
      <w:r>
        <w:t xml:space="preserve">recently published scientific publication on a 2040 climate target for the EU to get to</w:t>
      </w:r>
      <w:r>
        <w:t xml:space="preserve"> </w:t>
      </w:r>
      <w:r>
        <w:t xml:space="preserve">climate neutrality by 2050 has analysed or projects reductions of above 95% by 2040</w:t>
      </w:r>
      <w:r>
        <w:t xml:space="preserve"> </w:t>
      </w:r>
      <w:r>
        <w:t xml:space="preserve">(see Annex 13).</w:t>
      </w:r>
      <w:r>
        <w:br/>
      </w:r>
      <w:r>
        <w:t xml:space="preserve">5.2.2 Considered target levels</w:t>
      </w:r>
      <w:r>
        <w:t xml:space="preserve"> </w:t>
      </w:r>
      <w:r>
        <w:t xml:space="preserve">The assessment therefore focuses on target levels between 75% and 95%. It looks at three</w:t>
      </w:r>
      <w:r>
        <w:t xml:space="preserve"> </w:t>
      </w:r>
      <w:r>
        <w:t xml:space="preserve">climate target levels articulated around (i) the linear trajectory between 2030 and 2050</w:t>
      </w:r>
      <w:r>
        <w:t xml:space="preserve"> </w:t>
      </w:r>
      <w:r>
        <w:t xml:space="preserve">and (ii) the 85-95% range for an EU 2040 climate target compatible with the 1.5°C long-</w:t>
      </w:r>
      <w:r>
        <w:t xml:space="preserve"> </w:t>
      </w:r>
      <w:r>
        <w:t xml:space="preserve">term temperature goal that is analysed in the scientific literature, including the ESABCC</w:t>
      </w:r>
      <w:r>
        <w:t xml:space="preserve"> </w:t>
      </w:r>
      <w:r>
        <w:t xml:space="preserve">(see Annex 13).</w:t>
      </w:r>
      <w:r>
        <w:br/>
      </w:r>
      <w:r>
        <w:t xml:space="preserve">-</w:t>
      </w:r>
      <w:r>
        <w:t xml:space="preserve"> </w:t>
      </w:r>
      <w:r>
        <w:t xml:space="preserve">Target Option 1: a net GHG reduction target in 2040 of up to 80%</w:t>
      </w:r>
      <w:r>
        <w:br/>
      </w:r>
      <w:r>
        <w:t xml:space="preserve">This target option is compatible with a linear trajectory of net GHG emissions</w:t>
      </w:r>
      <w:r>
        <w:t xml:space="preserve"> </w:t>
      </w:r>
      <w:r>
        <w:t xml:space="preserve">between the existing 2030 climate target and the 2050 climate neutrality objective</w:t>
      </w:r>
      <w:r>
        <w:t xml:space="preserve"> </w:t>
      </w:r>
      <w:r>
        <w:t xml:space="preserve">referred to in the Climate Law (Article 8), which would lead to a reduction level of 78%</w:t>
      </w:r>
      <w:r>
        <w:t xml:space="preserve"> </w:t>
      </w:r>
      <w:r>
        <w:t xml:space="preserve">(see section 5.1.2). This option is significantly lower than the “baseline” target level of</w:t>
      </w:r>
      <w:r>
        <w:t xml:space="preserve"> </w:t>
      </w:r>
      <w:r>
        <w:t xml:space="preserve">88% (see section 5.1.2).</w:t>
      </w:r>
      <w:r>
        <w:t xml:space="preserve"> </w:t>
      </w:r>
      <w:r>
        <w:t xml:space="preserve">Among the three options assessed, this option gets the largest share of responses to the</w:t>
      </w:r>
      <w:r>
        <w:t xml:space="preserve"> </w:t>
      </w:r>
      <w:r>
        <w:t xml:space="preserve">public consultation from businesses (nearly 30%) and public authorities (37%), but the</w:t>
      </w:r>
      <w:r>
        <w:t xml:space="preserve"> </w:t>
      </w:r>
      <w:r>
        <w:t xml:space="preserve">lowest share among research organisations (15%), individuals (11%) and civil society</w:t>
      </w:r>
      <w:r>
        <w:t xml:space="preserve"> </w:t>
      </w:r>
      <w:r>
        <w:t xml:space="preserve">organisations (8%).</w:t>
      </w:r>
      <w:r>
        <w:br/>
      </w:r>
      <w:r>
        <w:t xml:space="preserve">In view of the comparison with the other target options, target option 1 is analysed</w:t>
      </w:r>
      <w:r>
        <w:t xml:space="preserve"> </w:t>
      </w:r>
      <w:r>
        <w:t xml:space="preserve">through scenario S1 described in Section 5.3 and Table 4 and further described in Annex</w:t>
      </w:r>
      <w:r>
        <w:t xml:space="preserve"> </w:t>
      </w:r>
      <w:r>
        <w:t xml:space="preserve">6.</w:t>
      </w:r>
    </w:p>
    <w:p>
      <w:pPr>
        <w:pStyle w:val="BodyText"/>
      </w:pPr>
      <w:r>
        <w:t xml:space="preserve">27</w:t>
      </w:r>
    </w:p>
    <w:p>
      <w:pPr>
        <w:pStyle w:val="Compact"/>
        <w:numPr>
          <w:ilvl w:val="0"/>
          <w:numId w:val="1018"/>
        </w:numPr>
      </w:pPr>
      <w:r>
        <w:t xml:space="preserve">Target Option 2: a net GHG reduction target in 2040 of at least 85% and up to</w:t>
      </w:r>
      <w:r>
        <w:t xml:space="preserve"> </w:t>
      </w:r>
      <w:r>
        <w:t xml:space="preserve">90%</w:t>
      </w:r>
      <w:r>
        <w:t xml:space="preserve"> </w:t>
      </w:r>
      <w:r>
        <w:t xml:space="preserve">This target option is compatible with the level of net GHG reductions that would be</w:t>
      </w:r>
      <w:r>
        <w:t xml:space="preserve"> </w:t>
      </w:r>
      <w:r>
        <w:t xml:space="preserve">reached in the case of a prolongation of the current policy framework (-88%).</w:t>
      </w:r>
      <w:r>
        <w:br/>
      </w:r>
      <w:r>
        <w:t xml:space="preserve">It matches the lower half of the 85-95% range provided by recent scientific literature on</w:t>
      </w:r>
      <w:r>
        <w:t xml:space="preserve"> </w:t>
      </w:r>
      <w:r>
        <w:t xml:space="preserve">1.5°C-compatible trajectories to bring the EU to climate neutrality by 2050, including the</w:t>
      </w:r>
      <w:r>
        <w:t xml:space="preserve"> </w:t>
      </w:r>
      <w:r>
        <w:t xml:space="preserve">lower end of the range analysed by the ESABCC considering the challenges of short-</w:t>
      </w:r>
      <w:r>
        <w:t xml:space="preserve"> </w:t>
      </w:r>
      <w:r>
        <w:t xml:space="preserve">term technological scale-up by 2030 (88-92%). It remains lower than the range</w:t>
      </w:r>
      <w:r>
        <w:t xml:space="preserve"> </w:t>
      </w:r>
      <w:r>
        <w:t xml:space="preserve">recommended by the ESABCC (90-95%).</w:t>
      </w:r>
      <w:r>
        <w:br/>
      </w:r>
      <w:r>
        <w:t xml:space="preserve">This option gets a large share of responses to the public consultation by research</w:t>
      </w:r>
      <w:r>
        <w:t xml:space="preserve"> </w:t>
      </w:r>
      <w:r>
        <w:t xml:space="preserve">organisation (35%), and some support by businesses (22% for SMEs and 24% for large</w:t>
      </w:r>
      <w:r>
        <w:t xml:space="preserve"> </w:t>
      </w:r>
      <w:r>
        <w:t xml:space="preserve">businesses) and individuals (24%).</w:t>
      </w:r>
      <w:r>
        <w:br/>
      </w:r>
      <w:r>
        <w:t xml:space="preserve">In view of the comparison with the other target options, target option 2 is analysed</w:t>
      </w:r>
      <w:r>
        <w:t xml:space="preserve"> </w:t>
      </w:r>
      <w:r>
        <w:t xml:space="preserve">through scenario S2 described in Section 5.3 and Table 4 and further described in Annex</w:t>
      </w:r>
    </w:p>
    <w:bookmarkStart w:id="9" w:name="section"/>
    <w:p>
      <w:pPr>
        <w:pStyle w:val="Heading2"/>
      </w:pPr>
      <w:r>
        <w:t xml:space="preserve">6.</w:t>
      </w:r>
    </w:p>
    <w:p>
      <w:pPr>
        <w:pStyle w:val="FirstParagraph"/>
      </w:pPr>
      <w:r>
        <w:t xml:space="preserve">Target Option 3: a net GHG reduction target in 2040 of at least 90% and up to</w:t>
      </w:r>
      <w:r>
        <w:t xml:space="preserve"> </w:t>
      </w:r>
      <w:r>
        <w:t xml:space="preserve">95%</w:t>
      </w:r>
      <w:r>
        <w:t xml:space="preserve"> </w:t>
      </w:r>
      <w:r>
        <w:t xml:space="preserve">This option corresponds to the range recommended by the ESABCC. It also matches</w:t>
      </w:r>
      <w:r>
        <w:t xml:space="preserve"> </w:t>
      </w:r>
      <w:r>
        <w:t xml:space="preserve">the higher half of the 85-95% range analysed by recent scientific literature on 1.5°C-</w:t>
      </w:r>
      <w:r>
        <w:t xml:space="preserve"> </w:t>
      </w:r>
      <w:r>
        <w:t xml:space="preserve">compatible trajectories to bring the EU to climate neutrality by 2050.</w:t>
      </w:r>
      <w:r>
        <w:t xml:space="preserve"> </w:t>
      </w:r>
      <w:r>
        <w:t xml:space="preserve">A target above 90% is the clear preferred option for individuals (46%) and aggregated</w:t>
      </w:r>
      <w:r>
        <w:t xml:space="preserve"> </w:t>
      </w:r>
      <w:r>
        <w:t xml:space="preserve">across all organisations (30%). It is, in particular, favoured by civil society organisations</w:t>
      </w:r>
      <w:r>
        <w:t xml:space="preserve"> </w:t>
      </w:r>
      <w:r>
        <w:t xml:space="preserve">(63%) and is supported by research institutions (35%) as much as option 2. SMEs</w:t>
      </w:r>
      <w:r>
        <w:t xml:space="preserve"> </w:t>
      </w:r>
      <w:r>
        <w:t xml:space="preserve">support this option (21%) as much as the target option 2. It gets 19% of support from</w:t>
      </w:r>
      <w:r>
        <w:t xml:space="preserve"> </w:t>
      </w:r>
      <w:r>
        <w:t xml:space="preserve">public authorities and 13% from large businesses that participated to the public</w:t>
      </w:r>
      <w:r>
        <w:t xml:space="preserve"> </w:t>
      </w:r>
      <w:r>
        <w:t xml:space="preserve">consultation.</w:t>
      </w:r>
      <w:r>
        <w:br/>
      </w:r>
      <w:r>
        <w:t xml:space="preserve">In view of the comparison with the other target options, target option 3 is analysed</w:t>
      </w:r>
      <w:r>
        <w:t xml:space="preserve"> </w:t>
      </w:r>
      <w:r>
        <w:t xml:space="preserve">through scenario S3 described in Section 5.3 and Table 4 and further described in Annex</w:t>
      </w:r>
      <w:r>
        <w:t xml:space="preserve"> </w:t>
      </w:r>
      <w:r>
        <w:t xml:space="preserve">6.</w:t>
      </w:r>
      <w:r>
        <w:br/>
      </w:r>
      <w:r>
        <w:t xml:space="preserve">5.2.3 Emission profiles and cumulative GHG emissions under the different target</w:t>
      </w:r>
      <w:r>
        <w:t xml:space="preserve"> </w:t>
      </w:r>
      <w:r>
        <w:t xml:space="preserve">options</w:t>
      </w:r>
      <w:r>
        <w:t xml:space="preserve"> </w:t>
      </w:r>
      <w:r>
        <w:t xml:space="preserve">Table 3 and Figure 4 allow to compare the different target options in terms of their net</w:t>
      </w:r>
      <w:r>
        <w:t xml:space="preserve"> </w:t>
      </w:r>
      <w:r>
        <w:t xml:space="preserve">GHG reduction profiles and their associated cumulative net GHG emissions of 2030-</w:t>
      </w:r>
      <w:r>
        <w:t xml:space="preserve"> </w:t>
      </w:r>
      <w:r>
        <w:t xml:space="preserve">2050 (the “GHG budget”). Each target option corresponds to a level of net GHG</w:t>
      </w:r>
      <w:r>
        <w:t xml:space="preserve"> </w:t>
      </w:r>
      <w:r>
        <w:t xml:space="preserve">reductions in 2040. For each target option, the “GHG budget” is calculated assuming</w:t>
      </w:r>
      <w:r>
        <w:t xml:space="preserve"> </w:t>
      </w:r>
      <w:r>
        <w:t xml:space="preserve">net GHG emissions reaching zero in 2050 and linear trajectories of net GHGs</w:t>
      </w:r>
      <w:r>
        <w:t xml:space="preserve"> </w:t>
      </w:r>
      <w:r>
        <w:t xml:space="preserve">between 2030 and 2040 and between 2040 and 2050.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Table 3: GHG budget and annual reduction of GHG emissions of each target option</w:t>
      </w:r>
    </w:p>
    <w:p>
      <w:pPr>
        <w:pStyle w:val="BodyText"/>
      </w:pPr>
      <w:r>
        <w:t xml:space="preserve">GHG budget</w:t>
      </w:r>
      <w:r>
        <w:t xml:space="preserve"> </w:t>
      </w:r>
      <w:r>
        <w:t xml:space="preserve">2030-2050</w:t>
      </w:r>
      <w:r>
        <w:t xml:space="preserve"> </w:t>
      </w:r>
      <w:r>
        <w:t xml:space="preserve">(GtCO2-eq)</w:t>
      </w:r>
      <w:r>
        <w:br/>
      </w:r>
      <w:r>
        <w:t xml:space="preserve">Yearly reductions (% 1990 levels)</w:t>
      </w:r>
      <w:r>
        <w:t xml:space="preserve"> </w:t>
      </w:r>
      <w:r>
        <w:t xml:space="preserve">1991-2010</w:t>
      </w:r>
      <w:r>
        <w:t xml:space="preserve"> </w:t>
      </w:r>
      <w:r>
        <w:t xml:space="preserve">2011-</w:t>
      </w:r>
      <w:r>
        <w:t xml:space="preserve"> </w:t>
      </w:r>
      <w:r>
        <w:t xml:space="preserve">2030</w:t>
      </w:r>
      <w:r>
        <w:t xml:space="preserve"> </w:t>
      </w:r>
      <w:r>
        <w:t xml:space="preserve">2021-</w:t>
      </w:r>
      <w:r>
        <w:t xml:space="preserve"> </w:t>
      </w:r>
      <w:r>
        <w:t xml:space="preserve">2030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Target level</w:t>
      </w:r>
      <w:r>
        <w:t xml:space="preserve"> </w:t>
      </w:r>
      <w:r>
        <w:t xml:space="preserve">below 75%</w:t>
      </w:r>
      <w:r>
        <w:t xml:space="preserve"> </w:t>
      </w:r>
      <w:r>
        <w:t xml:space="preserve">More than 23</w:t>
      </w:r>
      <w:r>
        <w:t xml:space="preserve"> </w:t>
      </w:r>
      <w:r>
        <w:t xml:space="preserve">-0.9%</w:t>
      </w:r>
      <w:r>
        <w:t xml:space="preserve"> </w:t>
      </w:r>
      <w:r>
        <w:t xml:space="preserve">-2.0%</w:t>
      </w:r>
      <w:r>
        <w:t xml:space="preserve"> </w:t>
      </w:r>
      <w:r>
        <w:t xml:space="preserve">-2.8%</w:t>
      </w:r>
      <w:r>
        <w:t xml:space="preserve"> </w:t>
      </w:r>
      <w:r>
        <w:t xml:space="preserve">-1.8%</w:t>
      </w:r>
      <w:r>
        <w:t xml:space="preserve"> </w:t>
      </w:r>
      <w:r>
        <w:t xml:space="preserve">-2.5%</w:t>
      </w:r>
      <w:r>
        <w:t xml:space="preserve"> </w:t>
      </w:r>
      <w:r>
        <w:t xml:space="preserve">1 (linear, 78%)</w:t>
      </w:r>
      <w:r>
        <w:t xml:space="preserve"> </w:t>
      </w:r>
      <w:r>
        <w:t xml:space="preserve">21</w:t>
      </w:r>
      <w:r>
        <w:t xml:space="preserve"> </w:t>
      </w:r>
      <w:r>
        <w:t xml:space="preserve">-2.2%</w:t>
      </w:r>
      <w:r>
        <w:t xml:space="preserve"> </w:t>
      </w:r>
      <w:r>
        <w:t xml:space="preserve">-2.2%</w:t>
      </w:r>
      <w:r>
        <w:t xml:space="preserve"> </w:t>
      </w:r>
      <w:r>
        <w:t xml:space="preserve">2 (at least 85%)</w:t>
      </w:r>
      <w:r>
        <w:t xml:space="preserve"> </w:t>
      </w:r>
      <w:r>
        <w:t xml:space="preserve">Up to 18</w:t>
      </w:r>
      <w:r>
        <w:t xml:space="preserve"> </w:t>
      </w:r>
      <w:r>
        <w:t xml:space="preserve">-2.8%</w:t>
      </w:r>
      <w:r>
        <w:t xml:space="preserve"> </w:t>
      </w:r>
      <w:r>
        <w:t xml:space="preserve">-1.5%</w:t>
      </w:r>
      <w:r>
        <w:t xml:space="preserve"> </w:t>
      </w:r>
      <w:r>
        <w:t xml:space="preserve">3 (at least 90%)</w:t>
      </w:r>
      <w:r>
        <w:t xml:space="preserve"> </w:t>
      </w:r>
      <w:r>
        <w:t xml:space="preserve">Up to 16</w:t>
      </w:r>
      <w:r>
        <w:t xml:space="preserve"> </w:t>
      </w:r>
      <w:r>
        <w:t xml:space="preserve">-3.3%</w:t>
      </w:r>
      <w:r>
        <w:t xml:space="preserve"> </w:t>
      </w:r>
      <w:r>
        <w:t xml:space="preserve">-1.0%</w:t>
      </w:r>
    </w:p>
    <w:p>
      <w:pPr>
        <w:pStyle w:val="BodyText"/>
      </w:pPr>
      <w:r>
        <w:t xml:space="preserve">Figure 4. Profile of the net GHG emissions over 1990-2050</w:t>
      </w:r>
    </w:p>
    <w:p>
      <w:pPr>
        <w:pStyle w:val="BodyText"/>
      </w:pPr>
      <w:r>
        <w:t xml:space="preserve">Note: The net GHG emissions reflect the scope of the European Climate Law, i.e., all domestic net</w:t>
      </w:r>
      <w:r>
        <w:t xml:space="preserve"> </w:t>
      </w:r>
      <w:r>
        <w:t xml:space="preserve">emissions (as under the UNFCCC inventories), international intra-EU aviation, international intra-EU</w:t>
      </w:r>
      <w:r>
        <w:t xml:space="preserve"> </w:t>
      </w:r>
      <w:r>
        <w:t xml:space="preserve">maritime, and 50% of international extra-EU maritime from the MRV scope. 2022 values are based on</w:t>
      </w:r>
      <w:r>
        <w:t xml:space="preserve"> </w:t>
      </w:r>
      <w:r>
        <w:t xml:space="preserve">EEA proxies. The intra-EU / extra-EU international aviation split is estimated based on air transport</w:t>
      </w:r>
      <w:r>
        <w:t xml:space="preserve"> </w:t>
      </w:r>
      <w:r>
        <w:t xml:space="preserve">activity data (passenger-kilometres). The intra-EU / extra-EU international maritime split is based on</w:t>
      </w:r>
      <w:r>
        <w:t xml:space="preserve"> </w:t>
      </w:r>
      <w:r>
        <w:t xml:space="preserve">MRV information for recent years and applied backwards to 1990.</w:t>
      </w:r>
      <w:r>
        <w:br/>
      </w:r>
      <w:r>
        <w:t xml:space="preserve">Source: EEA, Eurostat.</w:t>
      </w:r>
      <w:r>
        <w:t xml:space="preserve"> </w:t>
      </w:r>
      <w:r>
        <w:t xml:space="preserve">5.3</w:t>
      </w:r>
      <w:r>
        <w:t xml:space="preserve"> </w:t>
      </w:r>
      <w:r>
        <w:t xml:space="preserve">The policy scenarios behind the target options (44)</w:t>
      </w:r>
      <w:r>
        <w:t xml:space="preserve"> </w:t>
      </w:r>
      <w:r>
        <w:t xml:space="preserve">The quantitative assessment of the target options is done through analysis based on</w:t>
      </w:r>
      <w:r>
        <w:t xml:space="preserve"> </w:t>
      </w:r>
      <w:r>
        <w:t xml:space="preserve">economic modelling, building on three “representative” scenarios (S1, S2, S3), which all</w:t>
      </w:r>
      <w:r>
        <w:t xml:space="preserve"> </w:t>
      </w:r>
      <w:r>
        <w:t xml:space="preserve">reach climate neutrality in 2050 but through different net GHG levels in 2040. These</w:t>
      </w:r>
      <w:r>
        <w:t xml:space="preserve"> </w:t>
      </w:r>
      <w:r>
        <w:t xml:space="preserve">scenarios allow to assess the reduction of GHG across sectors and the contribution of</w:t>
      </w:r>
      <w:r>
        <w:t xml:space="preserve"> </w:t>
      </w:r>
      <w:r>
        <w:t xml:space="preserve">different technologies, like carbon capture, to the different 2040 target levels. Each of</w:t>
      </w:r>
      <w:r>
        <w:t xml:space="preserve"> </w:t>
      </w:r>
      <w:r>
        <w:t xml:space="preserve">these scenarios directly correspond to the three target options assessed, i.e. target option</w:t>
      </w:r>
      <w:r>
        <w:t xml:space="preserve"> </w:t>
      </w:r>
      <w:r>
        <w:t xml:space="preserve">1, 2, and 3, respectively. They are used to carry out the comparison of the impacts of the</w:t>
      </w:r>
    </w:p>
    <w:p>
      <w:pPr>
        <w:pStyle w:val="Compact"/>
        <w:numPr>
          <w:ilvl w:val="0"/>
          <w:numId w:val="1019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1990</w:t>
      </w:r>
      <w:r>
        <w:t xml:space="preserve"> </w:t>
      </w:r>
      <w:r>
        <w:t xml:space="preserve">2000</w:t>
      </w:r>
      <w:r>
        <w:t xml:space="preserve"> </w:t>
      </w:r>
      <w:r>
        <w:t xml:space="preserve">2010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% of 1990 emissions</w:t>
      </w:r>
      <w:r>
        <w:t xml:space="preserve"> </w:t>
      </w:r>
      <w:r>
        <w:t xml:space="preserve">target 2 (85-90)</w:t>
      </w:r>
      <w:r>
        <w:t xml:space="preserve"> </w:t>
      </w:r>
      <w:r>
        <w:t xml:space="preserve">target 3 (90-95)</w:t>
      </w:r>
      <w:r>
        <w:t xml:space="preserve"> </w:t>
      </w:r>
      <w:r>
        <w:t xml:space="preserve">target 1 (linear)</w:t>
      </w:r>
      <w:r>
        <w:t xml:space="preserve"> </w:t>
      </w:r>
      <w:r>
        <w:t xml:space="preserve">FF55</w:t>
      </w:r>
      <w:r>
        <w:t xml:space="preserve"> </w:t>
      </w:r>
      <w:r>
        <w:t xml:space="preserve">historical</w:t>
      </w:r>
    </w:p>
    <w:p>
      <w:pPr>
        <w:pStyle w:val="FirstParagraph"/>
      </w:pPr>
      <w:r>
        <w:t xml:space="preserve">29</w:t>
      </w:r>
    </w:p>
    <w:p>
      <w:pPr>
        <w:pStyle w:val="BodyText"/>
      </w:pPr>
      <w:r>
        <w:t xml:space="preserve">three target options assessed (section 7) and the choice of the preferred target option</w:t>
      </w:r>
      <w:r>
        <w:t xml:space="preserve"> </w:t>
      </w:r>
      <w:r>
        <w:t xml:space="preserve">(section 8).</w:t>
      </w:r>
      <w:r>
        <w:br/>
      </w:r>
      <w:r>
        <w:t xml:space="preserve">Another variant (LIFE) allows an assessment of the sensitivity of the analysis to assumed</w:t>
      </w:r>
      <w:r>
        <w:t xml:space="preserve"> </w:t>
      </w:r>
      <w:r>
        <w:t xml:space="preserve">societal trends that can change the future evolution of GHG emissions. This variant</w:t>
      </w:r>
      <w:r>
        <w:t xml:space="preserve"> </w:t>
      </w:r>
      <w:r>
        <w:t xml:space="preserve">serves to open the debate on the role of such trends in the context of meeting climate</w:t>
      </w:r>
      <w:r>
        <w:t xml:space="preserve"> </w:t>
      </w:r>
      <w:r>
        <w:t xml:space="preserve">neutrality by 2050. In practice for the analysis, the LIFE scenario is set to be compatible</w:t>
      </w:r>
      <w:r>
        <w:t xml:space="preserve"> </w:t>
      </w:r>
      <w:r>
        <w:t xml:space="preserve">with target option 3. However, the associated conclusions are relevant for and can be</w:t>
      </w:r>
      <w:r>
        <w:t xml:space="preserve"> </w:t>
      </w:r>
      <w:r>
        <w:t xml:space="preserve">applied to all the target options.</w:t>
      </w:r>
      <w:r>
        <w:br/>
      </w:r>
      <w:r>
        <w:t xml:space="preserve">5.3.1 Scenarios S1, S2 and S3</w:t>
      </w:r>
      <w:r>
        <w:t xml:space="preserve"> </w:t>
      </w:r>
      <w:r>
        <w:t xml:space="preserve">To ensure comparability across target options, the three scenarios (S1, S2, S3) share the</w:t>
      </w:r>
      <w:r>
        <w:t xml:space="preserve"> </w:t>
      </w:r>
      <w:r>
        <w:t xml:space="preserve">same key assumptions on: 1/ socio-economic assumptions (in terms of population,</w:t>
      </w:r>
      <w:r>
        <w:t xml:space="preserve"> </w:t>
      </w:r>
      <w:r>
        <w:t xml:space="preserve">economic activity, industrial production, and food production), 2/ technology costs</w:t>
      </w:r>
      <w:r>
        <w:t xml:space="preserve"> </w:t>
      </w:r>
      <w:r>
        <w:t xml:space="preserve">(described in Annex 6, section 2.4), and 3/ common “default” policy elements applying</w:t>
      </w:r>
      <w:r>
        <w:t xml:space="preserve"> </w:t>
      </w:r>
      <w:r>
        <w:t xml:space="preserve">post-2030 (described in Annex 6, section 3).</w:t>
      </w:r>
      <w:r>
        <w:br/>
      </w:r>
      <w:r>
        <w:t xml:space="preserve">All three scenarios build on the continuation and upscaling of the current trends driving</w:t>
      </w:r>
      <w:r>
        <w:t xml:space="preserve"> </w:t>
      </w:r>
      <w:r>
        <w:t xml:space="preserve">decarbonisation towards 2030, notably electrification of energy demand, deployment of</w:t>
      </w:r>
      <w:r>
        <w:t xml:space="preserve"> </w:t>
      </w:r>
      <w:r>
        <w:t xml:space="preserve">renewables, and improvements in energy efficiency. Specific assumptions on more</w:t>
      </w:r>
      <w:r>
        <w:t xml:space="preserve"> </w:t>
      </w:r>
      <w:r>
        <w:t xml:space="preserve">sustainable lifestyle (see 5.3.2) are not implemented.</w:t>
      </w:r>
      <w:r>
        <w:br/>
      </w:r>
      <w:r>
        <w:t xml:space="preserve">The scenarios mainly differ with respect to the uptake over 2030-2040 of novel</w:t>
      </w:r>
      <w:r>
        <w:t xml:space="preserve"> </w:t>
      </w:r>
      <w:r>
        <w:t xml:space="preserve">technologies to meet different levels of net GHG emissions in 2040. These technologies</w:t>
      </w:r>
      <w:r>
        <w:t xml:space="preserve"> </w:t>
      </w:r>
      <w:r>
        <w:t xml:space="preserve">include, among others, advanced biofuels and the development of lignocellulosic</w:t>
      </w:r>
      <w:r>
        <w:t xml:space="preserve"> </w:t>
      </w:r>
      <w:r>
        <w:t xml:space="preserve">bioenergy crops, precision agriculture, e-fuels, or the development of a carbon</w:t>
      </w:r>
      <w:r>
        <w:t xml:space="preserve"> </w:t>
      </w:r>
      <w:r>
        <w:t xml:space="preserve">management industry.</w:t>
      </w:r>
      <w:r>
        <w:t xml:space="preserve"> </w:t>
      </w:r>
      <w:r>
        <w:t xml:space="preserve">-</w:t>
      </w:r>
      <w:r>
        <w:t xml:space="preserve"> </w:t>
      </w:r>
      <w:r>
        <w:t xml:space="preserve">S1: up to 2040, this scenario relies essentially on the Fit-for-55 energy trends,</w:t>
      </w:r>
      <w:r>
        <w:t xml:space="preserve"> </w:t>
      </w:r>
      <w:r>
        <w:t xml:space="preserve">which allow it to deliver a target in 2040 that is the “linear” reduction path of net</w:t>
      </w:r>
      <w:r>
        <w:t xml:space="preserve"> </w:t>
      </w:r>
      <w:r>
        <w:t xml:space="preserve">GHGs between 2030 and 2050. It does not assume specific mitigation of non-</w:t>
      </w:r>
      <w:r>
        <w:t xml:space="preserve"> </w:t>
      </w:r>
      <w:r>
        <w:t xml:space="preserve">CO2 emissions beyond their default evolution within the current framework, for</w:t>
      </w:r>
      <w:r>
        <w:t xml:space="preserve"> </w:t>
      </w:r>
      <w:r>
        <w:t xml:space="preserve">instance in agriculture, or in the LULUCF sector.</w:t>
      </w:r>
      <w:r>
        <w:t xml:space="preserve"> </w:t>
      </w:r>
      <w:r>
        <w:t xml:space="preserve">Beyond 2040 though, all sectors need to drastically reduce GHG emissions in</w:t>
      </w:r>
      <w:r>
        <w:t xml:space="preserve"> </w:t>
      </w:r>
      <w:r>
        <w:t xml:space="preserve">view of meeting the climate neutrality objective by 2050 and all technologies</w:t>
      </w:r>
      <w:r>
        <w:t xml:space="preserve"> </w:t>
      </w:r>
      <w:r>
        <w:t xml:space="preserve">need to be deployed.</w:t>
      </w:r>
      <w:r>
        <w:t xml:space="preserve"> </w:t>
      </w:r>
      <w:r>
        <w:t xml:space="preserve">-</w:t>
      </w:r>
      <w:r>
        <w:t xml:space="preserve"> </w:t>
      </w:r>
      <w:r>
        <w:t xml:space="preserve">S2: to reach a reduction of at least 85% by 2040, this scenario combines the</w:t>
      </w:r>
      <w:r>
        <w:t xml:space="preserve"> </w:t>
      </w:r>
      <w:r>
        <w:t xml:space="preserve">energy trends reflected in S1 with a further deployment of carbon capture and e-</w:t>
      </w:r>
      <w:r>
        <w:t xml:space="preserve"> </w:t>
      </w:r>
      <w:r>
        <w:t xml:space="preserve">fuels as well as substantial reductions of GHG emissions in the land sector,</w:t>
      </w:r>
      <w:r>
        <w:t xml:space="preserve"> </w:t>
      </w:r>
      <w:r>
        <w:t xml:space="preserve">including non-CO2 emissions in the agriculture sector and carbon removals in the</w:t>
      </w:r>
      <w:r>
        <w:t xml:space="preserve"> </w:t>
      </w:r>
      <w:r>
        <w:t xml:space="preserve">LULUCF-sector.</w:t>
      </w:r>
      <w:r>
        <w:br/>
      </w:r>
      <w:r>
        <w:t xml:space="preserve">-</w:t>
      </w:r>
      <w:r>
        <w:t xml:space="preserve"> </w:t>
      </w:r>
      <w:r>
        <w:t xml:space="preserve">S3: to reach a reduction of at least 90% by 2040, this scenario builds on S2 and</w:t>
      </w:r>
      <w:r>
        <w:t xml:space="preserve"> </w:t>
      </w:r>
      <w:r>
        <w:t xml:space="preserve">relies on a fully developed carbon management industry by 2040, with carbon</w:t>
      </w:r>
      <w:r>
        <w:t xml:space="preserve"> </w:t>
      </w:r>
      <w:r>
        <w:t xml:space="preserve">capture covering all industrial process emissions and delivering sizable carbon</w:t>
      </w:r>
      <w:r>
        <w:t xml:space="preserve"> </w:t>
      </w:r>
      <w:r>
        <w:t xml:space="preserve">removals, as well as higher production and consumption of e-fuels than in S2 to</w:t>
      </w:r>
      <w:r>
        <w:t xml:space="preserve"> </w:t>
      </w:r>
      <w:r>
        <w:t xml:space="preserve">further decarbonise the energy mix.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Table 4 provides a detailed overview of the building blocks of the scenarios S1, S2 and</w:t>
      </w:r>
      <w:r>
        <w:t xml:space="preserve"> </w:t>
      </w:r>
      <w:r>
        <w:t xml:space="preserve">S3. The analysis is based on the 2019 NECPs, and specific national policies until March</w:t>
      </w:r>
      <w:r>
        <w:t xml:space="preserve"> </w:t>
      </w:r>
      <w:r>
        <w:t xml:space="preserve">2023 are included. More elements can also be found in Annex 6 (section 3).</w:t>
      </w:r>
      <w:r>
        <w:br/>
      </w:r>
      <w:r>
        <w:t xml:space="preserve">5.3.2 LIFE – more sustainable lifestyles</w:t>
      </w:r>
      <w:r>
        <w:t xml:space="preserve"> </w:t>
      </w:r>
      <w:r>
        <w:t xml:space="preserve">In addition to the three core scenarios that are used to compare the 2040 target options, a</w:t>
      </w:r>
      <w:r>
        <w:t xml:space="preserve"> </w:t>
      </w:r>
      <w:r>
        <w:t xml:space="preserve">complementary variant (LIFE) looks at the sensitivity of the analysis to key societal</w:t>
      </w:r>
      <w:r>
        <w:t xml:space="preserve"> </w:t>
      </w:r>
      <w:r>
        <w:t xml:space="preserve">trends related to more sustainable lifestyles, resulting from changes in the consumer</w:t>
      </w:r>
      <w:r>
        <w:t xml:space="preserve"> </w:t>
      </w:r>
      <w:r>
        <w:t xml:space="preserve">preferences, from circular economy measures related to the use of energy and materials,</w:t>
      </w:r>
      <w:r>
        <w:t xml:space="preserve"> </w:t>
      </w:r>
      <w:r>
        <w:t xml:space="preserve">as well as from changes in mobility and the food system (45). “LIFE” is not attached to</w:t>
      </w:r>
      <w:r>
        <w:t xml:space="preserve"> </w:t>
      </w:r>
      <w:r>
        <w:t xml:space="preserve">a specific target option and is not used to compare the different target options. It</w:t>
      </w:r>
      <w:r>
        <w:t xml:space="preserve"> </w:t>
      </w:r>
      <w:r>
        <w:t xml:space="preserve">serves to illustrate how these demand-side driven actions can complement the</w:t>
      </w:r>
      <w:r>
        <w:t xml:space="preserve"> </w:t>
      </w:r>
      <w:r>
        <w:t xml:space="preserve">supply-side technology deployment analysed in the core scenarios.</w:t>
      </w:r>
      <w:r>
        <w:br/>
      </w:r>
      <w:r>
        <w:t xml:space="preserve">LIFE assesses the impact of a shift in consumption patterns to more sustainable</w:t>
      </w:r>
      <w:r>
        <w:t xml:space="preserve"> </w:t>
      </w:r>
      <w:r>
        <w:t xml:space="preserve">alternatives leading to a more efficient use of natural resources. For example, consumers</w:t>
      </w:r>
      <w:r>
        <w:t xml:space="preserve"> </w:t>
      </w:r>
      <w:r>
        <w:t xml:space="preserve">use products longer, repair more goods, shift to a “sharing economy” and products as a</w:t>
      </w:r>
      <w:r>
        <w:t xml:space="preserve"> </w:t>
      </w:r>
      <w:r>
        <w:t xml:space="preserve">service, reduce energy consumption by controlling heating and cooling temperature</w:t>
      </w:r>
      <w:r>
        <w:t xml:space="preserve"> </w:t>
      </w:r>
      <w:r>
        <w:t xml:space="preserve">settings, and adopt more sustainable mobility patterns led by shared mobility and active</w:t>
      </w:r>
      <w:r>
        <w:t xml:space="preserve"> </w:t>
      </w:r>
      <w:r>
        <w:t xml:space="preserve">transport modes such as increased bike use. For the food system, LIFE assumes that</w:t>
      </w:r>
      <w:r>
        <w:t xml:space="preserve"> </w:t>
      </w:r>
      <w:r>
        <w:t xml:space="preserve">consumers gradually shift to healthier and more sustainable diets (46), while production</w:t>
      </w:r>
      <w:r>
        <w:t xml:space="preserve"> </w:t>
      </w:r>
      <w:r>
        <w:t xml:space="preserve">follows the Farm to Fork Strategy and Biodiversity Strategy objectives, in particular</w:t>
      </w:r>
      <w:r>
        <w:t xml:space="preserve"> </w:t>
      </w:r>
      <w:r>
        <w:t xml:space="preserve">reducing nutrient surplus and fertilisers needed to bring nature and biodiversity back to a</w:t>
      </w:r>
      <w:r>
        <w:t xml:space="preserve"> </w:t>
      </w:r>
      <w:r>
        <w:t xml:space="preserve">healthy state and reducing food waste (47). The analysis does not make assumptions on</w:t>
      </w:r>
      <w:r>
        <w:t xml:space="preserve"> </w:t>
      </w:r>
      <w:r>
        <w:t xml:space="preserve">the drivers for these shifts in consumption patterns, which can be the result of societal</w:t>
      </w:r>
      <w:r>
        <w:t xml:space="preserve"> </w:t>
      </w:r>
      <w:r>
        <w:t xml:space="preserve">trends, changing social norms and preferences, voluntary actions, or incentivising</w:t>
      </w:r>
      <w:r>
        <w:t xml:space="preserve"> </w:t>
      </w:r>
      <w:r>
        <w:t xml:space="preserve">policies.</w:t>
      </w:r>
      <w:r>
        <w:t xml:space="preserve"> </w:t>
      </w:r>
      <w:r>
        <w:t xml:space="preserve">Table 4 describes the main building blocks of LIFE; detailed assumptions are described</w:t>
      </w:r>
      <w:r>
        <w:t xml:space="preserve"> </w:t>
      </w:r>
      <w:r>
        <w:t xml:space="preserve">in section 3 of Annex 6. In practice in this analysis, the LIFE variant is set so that it aims</w:t>
      </w:r>
      <w:r>
        <w:t xml:space="preserve"> </w:t>
      </w:r>
      <w:r>
        <w:t xml:space="preserve">at reaching net GHG reductions of at least 90% compatible with target option 3, in other</w:t>
      </w:r>
      <w:r>
        <w:t xml:space="preserve"> </w:t>
      </w:r>
      <w:r>
        <w:t xml:space="preserve">words providing a different GHG mitigation picture that allows a direct comparison with</w:t>
      </w:r>
      <w:r>
        <w:t xml:space="preserve"> </w:t>
      </w:r>
      <w:r>
        <w:t xml:space="preserve">the overall level of reductions in the core scenario S3. The results provide an indication</w:t>
      </w:r>
      <w:r>
        <w:t xml:space="preserve"> </w:t>
      </w:r>
      <w:r>
        <w:t xml:space="preserve">of the order of magnitude of the reduction in the costs and technological investment</w:t>
      </w:r>
      <w:r>
        <w:t xml:space="preserve"> </w:t>
      </w:r>
      <w:r>
        <w:t xml:space="preserve">needed to reach the 2040 GHG ambition level in the default common set of assumptions</w:t>
      </w:r>
      <w:r>
        <w:t xml:space="preserve"> </w:t>
      </w:r>
      <w:r>
        <w:t xml:space="preserve">used in the three core scenarios, and that can instead be achieved through these demand-</w:t>
      </w:r>
    </w:p>
    <w:p>
      <w:pPr>
        <w:pStyle w:val="Compact"/>
        <w:numPr>
          <w:ilvl w:val="0"/>
          <w:numId w:val="1020"/>
        </w:numPr>
      </w:pPr>
      <w:r>
        <w:t xml:space="preserve">The food system means the actors and activities involved from the production to the consumption of</w:t>
      </w:r>
      <w:r>
        <w:t xml:space="preserve"> </w:t>
      </w:r>
      <w:r>
        <w:t xml:space="preserve">food products from agriculture and forestry, fisheries, and aquaculture, including food governance actors</w:t>
      </w:r>
      <w:r>
        <w:t xml:space="preserve"> </w:t>
      </w:r>
      <w:r>
        <w:t xml:space="preserve">and institutions and the interactions with neighbouring systems (economic, ecological, social, etc.).</w:t>
      </w:r>
    </w:p>
    <w:p>
      <w:pPr>
        <w:pStyle w:val="Compact"/>
        <w:numPr>
          <w:ilvl w:val="0"/>
          <w:numId w:val="1020"/>
        </w:numPr>
      </w:pPr>
      <w:r>
        <w:t xml:space="preserve">The right food environment can create and accelerate the shift towards healthier, less resource intensive</w:t>
      </w:r>
      <w:r>
        <w:t xml:space="preserve"> </w:t>
      </w:r>
      <w:r>
        <w:t xml:space="preserve">and more plant-based diets. See for instance: European Commission Group of Chief Scientific Advisors,</w:t>
      </w:r>
      <w:r>
        <w:t xml:space="preserve"> </w:t>
      </w:r>
      <w:r>
        <w:t xml:space="preserve">Scientific Advice Mechanism (SAM), ‘Towards Sustainable Food Consumption – Promoting healthy,</w:t>
      </w:r>
      <w:r>
        <w:t xml:space="preserve"> </w:t>
      </w:r>
      <w:r>
        <w:t xml:space="preserve">affordable, and sustainable food consumption choices’, Scientific Opinion No.14, 2023</w:t>
      </w:r>
    </w:p>
    <w:p>
      <w:pPr>
        <w:pStyle w:val="Compact"/>
        <w:numPr>
          <w:ilvl w:val="0"/>
          <w:numId w:val="1020"/>
        </w:numPr>
      </w:pPr>
      <w:r>
        <w:t xml:space="preserve">The food waste proposal (COM (2023) 420 final) was not adopted in time to be factored in the core</w:t>
      </w:r>
      <w:r>
        <w:t xml:space="preserve"> </w:t>
      </w:r>
      <w:r>
        <w:t xml:space="preserve">scenarios and is therefore only reflected in “LIFE”.</w:t>
      </w:r>
    </w:p>
    <w:p>
      <w:pPr>
        <w:pStyle w:val="FirstParagraph"/>
      </w:pPr>
      <w:r>
        <w:t xml:space="preserve">31</w:t>
      </w:r>
    </w:p>
    <w:p>
      <w:pPr>
        <w:pStyle w:val="BodyText"/>
      </w:pPr>
      <w:r>
        <w:t xml:space="preserve">side changes. The conclusions from the analysis of the LIFE variant are relevant for and</w:t>
      </w:r>
      <w:r>
        <w:t xml:space="preserve"> </w:t>
      </w:r>
      <w:r>
        <w:t xml:space="preserve">can be applied to all the target options.</w:t>
      </w:r>
    </w:p>
    <w:p>
      <w:pPr>
        <w:pStyle w:val="BodyText"/>
      </w:pPr>
      <w:r>
        <w:t xml:space="preserve">Table 4: Overview of the scenario building blocks by 2040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Rationale</w:t>
      </w:r>
      <w:r>
        <w:t xml:space="preserve"> </w:t>
      </w:r>
      <w:r>
        <w:t xml:space="preserve">Continuity of existing decarbonisation</w:t>
      </w:r>
      <w:r>
        <w:t xml:space="preserve"> </w:t>
      </w:r>
      <w:r>
        <w:t xml:space="preserve">trends up to 2040: improvement of energy</w:t>
      </w:r>
      <w:r>
        <w:t xml:space="preserve"> </w:t>
      </w:r>
      <w:r>
        <w:t xml:space="preserve">efficiency, electrification of energy</w:t>
      </w:r>
      <w:r>
        <w:t xml:space="preserve"> </w:t>
      </w:r>
      <w:r>
        <w:t xml:space="preserve">demand, deployment of renewables in the</w:t>
      </w:r>
      <w:r>
        <w:t xml:space="preserve"> </w:t>
      </w:r>
      <w:r>
        <w:t xml:space="preserve">power system</w:t>
      </w:r>
      <w:r>
        <w:t xml:space="preserve"> </w:t>
      </w:r>
      <w:r>
        <w:t xml:space="preserve">Similar as S1, but S2 also includes a wider</w:t>
      </w:r>
      <w:r>
        <w:t xml:space="preserve"> </w:t>
      </w:r>
      <w:r>
        <w:t xml:space="preserve">diffusion of novel technologies by 2040</w:t>
      </w:r>
      <w:r>
        <w:t xml:space="preserve"> </w:t>
      </w:r>
      <w:r>
        <w:t xml:space="preserve">(carbon capture, e-fuels)</w:t>
      </w:r>
      <w:r>
        <w:t xml:space="preserve"> </w:t>
      </w:r>
      <w:r>
        <w:t xml:space="preserve">Similar as S2, but S3 assumes a faster and</w:t>
      </w:r>
      <w:r>
        <w:t xml:space="preserve"> </w:t>
      </w:r>
      <w:r>
        <w:t xml:space="preserve">wider uptake of novel technologies over</w:t>
      </w:r>
      <w:r>
        <w:t xml:space="preserve"> </w:t>
      </w:r>
      <w:r>
        <w:t xml:space="preserve">2031-2040 (carbon capture, e-fuels)</w:t>
      </w:r>
      <w:r>
        <w:t xml:space="preserve"> </w:t>
      </w:r>
      <w:r>
        <w:t xml:space="preserve">Assumes more sustainable lifestyles and a</w:t>
      </w:r>
      <w:r>
        <w:t xml:space="preserve"> </w:t>
      </w:r>
      <w:r>
        <w:t xml:space="preserve">move towards a more circular and shared</w:t>
      </w:r>
      <w:r>
        <w:t xml:space="preserve"> </w:t>
      </w:r>
      <w:r>
        <w:t xml:space="preserve">economy. It translates into a different</w:t>
      </w:r>
      <w:r>
        <w:t xml:space="preserve"> </w:t>
      </w:r>
      <w:r>
        <w:t xml:space="preserve">evolution of demand patterns for energy</w:t>
      </w:r>
      <w:r>
        <w:t xml:space="preserve"> </w:t>
      </w:r>
      <w:r>
        <w:t xml:space="preserve">use in buildings, transport, in relation with</w:t>
      </w:r>
      <w:r>
        <w:t xml:space="preserve"> </w:t>
      </w:r>
      <w:r>
        <w:t xml:space="preserve">materials management towards or in the</w:t>
      </w:r>
      <w:r>
        <w:t xml:space="preserve"> </w:t>
      </w:r>
      <w:r>
        <w:t xml:space="preserve">food system</w:t>
      </w:r>
      <w:r>
        <w:t xml:space="preserve"> </w:t>
      </w:r>
      <w:r>
        <w:t xml:space="preserve">Industry</w:t>
      </w:r>
      <w:r>
        <w:t xml:space="preserve"> </w:t>
      </w:r>
      <w:r>
        <w:t xml:space="preserve">Electrification of energy consumption, some development of e-fuels by 2040</w:t>
      </w:r>
      <w:r>
        <w:t xml:space="preserve"> </w:t>
      </w:r>
      <w:r>
        <w:t xml:space="preserve">More e-fuels by 2040 than in S2</w:t>
      </w:r>
      <w:r>
        <w:t xml:space="preserve"> </w:t>
      </w:r>
      <w:r>
        <w:t xml:space="preserve">Enhanced circularity entails comparatively</w:t>
      </w:r>
      <w:r>
        <w:t xml:space="preserve"> </w:t>
      </w:r>
      <w:r>
        <w:t xml:space="preserve">lower needs for primary production of</w:t>
      </w:r>
      <w:r>
        <w:t xml:space="preserve"> </w:t>
      </w:r>
      <w:r>
        <w:t xml:space="preserve">materials, and so lower needs for carbon</w:t>
      </w:r>
      <w:r>
        <w:t xml:space="preserve"> </w:t>
      </w:r>
      <w:r>
        <w:t xml:space="preserve">capture</w:t>
      </w:r>
      <w:r>
        <w:br/>
      </w:r>
      <w:r>
        <w:t xml:space="preserve">Very limited carbon capture in industrial</w:t>
      </w:r>
      <w:r>
        <w:t xml:space="preserve"> </w:t>
      </w:r>
      <w:r>
        <w:t xml:space="preserve">processes</w:t>
      </w:r>
      <w:r>
        <w:t xml:space="preserve"> </w:t>
      </w:r>
      <w:r>
        <w:t xml:space="preserve">Deployment of carbon capture</w:t>
      </w:r>
      <w:r>
        <w:t xml:space="preserve"> </w:t>
      </w:r>
      <w:r>
        <w:t xml:space="preserve">Further deployment of carbon capture</w:t>
      </w:r>
      <w:r>
        <w:t xml:space="preserve"> </w:t>
      </w:r>
      <w:r>
        <w:t xml:space="preserve">Buildings</w:t>
      </w:r>
      <w:r>
        <w:t xml:space="preserve"> </w:t>
      </w:r>
      <w:r>
        <w:t xml:space="preserve">Further electrification through sustained deployment of heat pumps</w:t>
      </w:r>
      <w:r>
        <w:t xml:space="preserve"> </w:t>
      </w:r>
      <w:r>
        <w:t xml:space="preserve">Lower thermostat settings for heating and</w:t>
      </w:r>
      <w:r>
        <w:t xml:space="preserve"> </w:t>
      </w:r>
      <w:r>
        <w:t xml:space="preserve">cooling temperature deliver additional</w:t>
      </w:r>
      <w:r>
        <w:t xml:space="preserve"> </w:t>
      </w:r>
      <w:r>
        <w:t xml:space="preserve">energy savings</w:t>
      </w:r>
    </w:p>
    <w:p>
      <w:pPr>
        <w:pStyle w:val="BodyText"/>
      </w:pPr>
      <w:r>
        <w:t xml:space="preserve">Low average annual renovation rate in</w:t>
      </w:r>
      <w:r>
        <w:t xml:space="preserve"> </w:t>
      </w:r>
      <w:r>
        <w:t xml:space="preserve">2031-2040 and high in 2041-2050</w:t>
      </w:r>
      <w:r>
        <w:t xml:space="preserve"> </w:t>
      </w:r>
      <w:r>
        <w:t xml:space="preserve">Similar average renovation rate in 2031-</w:t>
      </w:r>
      <w:r>
        <w:t xml:space="preserve"> </w:t>
      </w:r>
      <w:r>
        <w:t xml:space="preserve">2040 and 2041-2050</w:t>
      </w:r>
      <w:r>
        <w:t xml:space="preserve"> </w:t>
      </w:r>
      <w:r>
        <w:t xml:space="preserve">High average annual renovation rate in</w:t>
      </w:r>
      <w:r>
        <w:t xml:space="preserve"> </w:t>
      </w:r>
      <w:r>
        <w:t xml:space="preserve">2031-2040 and low in 2041-2050</w:t>
      </w:r>
      <w:r>
        <w:t xml:space="preserve"> </w:t>
      </w:r>
      <w:r>
        <w:t xml:space="preserve">Transport</w:t>
      </w:r>
      <w:r>
        <w:t xml:space="preserve"> </w:t>
      </w:r>
      <w:r>
        <w:t xml:space="preserve">EU Sustainable &amp; Smart Mobility Strategy and Action Plan: milestones achieved (particularly with regard to rail, inland waterways and short-sea shipping)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CO2 standards for cars and vans: -100% vs</w:t>
      </w:r>
      <w:r>
        <w:t xml:space="preserve"> </w:t>
      </w:r>
      <w:r>
        <w:t xml:space="preserve">2021 from 2035 onwards</w:t>
      </w:r>
      <w:r>
        <w:t xml:space="preserve"> </w:t>
      </w:r>
      <w:r>
        <w:t xml:space="preserve">CO2 standards for cars and vans as in S1 + Higher car occupancy &amp; some shift from car to</w:t>
      </w:r>
      <w:r>
        <w:t xml:space="preserve"> </w:t>
      </w:r>
      <w:r>
        <w:t xml:space="preserve">active modes (walking, cycling) and public transport, driven by a shift towards shared and</w:t>
      </w:r>
      <w:r>
        <w:t xml:space="preserve"> </w:t>
      </w:r>
      <w:r>
        <w:t xml:space="preserve">collaborative mobility services and multimodal travel</w:t>
      </w:r>
      <w:r>
        <w:t xml:space="preserve"> </w:t>
      </w:r>
      <w:r>
        <w:t xml:space="preserve">As in S3 plus stronger shift towards shared</w:t>
      </w:r>
      <w:r>
        <w:t xml:space="preserve"> </w:t>
      </w:r>
      <w:r>
        <w:t xml:space="preserve">and collaborative mobility services and</w:t>
      </w:r>
      <w:r>
        <w:t xml:space="preserve"> </w:t>
      </w:r>
      <w:r>
        <w:t xml:space="preserve">multimodal travel, including sustainable</w:t>
      </w:r>
      <w:r>
        <w:t xml:space="preserve"> </w:t>
      </w:r>
      <w:r>
        <w:t xml:space="preserve">urban transport; ‘smart’ charging</w:t>
      </w:r>
      <w:r>
        <w:t xml:space="preserve"> </w:t>
      </w:r>
      <w:r>
        <w:t xml:space="preserve">CO2 standards for HDVs: -90% vs 2019 from 2040 (-100% for buses), more efficient</w:t>
      </w:r>
      <w:r>
        <w:t xml:space="preserve"> </w:t>
      </w:r>
      <w:r>
        <w:t xml:space="preserve">operation of freight vehicles and delivery of goods by optimising multi-modal delivery</w:t>
      </w:r>
      <w:r>
        <w:t xml:space="preserve"> </w:t>
      </w:r>
      <w:r>
        <w:t xml:space="preserve">solutions, higher use of intermodal freight transport</w:t>
      </w:r>
      <w:r>
        <w:t xml:space="preserve"> </w:t>
      </w:r>
      <w:r>
        <w:t xml:space="preserve">CO2 standards for HDVs: -100% vs 2019</w:t>
      </w:r>
      <w:r>
        <w:t xml:space="preserve"> </w:t>
      </w:r>
      <w:r>
        <w:t xml:space="preserve">from 2040, more efficient operation of</w:t>
      </w:r>
      <w:r>
        <w:t xml:space="preserve"> </w:t>
      </w:r>
      <w:r>
        <w:t xml:space="preserve">freight vehicles and delivery of goods by</w:t>
      </w:r>
      <w:r>
        <w:t xml:space="preserve"> </w:t>
      </w:r>
      <w:r>
        <w:t xml:space="preserve">optimising multi-modal delivery solutions,</w:t>
      </w:r>
      <w:r>
        <w:t xml:space="preserve"> </w:t>
      </w:r>
      <w:r>
        <w:t xml:space="preserve">higher use of intermodal freight transport</w:t>
      </w:r>
    </w:p>
    <w:p>
      <w:pPr>
        <w:pStyle w:val="BodyText"/>
      </w:pPr>
      <w:r>
        <w:t xml:space="preserve">Maritime</w:t>
      </w:r>
      <w:r>
        <w:t xml:space="preserve"> </w:t>
      </w:r>
      <w:r>
        <w:t xml:space="preserve">transport</w:t>
      </w:r>
      <w:r>
        <w:t xml:space="preserve"> </w:t>
      </w:r>
      <w:r>
        <w:t xml:space="preserve">FuelEU Maritime GHG intensity targets: -31% in 2040 and -80% in 2050 (vs 2020)</w:t>
      </w:r>
      <w:r>
        <w:t xml:space="preserve"> </w:t>
      </w:r>
      <w:r>
        <w:t xml:space="preserve">Lower end of the IMO GHG reduction</w:t>
      </w:r>
      <w:r>
        <w:t xml:space="preserve"> </w:t>
      </w:r>
      <w:r>
        <w:t xml:space="preserve">target range (-70% in 2040 vs 2008)</w:t>
      </w:r>
      <w:r>
        <w:t xml:space="preserve"> </w:t>
      </w:r>
      <w:r>
        <w:t xml:space="preserve">Mid-point of the IMO target range (-75% in</w:t>
      </w:r>
      <w:r>
        <w:t xml:space="preserve"> </w:t>
      </w:r>
      <w:r>
        <w:t xml:space="preserve">2040 vs 2008)</w:t>
      </w:r>
      <w:r>
        <w:t xml:space="preserve"> </w:t>
      </w:r>
      <w:r>
        <w:t xml:space="preserve">Higher end of the IMO target range (-80% in 2040 vs 2008)</w:t>
      </w:r>
      <w:r>
        <w:t xml:space="preserve"> </w:t>
      </w:r>
      <w:r>
        <w:t xml:space="preserve">Aviation</w:t>
      </w:r>
      <w:r>
        <w:t xml:space="preserve"> </w:t>
      </w:r>
      <w:r>
        <w:t xml:space="preserve">ReFuelEU Aviation SAF mandates (34% in</w:t>
      </w:r>
      <w:r>
        <w:t xml:space="preserve"> </w:t>
      </w:r>
      <w:r>
        <w:t xml:space="preserve">2040 and 70% in 2050; including a sub-</w:t>
      </w:r>
      <w:r>
        <w:t xml:space="preserve"> </w:t>
      </w:r>
      <w:r>
        <w:t xml:space="preserve">mandate for synthetic aviation fuels and</w:t>
      </w:r>
      <w:r>
        <w:t xml:space="preserve"> </w:t>
      </w:r>
      <w:r>
        <w:t xml:space="preserve">H2: 10% in 2040 and 35% in 2050)</w:t>
      </w:r>
      <w:r>
        <w:t xml:space="preserve"> </w:t>
      </w:r>
      <w:r>
        <w:t xml:space="preserve">Slightly more ambitious fuel mandates than</w:t>
      </w:r>
      <w:r>
        <w:t xml:space="preserve"> </w:t>
      </w:r>
      <w:r>
        <w:t xml:space="preserve">in S1 (SAF: 36% in 2040 and 72.5% in</w:t>
      </w:r>
      <w:r>
        <w:t xml:space="preserve"> </w:t>
      </w:r>
      <w:r>
        <w:t xml:space="preserve">2050; synthetic aviation fuels and H2: 12%</w:t>
      </w:r>
      <w:r>
        <w:t xml:space="preserve"> </w:t>
      </w:r>
      <w:r>
        <w:t xml:space="preserve">in 2040 and 37.5% in 2050), incentives for</w:t>
      </w:r>
      <w:r>
        <w:t xml:space="preserve"> </w:t>
      </w:r>
      <w:r>
        <w:t xml:space="preserve">the deployment of zero-emissions aircraft</w:t>
      </w:r>
      <w:r>
        <w:t xml:space="preserve"> </w:t>
      </w:r>
      <w:r>
        <w:t xml:space="preserve">Slightly more ambitious fuel mandates than</w:t>
      </w:r>
      <w:r>
        <w:t xml:space="preserve"> </w:t>
      </w:r>
      <w:r>
        <w:t xml:space="preserve">in S2 (SAF: 38% in 2040 and 75% in 2050;</w:t>
      </w:r>
      <w:r>
        <w:t xml:space="preserve"> </w:t>
      </w:r>
      <w:r>
        <w:t xml:space="preserve">synthetic aviation fuels: 14% in 2040 and</w:t>
      </w:r>
      <w:r>
        <w:t xml:space="preserve"> </w:t>
      </w:r>
      <w:r>
        <w:t xml:space="preserve">40% in 2050), incentives for the</w:t>
      </w:r>
      <w:r>
        <w:t xml:space="preserve"> </w:t>
      </w:r>
      <w:r>
        <w:t xml:space="preserve">deployment of zero-emissions aircraft</w:t>
      </w:r>
      <w:r>
        <w:t xml:space="preserve"> </w:t>
      </w:r>
      <w:r>
        <w:t xml:space="preserve">As in S3 plus fewer business trips and long</w:t>
      </w:r>
      <w:r>
        <w:t xml:space="preserve"> </w:t>
      </w:r>
      <w:r>
        <w:t xml:space="preserve">trips compared to scenarios, modal shift to</w:t>
      </w:r>
      <w:r>
        <w:t xml:space="preserve"> </w:t>
      </w:r>
      <w:r>
        <w:t xml:space="preserve">rail (particularly for short trips)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Power system</w:t>
      </w:r>
      <w:r>
        <w:t xml:space="preserve"> </w:t>
      </w:r>
      <w:r>
        <w:t xml:space="preserve">Limited remaining CO2 emissions in 2040,</w:t>
      </w:r>
      <w:r>
        <w:t xml:space="preserve"> </w:t>
      </w:r>
      <w:r>
        <w:t xml:space="preserve">share of renewables in total electricity</w:t>
      </w:r>
      <w:r>
        <w:t xml:space="preserve"> </w:t>
      </w:r>
      <w:r>
        <w:t xml:space="preserve">production increases compared to 2030</w:t>
      </w:r>
      <w:r>
        <w:t xml:space="preserve"> </w:t>
      </w:r>
      <w:r>
        <w:t xml:space="preserve">Close to decarbonised in 2040, larger</w:t>
      </w:r>
      <w:r>
        <w:t xml:space="preserve"> </w:t>
      </w:r>
      <w:r>
        <w:t xml:space="preserve">deployment of renewables</w:t>
      </w:r>
      <w:r>
        <w:t xml:space="preserve"> </w:t>
      </w:r>
      <w:r>
        <w:t xml:space="preserve">Fully decarbonised in 2040, the system</w:t>
      </w:r>
      <w:r>
        <w:t xml:space="preserve"> </w:t>
      </w:r>
      <w:r>
        <w:t xml:space="preserve">operates mostly with renewables</w:t>
      </w:r>
    </w:p>
    <w:p>
      <w:pPr>
        <w:pStyle w:val="BodyText"/>
      </w:pPr>
      <w:r>
        <w:t xml:space="preserve">The deployment of renewables is facilitated by system optimisation (interconnections, storage and demand-side response). Nuclear according to MS policies until March 2023; plays a</w:t>
      </w:r>
      <w:r>
        <w:t xml:space="preserve"> </w:t>
      </w:r>
      <w:r>
        <w:t xml:space="preserve">comparable role in all scenarios.</w:t>
      </w:r>
      <w:r>
        <w:t xml:space="preserve"> </w:t>
      </w:r>
      <w:r>
        <w:t xml:space="preserve">Bioenergy</w:t>
      </w:r>
      <w:r>
        <w:t xml:space="preserve"> </w:t>
      </w:r>
      <w:r>
        <w:t xml:space="preserve">Moderate increase by 2040 compared to</w:t>
      </w:r>
      <w:r>
        <w:t xml:space="preserve"> </w:t>
      </w:r>
      <w:r>
        <w:t xml:space="preserve">current, stabilises over 2041-2050</w:t>
      </w:r>
      <w:r>
        <w:t xml:space="preserve"> </w:t>
      </w:r>
      <w:r>
        <w:t xml:space="preserve">Larger increase by 2040 compared to current, and slightly declines after 2040</w:t>
      </w:r>
    </w:p>
    <w:p>
      <w:pPr>
        <w:pStyle w:val="BodyText"/>
      </w:pPr>
      <w:r>
        <w:t xml:space="preserve">H2 &amp; e-fuels</w:t>
      </w:r>
      <w:r>
        <w:t xml:space="preserve"> </w:t>
      </w:r>
      <w:r>
        <w:t xml:space="preserve">Some increase in 2040 above 2030 levels</w:t>
      </w:r>
      <w:r>
        <w:t xml:space="preserve"> </w:t>
      </w:r>
      <w:r>
        <w:t xml:space="preserve">Stronger increase than in S1, notably in the</w:t>
      </w:r>
      <w:r>
        <w:t xml:space="preserve"> </w:t>
      </w:r>
      <w:r>
        <w:t xml:space="preserve">transport sector</w:t>
      </w:r>
      <w:r>
        <w:t xml:space="preserve"> </w:t>
      </w:r>
      <w:r>
        <w:t xml:space="preserve">Stronger increase than in S2 in all sectors</w:t>
      </w:r>
    </w:p>
    <w:p>
      <w:pPr>
        <w:pStyle w:val="BodyText"/>
      </w:pPr>
      <w:r>
        <w:t xml:space="preserve">Carbon capture</w:t>
      </w:r>
      <w:r>
        <w:t xml:space="preserve"> </w:t>
      </w:r>
      <w:r>
        <w:t xml:space="preserve">Limited uptake in 2031-2040 and large</w:t>
      </w:r>
      <w:r>
        <w:t xml:space="preserve"> </w:t>
      </w:r>
      <w:r>
        <w:t xml:space="preserve">deployment in 2041-2050</w:t>
      </w:r>
      <w:r>
        <w:t xml:space="preserve"> </w:t>
      </w:r>
      <w:r>
        <w:t xml:space="preserve">Deployment in 2031-2040, in particular in</w:t>
      </w:r>
      <w:r>
        <w:t xml:space="preserve"> </w:t>
      </w:r>
      <w:r>
        <w:t xml:space="preserve">industrial processes, maintained in 2041-</w:t>
      </w:r>
      <w:r>
        <w:t xml:space="preserve"> </w:t>
      </w:r>
      <w:r>
        <w:t xml:space="preserve">2050</w:t>
      </w:r>
      <w:r>
        <w:t xml:space="preserve"> </w:t>
      </w:r>
      <w:r>
        <w:t xml:space="preserve">Further deployment in 2031-2040 to cover</w:t>
      </w:r>
      <w:r>
        <w:t xml:space="preserve"> </w:t>
      </w:r>
      <w:r>
        <w:t xml:space="preserve">remaining energy and industrial process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Carbon</w:t>
      </w:r>
      <w:r>
        <w:t xml:space="preserve"> </w:t>
      </w:r>
      <w:r>
        <w:t xml:space="preserve">removals</w:t>
      </w:r>
      <w:r>
        <w:t xml:space="preserve"> </w:t>
      </w:r>
      <w:r>
        <w:t xml:space="preserve">Very limited uptake of BECCS by 2040</w:t>
      </w:r>
      <w:r>
        <w:t xml:space="preserve"> </w:t>
      </w:r>
      <w:r>
        <w:t xml:space="preserve">Some deployment of BECCS and DACCS</w:t>
      </w:r>
      <w:r>
        <w:t xml:space="preserve"> </w:t>
      </w:r>
      <w:r>
        <w:t xml:space="preserve">by 2040</w:t>
      </w:r>
      <w:r>
        <w:t xml:space="preserve"> </w:t>
      </w:r>
      <w:r>
        <w:t xml:space="preserve">Higher deployment by 2040 of both</w:t>
      </w:r>
      <w:r>
        <w:t xml:space="preserve"> </w:t>
      </w:r>
      <w:r>
        <w:t xml:space="preserve">BECCS and DACCS</w:t>
      </w:r>
      <w:r>
        <w:t xml:space="preserve"> </w:t>
      </w:r>
      <w:r>
        <w:t xml:space="preserve">Circularity</w:t>
      </w:r>
    </w:p>
    <w:p>
      <w:pPr>
        <w:pStyle w:val="BodyText"/>
      </w:pPr>
      <w:r>
        <w:t xml:space="preserve">Circular economy trends limiting raw</w:t>
      </w:r>
      <w:r>
        <w:t xml:space="preserve"> </w:t>
      </w:r>
      <w:r>
        <w:t xml:space="preserve">materials needs</w:t>
      </w:r>
      <w:r>
        <w:t xml:space="preserve"> </w:t>
      </w:r>
      <w:r>
        <w:t xml:space="preserve">Food system</w:t>
      </w:r>
      <w:r>
        <w:t xml:space="preserve"> </w:t>
      </w:r>
      <w:r>
        <w:t xml:space="preserve">Continuation of current trends based on the Agricultural Outlook 2022</w:t>
      </w:r>
      <w:r>
        <w:t xml:space="preserve"> </w:t>
      </w:r>
      <w:r>
        <w:t xml:space="preserve">Change towards more sustainable food</w:t>
      </w:r>
      <w:r>
        <w:t xml:space="preserve"> </w:t>
      </w:r>
      <w:r>
        <w:t xml:space="preserve">diets, reduction of food waste objectives</w:t>
      </w:r>
      <w:r>
        <w:t xml:space="preserve"> </w:t>
      </w:r>
      <w:r>
        <w:t xml:space="preserve">leading to additional reduction of</w:t>
      </w:r>
      <w:r>
        <w:t xml:space="preserve"> </w:t>
      </w:r>
      <w:r>
        <w:t xml:space="preserve">agriculture GHG</w:t>
      </w:r>
      <w:r>
        <w:br/>
      </w:r>
      <w:r>
        <w:t xml:space="preserve">Very limited GHG reductions in agriculture</w:t>
      </w:r>
      <w:r>
        <w:t xml:space="preserve"> </w:t>
      </w:r>
      <w:r>
        <w:t xml:space="preserve">GHG in agriculture decrease further thanks</w:t>
      </w:r>
      <w:r>
        <w:t xml:space="preserve"> </w:t>
      </w:r>
      <w:r>
        <w:t xml:space="preserve">to larger deployment of technological</w:t>
      </w:r>
      <w:r>
        <w:t xml:space="preserve"> </w:t>
      </w:r>
      <w:r>
        <w:t xml:space="preserve">options</w:t>
      </w:r>
      <w:r>
        <w:t xml:space="preserve"> </w:t>
      </w:r>
      <w:r>
        <w:t xml:space="preserve">GHG in agriculture decrease further thanks</w:t>
      </w:r>
      <w:r>
        <w:t xml:space="preserve"> </w:t>
      </w:r>
      <w:r>
        <w:t xml:space="preserve">to full deployment of technological options</w:t>
      </w:r>
      <w:r>
        <w:t xml:space="preserve"> </w:t>
      </w:r>
      <w:r>
        <w:t xml:space="preserve">LULUCF</w:t>
      </w:r>
      <w:r>
        <w:t xml:space="preserve"> </w:t>
      </w:r>
      <w:r>
        <w:t xml:space="preserve">Small increase of forest land and decrease</w:t>
      </w:r>
      <w:r>
        <w:t xml:space="preserve"> </w:t>
      </w:r>
      <w:r>
        <w:t xml:space="preserve">in grassland</w:t>
      </w:r>
      <w:r>
        <w:t xml:space="preserve"> </w:t>
      </w:r>
      <w:r>
        <w:t xml:space="preserve">Policy intensity to cover mitigation costs equivalent to meeting the 2030 target</w:t>
      </w:r>
      <w:r>
        <w:br/>
      </w:r>
      <w:r>
        <w:t xml:space="preserve">Higher land-use change with bigger increase of forest land, additional wetland and</w:t>
      </w:r>
      <w:r>
        <w:t xml:space="preserve"> </w:t>
      </w:r>
      <w:r>
        <w:t xml:space="preserve">cropland while stronger decrease of grassland</w:t>
      </w:r>
      <w:r>
        <w:t xml:space="preserve"> </w:t>
      </w:r>
      <w:r>
        <w:t xml:space="preserve">More available land for carbon farming and</w:t>
      </w:r>
      <w:r>
        <w:t xml:space="preserve"> </w:t>
      </w:r>
      <w:r>
        <w:t xml:space="preserve">high-diversity elements such as set aside</w:t>
      </w:r>
      <w:r>
        <w:t xml:space="preserve"> </w:t>
      </w:r>
      <w:r>
        <w:t xml:space="preserve">and fallow land with natural vegetation</w:t>
      </w:r>
      <w:r>
        <w:t xml:space="preserve"> </w:t>
      </w:r>
      <w:r>
        <w:t xml:space="preserve">through land-use change in grassland and</w:t>
      </w:r>
      <w:r>
        <w:t xml:space="preserve"> </w:t>
      </w:r>
      <w:r>
        <w:t xml:space="preserve">cropland</w:t>
      </w:r>
      <w:r>
        <w:t xml:space="preserve"> </w:t>
      </w:r>
      <w:r>
        <w:t xml:space="preserve">Non-land-</w:t>
      </w:r>
      <w:r>
        <w:t xml:space="preserve"> </w:t>
      </w:r>
      <w:r>
        <w:t xml:space="preserve">related non-</w:t>
      </w:r>
      <w:r>
        <w:t xml:space="preserve"> </w:t>
      </w:r>
      <w:r>
        <w:t xml:space="preserve">CO2 GHG</w:t>
      </w:r>
      <w:r>
        <w:t xml:space="preserve"> </w:t>
      </w:r>
      <w:r>
        <w:t xml:space="preserve">emissions</w:t>
      </w:r>
      <w:r>
        <w:t xml:space="preserve"> </w:t>
      </w:r>
      <w:r>
        <w:t xml:space="preserve">Non-land-related non-CO2 emissions</w:t>
      </w:r>
      <w:r>
        <w:t xml:space="preserve"> </w:t>
      </w:r>
      <w:r>
        <w:t xml:space="preserve">slowly decline, combining current policy</w:t>
      </w:r>
      <w:r>
        <w:t xml:space="preserve"> </w:t>
      </w:r>
      <w:r>
        <w:t xml:space="preserve">framework and transformation of the</w:t>
      </w:r>
      <w:r>
        <w:t xml:space="preserve"> </w:t>
      </w:r>
      <w:r>
        <w:t xml:space="preserve">energy system</w:t>
      </w:r>
      <w:r>
        <w:br/>
      </w:r>
      <w:r>
        <w:t xml:space="preserve">Non-land-related non-CO2 emissions decline further thanks to additional mitigation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WHAT ARE THE IMPACTS OF THE TARGET OPTIONS?</w:t>
      </w:r>
      <w:r>
        <w:br/>
      </w:r>
      <w:r>
        <w:t xml:space="preserve">The impacts of the different 2040 target options are illustrated by the three scenarios S1,</w:t>
      </w:r>
      <w:r>
        <w:t xml:space="preserve"> </w:t>
      </w:r>
      <w:r>
        <w:t xml:space="preserve">S2 and S3 (48) presented in the previous section. Section 6 shows the impact of these</w:t>
      </w:r>
      <w:r>
        <w:t xml:space="preserve"> </w:t>
      </w:r>
      <w:r>
        <w:t xml:space="preserve">scenarios and complements the analysis by quantifying the impact of changing lifestyles</w:t>
      </w:r>
      <w:r>
        <w:t xml:space="preserve"> </w:t>
      </w:r>
      <w:r>
        <w:t xml:space="preserve">as shown by the LIFE sensitivity analysis.</w:t>
      </w:r>
      <w:r>
        <w:t xml:space="preserve"> </w:t>
      </w:r>
      <w:r>
        <w:t xml:space="preserve">A more detailed analysis on the sectoral GHG evolution and associated technological</w:t>
      </w:r>
      <w:r>
        <w:t xml:space="preserve"> </w:t>
      </w:r>
      <w:r>
        <w:t xml:space="preserve">deployment attached to each scenario can be found in Annex 8.</w:t>
      </w:r>
      <w:r>
        <w:br/>
      </w:r>
      <w:r>
        <w:t xml:space="preserve">6.1</w:t>
      </w:r>
      <w:r>
        <w:t xml:space="preserve"> </w:t>
      </w:r>
      <w:r>
        <w:t xml:space="preserve">GHG emissions</w:t>
      </w:r>
      <w:r>
        <w:t xml:space="preserve"> </w:t>
      </w:r>
      <w:r>
        <w:t xml:space="preserve">6.1.1 Net GHG emissions</w:t>
      </w:r>
      <w:r>
        <w:br/>
      </w:r>
      <w:r>
        <w:t xml:space="preserve">The net GHG emissions analysed in this impact assessment correspond to the Union-</w:t>
      </w:r>
      <w:r>
        <w:t xml:space="preserve"> </w:t>
      </w:r>
      <w:r>
        <w:t xml:space="preserve">wide GHG emissions and removals regulated in Union law (49).</w:t>
      </w:r>
      <w:r>
        <w:br/>
      </w:r>
      <w:r>
        <w:t xml:space="preserve">Table 5 shows the sectoral net GHG emissions in the different scenarios serving to</w:t>
      </w:r>
      <w:r>
        <w:t xml:space="preserve"> </w:t>
      </w:r>
      <w:r>
        <w:t xml:space="preserve">analyse the 2040 target options. All scenarios achieve climate neutrality in 2050.</w:t>
      </w:r>
    </w:p>
    <w:p>
      <w:pPr>
        <w:pStyle w:val="Compact"/>
        <w:numPr>
          <w:ilvl w:val="0"/>
          <w:numId w:val="1021"/>
        </w:numPr>
      </w:pPr>
      <w:r>
        <w:t xml:space="preserve">The model-based analysis is a technical exercise based on a number of assumptions that are shared</w:t>
      </w:r>
      <w:r>
        <w:t xml:space="preserve"> </w:t>
      </w:r>
      <w:r>
        <w:t xml:space="preserve">across scenarios. Its results do not prejudge the future design of the post-2030 policy framework.</w:t>
      </w:r>
    </w:p>
    <w:p>
      <w:pPr>
        <w:pStyle w:val="Compact"/>
        <w:numPr>
          <w:ilvl w:val="0"/>
          <w:numId w:val="1021"/>
        </w:numPr>
      </w:pPr>
      <w:r>
        <w:t xml:space="preserve">European Climate Law, Article 2. They cover all domestic emissions, LULUCF, international intra-EU</w:t>
      </w:r>
      <w:r>
        <w:t xml:space="preserve"> </w:t>
      </w:r>
      <w:r>
        <w:t xml:space="preserve">aviation, international intra-EU maritime, and 50% of international extra-EU maritime from the MRV</w:t>
      </w:r>
      <w:r>
        <w:t xml:space="preserve"> </w:t>
      </w:r>
      <w:r>
        <w:t xml:space="preserve">scope.</w:t>
      </w:r>
    </w:p>
    <w:p>
      <w:pPr>
        <w:pStyle w:val="FirstParagraph"/>
      </w:pPr>
      <w:r>
        <w:t xml:space="preserve">35</w:t>
      </w:r>
    </w:p>
    <w:p>
      <w:pPr>
        <w:pStyle w:val="BodyText"/>
      </w:pPr>
      <w:r>
        <w:t xml:space="preserve">Table 5: Sectoral net GHG emissions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S3**</w:t>
      </w:r>
      <w:r>
        <w:t xml:space="preserve"> </w:t>
      </w:r>
      <w:r>
        <w:t xml:space="preserve">Reduction vs 1990 - %</w:t>
      </w:r>
      <w:r>
        <w:t xml:space="preserve"> </w:t>
      </w:r>
      <w:r>
        <w:t xml:space="preserve">-24%</w:t>
      </w:r>
      <w:r>
        <w:t xml:space="preserve"> </w:t>
      </w:r>
      <w:r>
        <w:t xml:space="preserve">-78%</w:t>
      </w:r>
      <w:r>
        <w:t xml:space="preserve"> </w:t>
      </w:r>
      <w:r>
        <w:t xml:space="preserve">-88%</w:t>
      </w:r>
      <w:r>
        <w:t xml:space="preserve"> </w:t>
      </w:r>
      <w:r>
        <w:t xml:space="preserve">-92%</w:t>
      </w:r>
      <w:r>
        <w:t xml:space="preserve"> </w:t>
      </w:r>
      <w:r>
        <w:t xml:space="preserve">-101%</w:t>
      </w:r>
      <w:r>
        <w:t xml:space="preserve"> </w:t>
      </w:r>
      <w:r>
        <w:t xml:space="preserve">Net GHG Emissions (target scope)*</w:t>
      </w:r>
      <w:r>
        <w:t xml:space="preserve"> </w:t>
      </w:r>
      <w:r>
        <w:t xml:space="preserve">3592</w:t>
      </w:r>
      <w:r>
        <w:t xml:space="preserve"> </w:t>
      </w:r>
      <w:r>
        <w:t xml:space="preserve">1051</w:t>
      </w:r>
      <w:r>
        <w:t xml:space="preserve"> </w:t>
      </w:r>
      <w:r>
        <w:t xml:space="preserve">578</w:t>
      </w:r>
      <w:r>
        <w:t xml:space="preserve"> </w:t>
      </w:r>
      <w:r>
        <w:t xml:space="preserve">356</w:t>
      </w:r>
      <w:r>
        <w:t xml:space="preserve"> </w:t>
      </w:r>
      <w:r>
        <w:t xml:space="preserve">-38</w:t>
      </w:r>
      <w:r>
        <w:t xml:space="preserve"> </w:t>
      </w:r>
      <w:r>
        <w:t xml:space="preserve">Power and district heatingA</w:t>
      </w:r>
      <w:r>
        <w:t xml:space="preserve"> </w:t>
      </w:r>
      <w:r>
        <w:t xml:space="preserve">1031</w:t>
      </w:r>
      <w:r>
        <w:t xml:space="preserve"> </w:t>
      </w:r>
      <w:r>
        <w:t xml:space="preserve">120</w:t>
      </w:r>
      <w:r>
        <w:t xml:space="preserve"> </w:t>
      </w:r>
      <w:r>
        <w:t xml:space="preserve">8</w:t>
      </w:r>
      <w:r>
        <w:t xml:space="preserve"> </w:t>
      </w:r>
      <w:r>
        <w:t xml:space="preserve">-10</w:t>
      </w:r>
      <w:r>
        <w:t xml:space="preserve"> </w:t>
      </w:r>
      <w:r>
        <w:t xml:space="preserve">-39</w:t>
      </w:r>
      <w:r>
        <w:t xml:space="preserve"> </w:t>
      </w:r>
      <w:r>
        <w:t xml:space="preserve">Other energy sectorsB</w:t>
      </w:r>
      <w:r>
        <w:t xml:space="preserve"> </w:t>
      </w:r>
      <w:r>
        <w:t xml:space="preserve">237</w:t>
      </w:r>
      <w:r>
        <w:t xml:space="preserve"> </w:t>
      </w:r>
      <w:r>
        <w:t xml:space="preserve">71</w:t>
      </w:r>
      <w:r>
        <w:t xml:space="preserve"> </w:t>
      </w:r>
      <w:r>
        <w:t xml:space="preserve">45</w:t>
      </w:r>
      <w:r>
        <w:t xml:space="preserve"> </w:t>
      </w:r>
      <w:r>
        <w:t xml:space="preserve">11</w:t>
      </w:r>
      <w:r>
        <w:t xml:space="preserve"> </w:t>
      </w:r>
      <w:r>
        <w:t xml:space="preserve">-19</w:t>
      </w:r>
      <w:r>
        <w:t xml:space="preserve"> </w:t>
      </w:r>
      <w:r>
        <w:t xml:space="preserve">IndustryC</w:t>
      </w:r>
      <w:r>
        <w:t xml:space="preserve"> </w:t>
      </w:r>
      <w:r>
        <w:t xml:space="preserve">605</w:t>
      </w:r>
      <w:r>
        <w:t xml:space="preserve"> </w:t>
      </w:r>
      <w:r>
        <w:t xml:space="preserve">267</w:t>
      </w:r>
      <w:r>
        <w:t xml:space="preserve"> </w:t>
      </w:r>
      <w:r>
        <w:t xml:space="preserve">181</w:t>
      </w:r>
      <w:r>
        <w:t xml:space="preserve"> </w:t>
      </w:r>
      <w:r>
        <w:t xml:space="preserve">89</w:t>
      </w:r>
      <w:r>
        <w:t xml:space="preserve"> </w:t>
      </w:r>
      <w:r>
        <w:t xml:space="preserve">16</w:t>
      </w:r>
      <w:r>
        <w:t xml:space="preserve"> </w:t>
      </w:r>
      <w:r>
        <w:t xml:space="preserve">Residential &amp; servicesD</w:t>
      </w:r>
      <w:r>
        <w:t xml:space="preserve"> </w:t>
      </w:r>
      <w:r>
        <w:t xml:space="preserve">519</w:t>
      </w:r>
      <w:r>
        <w:t xml:space="preserve"> </w:t>
      </w:r>
      <w:r>
        <w:t xml:space="preserve">119</w:t>
      </w:r>
      <w:r>
        <w:t xml:space="preserve"> </w:t>
      </w:r>
      <w:r>
        <w:t xml:space="preserve">92</w:t>
      </w:r>
      <w:r>
        <w:t xml:space="preserve"> </w:t>
      </w:r>
      <w:r>
        <w:t xml:space="preserve">75</w:t>
      </w:r>
      <w:r>
        <w:t xml:space="preserve"> </w:t>
      </w:r>
      <w:r>
        <w:t xml:space="preserve">19</w:t>
      </w:r>
      <w:r>
        <w:t xml:space="preserve"> </w:t>
      </w:r>
      <w:r>
        <w:t xml:space="preserve">Other non-energy sectorsE</w:t>
      </w:r>
      <w:r>
        <w:t xml:space="preserve"> </w:t>
      </w:r>
      <w:r>
        <w:t xml:space="preserve">130</w:t>
      </w:r>
      <w:r>
        <w:t xml:space="preserve"> </w:t>
      </w:r>
      <w:r>
        <w:t xml:space="preserve">33</w:t>
      </w:r>
      <w:r>
        <w:t xml:space="preserve"> </w:t>
      </w:r>
      <w:r>
        <w:t xml:space="preserve">26</w:t>
      </w:r>
      <w:r>
        <w:t xml:space="preserve"> </w:t>
      </w:r>
      <w:r>
        <w:t xml:space="preserve">25</w:t>
      </w:r>
      <w:r>
        <w:t xml:space="preserve"> </w:t>
      </w:r>
      <w:r>
        <w:t xml:space="preserve">22</w:t>
      </w:r>
      <w:r>
        <w:t xml:space="preserve"> </w:t>
      </w:r>
      <w:r>
        <w:t xml:space="preserve">Domestic transport</w:t>
      </w:r>
      <w:r>
        <w:t xml:space="preserve"> </w:t>
      </w:r>
      <w:r>
        <w:t xml:space="preserve">780</w:t>
      </w:r>
      <w:r>
        <w:t xml:space="preserve"> </w:t>
      </w:r>
      <w:r>
        <w:t xml:space="preserve">190</w:t>
      </w:r>
      <w:r>
        <w:t xml:space="preserve"> </w:t>
      </w:r>
      <w:r>
        <w:t xml:space="preserve">143</w:t>
      </w:r>
      <w:r>
        <w:t xml:space="preserve"> </w:t>
      </w:r>
      <w:r>
        <w:t xml:space="preserve">120</w:t>
      </w:r>
      <w:r>
        <w:t xml:space="preserve"> </w:t>
      </w:r>
      <w:r>
        <w:t xml:space="preserve">7</w:t>
      </w:r>
      <w:r>
        <w:t xml:space="preserve"> </w:t>
      </w:r>
      <w:r>
        <w:t xml:space="preserve">AgricultureF</w:t>
      </w:r>
      <w:r>
        <w:t xml:space="preserve"> </w:t>
      </w:r>
      <w:r>
        <w:t xml:space="preserve">385</w:t>
      </w:r>
      <w:r>
        <w:t xml:space="preserve"> </w:t>
      </w:r>
      <w:r>
        <w:t xml:space="preserve">351</w:t>
      </w:r>
      <w:r>
        <w:t xml:space="preserve"> </w:t>
      </w:r>
      <w:r>
        <w:t xml:space="preserve">302</w:t>
      </w:r>
      <w:r>
        <w:t xml:space="preserve"> </w:t>
      </w:r>
      <w:r>
        <w:t xml:space="preserve">271</w:t>
      </w:r>
      <w:r>
        <w:t xml:space="preserve"> </w:t>
      </w:r>
      <w:r>
        <w:t xml:space="preserve">249</w:t>
      </w:r>
      <w:r>
        <w:t xml:space="preserve"> </w:t>
      </w:r>
      <w:r>
        <w:t xml:space="preserve">Waste management</w:t>
      </w:r>
      <w:r>
        <w:t xml:space="preserve"> </w:t>
      </w:r>
      <w:r>
        <w:t xml:space="preserve">120</w:t>
      </w:r>
      <w:r>
        <w:t xml:space="preserve"> </w:t>
      </w:r>
      <w:r>
        <w:t xml:space="preserve">65</w:t>
      </w:r>
      <w:r>
        <w:t xml:space="preserve"> </w:t>
      </w:r>
      <w:r>
        <w:t xml:space="preserve">52</w:t>
      </w:r>
      <w:r>
        <w:t xml:space="preserve"> </w:t>
      </w:r>
      <w:r>
        <w:t xml:space="preserve">52</w:t>
      </w:r>
      <w:r>
        <w:t xml:space="preserve"> </w:t>
      </w:r>
      <w:r>
        <w:t xml:space="preserve">28</w:t>
      </w:r>
      <w:r>
        <w:t xml:space="preserve"> </w:t>
      </w:r>
      <w:r>
        <w:t xml:space="preserve">LULUCF net removals</w:t>
      </w:r>
      <w:r>
        <w:t xml:space="preserve"> </w:t>
      </w:r>
      <w:r>
        <w:t xml:space="preserve">-322</w:t>
      </w:r>
      <w:r>
        <w:t xml:space="preserve"> </w:t>
      </w:r>
      <w:r>
        <w:t xml:space="preserve">-218</w:t>
      </w:r>
      <w:r>
        <w:t xml:space="preserve"> </w:t>
      </w:r>
      <w:r>
        <w:t xml:space="preserve">-316</w:t>
      </w:r>
      <w:r>
        <w:t xml:space="preserve"> </w:t>
      </w:r>
      <w:r>
        <w:t xml:space="preserve">-317</w:t>
      </w:r>
      <w:r>
        <w:t xml:space="preserve"> </w:t>
      </w:r>
      <w:r>
        <w:t xml:space="preserve">-333</w:t>
      </w:r>
      <w:r>
        <w:t xml:space="preserve"> </w:t>
      </w:r>
      <w:r>
        <w:t xml:space="preserve">International transport (target scopeG)</w:t>
      </w:r>
      <w:r>
        <w:t xml:space="preserve"> </w:t>
      </w:r>
      <w:r>
        <w:t xml:space="preserve">107</w:t>
      </w:r>
      <w:r>
        <w:t xml:space="preserve"> </w:t>
      </w:r>
      <w:r>
        <w:t xml:space="preserve">52</w:t>
      </w:r>
      <w:r>
        <w:t xml:space="preserve"> </w:t>
      </w:r>
      <w:r>
        <w:t xml:space="preserve">46</w:t>
      </w:r>
      <w:r>
        <w:t xml:space="preserve"> </w:t>
      </w:r>
      <w:r>
        <w:t xml:space="preserve">41</w:t>
      </w:r>
      <w:r>
        <w:t xml:space="preserve"> </w:t>
      </w:r>
      <w:r>
        <w:t xml:space="preserve">11</w:t>
      </w:r>
      <w:r>
        <w:t xml:space="preserve"> </w:t>
      </w:r>
      <w:r>
        <w:t xml:space="preserve">International Transport (memo items)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124</w:t>
      </w:r>
      <w:r>
        <w:t xml:space="preserve"> </w:t>
      </w:r>
      <w:r>
        <w:t xml:space="preserve">113</w:t>
      </w:r>
      <w:r>
        <w:t xml:space="preserve"> </w:t>
      </w:r>
      <w:r>
        <w:t xml:space="preserve">106</w:t>
      </w:r>
      <w:r>
        <w:t xml:space="preserve"> </w:t>
      </w:r>
      <w:r>
        <w:t xml:space="preserve">27</w:t>
      </w:r>
      <w:r>
        <w:t xml:space="preserve"> </w:t>
      </w:r>
      <w:r>
        <w:t xml:space="preserve">Note: *Calibration residuals to GHG inventory 2023 are allocated to relevant sectors. A: Includes removals from</w:t>
      </w:r>
      <w:r>
        <w:t xml:space="preserve"> </w:t>
      </w:r>
      <w:r>
        <w:t xml:space="preserve">BECCS. B: Includes removals from DACCS. C: includes CO2 from fossil fuel combustion in industry and CO2 from</w:t>
      </w:r>
      <w:r>
        <w:t xml:space="preserve"> </w:t>
      </w:r>
      <w:r>
        <w:t xml:space="preserve">industrial processes. D: Includes fossil fuel combustion CO2 emissions in agriculture. E: CO2 fugitive emissions</w:t>
      </w:r>
      <w:r>
        <w:t xml:space="preserve"> </w:t>
      </w:r>
      <w:r>
        <w:t xml:space="preserve">and non-CO2 emissions from direct use or specific products. F: GHG inventory “category 3”. G: international</w:t>
      </w:r>
      <w:r>
        <w:t xml:space="preserve"> </w:t>
      </w:r>
      <w:r>
        <w:t xml:space="preserve">intra-EU aviation, international intra-EU maritime (MRV) and 50% of international extra-EU maritime (MRV).</w:t>
      </w:r>
      <w:r>
        <w:t xml:space="preserve"> </w:t>
      </w:r>
      <w:r>
        <w:t xml:space="preserve">**S1 and S2 values for 2050 are similar to S3 and represented in more details in Annex 8.</w:t>
      </w:r>
      <w:r>
        <w:t xml:space="preserve"> </w:t>
      </w:r>
      <w:r>
        <w:t xml:space="preserve">Source: PRIMES, GAINS, GLOBIOM.</w:t>
      </w:r>
    </w:p>
    <w:p>
      <w:pPr>
        <w:pStyle w:val="BodyText"/>
      </w:pPr>
      <w:r>
        <w:t xml:space="preserve">Scenario S1 projects emissions following a linear trajectory between 2030 and climate</w:t>
      </w:r>
      <w:r>
        <w:t xml:space="preserve"> </w:t>
      </w:r>
      <w:r>
        <w:t xml:space="preserve">neutrality 2050, reaching around 1050 MtCO2-eq in 2040. This requires limited</w:t>
      </w:r>
      <w:r>
        <w:t xml:space="preserve"> </w:t>
      </w:r>
      <w:r>
        <w:t xml:space="preserve">development by 2040 of advanced mitigation options like carbon capture or e-fuels. A</w:t>
      </w:r>
      <w:r>
        <w:t xml:space="preserve"> </w:t>
      </w:r>
      <w:r>
        <w:t xml:space="preserve">higher uptake under S2 of e-fuels, carbon capture, further abatement in agriculture and</w:t>
      </w:r>
      <w:r>
        <w:t xml:space="preserve"> </w:t>
      </w:r>
      <w:r>
        <w:t xml:space="preserve">dedicated mitigation actions in the LULUCF sector lead to stronger emission reductions</w:t>
      </w:r>
      <w:r>
        <w:t xml:space="preserve"> </w:t>
      </w:r>
      <w:r>
        <w:t xml:space="preserve">of 88%, with net GHG emissions reaching around 580 MtCO2-eq. S3 achieves a steeper</w:t>
      </w:r>
      <w:r>
        <w:t xml:space="preserve"> </w:t>
      </w:r>
      <w:r>
        <w:t xml:space="preserve">reduction of around 92% (around 350 MtCO2-eq), compared to S2, based on rapid</w:t>
      </w:r>
      <w:r>
        <w:t xml:space="preserve"> </w:t>
      </w:r>
      <w:r>
        <w:t xml:space="preserve">deployment and scale up of novel technologies by 2040.</w:t>
      </w:r>
      <w:r>
        <w:br/>
      </w:r>
      <w:r>
        <w:t xml:space="preserve">LULUCF net removals have experienced rapid changes of the past years, and the future</w:t>
      </w:r>
      <w:r>
        <w:t xml:space="preserve"> </w:t>
      </w:r>
      <w:r>
        <w:t xml:space="preserve">evolution of this sector is uncertain. The level can vary depending on the effect of</w:t>
      </w:r>
      <w:r>
        <w:t xml:space="preserve"> </w:t>
      </w:r>
      <w:r>
        <w:t xml:space="preserve">policies or climate change impacts (see section 1.8 in Annex 8). When this uncertainty is</w:t>
      </w:r>
      <w:r>
        <w:t xml:space="preserve"> </w:t>
      </w:r>
      <w:r>
        <w:t xml:space="preserve">included in the calculation of the net GHG emission reduction in 2040, each scenario still</w:t>
      </w:r>
      <w:r>
        <w:t xml:space="preserve"> </w:t>
      </w:r>
      <w:r>
        <w:t xml:space="preserve">remains within the range of their respective target option, namely S1 corresponding to</w:t>
      </w:r>
      <w:r>
        <w:t xml:space="preserve"> </w:t>
      </w:r>
      <w:r>
        <w:t xml:space="preserve">target option 1 (up to 80%), S2 corresponding to target option 2 (85-90%) and S3</w:t>
      </w:r>
      <w:r>
        <w:t xml:space="preserve"> </w:t>
      </w:r>
      <w:r>
        <w:t xml:space="preserve">corresponding to target option 3 (90-95%).</w:t>
      </w:r>
      <w:r>
        <w:br/>
      </w:r>
      <w:r>
        <w:t xml:space="preserve">The importance of net removals from LULUCF was confirmed in the public consultation,</w:t>
      </w:r>
      <w:r>
        <w:t xml:space="preserve"> </w:t>
      </w:r>
      <w:r>
        <w:t xml:space="preserve">where nearly 50% of citizens asked for a stronger reliance on the LULUCF sink given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uncertainty about the deployment of industrial removals. Among organisations, views</w:t>
      </w:r>
      <w:r>
        <w:t xml:space="preserve"> </w:t>
      </w:r>
      <w:r>
        <w:t xml:space="preserve">were more divided between civil society organisations demanding a stronger reliance on</w:t>
      </w:r>
      <w:r>
        <w:t xml:space="preserve"> </w:t>
      </w:r>
      <w:r>
        <w:t xml:space="preserve">the LULUCF sink, research institutions and public authorities favouring a balanced</w:t>
      </w:r>
      <w:r>
        <w:t xml:space="preserve"> </w:t>
      </w:r>
      <w:r>
        <w:t xml:space="preserve">approach, and business associations and companies favouring either a balanced approach</w:t>
      </w:r>
      <w:r>
        <w:t xml:space="preserve"> </w:t>
      </w:r>
      <w:r>
        <w:t xml:space="preserve">or a stronger reliance on industrial removals. However, when asked about the most</w:t>
      </w:r>
      <w:r>
        <w:t xml:space="preserve"> </w:t>
      </w:r>
      <w:r>
        <w:t xml:space="preserve">relevant solutions for fighting climate change, citizens and all stakeholder groups</w:t>
      </w:r>
      <w:r>
        <w:t xml:space="preserve"> </w:t>
      </w:r>
      <w:r>
        <w:t xml:space="preserve">uniformly indicated nature-based solutions for the LULUCF sector (afforestation,</w:t>
      </w:r>
      <w:r>
        <w:t xml:space="preserve"> </w:t>
      </w:r>
      <w:r>
        <w:t xml:space="preserve">reforestation, and forest restoration, as well as peatland restoration) as being the most</w:t>
      </w:r>
      <w:r>
        <w:t xml:space="preserve"> </w:t>
      </w:r>
      <w:r>
        <w:t xml:space="preserve">important solutions.</w:t>
      </w:r>
      <w:r>
        <w:br/>
      </w:r>
      <w:r>
        <w:t xml:space="preserve">Energy supply emissions (“power and district heating”, as well as “other energy sectors”)</w:t>
      </w:r>
      <w:r>
        <w:t xml:space="preserve"> </w:t>
      </w:r>
      <w:r>
        <w:t xml:space="preserve">remain positive (180 MtCO2-eq) in the case of S1 but get close to zero in S2 (about 50</w:t>
      </w:r>
      <w:r>
        <w:t xml:space="preserve"> </w:t>
      </w:r>
      <w:r>
        <w:t xml:space="preserve">MtCO2-eq) and reach zero in S3 in 2040. The decarbonisation of the energy sector is</w:t>
      </w:r>
      <w:r>
        <w:t xml:space="preserve"> </w:t>
      </w:r>
      <w:r>
        <w:t xml:space="preserve">possible thanks to the availability of a broad set of technologies to generate carbon-free</w:t>
      </w:r>
      <w:r>
        <w:t xml:space="preserve"> </w:t>
      </w:r>
      <w:r>
        <w:t xml:space="preserve">electricity (notably renewables) and to the development of carbon capture and carbon</w:t>
      </w:r>
      <w:r>
        <w:t xml:space="preserve"> </w:t>
      </w:r>
      <w:r>
        <w:t xml:space="preserve">removals in S2 and S3 (see 6.1.2), as well as to the reduction of methane emissions from</w:t>
      </w:r>
      <w:r>
        <w:t xml:space="preserve"> </w:t>
      </w:r>
      <w:r>
        <w:t xml:space="preserve">the decreased use of fossil fuels. Emissions in industry are cut by 56-84% compared to</w:t>
      </w:r>
      <w:r>
        <w:t xml:space="preserve"> </w:t>
      </w:r>
      <w:r>
        <w:t xml:space="preserve">2015, due to electrification, implementation of new manufacturing technologies,</w:t>
      </w:r>
      <w:r>
        <w:t xml:space="preserve"> </w:t>
      </w:r>
      <w:r>
        <w:t xml:space="preserve">innovation in processes, use of alternative materials or sources such as RFNBOs and</w:t>
      </w:r>
      <w:r>
        <w:t xml:space="preserve"> </w:t>
      </w:r>
      <w:r>
        <w:t xml:space="preserve">cleaner supply chains. Contribution of the gradual uptake of hydrogen and development</w:t>
      </w:r>
      <w:r>
        <w:t xml:space="preserve"> </w:t>
      </w:r>
      <w:r>
        <w:t xml:space="preserve">of carbon capture to industrial emission reduction is seen in S2 and goes further in S3,</w:t>
      </w:r>
      <w:r>
        <w:t xml:space="preserve"> </w:t>
      </w:r>
      <w:r>
        <w:t xml:space="preserve">where solid fossil fuels virtually disappear, and all process CO2 emissions are captured.</w:t>
      </w:r>
      <w:r>
        <w:t xml:space="preserve"> </w:t>
      </w:r>
      <w:r>
        <w:t xml:space="preserve">Residential and service emissions decrease by 77-85% compared to 2015, depending on</w:t>
      </w:r>
      <w:r>
        <w:t xml:space="preserve"> </w:t>
      </w:r>
      <w:r>
        <w:t xml:space="preserve">the scenario, driven by a sustained deployment of heat pumps and renovation of building</w:t>
      </w:r>
      <w:r>
        <w:t xml:space="preserve"> </w:t>
      </w:r>
      <w:r>
        <w:t xml:space="preserve">envelopes.</w:t>
      </w:r>
      <w:r>
        <w:br/>
      </w:r>
      <w:r>
        <w:t xml:space="preserve">Transport emissions drop by 69-78% compared to 2015, primarily due to large-scale</w:t>
      </w:r>
      <w:r>
        <w:t xml:space="preserve"> </w:t>
      </w:r>
      <w:r>
        <w:t xml:space="preserve">deployment of electric vehicles in road transport in all scenarios, along with a further</w:t>
      </w:r>
      <w:r>
        <w:t xml:space="preserve"> </w:t>
      </w:r>
      <w:r>
        <w:t xml:space="preserve">switch from fossil fuels to e-fuels and advanced biofuels in maritime, aviation and road</w:t>
      </w:r>
      <w:r>
        <w:t xml:space="preserve"> </w:t>
      </w:r>
      <w:r>
        <w:t xml:space="preserve">transport in S2 and S3.</w:t>
      </w:r>
      <w:r>
        <w:br/>
      </w:r>
      <w:r>
        <w:t xml:space="preserve">In the agricultural sector, where GHG emissions remained relatively stable over the last</w:t>
      </w:r>
      <w:r>
        <w:t xml:space="preserve"> </w:t>
      </w:r>
      <w:r>
        <w:t xml:space="preserve">10 years, GHG emissions decrease by around 10% compared to 2015 in S1 and by</w:t>
      </w:r>
      <w:r>
        <w:t xml:space="preserve"> </w:t>
      </w:r>
      <w:r>
        <w:t xml:space="preserve">between 22% and 30% with more ambitious reductions in S2 and S3, driven by</w:t>
      </w:r>
      <w:r>
        <w:t xml:space="preserve"> </w:t>
      </w:r>
      <w:r>
        <w:t xml:space="preserve">technological improvements in breeding, mitigation of enteric emissions, manure</w:t>
      </w:r>
      <w:r>
        <w:t xml:space="preserve"> </w:t>
      </w:r>
      <w:r>
        <w:t xml:space="preserve">management and fertiliser application. The waste management sector reduces CH4</w:t>
      </w:r>
      <w:r>
        <w:t xml:space="preserve"> </w:t>
      </w:r>
      <w:r>
        <w:t xml:space="preserve">emissions in all scenarios by more than half compared to 2015. These results are broadly</w:t>
      </w:r>
      <w:r>
        <w:t xml:space="preserve"> </w:t>
      </w:r>
      <w:r>
        <w:t xml:space="preserve">in line with the public consultation results, which show that energy supply, agriculture</w:t>
      </w:r>
      <w:r>
        <w:t xml:space="preserve"> </w:t>
      </w:r>
      <w:r>
        <w:t xml:space="preserve">and transport are expected to be the sectors most affected by the green transition after</w:t>
      </w:r>
      <w:r>
        <w:t xml:space="preserve"> </w:t>
      </w:r>
      <w:r>
        <w:t xml:space="preserve">2030 (50).</w:t>
      </w:r>
    </w:p>
    <w:p>
      <w:pPr>
        <w:pStyle w:val="BodyText"/>
      </w:pPr>
      <w:r>
        <w:t xml:space="preserve">50 In the energy supply sector, the public consultation respondents expect a strong decrease in fossil fuel</w:t>
      </w:r>
      <w:r>
        <w:t xml:space="preserve"> </w:t>
      </w:r>
      <w:r>
        <w:t xml:space="preserve">consumption coupled with a transition to renewable energy sources. In the agriculture sector, respondents</w:t>
      </w:r>
      <w:r>
        <w:t xml:space="preserve"> </w:t>
      </w:r>
      <w:r>
        <w:t xml:space="preserve">expect significant changes in production methods, land management practices and consumer behaviour.</w:t>
      </w:r>
      <w:r>
        <w:t xml:space="preserve"> </w:t>
      </w:r>
      <w:r>
        <w:t xml:space="preserve">Finally, in the transport sector, they expect a transition to electric vehicles and alternative fuels, along with</w:t>
      </w:r>
      <w:r>
        <w:t xml:space="preserve"> </w:t>
      </w:r>
      <w:r>
        <w:t xml:space="preserve">a modal shift to the lowest carbon-intensive modes.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6.1.2 Carbon capture and carbon removals</w:t>
      </w:r>
      <w:r>
        <w:t xml:space="preserve"> </w:t>
      </w:r>
      <w:r>
        <w:t xml:space="preserve">The role of carbon capture and carbon removals is an important differentiating factor</w:t>
      </w:r>
      <w:r>
        <w:t xml:space="preserve"> </w:t>
      </w:r>
      <w:r>
        <w:t xml:space="preserve">for the 2040 climate ambition, which is in general also acknowledged by stakeholders in</w:t>
      </w:r>
      <w:r>
        <w:t xml:space="preserve"> </w:t>
      </w:r>
      <w:r>
        <w:t xml:space="preserve">the public consultation. While civil society organisations, research institutions and</w:t>
      </w:r>
      <w:r>
        <w:t xml:space="preserve"> </w:t>
      </w:r>
      <w:r>
        <w:t xml:space="preserve">citizens largely agree on the need for separate targets for GHG emissions, nature-based</w:t>
      </w:r>
      <w:r>
        <w:t xml:space="preserve"> </w:t>
      </w:r>
      <w:r>
        <w:t xml:space="preserve">removals and industrial removals, businesses and public authorities’ views are more</w:t>
      </w:r>
      <w:r>
        <w:t xml:space="preserve"> </w:t>
      </w:r>
      <w:r>
        <w:t xml:space="preserve">evenly divided between three separate targets and one single target. The nature of this</w:t>
      </w:r>
      <w:r>
        <w:t xml:space="preserve"> </w:t>
      </w:r>
      <w:r>
        <w:t xml:space="preserve">divergence lies in different opinions on the potential and challenges to scale up industrial</w:t>
      </w:r>
      <w:r>
        <w:t xml:space="preserve"> </w:t>
      </w:r>
      <w:r>
        <w:t xml:space="preserve">removals and to which extent removals should be used to compensate for residual GHG</w:t>
      </w:r>
      <w:r>
        <w:t xml:space="preserve"> </w:t>
      </w:r>
      <w:r>
        <w:t xml:space="preserve">emission reduction.</w:t>
      </w:r>
      <w:r>
        <w:br/>
      </w:r>
      <w:r>
        <w:t xml:space="preserve">The modelling results in Table 6 show that while annual capture remains lower than 100</w:t>
      </w:r>
      <w:r>
        <w:t xml:space="preserve"> </w:t>
      </w:r>
      <w:r>
        <w:t xml:space="preserve">MtCO2 in S1, it reaches around 220 MtCO2/year in S2, and around 350 MtCO2/year in</w:t>
      </w:r>
      <w:r>
        <w:t xml:space="preserve"> </w:t>
      </w:r>
      <w:r>
        <w:t xml:space="preserve">S3, where most emissions from the power system and industrial processes are captured</w:t>
      </w:r>
      <w:r>
        <w:t xml:space="preserve"> </w:t>
      </w:r>
      <w:r>
        <w:t xml:space="preserve">and industrial carbon removals technologies are well deployed. The crucial role of carbon</w:t>
      </w:r>
      <w:r>
        <w:t xml:space="preserve"> </w:t>
      </w:r>
      <w:r>
        <w:t xml:space="preserve">capture to reach high levels of decarbonisation of the industrial system by 2040 is a</w:t>
      </w:r>
      <w:r>
        <w:t xml:space="preserve"> </w:t>
      </w:r>
      <w:r>
        <w:t xml:space="preserve">common finding across the various models used for the detailed analysis (see Annex 8)</w:t>
      </w:r>
      <w:r>
        <w:t xml:space="preserve"> </w:t>
      </w:r>
      <w:r>
        <w:t xml:space="preserve">and in line with the public consultation, where all stakeholder groups would prioritise</w:t>
      </w:r>
      <w:r>
        <w:t xml:space="preserve"> </w:t>
      </w:r>
      <w:r>
        <w:t xml:space="preserve">capturing CO2 from non-energy industrial processes over other applications. The</w:t>
      </w:r>
      <w:r>
        <w:t xml:space="preserve"> </w:t>
      </w:r>
      <w:r>
        <w:t xml:space="preserve">captured carbon is used to produce e-fuels (the consumption of which varies across</w:t>
      </w:r>
      <w:r>
        <w:t xml:space="preserve"> </w:t>
      </w:r>
      <w:r>
        <w:t xml:space="preserve">scenarios – see section 6.1.3) or stored, with injection rates for storage in 2040 close to</w:t>
      </w:r>
      <w:r>
        <w:t xml:space="preserve"> </w:t>
      </w:r>
      <w:r>
        <w:t xml:space="preserve">150 MtCO2/year in S2 and 240 MtCO2/year in S3. CO2 implemented in materials is</w:t>
      </w:r>
      <w:r>
        <w:t xml:space="preserve"> </w:t>
      </w:r>
      <w:r>
        <w:t xml:space="preserve">projected to develop mostly in the 2041-2050 decade.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Table 6: Industrial carbon capture and use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Carbon Captured – MtCO2/year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S3*</w:t>
      </w:r>
      <w:r>
        <w:t xml:space="preserve"> </w:t>
      </w:r>
      <w:r>
        <w:t xml:space="preserve">By Source</w:t>
      </w:r>
      <w:r>
        <w:t xml:space="preserve"> </w:t>
      </w:r>
      <w:r>
        <w:t xml:space="preserve">86</w:t>
      </w:r>
      <w:r>
        <w:t xml:space="preserve"> </w:t>
      </w:r>
      <w:r>
        <w:t xml:space="preserve">222</w:t>
      </w:r>
      <w:r>
        <w:t xml:space="preserve"> </w:t>
      </w:r>
      <w:r>
        <w:t xml:space="preserve">344</w:t>
      </w:r>
      <w:r>
        <w:t xml:space="preserve"> </w:t>
      </w:r>
      <w:r>
        <w:t xml:space="preserve">452</w:t>
      </w:r>
      <w:r>
        <w:t xml:space="preserve"> </w:t>
      </w:r>
      <w:r>
        <w:t xml:space="preserve">Industrial Processes</w:t>
      </w:r>
      <w:r>
        <w:t xml:space="preserve"> </w:t>
      </w:r>
      <w:r>
        <w:t xml:space="preserve">37</w:t>
      </w:r>
      <w:r>
        <w:t xml:space="preserve"> </w:t>
      </w:r>
      <w:r>
        <w:t xml:space="preserve">123</w:t>
      </w:r>
      <w:r>
        <w:t xml:space="preserve"> </w:t>
      </w:r>
      <w:r>
        <w:t xml:space="preserve">137</w:t>
      </w:r>
      <w:r>
        <w:t xml:space="preserve"> </w:t>
      </w:r>
      <w:r>
        <w:t xml:space="preserve">136</w:t>
      </w:r>
      <w:r>
        <w:t xml:space="preserve"> </w:t>
      </w:r>
      <w:r>
        <w:t xml:space="preserve">Power (fossil fuels)</w:t>
      </w:r>
      <w:r>
        <w:t xml:space="preserve"> </w:t>
      </w:r>
      <w:r>
        <w:t xml:space="preserve">26</w:t>
      </w:r>
      <w:r>
        <w:t xml:space="preserve"> </w:t>
      </w:r>
      <w:r>
        <w:t xml:space="preserve">41</w:t>
      </w:r>
      <w:r>
        <w:t xml:space="preserve"> </w:t>
      </w:r>
      <w:r>
        <w:t xml:space="preserve">32</w:t>
      </w:r>
      <w:r>
        <w:t xml:space="preserve"> </w:t>
      </w:r>
      <w:r>
        <w:t xml:space="preserve">55</w:t>
      </w:r>
      <w:r>
        <w:t xml:space="preserve"> </w:t>
      </w:r>
      <w:r>
        <w:t xml:space="preserve">Power (biomass) and DACC**</w:t>
      </w:r>
      <w:r>
        <w:t xml:space="preserve"> </w:t>
      </w:r>
      <w:r>
        <w:t xml:space="preserve">16</w:t>
      </w:r>
      <w:r>
        <w:t xml:space="preserve"> </w:t>
      </w:r>
      <w:r>
        <w:t xml:space="preserve">54</w:t>
      </w:r>
      <w:r>
        <w:t xml:space="preserve"> </w:t>
      </w:r>
      <w:r>
        <w:t xml:space="preserve">153</w:t>
      </w:r>
      <w:r>
        <w:t xml:space="preserve"> </w:t>
      </w:r>
      <w:r>
        <w:t xml:space="preserve">232</w:t>
      </w:r>
      <w:r>
        <w:t xml:space="preserve"> </w:t>
      </w:r>
      <w:r>
        <w:t xml:space="preserve">Biogenic (upgrade of biogas into biomethane)</w:t>
      </w:r>
      <w:r>
        <w:t xml:space="preserve"> </w:t>
      </w:r>
      <w:r>
        <w:t xml:space="preserve">7</w:t>
      </w:r>
      <w:r>
        <w:t xml:space="preserve"> </w:t>
      </w:r>
      <w:r>
        <w:t xml:space="preserve">4</w:t>
      </w:r>
      <w:r>
        <w:t xml:space="preserve"> </w:t>
      </w:r>
      <w:r>
        <w:t xml:space="preserve">22</w:t>
      </w:r>
      <w:r>
        <w:t xml:space="preserve"> </w:t>
      </w:r>
      <w:r>
        <w:t xml:space="preserve">30</w:t>
      </w:r>
      <w:r>
        <w:t xml:space="preserve"> </w:t>
      </w:r>
      <w:r>
        <w:t xml:space="preserve">By Application (use and storage)</w:t>
      </w:r>
      <w:r>
        <w:t xml:space="preserve"> </w:t>
      </w:r>
      <w:r>
        <w:t xml:space="preserve">86</w:t>
      </w:r>
      <w:r>
        <w:t xml:space="preserve"> </w:t>
      </w:r>
      <w:r>
        <w:t xml:space="preserve">222</w:t>
      </w:r>
      <w:r>
        <w:t xml:space="preserve"> </w:t>
      </w:r>
      <w:r>
        <w:t xml:space="preserve">344</w:t>
      </w:r>
      <w:r>
        <w:t xml:space="preserve"> </w:t>
      </w:r>
      <w:r>
        <w:t xml:space="preserve">452</w:t>
      </w:r>
      <w:r>
        <w:t xml:space="preserve"> </w:t>
      </w:r>
      <w:r>
        <w:t xml:space="preserve">E-fuels</w:t>
      </w:r>
      <w:r>
        <w:br/>
      </w:r>
      <w:r>
        <w:t xml:space="preserve">43</w:t>
      </w:r>
      <w:r>
        <w:t xml:space="preserve"> </w:t>
      </w:r>
      <w:r>
        <w:t xml:space="preserve">75</w:t>
      </w:r>
      <w:r>
        <w:t xml:space="preserve"> </w:t>
      </w:r>
      <w:r>
        <w:t xml:space="preserve">101</w:t>
      </w:r>
      <w:r>
        <w:t xml:space="preserve"> </w:t>
      </w:r>
      <w:r>
        <w:t xml:space="preserve">147</w:t>
      </w:r>
      <w:r>
        <w:t xml:space="preserve"> </w:t>
      </w:r>
      <w:r>
        <w:t xml:space="preserve">Synthetic materials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59</w:t>
      </w:r>
      <w:r>
        <w:t xml:space="preserve"> </w:t>
      </w:r>
      <w:r>
        <w:t xml:space="preserve">Underground storage</w:t>
      </w:r>
      <w:r>
        <w:t xml:space="preserve"> </w:t>
      </w:r>
      <w:r>
        <w:t xml:space="preserve">42</w:t>
      </w:r>
      <w:r>
        <w:t xml:space="preserve"> </w:t>
      </w:r>
      <w:r>
        <w:t xml:space="preserve">147</w:t>
      </w:r>
      <w:r>
        <w:t xml:space="preserve"> </w:t>
      </w:r>
      <w:r>
        <w:t xml:space="preserve">243</w:t>
      </w:r>
      <w:r>
        <w:t xml:space="preserve"> </w:t>
      </w:r>
      <w:r>
        <w:t xml:space="preserve">247</w:t>
      </w:r>
      <w:r>
        <w:t xml:space="preserve"> </w:t>
      </w:r>
      <w:r>
        <w:t xml:space="preserve">Note: *S1 and S2 values for 2050 are similar to S3 and represented in more details in Annex 8. **Includes</w:t>
      </w:r>
      <w:r>
        <w:t xml:space="preserve"> </w:t>
      </w:r>
      <w:r>
        <w:t xml:space="preserve">carbon for storage (DACCS) and use.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As described in the results of the public consultation (51), alongside deep reductions of</w:t>
      </w:r>
      <w:r>
        <w:t xml:space="preserve"> </w:t>
      </w:r>
      <w:r>
        <w:t xml:space="preserve">gross GHG emissions, carbon removals are expected to play an important role in the</w:t>
      </w:r>
      <w:r>
        <w:t xml:space="preserve"> </w:t>
      </w:r>
      <w:r>
        <w:t xml:space="preserve">coming decades to get to climate neutrality by 2050 and negative emissions thereafter</w:t>
      </w:r>
      <w:r>
        <w:t xml:space="preserve"> </w:t>
      </w:r>
      <w:r>
        <w:t xml:space="preserve">(Table 7).</w:t>
      </w:r>
      <w:r>
        <w:br/>
      </w:r>
      <w:r>
        <w:t xml:space="preserve">Table 7: Industrial removals and net LULUCF removals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S3**</w:t>
      </w:r>
      <w:r>
        <w:t xml:space="preserve"> </w:t>
      </w:r>
      <w:r>
        <w:t xml:space="preserve">Gross GHG</w:t>
      </w:r>
      <w:r>
        <w:t xml:space="preserve"> </w:t>
      </w:r>
      <w:r>
        <w:t xml:space="preserve">emissions (MtCO2-</w:t>
      </w:r>
      <w:r>
        <w:t xml:space="preserve"> </w:t>
      </w:r>
      <w:r>
        <w:t xml:space="preserve">eq)</w:t>
      </w:r>
      <w:r>
        <w:t xml:space="preserve"> </w:t>
      </w:r>
      <w:r>
        <w:t xml:space="preserve">1273</w:t>
      </w:r>
      <w:r>
        <w:t xml:space="preserve"> </w:t>
      </w:r>
      <w:r>
        <w:t xml:space="preserve">943</w:t>
      </w:r>
      <w:r>
        <w:t xml:space="preserve"> </w:t>
      </w:r>
      <w:r>
        <w:t xml:space="preserve">748</w:t>
      </w:r>
      <w:r>
        <w:t xml:space="preserve"> </w:t>
      </w:r>
      <w:r>
        <w:t xml:space="preserve">411</w:t>
      </w:r>
      <w:r>
        <w:t xml:space="preserve"> </w:t>
      </w:r>
      <w:r>
        <w:t xml:space="preserve">Total Removals</w:t>
      </w:r>
      <w:r>
        <w:t xml:space="preserve"> </w:t>
      </w:r>
      <w:r>
        <w:t xml:space="preserve">(MtCO2-eq)</w:t>
      </w:r>
      <w:r>
        <w:t xml:space="preserve"> </w:t>
      </w:r>
      <w:r>
        <w:t xml:space="preserve">-222</w:t>
      </w:r>
      <w:r>
        <w:t xml:space="preserve"> </w:t>
      </w:r>
      <w:r>
        <w:t xml:space="preserve">-365</w:t>
      </w:r>
      <w:r>
        <w:t xml:space="preserve"> </w:t>
      </w:r>
      <w:r>
        <w:t xml:space="preserve">-391</w:t>
      </w:r>
      <w:r>
        <w:t xml:space="preserve"> </w:t>
      </w:r>
      <w:r>
        <w:t xml:space="preserve">-447</w:t>
      </w:r>
      <w:r>
        <w:t xml:space="preserve"> </w:t>
      </w:r>
      <w:r>
        <w:t xml:space="preserve">Industrial Removals</w:t>
      </w:r>
      <w:r>
        <w:t xml:space="preserve"> </w:t>
      </w:r>
      <w:r>
        <w:t xml:space="preserve">(MtCO2)</w:t>
      </w:r>
      <w:r>
        <w:t xml:space="preserve"> </w:t>
      </w:r>
      <w:r>
        <w:t xml:space="preserve">-4</w:t>
      </w:r>
      <w:r>
        <w:t xml:space="preserve"> </w:t>
      </w:r>
      <w:r>
        <w:t xml:space="preserve">-49</w:t>
      </w:r>
      <w:r>
        <w:t xml:space="preserve"> </w:t>
      </w:r>
      <w:r>
        <w:t xml:space="preserve">-75</w:t>
      </w:r>
      <w:r>
        <w:t xml:space="preserve"> </w:t>
      </w:r>
      <w:r>
        <w:t xml:space="preserve">-114</w:t>
      </w:r>
      <w:r>
        <w:t xml:space="preserve"> </w:t>
      </w:r>
      <w:r>
        <w:t xml:space="preserve">LULUCF net removals</w:t>
      </w:r>
      <w:r>
        <w:br/>
      </w:r>
      <w:r>
        <w:t xml:space="preserve">(MtCO2-eq)</w:t>
      </w:r>
      <w:r>
        <w:t xml:space="preserve"> </w:t>
      </w:r>
      <w:r>
        <w:t xml:space="preserve">-218</w:t>
      </w:r>
      <w:r>
        <w:t xml:space="preserve"> </w:t>
      </w:r>
      <w:r>
        <w:t xml:space="preserve">-316</w:t>
      </w:r>
      <w:r>
        <w:br/>
      </w:r>
      <w:r>
        <w:t xml:space="preserve">-317</w:t>
      </w:r>
      <w:r>
        <w:br/>
      </w:r>
      <w:r>
        <w:t xml:space="preserve">-333</w:t>
      </w:r>
      <w:r>
        <w:t xml:space="preserve"> </w:t>
      </w:r>
      <w:r>
        <w:t xml:space="preserve">Note: **S1 and S2 values for 2050 are similar to S3 and represented in more details in Annex 8.</w:t>
      </w:r>
      <w:r>
        <w:t xml:space="preserve"> </w:t>
      </w:r>
      <w:r>
        <w:t xml:space="preserve">Source: PRIMES, GAINS, GLOBIOM.</w:t>
      </w:r>
      <w:r>
        <w:t xml:space="preserve"> </w:t>
      </w:r>
      <w:r>
        <w:t xml:space="preserve">Gross GHG emissions (52) are projected to reduce by between 75% (S1) and 85% (S3) in</w:t>
      </w:r>
      <w:r>
        <w:t xml:space="preserve"> </w:t>
      </w:r>
      <w:r>
        <w:t xml:space="preserve">2040 and around 92% in 2050 compared to 1990, providing the biggest contribution to</w:t>
      </w:r>
    </w:p>
    <w:p>
      <w:pPr>
        <w:pStyle w:val="Compact"/>
        <w:numPr>
          <w:ilvl w:val="0"/>
          <w:numId w:val="1022"/>
        </w:numPr>
      </w:pPr>
      <w:r>
        <w:t xml:space="preserve">61% of the position papers analysed, commented on carbon removals, with many of them indicating</w:t>
      </w:r>
      <w:r>
        <w:t xml:space="preserve"> </w:t>
      </w:r>
      <w:r>
        <w:t xml:space="preserve">removals would be instrumental to reach climate neutrality, if complementary to GHG emission reduction</w:t>
      </w:r>
      <w:r>
        <w:t xml:space="preserve"> </w:t>
      </w:r>
      <w:r>
        <w:t xml:space="preserve">at source.</w:t>
      </w:r>
    </w:p>
    <w:p>
      <w:pPr>
        <w:pStyle w:val="Compact"/>
        <w:numPr>
          <w:ilvl w:val="0"/>
          <w:numId w:val="1022"/>
        </w:numPr>
      </w:pPr>
      <w:r>
        <w:t xml:space="preserve">Gross GHG emissions are defined as the actual GHG emissions excluding the contribution of industrial</w:t>
      </w:r>
      <w:r>
        <w:t xml:space="preserve"> </w:t>
      </w:r>
      <w:r>
        <w:t xml:space="preserve">removals and LULUCF net removals, that are included of the calculation of “net GHG” emissions as</w:t>
      </w:r>
      <w:r>
        <w:t xml:space="preserve"> </w:t>
      </w:r>
      <w:r>
        <w:t xml:space="preserve">measured for the EU’s climate objectives in 2030 and by 2050.</w:t>
      </w:r>
    </w:p>
    <w:p>
      <w:pPr>
        <w:pStyle w:val="FirstParagraph"/>
      </w:pPr>
      <w:r>
        <w:t xml:space="preserve">39</w:t>
      </w:r>
    </w:p>
    <w:p>
      <w:pPr>
        <w:pStyle w:val="BodyText"/>
      </w:pPr>
      <w:r>
        <w:t xml:space="preserve">climate neutrality, but still leaving residual GHG emissions. This result, in line with the</w:t>
      </w:r>
      <w:r>
        <w:t xml:space="preserve"> </w:t>
      </w:r>
      <w:r>
        <w:t xml:space="preserve">lowest gross GHG emissions by 2050 of 390 MtCO2-eq presented by the ESABCC (53),</w:t>
      </w:r>
      <w:r>
        <w:t xml:space="preserve"> </w:t>
      </w:r>
      <w:r>
        <w:t xml:space="preserve">shows that removals are required to compensate emissions that cannot be abated due to</w:t>
      </w:r>
      <w:r>
        <w:t xml:space="preserve"> </w:t>
      </w:r>
      <w:r>
        <w:t xml:space="preserve">extremely high abatement costs or technical unfeasibility. Carbon removals can either be</w:t>
      </w:r>
      <w:r>
        <w:t xml:space="preserve"> </w:t>
      </w:r>
      <w:r>
        <w:t xml:space="preserve">achieved through the LULUCF sector as nature-based removals or technically as</w:t>
      </w:r>
      <w:r>
        <w:t xml:space="preserve"> </w:t>
      </w:r>
      <w:r>
        <w:t xml:space="preserve">industrial carbon removals derived from carbon capture.</w:t>
      </w:r>
      <w:r>
        <w:br/>
      </w:r>
      <w:r>
        <w:t xml:space="preserve">LULUCF net removals are projected to contribute significantly over 2030-2050 in</w:t>
      </w:r>
      <w:r>
        <w:t xml:space="preserve"> </w:t>
      </w:r>
      <w:r>
        <w:t xml:space="preserve">scenarios S2 and S3 with net removals of around -320 MtCO2-eq (see Table 7).</w:t>
      </w:r>
      <w:r>
        <w:br/>
      </w:r>
      <w:r>
        <w:t xml:space="preserve">The role of industrial removals remains much more limited in the short run, given the</w:t>
      </w:r>
      <w:r>
        <w:t xml:space="preserve"> </w:t>
      </w:r>
      <w:r>
        <w:t xml:space="preserve">need to fully develop some aspects of the technology to ensure large-scale deployment</w:t>
      </w:r>
      <w:r>
        <w:t xml:space="preserve"> </w:t>
      </w:r>
      <w:r>
        <w:t xml:space="preserve">(54). They become significant by 2040 to meet higher climate targets, with about -50</w:t>
      </w:r>
      <w:r>
        <w:t xml:space="preserve"> </w:t>
      </w:r>
      <w:r>
        <w:t xml:space="preserve">MtCO2 in S2 and -75 MtCO2 for S3, representing close to 25% of the total carbon</w:t>
      </w:r>
      <w:r>
        <w:t xml:space="preserve"> </w:t>
      </w:r>
      <w:r>
        <w:t xml:space="preserve">capture. To reach climate neutrality by 2050, the analysis projects industrial removals of</w:t>
      </w:r>
      <w:r>
        <w:t xml:space="preserve"> </w:t>
      </w:r>
      <w:r>
        <w:t xml:space="preserve">more than -100 MtCO2, complementing land-based removals in the LULUCF sector. All</w:t>
      </w:r>
      <w:r>
        <w:t xml:space="preserve"> </w:t>
      </w:r>
      <w:r>
        <w:t xml:space="preserve">pathways modelled therefore need a strong LULUCF net removal complemented by</w:t>
      </w:r>
      <w:r>
        <w:t xml:space="preserve"> </w:t>
      </w:r>
      <w:r>
        <w:t xml:space="preserve">industrial removals to put the EU on the path towards climate neutrality.</w:t>
      </w:r>
      <w:r>
        <w:t xml:space="preserve"> </w:t>
      </w:r>
      <w:r>
        <w:t xml:space="preserve">Table 8 provides an overview of the GHG emissions from agriculture, forestry and other</w:t>
      </w:r>
      <w:r>
        <w:t xml:space="preserve"> </w:t>
      </w:r>
      <w:r>
        <w:t xml:space="preserve">land use (“AFOLU”, combining net emissions from agriculture and LULUCF) across the</w:t>
      </w:r>
      <w:r>
        <w:t xml:space="preserve"> </w:t>
      </w:r>
      <w:r>
        <w:t xml:space="preserve">different scenarios. Emissions in the sectors reach net zero ahead of 2040 in S2 and S3,</w:t>
      </w:r>
      <w:r>
        <w:t xml:space="preserve"> </w:t>
      </w:r>
      <w:r>
        <w:t xml:space="preserve">later in case fossil fuel related CO2 emissions in agriculture are included in S1.</w:t>
      </w:r>
      <w:r>
        <w:br/>
      </w:r>
      <w:r>
        <w:t xml:space="preserve">Table 8: Emissions from the agriculture sector and LULUCF net removals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Agriculture (category 3) +</w:t>
      </w:r>
      <w:r>
        <w:br/>
      </w:r>
      <w:r>
        <w:t xml:space="preserve">133</w:t>
      </w:r>
      <w:r>
        <w:t xml:space="preserve"> </w:t>
      </w:r>
      <w:r>
        <w:t xml:space="preserve">-14</w:t>
      </w:r>
      <w:r>
        <w:t xml:space="preserve"> </w:t>
      </w:r>
      <w:r>
        <w:t xml:space="preserve">-46</w:t>
      </w:r>
      <w:r>
        <w:t xml:space="preserve"> </w:t>
      </w:r>
      <w:r>
        <w:t xml:space="preserve">-150</w:t>
      </w:r>
      <w:r>
        <w:t xml:space="preserve"> </w:t>
      </w:r>
      <w:r>
        <w:t xml:space="preserve">-92</w:t>
      </w:r>
      <w:r>
        <w:t xml:space="preserve"> </w:t>
      </w:r>
      <w:r>
        <w:t xml:space="preserve">-83</w:t>
      </w:r>
      <w:r>
        <w:t xml:space="preserve"> </w:t>
      </w:r>
      <w:r>
        <w:t xml:space="preserve">-84</w:t>
      </w:r>
      <w:r>
        <w:t xml:space="preserve"> </w:t>
      </w:r>
      <w:r>
        <w:t xml:space="preserve">-195</w:t>
      </w:r>
      <w:r>
        <w:t xml:space="preserve"> </w:t>
      </w:r>
      <w:r>
        <w:t xml:space="preserve">LULUCF net removals</w:t>
      </w:r>
      <w:r>
        <w:t xml:space="preserve"> </w:t>
      </w:r>
      <w:r>
        <w:t xml:space="preserve">Agriculture (categories 3 &amp;</w:t>
      </w:r>
      <w:r>
        <w:t xml:space="preserve"> </w:t>
      </w:r>
      <w:r>
        <w:t xml:space="preserve">1) + LULUCF net removals</w:t>
      </w:r>
      <w:r>
        <w:t xml:space="preserve"> </w:t>
      </w:r>
      <w:r>
        <w:t xml:space="preserve">165</w:t>
      </w:r>
      <w:r>
        <w:t xml:space="preserve"> </w:t>
      </w:r>
      <w:r>
        <w:t xml:space="preserve">15</w:t>
      </w:r>
      <w:r>
        <w:t xml:space="preserve"> </w:t>
      </w:r>
      <w:r>
        <w:t xml:space="preserve">-19</w:t>
      </w:r>
      <w:r>
        <w:t xml:space="preserve"> </w:t>
      </w:r>
      <w:r>
        <w:t xml:space="preserve">-122</w:t>
      </w:r>
      <w:r>
        <w:t xml:space="preserve"> </w:t>
      </w:r>
      <w:r>
        <w:t xml:space="preserve">-73</w:t>
      </w:r>
      <w:r>
        <w:t xml:space="preserve"> </w:t>
      </w:r>
      <w:r>
        <w:t xml:space="preserve">-64</w:t>
      </w:r>
      <w:r>
        <w:t xml:space="preserve"> </w:t>
      </w:r>
      <w:r>
        <w:t xml:space="preserve">-66</w:t>
      </w:r>
      <w:r>
        <w:t xml:space="preserve"> </w:t>
      </w:r>
      <w:r>
        <w:t xml:space="preserve">-175</w:t>
      </w:r>
      <w:r>
        <w:t xml:space="preserve"> </w:t>
      </w:r>
      <w:r>
        <w:t xml:space="preserve">Note: Category 3 refers to the UNFCCC agricultural sector; category 1 to energy use in agriculture.</w:t>
      </w:r>
      <w:r>
        <w:t xml:space="preserve"> </w:t>
      </w:r>
      <w:r>
        <w:t xml:space="preserve">Source: GAINS, GLOBIOM, PRIMES.</w:t>
      </w:r>
      <w:r>
        <w:t xml:space="preserve"> </w:t>
      </w:r>
      <w:r>
        <w:t xml:space="preserve">6.1.3 GHG emissions in the LIFE sensitivity case</w:t>
      </w:r>
      <w:r>
        <w:t xml:space="preserve"> </w:t>
      </w:r>
      <w:r>
        <w:t xml:space="preserve">Table 9 summarises the impact of the LIFE sensitivity analysis on GHG emissions. The</w:t>
      </w:r>
      <w:r>
        <w:t xml:space="preserve"> </w:t>
      </w:r>
      <w:r>
        <w:t xml:space="preserve">case achieves the same reductions in net GHG emissions as S3, but through a different</w:t>
      </w:r>
      <w:r>
        <w:t xml:space="preserve"> </w:t>
      </w:r>
      <w:r>
        <w:t xml:space="preserve">distribution of emissions across sectors.</w:t>
      </w:r>
      <w:r>
        <w:br/>
      </w:r>
      <w:r>
        <w:t xml:space="preserve">The difference of emissions in LIFE compared to S3 results from a more sustainable food</w:t>
      </w:r>
      <w:r>
        <w:t xml:space="preserve"> </w:t>
      </w:r>
      <w:r>
        <w:t xml:space="preserve">system and associated land use, which reduces the net emissions from the land sector by</w:t>
      </w:r>
      <w:r>
        <w:t xml:space="preserve"> </w:t>
      </w:r>
      <w:r>
        <w:t xml:space="preserve">about 100 MtCO2-eq, combining a cut in emissions from agriculture of about 60</w:t>
      </w:r>
    </w:p>
    <w:p>
      <w:pPr>
        <w:pStyle w:val="Compact"/>
        <w:numPr>
          <w:ilvl w:val="0"/>
          <w:numId w:val="1023"/>
        </w:numPr>
      </w:pPr>
      <w:r>
        <w:t xml:space="preserve">ESABCC, Figure 37.</w:t>
      </w:r>
    </w:p>
    <w:p>
      <w:pPr>
        <w:pStyle w:val="Compact"/>
        <w:numPr>
          <w:ilvl w:val="0"/>
          <w:numId w:val="1023"/>
        </w:numPr>
      </w:pPr>
      <w:r>
        <w:t xml:space="preserve">Key barriers for the roll-out of carbon capture are investment and operating costs, regulatory</w:t>
      </w:r>
      <w:r>
        <w:t xml:space="preserve"> </w:t>
      </w:r>
      <w:r>
        <w:t xml:space="preserve">implementation, complexity of full chain infrastructure projects, as well as public acceptance.</w:t>
      </w:r>
    </w:p>
    <w:p>
      <w:pPr>
        <w:pStyle w:val="FirstParagraph"/>
      </w:pPr>
      <w:r>
        <w:t xml:space="preserve">40</w:t>
      </w:r>
    </w:p>
    <w:p>
      <w:pPr>
        <w:pStyle w:val="BodyText"/>
      </w:pPr>
      <w:r>
        <w:t xml:space="preserve">MtCO2-eq and significant additional removals from the LULUCF sector of around 40</w:t>
      </w:r>
      <w:r>
        <w:t xml:space="preserve"> </w:t>
      </w:r>
      <w:r>
        <w:t xml:space="preserve">MtCO2-eq in 2040. This lowers the need for carbon capture and industrial carbon</w:t>
      </w:r>
      <w:r>
        <w:t xml:space="preserve"> </w:t>
      </w:r>
      <w:r>
        <w:t xml:space="preserve">removals. In parallel, an increased Circular Economy and more sustainable mobility</w:t>
      </w:r>
      <w:r>
        <w:t xml:space="preserve"> </w:t>
      </w:r>
      <w:r>
        <w:t xml:space="preserve">contribute to limiting the emissions in the energy and industry sector, which are</w:t>
      </w:r>
      <w:r>
        <w:t xml:space="preserve"> </w:t>
      </w:r>
      <w:r>
        <w:t xml:space="preserve">intermediate between S2 and S3.</w:t>
      </w:r>
      <w:r>
        <w:br/>
      </w:r>
      <w:r>
        <w:t xml:space="preserve">Table 9: Comparison of GHG in the LIFE case with the core scenarios</w:t>
      </w:r>
      <w:r>
        <w:t xml:space="preserve"> </w:t>
      </w:r>
      <w:r>
        <w:t xml:space="preserve">MtCO2-eq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Net GHG emissions</w:t>
      </w:r>
      <w:r>
        <w:t xml:space="preserve"> </w:t>
      </w:r>
      <w:r>
        <w:t xml:space="preserve">1051</w:t>
      </w:r>
      <w:r>
        <w:t xml:space="preserve"> </w:t>
      </w:r>
      <w:r>
        <w:t xml:space="preserve">578</w:t>
      </w:r>
      <w:r>
        <w:t xml:space="preserve"> </w:t>
      </w:r>
      <w:r>
        <w:t xml:space="preserve">356</w:t>
      </w:r>
      <w:r>
        <w:t xml:space="preserve"> </w:t>
      </w:r>
      <w:r>
        <w:t xml:space="preserve">353</w:t>
      </w:r>
      <w:r>
        <w:t xml:space="preserve"> </w:t>
      </w:r>
      <w:r>
        <w:t xml:space="preserve">of which from the land sector*</w:t>
      </w:r>
      <w:r>
        <w:br/>
      </w:r>
      <w:r>
        <w:t xml:space="preserve">133</w:t>
      </w:r>
      <w:r>
        <w:t xml:space="preserve"> </w:t>
      </w:r>
      <w:r>
        <w:t xml:space="preserve">-45</w:t>
      </w:r>
      <w:r>
        <w:t xml:space="preserve"> </w:t>
      </w:r>
      <w:r>
        <w:t xml:space="preserve">-46</w:t>
      </w:r>
      <w:r>
        <w:t xml:space="preserve"> </w:t>
      </w:r>
      <w:r>
        <w:t xml:space="preserve">-150</w:t>
      </w:r>
      <w:r>
        <w:t xml:space="preserve"> </w:t>
      </w:r>
      <w:r>
        <w:t xml:space="preserve">of which from agriculture</w:t>
      </w:r>
      <w:r>
        <w:t xml:space="preserve"> </w:t>
      </w:r>
      <w:r>
        <w:t xml:space="preserve">351</w:t>
      </w:r>
      <w:r>
        <w:t xml:space="preserve"> </w:t>
      </w:r>
      <w:r>
        <w:t xml:space="preserve">302</w:t>
      </w:r>
      <w:r>
        <w:t xml:space="preserve"> </w:t>
      </w:r>
      <w:r>
        <w:t xml:space="preserve">271</w:t>
      </w:r>
      <w:r>
        <w:t xml:space="preserve"> </w:t>
      </w:r>
      <w:r>
        <w:t xml:space="preserve">209</w:t>
      </w:r>
      <w:r>
        <w:t xml:space="preserve"> </w:t>
      </w:r>
      <w:r>
        <w:t xml:space="preserve">of which from energy and industry**</w:t>
      </w:r>
      <w:r>
        <w:t xml:space="preserve"> </w:t>
      </w:r>
      <w:r>
        <w:t xml:space="preserve">918</w:t>
      </w:r>
      <w:r>
        <w:t xml:space="preserve"> </w:t>
      </w:r>
      <w:r>
        <w:t xml:space="preserve">593</w:t>
      </w:r>
      <w:r>
        <w:t xml:space="preserve"> </w:t>
      </w:r>
      <w:r>
        <w:t xml:space="preserve">402</w:t>
      </w:r>
      <w:r>
        <w:t xml:space="preserve"> </w:t>
      </w:r>
      <w:r>
        <w:t xml:space="preserve">503</w:t>
      </w:r>
      <w:r>
        <w:t xml:space="preserve"> </w:t>
      </w:r>
      <w:r>
        <w:t xml:space="preserve">Carbon capture</w:t>
      </w:r>
      <w:r>
        <w:t xml:space="preserve"> </w:t>
      </w:r>
      <w:r>
        <w:t xml:space="preserve">86</w:t>
      </w:r>
      <w:r>
        <w:t xml:space="preserve"> </w:t>
      </w:r>
      <w:r>
        <w:t xml:space="preserve">222</w:t>
      </w:r>
      <w:r>
        <w:t xml:space="preserve"> </w:t>
      </w:r>
      <w:r>
        <w:t xml:space="preserve">344</w:t>
      </w:r>
      <w:r>
        <w:t xml:space="preserve"> </w:t>
      </w:r>
      <w:r>
        <w:t xml:space="preserve">278</w:t>
      </w:r>
      <w:r>
        <w:t xml:space="preserve"> </w:t>
      </w:r>
      <w:r>
        <w:t xml:space="preserve">Carbon removals</w:t>
      </w:r>
      <w:r>
        <w:t xml:space="preserve"> </w:t>
      </w:r>
      <w:r>
        <w:t xml:space="preserve">-222</w:t>
      </w:r>
      <w:r>
        <w:t xml:space="preserve"> </w:t>
      </w:r>
      <w:r>
        <w:t xml:space="preserve">-365</w:t>
      </w:r>
      <w:r>
        <w:t xml:space="preserve"> </w:t>
      </w:r>
      <w:r>
        <w:t xml:space="preserve">-391</w:t>
      </w:r>
      <w:r>
        <w:t xml:space="preserve"> </w:t>
      </w:r>
      <w:r>
        <w:t xml:space="preserve">-387</w:t>
      </w:r>
      <w:r>
        <w:t xml:space="preserve"> </w:t>
      </w:r>
      <w:r>
        <w:t xml:space="preserve">of which industrial removals</w:t>
      </w:r>
      <w:r>
        <w:t xml:space="preserve"> </w:t>
      </w:r>
      <w:r>
        <w:t xml:space="preserve">-4</w:t>
      </w:r>
      <w:r>
        <w:t xml:space="preserve"> </w:t>
      </w:r>
      <w:r>
        <w:t xml:space="preserve">-49</w:t>
      </w:r>
      <w:r>
        <w:t xml:space="preserve"> </w:t>
      </w:r>
      <w:r>
        <w:t xml:space="preserve">-75</w:t>
      </w:r>
      <w:r>
        <w:t xml:space="preserve"> </w:t>
      </w:r>
      <w:r>
        <w:t xml:space="preserve">-27</w:t>
      </w:r>
      <w:r>
        <w:t xml:space="preserve"> </w:t>
      </w:r>
      <w:r>
        <w:t xml:space="preserve">of which LULUCF net removals</w:t>
      </w:r>
      <w:r>
        <w:t xml:space="preserve"> </w:t>
      </w:r>
      <w:r>
        <w:t xml:space="preserve">-218</w:t>
      </w:r>
      <w:r>
        <w:t xml:space="preserve"> </w:t>
      </w:r>
      <w:r>
        <w:t xml:space="preserve">-316</w:t>
      </w:r>
      <w:r>
        <w:t xml:space="preserve"> </w:t>
      </w:r>
      <w:r>
        <w:t xml:space="preserve">-317</w:t>
      </w:r>
      <w:r>
        <w:t xml:space="preserve"> </w:t>
      </w:r>
      <w:r>
        <w:t xml:space="preserve">-360</w:t>
      </w:r>
      <w:r>
        <w:t xml:space="preserve"> </w:t>
      </w:r>
      <w:r>
        <w:t xml:space="preserve">Note: *Emissions from agriculture and net removals from the LULUCF sector. **Includes other non-land</w:t>
      </w:r>
      <w:r>
        <w:t xml:space="preserve"> </w:t>
      </w:r>
      <w:r>
        <w:t xml:space="preserve">sectors like waste management, as well as industrial carbon removals</w:t>
      </w:r>
      <w:r>
        <w:t xml:space="preserve"> </w:t>
      </w:r>
      <w:r>
        <w:t xml:space="preserve">Sources: PRIMES, GAINS, GLOBIOM</w:t>
      </w:r>
      <w:r>
        <w:t xml:space="preserve"> </w:t>
      </w:r>
      <w:r>
        <w:t xml:space="preserve">6.2</w:t>
      </w:r>
      <w:r>
        <w:t xml:space="preserve"> </w:t>
      </w:r>
      <w:r>
        <w:t xml:space="preserve">Evolution of the energy system and associated raw material needs</w:t>
      </w:r>
      <w:r>
        <w:t xml:space="preserve"> </w:t>
      </w:r>
      <w:r>
        <w:t xml:space="preserve">6.2.1 The energy system</w:t>
      </w:r>
      <w:r>
        <w:t xml:space="preserve"> </w:t>
      </w:r>
      <w:r>
        <w:t xml:space="preserve">Climate policy and energy security go hand in hand as the decline of fossil fuels has</w:t>
      </w:r>
      <w:r>
        <w:t xml:space="preserve"> </w:t>
      </w:r>
      <w:r>
        <w:t xml:space="preserve">profound consequences for the EU’s energy dependence. Import dependency (the share</w:t>
      </w:r>
      <w:r>
        <w:t xml:space="preserve"> </w:t>
      </w:r>
      <w:r>
        <w:t xml:space="preserve">of imports in GAE), decreases from 61% in 2019 to 34% in S1, 29% in S2 and 26% in</w:t>
      </w:r>
      <w:r>
        <w:t xml:space="preserve"> </w:t>
      </w:r>
      <w:r>
        <w:t xml:space="preserve">S3 in 2040. Due to the decline of domestic production and a continued need for oil</w:t>
      </w:r>
      <w:r>
        <w:t xml:space="preserve"> </w:t>
      </w:r>
      <w:r>
        <w:t xml:space="preserve">imports, a large decrease in import dependency requires deeper decarbonisation. In 2050,</w:t>
      </w:r>
      <w:r>
        <w:t xml:space="preserve"> </w:t>
      </w:r>
      <w:r>
        <w:t xml:space="preserve">the dependency is reduced to only 15%, more than half associated with non-energy uses</w:t>
      </w:r>
      <w:r>
        <w:t xml:space="preserve"> </w:t>
      </w:r>
      <w:r>
        <w:t xml:space="preserve">of fuels. High demand for renewables, storage and novel technologies may lead to new</w:t>
      </w:r>
      <w:r>
        <w:t xml:space="preserve"> </w:t>
      </w:r>
      <w:r>
        <w:t xml:space="preserve">dependencies for raw materials or technology imports from non-EU countries.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Table 10 summarises the main results for the evolution of the energy system from the</w:t>
      </w:r>
      <w:r>
        <w:t xml:space="preserve"> </w:t>
      </w:r>
      <w:r>
        <w:t xml:space="preserve">PRIMES model. These results are validated by the findings of four other energy system</w:t>
      </w:r>
      <w:r>
        <w:t xml:space="preserve"> </w:t>
      </w:r>
      <w:r>
        <w:t xml:space="preserve">models that have been used in the context of this impact assessment (i.e., POTEnCIA,</w:t>
      </w:r>
      <w:r>
        <w:t xml:space="preserve"> </w:t>
      </w:r>
      <w:r>
        <w:t xml:space="preserve">METIS, EU-TIMES and POLES – see Annex 6). More details on the evolution of the</w:t>
      </w:r>
      <w:r>
        <w:t xml:space="preserve"> </w:t>
      </w:r>
      <w:r>
        <w:t xml:space="preserve">energy system can be found in Annex 8.</w:t>
      </w:r>
      <w:r>
        <w:br/>
      </w:r>
      <w:r>
        <w:t xml:space="preserve">Deep changes in the energy mix underpin the decarbonisation of energy supply.</w:t>
      </w:r>
      <w:r>
        <w:t xml:space="preserve"> </w:t>
      </w:r>
      <w:r>
        <w:t xml:space="preserve">Continued energy efficiency improvements reduce the need for energy. Gross available</w:t>
      </w:r>
      <w:r>
        <w:t xml:space="preserve"> </w:t>
      </w:r>
      <w:r>
        <w:t xml:space="preserve">energy (GAE) decreases from approximately 1450 Mtoe (or 61 EJ) in 2021 to around</w:t>
      </w:r>
      <w:r>
        <w:t xml:space="preserve"> </w:t>
      </w:r>
      <w:r>
        <w:t xml:space="preserve">1020 Mtoe (43 EJ) in 2040 (around 30% reduction), with limited differences across</w:t>
      </w:r>
      <w:r>
        <w:t xml:space="preserve"> </w:t>
      </w:r>
      <w:r>
        <w:t xml:space="preserve">scenarios S1, S2 and S3. LIFE entails further reduction of GAE by 24 Mtoe (1 EJ). After</w:t>
      </w:r>
      <w:r>
        <w:t xml:space="preserve"> </w:t>
      </w:r>
      <w:r>
        <w:t xml:space="preserve">2040, GAE remains practically constant as energy savings are compensated by the</w:t>
      </w:r>
      <w:r>
        <w:t xml:space="preserve"> </w:t>
      </w:r>
      <w:r>
        <w:t xml:space="preserve">additional energy required for renewable hydrogen production by electrolysis, and direct</w:t>
      </w:r>
      <w:r>
        <w:t xml:space="preserve"> </w:t>
      </w:r>
      <w:r>
        <w:t xml:space="preserve">air capture.</w:t>
      </w:r>
      <w:r>
        <w:t xml:space="preserve"> </w:t>
      </w:r>
      <w:r>
        <w:t xml:space="preserve">Fossil fuels use decreases and renewable energy increases (in particular, wind and solar</w:t>
      </w:r>
      <w:r>
        <w:t xml:space="preserve"> </w:t>
      </w:r>
      <w:r>
        <w:t xml:space="preserve">power). By 2040, fossil fuel supply for energy use will decrease by more than 70%</w:t>
      </w:r>
      <w:r>
        <w:t xml:space="preserve"> </w:t>
      </w:r>
      <w:r>
        <w:t xml:space="preserve">compared to today. The measures foreseen in LIFE reduce fossil fuel use by an additional</w:t>
      </w:r>
      <w:r>
        <w:t xml:space="preserve"> </w:t>
      </w:r>
      <w:r>
        <w:t xml:space="preserve">10 Mtoe (0.4 EJ); by 2050 only small amounts of fossil fuel remain (approximately 150</w:t>
      </w:r>
      <w:r>
        <w:t xml:space="preserve"> </w:t>
      </w:r>
      <w:r>
        <w:t xml:space="preserve">Mtoe or 6.2 EJ), in large part used for non-energy purposes and long-distance transport.</w:t>
      </w:r>
      <w:r>
        <w:t xml:space="preserve"> </w:t>
      </w:r>
      <w:r>
        <w:t xml:space="preserve">More than half of all fossil fuels used in the EU in 2050 are used in the non-energy sector</w:t>
      </w:r>
      <w:r>
        <w:t xml:space="preserve"> </w:t>
      </w:r>
      <w:r>
        <w:t xml:space="preserve">as feedstock for chemical processes (plastic, fertilisers, etc.). The phase out of fossil</w:t>
      </w:r>
      <w:r>
        <w:t xml:space="preserve"> </w:t>
      </w:r>
      <w:r>
        <w:t xml:space="preserve">natural gas imports from Russia accelerates the transition trajectory. The consumption of</w:t>
      </w:r>
      <w:r>
        <w:t xml:space="preserve"> </w:t>
      </w:r>
      <w:r>
        <w:t xml:space="preserve">natural gas, biomethane and biogas reaches approximately 105 – 155 Mtoe by 2040 (4.5</w:t>
      </w:r>
      <w:r>
        <w:t xml:space="preserve"> </w:t>
      </w:r>
      <w:r>
        <w:t xml:space="preserve">– 6.5 EJ). In 2050, the consumption of those gaseous fuels in the EU is still between 70</w:t>
      </w:r>
      <w:r>
        <w:t xml:space="preserve"> </w:t>
      </w:r>
      <w:r>
        <w:t xml:space="preserve">and 80 Mtoe for all scenarios (3.0 – 3.5 EJ). Oil is the last fossil fuel to reduce, and</w:t>
      </w:r>
      <w:r>
        <w:t xml:space="preserve"> </w:t>
      </w:r>
      <w:r>
        <w:t xml:space="preserve">consumption in 2050 is estimated at approximately one fourth of that in 2020. Coal is</w:t>
      </w:r>
      <w:r>
        <w:t xml:space="preserve"> </w:t>
      </w:r>
      <w:r>
        <w:t xml:space="preserve">almost completely phased out by 2040.</w:t>
      </w:r>
      <w:r>
        <w:t xml:space="preserve"> </w:t>
      </w:r>
      <w:r>
        <w:t xml:space="preserve">Climate policy and energy security go hand in hand as the decline of fossil fuels has</w:t>
      </w:r>
      <w:r>
        <w:t xml:space="preserve"> </w:t>
      </w:r>
      <w:r>
        <w:t xml:space="preserve">profound consequences for the EU’s energy dependence. Import dependency (the share</w:t>
      </w:r>
      <w:r>
        <w:t xml:space="preserve"> </w:t>
      </w:r>
      <w:r>
        <w:t xml:space="preserve">of imports in GAE), decreases from 61% in 2019 to 34% in S1, 29% in S2 and 26% in</w:t>
      </w:r>
      <w:r>
        <w:t xml:space="preserve"> </w:t>
      </w:r>
      <w:r>
        <w:t xml:space="preserve">S3 in 2040. Due to the decline of domestic production and a continued need for oil</w:t>
      </w:r>
      <w:r>
        <w:t xml:space="preserve"> </w:t>
      </w:r>
      <w:r>
        <w:t xml:space="preserve">imports, a large decrease in import dependency requires deeper decarbonisation. In 2050,</w:t>
      </w:r>
      <w:r>
        <w:t xml:space="preserve"> </w:t>
      </w:r>
      <w:r>
        <w:t xml:space="preserve">the dependency is reduced to only 15%, more than half associated with non-energy uses</w:t>
      </w:r>
      <w:r>
        <w:t xml:space="preserve"> </w:t>
      </w:r>
      <w:r>
        <w:t xml:space="preserve">of fuels. High demand for renewables, storage and novel technologies may lead to new</w:t>
      </w:r>
      <w:r>
        <w:t xml:space="preserve"> </w:t>
      </w:r>
      <w:r>
        <w:t xml:space="preserve">dependencies for raw materials or technology imports from non-EU countries.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Table 10: Summary of key energy indicators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S3**</w:t>
      </w:r>
      <w:r>
        <w:t xml:space="preserve"> </w:t>
      </w:r>
      <w:r>
        <w:t xml:space="preserve">Policy relevant indicators</w:t>
      </w:r>
      <w:r>
        <w:t xml:space="preserve"> </w:t>
      </w:r>
      <w:r>
        <w:t xml:space="preserve">Energy-related CO2 reductions vs 2005</w:t>
      </w:r>
      <w:r>
        <w:t xml:space="preserve"> </w:t>
      </w:r>
      <w:r>
        <w:t xml:space="preserve">-58%</w:t>
      </w:r>
      <w:r>
        <w:t xml:space="preserve"> </w:t>
      </w:r>
      <w:r>
        <w:t xml:space="preserve">-83%</w:t>
      </w:r>
      <w:r>
        <w:t xml:space="preserve"> </w:t>
      </w:r>
      <w:r>
        <w:t xml:space="preserve">-90%</w:t>
      </w:r>
      <w:r>
        <w:t xml:space="preserve"> </w:t>
      </w:r>
      <w:r>
        <w:t xml:space="preserve">-94%</w:t>
      </w:r>
      <w:r>
        <w:t xml:space="preserve"> </w:t>
      </w:r>
      <w:r>
        <w:t xml:space="preserve">-103%</w:t>
      </w:r>
      <w:r>
        <w:t xml:space="preserve"> </w:t>
      </w:r>
      <w:r>
        <w:t xml:space="preserve">RES share in Gross FEC</w:t>
      </w:r>
      <w:r>
        <w:t xml:space="preserve"> </w:t>
      </w:r>
      <w:r>
        <w:t xml:space="preserve">42.4%</w:t>
      </w:r>
      <w:r>
        <w:t xml:space="preserve"> </w:t>
      </w:r>
      <w:r>
        <w:t xml:space="preserve">65%</w:t>
      </w:r>
      <w:r>
        <w:t xml:space="preserve"> </w:t>
      </w:r>
      <w:r>
        <w:t xml:space="preserve">72%</w:t>
      </w:r>
      <w:r>
        <w:t xml:space="preserve"> </w:t>
      </w:r>
      <w:r>
        <w:t xml:space="preserve">75%</w:t>
      </w:r>
      <w:r>
        <w:t xml:space="preserve"> </w:t>
      </w:r>
      <w:r>
        <w:t xml:space="preserve">89%</w:t>
      </w:r>
      <w:r>
        <w:t xml:space="preserve"> </w:t>
      </w:r>
      <w:r>
        <w:t xml:space="preserve">FEC reduction vs 2015 (55)</w:t>
      </w:r>
      <w:r>
        <w:t xml:space="preserve"> </w:t>
      </w:r>
      <w:r>
        <w:t xml:space="preserve">-19%</w:t>
      </w:r>
      <w:r>
        <w:t xml:space="preserve"> </w:t>
      </w:r>
      <w:r>
        <w:t xml:space="preserve">-34%</w:t>
      </w:r>
      <w:r>
        <w:t xml:space="preserve"> </w:t>
      </w:r>
      <w:r>
        <w:t xml:space="preserve">-34%</w:t>
      </w:r>
      <w:r>
        <w:t xml:space="preserve"> </w:t>
      </w:r>
      <w:r>
        <w:t xml:space="preserve">-36%</w:t>
      </w:r>
      <w:r>
        <w:t xml:space="preserve"> </w:t>
      </w:r>
      <w:r>
        <w:t xml:space="preserve">-40%</w:t>
      </w:r>
      <w:r>
        <w:t xml:space="preserve"> </w:t>
      </w:r>
      <w:r>
        <w:t xml:space="preserve">Energy indicators - Supply</w:t>
      </w:r>
      <w:r>
        <w:t xml:space="preserve"> </w:t>
      </w:r>
      <w:r>
        <w:t xml:space="preserve">Gross Available Energy (Mtoe)</w:t>
      </w:r>
      <w:r>
        <w:t xml:space="preserve"> </w:t>
      </w:r>
      <w:r>
        <w:t xml:space="preserve">1160</w:t>
      </w:r>
      <w:r>
        <w:t xml:space="preserve"> </w:t>
      </w:r>
      <w:r>
        <w:t xml:space="preserve">1022</w:t>
      </w:r>
      <w:r>
        <w:t xml:space="preserve"> </w:t>
      </w:r>
      <w:r>
        <w:t xml:space="preserve">1021.</w:t>
      </w:r>
      <w:r>
        <w:t xml:space="preserve"> </w:t>
      </w:r>
      <w:r>
        <w:t xml:space="preserve">1018</w:t>
      </w:r>
      <w:r>
        <w:t xml:space="preserve"> </w:t>
      </w:r>
      <w:r>
        <w:t xml:space="preserve">1032</w:t>
      </w:r>
      <w:r>
        <w:t xml:space="preserve"> </w:t>
      </w:r>
      <w:r>
        <w:t xml:space="preserve">- Fossil fuels</w:t>
      </w:r>
      <w:r>
        <w:br/>
      </w:r>
      <w:r>
        <w:t xml:space="preserve">663</w:t>
      </w:r>
      <w:r>
        <w:t xml:space="preserve"> </w:t>
      </w:r>
      <w:r>
        <w:t xml:space="preserve">375</w:t>
      </w:r>
      <w:r>
        <w:t xml:space="preserve"> </w:t>
      </w:r>
      <w:r>
        <w:t xml:space="preserve">311</w:t>
      </w:r>
      <w:r>
        <w:t xml:space="preserve"> </w:t>
      </w:r>
      <w:r>
        <w:t xml:space="preserve">275</w:t>
      </w:r>
      <w:r>
        <w:t xml:space="preserve"> </w:t>
      </w:r>
      <w:r>
        <w:t xml:space="preserve">150</w:t>
      </w:r>
      <w:r>
        <w:t xml:space="preserve"> </w:t>
      </w:r>
      <w:r>
        <w:t xml:space="preserve">- of which for non-energy use</w:t>
      </w:r>
      <w:r>
        <w:t xml:space="preserve"> </w:t>
      </w:r>
      <w:r>
        <w:t xml:space="preserve">96</w:t>
      </w:r>
      <w:r>
        <w:t xml:space="preserve"> </w:t>
      </w:r>
      <w:r>
        <w:t xml:space="preserve">96</w:t>
      </w:r>
      <w:r>
        <w:t xml:space="preserve"> </w:t>
      </w:r>
      <w:r>
        <w:t xml:space="preserve">96</w:t>
      </w:r>
      <w:r>
        <w:t xml:space="preserve"> </w:t>
      </w:r>
      <w:r>
        <w:t xml:space="preserve">96</w:t>
      </w:r>
      <w:r>
        <w:t xml:space="preserve"> </w:t>
      </w:r>
      <w:r>
        <w:t xml:space="preserve">80</w:t>
      </w:r>
      <w:r>
        <w:t xml:space="preserve"> </w:t>
      </w:r>
      <w:r>
        <w:t xml:space="preserve">- of which captured</w:t>
      </w:r>
      <w:r>
        <w:t xml:space="preserve"> </w:t>
      </w:r>
      <w:r>
        <w:t xml:space="preserve">1.8</w:t>
      </w:r>
      <w:r>
        <w:t xml:space="preserve"> </w:t>
      </w:r>
      <w:r>
        <w:t xml:space="preserve">11.5</w:t>
      </w:r>
      <w:r>
        <w:t xml:space="preserve"> </w:t>
      </w:r>
      <w:r>
        <w:t xml:space="preserve">13.2</w:t>
      </w:r>
      <w:r>
        <w:t xml:space="preserve"> </w:t>
      </w:r>
      <w:r>
        <w:t xml:space="preserve">13.3</w:t>
      </w:r>
      <w:r>
        <w:t xml:space="preserve"> </w:t>
      </w:r>
      <w:r>
        <w:t xml:space="preserve">24</w:t>
      </w:r>
      <w:r>
        <w:t xml:space="preserve"> </w:t>
      </w:r>
      <w:r>
        <w:t xml:space="preserve">- Nuclear</w:t>
      </w:r>
      <w:r>
        <w:br/>
      </w:r>
      <w:r>
        <w:t xml:space="preserve">139</w:t>
      </w:r>
      <w:r>
        <w:t xml:space="preserve"> </w:t>
      </w:r>
      <w:r>
        <w:t xml:space="preserve">129</w:t>
      </w:r>
      <w:r>
        <w:t xml:space="preserve"> </w:t>
      </w:r>
      <w:r>
        <w:t xml:space="preserve">129</w:t>
      </w:r>
      <w:r>
        <w:t xml:space="preserve"> </w:t>
      </w:r>
      <w:r>
        <w:t xml:space="preserve">129</w:t>
      </w:r>
      <w:r>
        <w:t xml:space="preserve"> </w:t>
      </w:r>
      <w:r>
        <w:t xml:space="preserve">142</w:t>
      </w:r>
      <w:r>
        <w:t xml:space="preserve"> </w:t>
      </w:r>
      <w:r>
        <w:t xml:space="preserve">- Renewables</w:t>
      </w:r>
      <w:r>
        <w:t xml:space="preserve"> </w:t>
      </w:r>
      <w:r>
        <w:t xml:space="preserve">328</w:t>
      </w:r>
      <w:r>
        <w:t xml:space="preserve"> </w:t>
      </w:r>
      <w:r>
        <w:t xml:space="preserve">482</w:t>
      </w:r>
      <w:r>
        <w:t xml:space="preserve"> </w:t>
      </w:r>
      <w:r>
        <w:t xml:space="preserve">544</w:t>
      </w:r>
      <w:r>
        <w:t xml:space="preserve"> </w:t>
      </w:r>
      <w:r>
        <w:t xml:space="preserve">613</w:t>
      </w:r>
      <w:r>
        <w:t xml:space="preserve"> </w:t>
      </w:r>
      <w:r>
        <w:t xml:space="preserve">691</w:t>
      </w:r>
      <w:r>
        <w:t xml:space="preserve"> </w:t>
      </w:r>
      <w:r>
        <w:t xml:space="preserve">Net imports (Mtoe)</w:t>
      </w:r>
      <w:r>
        <w:t xml:space="preserve"> </w:t>
      </w:r>
      <w:r>
        <w:t xml:space="preserve">572</w:t>
      </w:r>
      <w:r>
        <w:t xml:space="preserve"> </w:t>
      </w:r>
      <w:r>
        <w:t xml:space="preserve">347</w:t>
      </w:r>
      <w:r>
        <w:t xml:space="preserve"> </w:t>
      </w:r>
      <w:r>
        <w:t xml:space="preserve">298</w:t>
      </w:r>
      <w:r>
        <w:t xml:space="preserve"> </w:t>
      </w:r>
      <w:r>
        <w:t xml:space="preserve">267</w:t>
      </w:r>
      <w:r>
        <w:t xml:space="preserve"> </w:t>
      </w:r>
      <w:r>
        <w:t xml:space="preserve">153</w:t>
      </w:r>
      <w:r>
        <w:t xml:space="preserve"> </w:t>
      </w:r>
      <w:r>
        <w:t xml:space="preserve">Import dependency (%)</w:t>
      </w:r>
      <w:r>
        <w:t xml:space="preserve"> </w:t>
      </w:r>
      <w:r>
        <w:t xml:space="preserve">50%</w:t>
      </w:r>
      <w:r>
        <w:t xml:space="preserve"> </w:t>
      </w:r>
      <w:r>
        <w:t xml:space="preserve">34%</w:t>
      </w:r>
      <w:r>
        <w:t xml:space="preserve"> </w:t>
      </w:r>
      <w:r>
        <w:t xml:space="preserve">29%</w:t>
      </w:r>
      <w:r>
        <w:t xml:space="preserve"> </w:t>
      </w:r>
      <w:r>
        <w:t xml:space="preserve">26%</w:t>
      </w:r>
      <w:r>
        <w:t xml:space="preserve"> </w:t>
      </w:r>
      <w:r>
        <w:t xml:space="preserve">15%</w:t>
      </w:r>
      <w:r>
        <w:t xml:space="preserve"> </w:t>
      </w:r>
      <w:r>
        <w:t xml:space="preserve">Hydrogen production (Mtoe)(56)</w:t>
      </w:r>
      <w:r>
        <w:t xml:space="preserve"> </w:t>
      </w:r>
      <w:r>
        <w:t xml:space="preserve">9</w:t>
      </w:r>
      <w:r>
        <w:t xml:space="preserve"> </w:t>
      </w:r>
      <w:r>
        <w:t xml:space="preserve">60</w:t>
      </w:r>
      <w:r>
        <w:t xml:space="preserve"> </w:t>
      </w:r>
      <w:r>
        <w:t xml:space="preserve">76</w:t>
      </w:r>
      <w:r>
        <w:t xml:space="preserve"> </w:t>
      </w:r>
      <w:r>
        <w:t xml:space="preserve">100</w:t>
      </w:r>
      <w:r>
        <w:t xml:space="preserve"> </w:t>
      </w:r>
      <w:r>
        <w:t xml:space="preserve">185</w:t>
      </w:r>
      <w:r>
        <w:t xml:space="preserve"> </w:t>
      </w:r>
      <w:r>
        <w:t xml:space="preserve">e-Fuels production (Mtoe)</w:t>
      </w:r>
      <w:r>
        <w:t xml:space="preserve"> </w:t>
      </w:r>
      <w:r>
        <w:t xml:space="preserve">2</w:t>
      </w:r>
      <w:r>
        <w:t xml:space="preserve"> </w:t>
      </w:r>
      <w:r>
        <w:t xml:space="preserve">15</w:t>
      </w:r>
      <w:r>
        <w:t xml:space="preserve"> </w:t>
      </w:r>
      <w:r>
        <w:t xml:space="preserve">27</w:t>
      </w:r>
      <w:r>
        <w:t xml:space="preserve"> </w:t>
      </w:r>
      <w:r>
        <w:t xml:space="preserve">37</w:t>
      </w:r>
      <w:r>
        <w:t xml:space="preserve"> </w:t>
      </w:r>
      <w:r>
        <w:t xml:space="preserve">60</w:t>
      </w:r>
      <w:r>
        <w:t xml:space="preserve"> </w:t>
      </w:r>
      <w:r>
        <w:t xml:space="preserve">Energy indicators – Power generation</w:t>
      </w:r>
      <w:r>
        <w:t xml:space="preserve"> </w:t>
      </w:r>
      <w:r>
        <w:t xml:space="preserve">Gross electricity generation (TWh)</w:t>
      </w:r>
      <w:r>
        <w:br/>
      </w:r>
      <w:r>
        <w:t xml:space="preserve">3362</w:t>
      </w:r>
      <w:r>
        <w:t xml:space="preserve"> </w:t>
      </w:r>
      <w:r>
        <w:t xml:space="preserve">4563</w:t>
      </w:r>
      <w:r>
        <w:t xml:space="preserve"> </w:t>
      </w:r>
      <w:r>
        <w:t xml:space="preserve">4899</w:t>
      </w:r>
      <w:r>
        <w:t xml:space="preserve"> </w:t>
      </w:r>
      <w:r>
        <w:t xml:space="preserve">5212</w:t>
      </w:r>
      <w:r>
        <w:t xml:space="preserve"> </w:t>
      </w:r>
      <w:r>
        <w:t xml:space="preserve">6922</w:t>
      </w:r>
      <w:r>
        <w:t xml:space="preserve"> </w:t>
      </w:r>
      <w:r>
        <w:t xml:space="preserve">Net installed power capacity (GW)</w:t>
      </w:r>
      <w:r>
        <w:br/>
      </w:r>
      <w:r>
        <w:t xml:space="preserve">1617</w:t>
      </w:r>
      <w:r>
        <w:t xml:space="preserve"> </w:t>
      </w:r>
      <w:r>
        <w:t xml:space="preserve">2181</w:t>
      </w:r>
      <w:r>
        <w:t xml:space="preserve"> </w:t>
      </w:r>
      <w:r>
        <w:t xml:space="preserve">2377</w:t>
      </w:r>
      <w:r>
        <w:t xml:space="preserve"> </w:t>
      </w:r>
      <w:r>
        <w:t xml:space="preserve">2525</w:t>
      </w:r>
      <w:r>
        <w:t xml:space="preserve"> </w:t>
      </w:r>
      <w:r>
        <w:t xml:space="preserve">3256</w:t>
      </w:r>
      <w:r>
        <w:t xml:space="preserve"> </w:t>
      </w:r>
      <w:r>
        <w:t xml:space="preserve">- Fossil fuels</w:t>
      </w:r>
      <w:r>
        <w:br/>
      </w:r>
      <w:r>
        <w:t xml:space="preserve">238</w:t>
      </w:r>
      <w:r>
        <w:t xml:space="preserve"> </w:t>
      </w:r>
      <w:r>
        <w:t xml:space="preserve">172</w:t>
      </w:r>
      <w:r>
        <w:t xml:space="preserve"> </w:t>
      </w:r>
      <w:r>
        <w:t xml:space="preserve">164</w:t>
      </w:r>
      <w:r>
        <w:t xml:space="preserve"> </w:t>
      </w:r>
      <w:r>
        <w:t xml:space="preserve">156</w:t>
      </w:r>
      <w:r>
        <w:t xml:space="preserve"> </w:t>
      </w:r>
      <w:r>
        <w:t xml:space="preserve">142</w:t>
      </w:r>
      <w:r>
        <w:t xml:space="preserve"> </w:t>
      </w:r>
      <w:r>
        <w:t xml:space="preserve">- Nuclear</w:t>
      </w:r>
      <w:r>
        <w:br/>
      </w:r>
      <w:r>
        <w:t xml:space="preserve">94</w:t>
      </w:r>
      <w:r>
        <w:t xml:space="preserve"> </w:t>
      </w:r>
      <w:r>
        <w:t xml:space="preserve">71</w:t>
      </w:r>
      <w:r>
        <w:t xml:space="preserve"> </w:t>
      </w:r>
      <w:r>
        <w:t xml:space="preserve">71</w:t>
      </w:r>
      <w:r>
        <w:t xml:space="preserve"> </w:t>
      </w:r>
      <w:r>
        <w:t xml:space="preserve">71</w:t>
      </w:r>
      <w:r>
        <w:t xml:space="preserve"> </w:t>
      </w:r>
      <w:r>
        <w:t xml:space="preserve">71</w:t>
      </w:r>
      <w:r>
        <w:t xml:space="preserve"> </w:t>
      </w:r>
      <w:r>
        <w:t xml:space="preserve">- Renewables</w:t>
      </w:r>
      <w:r>
        <w:t xml:space="preserve"> </w:t>
      </w:r>
      <w:r>
        <w:t xml:space="preserve">1285</w:t>
      </w:r>
      <w:r>
        <w:t xml:space="preserve"> </w:t>
      </w:r>
      <w:r>
        <w:t xml:space="preserve">1939</w:t>
      </w:r>
      <w:r>
        <w:t xml:space="preserve"> </w:t>
      </w:r>
      <w:r>
        <w:t xml:space="preserve">2142</w:t>
      </w:r>
      <w:r>
        <w:t xml:space="preserve"> </w:t>
      </w:r>
      <w:r>
        <w:t xml:space="preserve">2298</w:t>
      </w:r>
      <w:r>
        <w:t xml:space="preserve"> </w:t>
      </w:r>
      <w:r>
        <w:t xml:space="preserve">3027</w:t>
      </w:r>
      <w:r>
        <w:t xml:space="preserve"> </w:t>
      </w:r>
      <w:r>
        <w:t xml:space="preserve">Storage and flexibility options (GW)</w:t>
      </w:r>
      <w:r>
        <w:t xml:space="preserve"> </w:t>
      </w:r>
      <w:r>
        <w:t xml:space="preserve">172</w:t>
      </w:r>
      <w:r>
        <w:t xml:space="preserve"> </w:t>
      </w:r>
      <w:r>
        <w:t xml:space="preserve">213</w:t>
      </w:r>
      <w:r>
        <w:t xml:space="preserve"> </w:t>
      </w:r>
      <w:r>
        <w:t xml:space="preserve">254</w:t>
      </w:r>
      <w:r>
        <w:t xml:space="preserve"> </w:t>
      </w:r>
      <w:r>
        <w:t xml:space="preserve">275</w:t>
      </w:r>
      <w:r>
        <w:t xml:space="preserve"> </w:t>
      </w:r>
      <w:r>
        <w:t xml:space="preserve">238</w:t>
      </w:r>
      <w:r>
        <w:t xml:space="preserve"> </w:t>
      </w:r>
      <w:r>
        <w:t xml:space="preserve">Final Energy</w:t>
      </w:r>
      <w:r>
        <w:t xml:space="preserve"> </w:t>
      </w:r>
      <w:r>
        <w:t xml:space="preserve">Final Energy Consumption (Mtoe)</w:t>
      </w:r>
      <w:r>
        <w:t xml:space="preserve"> </w:t>
      </w:r>
      <w:r>
        <w:t xml:space="preserve">764</w:t>
      </w:r>
      <w:r>
        <w:t xml:space="preserve"> </w:t>
      </w:r>
      <w:r>
        <w:t xml:space="preserve">622</w:t>
      </w:r>
      <w:r>
        <w:t xml:space="preserve"> </w:t>
      </w:r>
      <w:r>
        <w:t xml:space="preserve">614</w:t>
      </w:r>
      <w:r>
        <w:t xml:space="preserve"> </w:t>
      </w:r>
      <w:r>
        <w:t xml:space="preserve">604</w:t>
      </w:r>
      <w:r>
        <w:t xml:space="preserve"> </w:t>
      </w:r>
      <w:r>
        <w:t xml:space="preserve">555</w:t>
      </w:r>
      <w:r>
        <w:t xml:space="preserve"> </w:t>
      </w:r>
      <w:r>
        <w:t xml:space="preserve">Electricity share in FEC</w:t>
      </w:r>
      <w:r>
        <w:t xml:space="preserve"> </w:t>
      </w:r>
      <w:r>
        <w:t xml:space="preserve">33%</w:t>
      </w:r>
      <w:r>
        <w:t xml:space="preserve"> </w:t>
      </w:r>
      <w:r>
        <w:t xml:space="preserve">48%</w:t>
      </w:r>
      <w:r>
        <w:t xml:space="preserve"> </w:t>
      </w:r>
      <w:r>
        <w:t xml:space="preserve">50%</w:t>
      </w:r>
      <w:r>
        <w:t xml:space="preserve"> </w:t>
      </w:r>
      <w:r>
        <w:t xml:space="preserve">51%</w:t>
      </w:r>
      <w:r>
        <w:t xml:space="preserve"> </w:t>
      </w:r>
      <w:r>
        <w:t xml:space="preserve">62%</w:t>
      </w:r>
      <w:r>
        <w:t xml:space="preserve"> </w:t>
      </w:r>
      <w:r>
        <w:t xml:space="preserve">e-Fuels share in FEC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7%</w:t>
      </w:r>
      <w:r>
        <w:t xml:space="preserve"> </w:t>
      </w:r>
      <w:r>
        <w:t xml:space="preserve">Note: GAE does not include ambient heat from heat pumps. E-Fuels include power-to-liquid and power-to-gas</w:t>
      </w:r>
      <w:r>
        <w:t xml:space="preserve"> </w:t>
      </w:r>
      <w:r>
        <w:t xml:space="preserve">fuels but not hydrogen. Storage technologies include only battery and pumped-hydro storage, whose decline</w:t>
      </w:r>
      <w:r>
        <w:t xml:space="preserve"> </w:t>
      </w:r>
      <w:r>
        <w:t xml:space="preserve">between 2040 and 2050 is due to the projected increased use of power-to-X technologies. The analysis is</w:t>
      </w:r>
      <w:r>
        <w:t xml:space="preserve"> </w:t>
      </w:r>
      <w:r>
        <w:t xml:space="preserve">based on the 2019 NECPs and national legislation as of March 2023. **S1 and S2 values for 2050 are similar</w:t>
      </w:r>
      <w:r>
        <w:t xml:space="preserve"> </w:t>
      </w:r>
      <w:r>
        <w:t xml:space="preserve">to S3 and represented in more details in Annex 8.</w:t>
      </w:r>
    </w:p>
    <w:p>
      <w:pPr>
        <w:pStyle w:val="BodyText"/>
      </w:pPr>
      <w:r>
        <w:t xml:space="preserve">Source: PRIMES.</w:t>
      </w:r>
    </w:p>
    <w:p>
      <w:pPr>
        <w:pStyle w:val="BodyText"/>
      </w:pPr>
      <w:r>
        <w:t xml:space="preserve">(55 )Note that the 2030 energy efficiency is expressed as % reduction compared to the projection of the</w:t>
      </w:r>
      <w:r>
        <w:t xml:space="preserve"> </w:t>
      </w:r>
      <w:r>
        <w:t xml:space="preserve">2020 Reference scenario (not compared to 2015).</w:t>
      </w:r>
      <w:r>
        <w:t xml:space="preserve"> </w:t>
      </w:r>
      <w:r>
        <w:t xml:space="preserve">(56) Renewable hydrogen is a rapidly evolving technology and sector. The modelling results for 2030 in</w:t>
      </w:r>
      <w:r>
        <w:t xml:space="preserve"> </w:t>
      </w:r>
      <w:r>
        <w:t xml:space="preserve">this table reflects the EU RFNBO targets, and associated hydrogen production, as per the revision of the</w:t>
      </w:r>
      <w:r>
        <w:t xml:space="preserve"> </w:t>
      </w:r>
      <w:r>
        <w:t xml:space="preserve">Renewable Energy Directive under the Fit-for-55 package. However, the modelling for the future design of</w:t>
      </w:r>
      <w:r>
        <w:t xml:space="preserve"> </w:t>
      </w:r>
      <w:r>
        <w:t xml:space="preserve">the post-2030 policy framework will take into account the updates of the National Climate and Energy</w:t>
      </w:r>
      <w:r>
        <w:t xml:space="preserve"> </w:t>
      </w:r>
      <w:r>
        <w:t xml:space="preserve">Plans due in June 2024.’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Renewables gradually become the backbone of the EU energy system. The share of</w:t>
      </w:r>
      <w:r>
        <w:t xml:space="preserve"> </w:t>
      </w:r>
      <w:r>
        <w:t xml:space="preserve">renewables in GAE grows from 17% in 2021 to 50% – 60% in 2040. The share of wind</w:t>
      </w:r>
      <w:r>
        <w:t xml:space="preserve"> </w:t>
      </w:r>
      <w:r>
        <w:t xml:space="preserve">and PV in GAE increases to 27% – 34% in 2040. The use of biomass and waste is also</w:t>
      </w:r>
      <w:r>
        <w:t xml:space="preserve"> </w:t>
      </w:r>
      <w:r>
        <w:t xml:space="preserve">projected to increase by 30% in S2 and S3 representing approximately 20% of the GAE</w:t>
      </w:r>
      <w:r>
        <w:t xml:space="preserve"> </w:t>
      </w:r>
      <w:r>
        <w:t xml:space="preserve">share in 2040 (57). This evolution is mostly driven by advanced liquid biofuels and</w:t>
      </w:r>
      <w:r>
        <w:t xml:space="preserve"> </w:t>
      </w:r>
      <w:r>
        <w:t xml:space="preserve">biomethane, while direct consumption of solid biomass is projected to decrease. The</w:t>
      </w:r>
      <w:r>
        <w:t xml:space="preserve"> </w:t>
      </w:r>
      <w:r>
        <w:t xml:space="preserve">future role of bioenergy will have to be integrated into a sustainable circular bioeconomy,</w:t>
      </w:r>
      <w:r>
        <w:t xml:space="preserve"> </w:t>
      </w:r>
      <w:r>
        <w:t xml:space="preserve">following the cascading principle. The conviction of renewables becoming the backbone</w:t>
      </w:r>
      <w:r>
        <w:t xml:space="preserve"> </w:t>
      </w:r>
      <w:r>
        <w:t xml:space="preserve">of the EU energy system is shared throughout the public consultation, where across all</w:t>
      </w:r>
      <w:r>
        <w:t xml:space="preserve"> </w:t>
      </w:r>
      <w:r>
        <w:t xml:space="preserve">stakeholder groups and citizens renewable energy from wind, solar or hydro was</w:t>
      </w:r>
      <w:r>
        <w:t xml:space="preserve"> </w:t>
      </w:r>
      <w:r>
        <w:t xml:space="preserve">consistently rated as the most relevant solution for the energy transition towards carbon</w:t>
      </w:r>
      <w:r>
        <w:t xml:space="preserve"> </w:t>
      </w:r>
      <w:r>
        <w:t xml:space="preserve">neutrality. This notion was also supported in many position papers arguing for an</w:t>
      </w:r>
      <w:r>
        <w:t xml:space="preserve"> </w:t>
      </w:r>
      <w:r>
        <w:t xml:space="preserve">enhanced use of renewable energies. Stakeholders, in particular from science, civil</w:t>
      </w:r>
      <w:r>
        <w:t xml:space="preserve"> </w:t>
      </w:r>
      <w:r>
        <w:t xml:space="preserve">society, and EU citizens identified the expansion of renewable energies as among the</w:t>
      </w:r>
      <w:r>
        <w:t xml:space="preserve"> </w:t>
      </w:r>
      <w:r>
        <w:t xml:space="preserve">most important challenges for the EU to reach its climate ambition.</w:t>
      </w:r>
      <w:r>
        <w:br/>
      </w:r>
      <w:r>
        <w:t xml:space="preserve">Renewable hydrogen as energy vector appears as a key technology of the future EU</w:t>
      </w:r>
      <w:r>
        <w:t xml:space="preserve"> </w:t>
      </w:r>
      <w:r>
        <w:t xml:space="preserve">energy system, including to produce e-fuels (both gaseous and liquid) and to contribute</w:t>
      </w:r>
      <w:r>
        <w:t xml:space="preserve"> </w:t>
      </w:r>
      <w:r>
        <w:t xml:space="preserve">to decarbonise the hard-to-abate sectors (such as aviation and maritime transport, among</w:t>
      </w:r>
      <w:r>
        <w:t xml:space="preserve"> </w:t>
      </w:r>
      <w:r>
        <w:t xml:space="preserve">others). In the next two decades, there are large differences in hydrogen scale-up across</w:t>
      </w:r>
      <w:r>
        <w:t xml:space="preserve"> </w:t>
      </w:r>
      <w:r>
        <w:t xml:space="preserve">scenarios. In 2040, the S3 scenario projects more than 60% more hydrogen production</w:t>
      </w:r>
      <w:r>
        <w:t xml:space="preserve"> </w:t>
      </w:r>
      <w:r>
        <w:t xml:space="preserve">than S1, with most of the difference related to demand for e-fuels. LIFE reduces demand</w:t>
      </w:r>
      <w:r>
        <w:t xml:space="preserve"> </w:t>
      </w:r>
      <w:r>
        <w:t xml:space="preserve">for renewable hydrogen by around 15 Mtoe with circular economy measures and</w:t>
      </w:r>
      <w:r>
        <w:t xml:space="preserve"> </w:t>
      </w:r>
      <w:r>
        <w:t xml:space="preserve">consumption patterns (that reduce the need for certain materials). In 2050, hydrogen</w:t>
      </w:r>
      <w:r>
        <w:t xml:space="preserve"> </w:t>
      </w:r>
      <w:r>
        <w:t xml:space="preserve">consumption reaches up to 185 Mtoe (7.7 EJ). Imports of RFNBOs pick up after 2035,</w:t>
      </w:r>
      <w:r>
        <w:t xml:space="preserve"> </w:t>
      </w:r>
      <w:r>
        <w:t xml:space="preserve">but in low amounts due to still relatively high costs. Hydrogen and the development of</w:t>
      </w:r>
      <w:r>
        <w:t xml:space="preserve"> </w:t>
      </w:r>
      <w:r>
        <w:t xml:space="preserve">clean fuels are regarded as particularly important for the EU’s energy transition towards</w:t>
      </w:r>
      <w:r>
        <w:t xml:space="preserve"> </w:t>
      </w:r>
      <w:r>
        <w:t xml:space="preserve">climate neutrality by business associations and companies (both SME’s and large</w:t>
      </w:r>
      <w:r>
        <w:t xml:space="preserve"> </w:t>
      </w:r>
      <w:r>
        <w:t xml:space="preserve">industries).</w:t>
      </w:r>
    </w:p>
    <w:p>
      <w:pPr>
        <w:pStyle w:val="Compact"/>
        <w:numPr>
          <w:ilvl w:val="0"/>
          <w:numId w:val="1024"/>
        </w:numPr>
      </w:pPr>
      <w:r>
        <w:t xml:space="preserve">In the scenarios considered, the “gross available energy” from biomass is capped at 9 EJ, the</w:t>
      </w:r>
      <w:r>
        <w:t xml:space="preserve"> </w:t>
      </w:r>
      <w:r>
        <w:t xml:space="preserve">environmental risk level for “primary bioenergy use“ indicated by the ESABCC – see Annex 6. Future</w:t>
      </w:r>
      <w:r>
        <w:t xml:space="preserve"> </w:t>
      </w:r>
      <w:r>
        <w:t xml:space="preserve">analyses may assume other supply levels of biomass to stay within the sustainability boundaries, in view of</w:t>
      </w:r>
      <w:r>
        <w:t xml:space="preserve"> </w:t>
      </w:r>
      <w:r>
        <w:t xml:space="preserve">the on-going scientific debate.</w:t>
      </w:r>
    </w:p>
    <w:p>
      <w:pPr>
        <w:pStyle w:val="FirstParagraph"/>
      </w:pPr>
      <w:r>
        <w:t xml:space="preserve">44</w:t>
      </w:r>
    </w:p>
    <w:p>
      <w:pPr>
        <w:pStyle w:val="BodyText"/>
      </w:pPr>
      <w:r>
        <w:t xml:space="preserve">Member States revision of their nuclear energy policy</w:t>
      </w:r>
      <w:r>
        <w:t xml:space="preserve"> </w:t>
      </w:r>
      <w:r>
        <w:t xml:space="preserve">Recent announcements by several Member States show a renewed interest in nuclear</w:t>
      </w:r>
      <w:r>
        <w:t xml:space="preserve"> </w:t>
      </w:r>
      <w:r>
        <w:t xml:space="preserve">energy. A “nuclear alliance” has been set up by some Member States and is led by</w:t>
      </w:r>
      <w:r>
        <w:t xml:space="preserve"> </w:t>
      </w:r>
      <w:r>
        <w:t xml:space="preserve">France. Among other policy changes, France has adopted a law in June 2023 that</w:t>
      </w:r>
      <w:r>
        <w:t xml:space="preserve"> </w:t>
      </w:r>
      <w:r>
        <w:t xml:space="preserve">abolishes the objective of reducing the nuclear power share in the electricity mix to</w:t>
      </w:r>
      <w:r>
        <w:t xml:space="preserve"> </w:t>
      </w:r>
      <w:r>
        <w:t xml:space="preserve">50%, as well as the capping of nuclear production capacity at 63.2 GW. In addition,</w:t>
      </w:r>
      <w:r>
        <w:t xml:space="preserve"> </w:t>
      </w:r>
      <w:r>
        <w:t xml:space="preserve">several operators have either already obtained licence or announced plans for further</w:t>
      </w:r>
      <w:r>
        <w:t xml:space="preserve"> </w:t>
      </w:r>
      <w:r>
        <w:t xml:space="preserve">lifetime extensions of nuclear plants. Other changes include life extension of nuclear</w:t>
      </w:r>
      <w:r>
        <w:t xml:space="preserve"> </w:t>
      </w:r>
      <w:r>
        <w:t xml:space="preserve">plant in Hungary and Finland. These legal changes added approximately 18 GW of</w:t>
      </w:r>
      <w:r>
        <w:t xml:space="preserve"> </w:t>
      </w:r>
      <w:r>
        <w:t xml:space="preserve">capacity to the European nuclear fleet in 2040 (of which France accounts for about 17</w:t>
      </w:r>
      <w:r>
        <w:t xml:space="preserve"> </w:t>
      </w:r>
      <w:r>
        <w:t xml:space="preserve">GW), compared to the assumptions Section 2.5.2.2 of Annex 6 (that already include the</w:t>
      </w:r>
      <w:r>
        <w:t xml:space="preserve"> </w:t>
      </w:r>
      <w:r>
        <w:t xml:space="preserve">plans adopted up to March 2023 and in particular additional nuclear capacity in</w:t>
      </w:r>
      <w:r>
        <w:t xml:space="preserve"> </w:t>
      </w:r>
      <w:r>
        <w:t xml:space="preserve">Bulgaria, Czechia, Finland, Hungary, Netherlands, Poland, Romania, Slovenia and</w:t>
      </w:r>
      <w:r>
        <w:t xml:space="preserve"> </w:t>
      </w:r>
      <w:r>
        <w:t xml:space="preserve">Slovakia). Due to the lead time of new nuclear plants, nuclear capacity in 2030 is</w:t>
      </w:r>
      <w:r>
        <w:t xml:space="preserve"> </w:t>
      </w:r>
      <w:r>
        <w:t xml:space="preserve">unchanged compared to the original policy assumptions.</w:t>
      </w:r>
      <w:r>
        <w:t xml:space="preserve"> </w:t>
      </w:r>
      <w:r>
        <w:t xml:space="preserve">This scenario variant discusses how this legal revision changes the energy system and</w:t>
      </w:r>
      <w:r>
        <w:t xml:space="preserve"> </w:t>
      </w:r>
      <w:r>
        <w:t xml:space="preserve">GHG emissions compared to the results in the S3 scenario.</w:t>
      </w:r>
      <w:r>
        <w:br/>
      </w:r>
      <w:r>
        <w:t xml:space="preserve">With the new French legislation of June 2023, the installed capacity of nuclear plants in</w:t>
      </w:r>
      <w:r>
        <w:t xml:space="preserve"> </w:t>
      </w:r>
      <w:r>
        <w:t xml:space="preserve">France reaches 54 GW by 2040 (an increase compared to 37 GW projected before the</w:t>
      </w:r>
      <w:r>
        <w:t xml:space="preserve"> </w:t>
      </w:r>
      <w:r>
        <w:t xml:space="preserve">change of the law). In 2040, the share of nuclear energy in the power mix of France</w:t>
      </w:r>
      <w:r>
        <w:t xml:space="preserve"> </w:t>
      </w:r>
      <w:r>
        <w:t xml:space="preserve">reaches 38% of total electricity generated compared to 27% before the June 2023</w:t>
      </w:r>
      <w:r>
        <w:t xml:space="preserve"> </w:t>
      </w:r>
      <w:r>
        <w:t xml:space="preserve">change of the law. (This compares to a share of nuclear in power generation in 2020 of</w:t>
      </w:r>
      <w:r>
        <w:t xml:space="preserve"> </w:t>
      </w:r>
      <w:r>
        <w:t xml:space="preserve">72%. This difference between 2020 and 2040 is mainly due to the electricity</w:t>
      </w:r>
      <w:r>
        <w:t xml:space="preserve"> </w:t>
      </w:r>
      <w:r>
        <w:t xml:space="preserve">consumption increasing considerably - which is partly matched by more renewables).</w:t>
      </w:r>
      <w:r>
        <w:t xml:space="preserve"> </w:t>
      </w:r>
      <w:r>
        <w:t xml:space="preserve">With the new French policy, the installed capacity of nuclear plants in Europe reaches</w:t>
      </w:r>
      <w:r>
        <w:t xml:space="preserve"> </w:t>
      </w:r>
      <w:r>
        <w:t xml:space="preserve">88 GW by 2040 (compared to 71 GW in the previous S3 scenario and 94 GW in 2030).</w:t>
      </w:r>
      <w:r>
        <w:t xml:space="preserve"> </w:t>
      </w:r>
      <w:r>
        <w:t xml:space="preserve">Compared to the results shown in Climate policy and energy security go hand in hand</w:t>
      </w:r>
      <w:r>
        <w:t xml:space="preserve"> </w:t>
      </w:r>
      <w:r>
        <w:t xml:space="preserve">as the decline of fossil fuels has profound consequences for the EU’s energy</w:t>
      </w:r>
      <w:r>
        <w:t xml:space="preserve"> </w:t>
      </w:r>
      <w:r>
        <w:t xml:space="preserve">dependence. Import dependency (the share of imports in GAE), decreases from 61% in</w:t>
      </w:r>
      <w:r>
        <w:t xml:space="preserve"> </w:t>
      </w:r>
      <w:r>
        <w:t xml:space="preserve">2019 to 34% in S1, 29% in S2 and 26% in S3 in 2040. Due to the decline of domestic</w:t>
      </w:r>
      <w:r>
        <w:t xml:space="preserve"> </w:t>
      </w:r>
      <w:r>
        <w:t xml:space="preserve">production and a continued need for oil imports, a large decrease in import dependency</w:t>
      </w:r>
      <w:r>
        <w:t xml:space="preserve"> </w:t>
      </w:r>
      <w:r>
        <w:t xml:space="preserve">requires deeper decarbonisation. In 2050, the dependency is reduced to only 15%, more</w:t>
      </w:r>
      <w:r>
        <w:t xml:space="preserve"> </w:t>
      </w:r>
      <w:r>
        <w:t xml:space="preserve">than half associated with non-energy uses of fuels. High demand for renewables,</w:t>
      </w:r>
      <w:r>
        <w:t xml:space="preserve"> </w:t>
      </w:r>
      <w:r>
        <w:t xml:space="preserve">storage and novel technologies may lead to new dependencies for raw materials or</w:t>
      </w:r>
      <w:r>
        <w:t xml:space="preserve"> </w:t>
      </w:r>
      <w:r>
        <w:t xml:space="preserve">technology imports from non-EU countries.</w:t>
      </w:r>
    </w:p>
    <w:p>
      <w:pPr>
        <w:pStyle w:val="BodyText"/>
      </w:pPr>
      <w:r>
        <w:t xml:space="preserve">Table 10 for the S3 scenario, the additional nuclear plants increase the share of nuclear</w:t>
      </w:r>
      <w:r>
        <w:t xml:space="preserve"> </w:t>
      </w:r>
      <w:r>
        <w:t xml:space="preserve">power in the energy mix from 13% of GAE to 15% in 2040 (or approximately 160</w:t>
      </w:r>
      <w:r>
        <w:t xml:space="preserve"> </w:t>
      </w:r>
      <w:r>
        <w:t xml:space="preserve">Mtoe). This increase of nuclear energy leads to a slightly slower growth of renewables</w:t>
      </w:r>
      <w:r>
        <w:t xml:space="preserve"> </w:t>
      </w:r>
      <w:r>
        <w:t xml:space="preserve">that reach 600 Mtoe in 2040 (or 10 Mtoe difference) Net installed capacity follows a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 coming decades require a significant increase in electricity supply, mainly due to the</w:t>
      </w:r>
      <w:r>
        <w:t xml:space="preserve"> </w:t>
      </w:r>
      <w:r>
        <w:t xml:space="preserve">increasing electrification of end-use sectors, but also to the power needed for the</w:t>
      </w:r>
      <w:r>
        <w:t xml:space="preserve"> </w:t>
      </w:r>
      <w:r>
        <w:t xml:space="preserve">production of RFNBOs and DACC. Electricity generation increases from 2905 TWh in</w:t>
      </w:r>
      <w:r>
        <w:t xml:space="preserve"> </w:t>
      </w:r>
      <w:r>
        <w:t xml:space="preserve">2021 to about 4565 TWh in S1, 4900 TWh in S2 and 5210 TWh in S3 in 2040.</w:t>
      </w:r>
      <w:r>
        <w:br/>
      </w:r>
      <w:r>
        <w:t xml:space="preserve">In 2040, S1 requires around 13% less electricity than S3. This is explained by substantial</w:t>
      </w:r>
      <w:r>
        <w:t xml:space="preserve"> </w:t>
      </w:r>
      <w:r>
        <w:t xml:space="preserve">differences in production of RFNBOs and in industrial removals by DACC. In 2040,</w:t>
      </w:r>
      <w:r>
        <w:t xml:space="preserve"> </w:t>
      </w:r>
      <w:r>
        <w:t xml:space="preserve">electrolysers, RFNBO synthesis and DACC combined consume approximately 600 TWh</w:t>
      </w:r>
      <w:r>
        <w:t xml:space="preserve"> </w:t>
      </w:r>
      <w:r>
        <w:t xml:space="preserve">more electricity in S3 than in S1. In S2 consumption is approximately 270 TWh more</w:t>
      </w:r>
      <w:r>
        <w:t xml:space="preserve"> </w:t>
      </w:r>
      <w:r>
        <w:t xml:space="preserve">than S1 for the same purposes. Due to the lower hydrogen production (thanks to circular</w:t>
      </w:r>
      <w:r>
        <w:t xml:space="preserve"> </w:t>
      </w:r>
      <w:r>
        <w:t xml:space="preserve">economy measures and consumption patterns) LIFE allows to save almost 390 TWh of</w:t>
      </w:r>
      <w:r>
        <w:t xml:space="preserve"> </w:t>
      </w:r>
      <w:r>
        <w:t xml:space="preserve">total electricity production in 2040. Projections for electricity, hydrogen and RFNBOs</w:t>
      </w:r>
      <w:r>
        <w:t xml:space="preserve"> </w:t>
      </w:r>
      <w:r>
        <w:t xml:space="preserve">consumption in 2050 are similar across all scenarios.</w:t>
      </w:r>
      <w:r>
        <w:t xml:space="preserve"> </w:t>
      </w:r>
      <w:r>
        <w:t xml:space="preserve">The share of fossil-fired power generation steadily decreases by 2040, from 36% in 2021</w:t>
      </w:r>
      <w:r>
        <w:t xml:space="preserve"> </w:t>
      </w:r>
      <w:r>
        <w:t xml:space="preserve">to 8% in S1 and 3% in S3. Residual fossil-fired generation consists almost solely of gas-</w:t>
      </w:r>
      <w:r>
        <w:t xml:space="preserve"> </w:t>
      </w:r>
      <w:r>
        <w:t xml:space="preserve">fired power plants (equipped with CCS or used for peak demand). Renewables increase</w:t>
      </w:r>
      <w:r>
        <w:t xml:space="preserve"> </w:t>
      </w:r>
      <w:r>
        <w:t xml:space="preserve">their contribution to total electricity generation from about 40% in 2021 to 81%-87% in</w:t>
      </w:r>
      <w:r>
        <w:t xml:space="preserve"> </w:t>
      </w:r>
      <w:r>
        <w:t xml:space="preserve">2040 (wind and solar accounting for the largest shares of renewable capacity). The</w:t>
      </w:r>
      <w:r>
        <w:t xml:space="preserve"> </w:t>
      </w:r>
      <w:r>
        <w:t xml:space="preserve">analysis results in nuclear power generation decreasing from 730 TWh in 2021 to around</w:t>
      </w:r>
      <w:r>
        <w:t xml:space="preserve"> </w:t>
      </w:r>
      <w:r>
        <w:t xml:space="preserve">495 TWh in 2040 with nuclear capacity assumptions in line with the Member State</w:t>
      </w:r>
      <w:r>
        <w:t xml:space="preserve"> </w:t>
      </w:r>
      <w:r>
        <w:t xml:space="preserve">policies as in 2019 National Energy and Climate Plans and national policies as of March</w:t>
      </w:r>
      <w:r>
        <w:t xml:space="preserve"> </w:t>
      </w:r>
      <w:r>
        <w:t xml:space="preserve">2023(58). Net imports of electricity from outside the EU remain very small (around</w:t>
      </w:r>
      <w:r>
        <w:t xml:space="preserve"> </w:t>
      </w:r>
      <w:r>
        <w:t xml:space="preserve">current levels).</w:t>
      </w:r>
      <w:r>
        <w:br/>
      </w:r>
      <w:r>
        <w:t xml:space="preserve">As wind and solar PV generation have relatively low full load hours, replacing fossil</w:t>
      </w:r>
      <w:r>
        <w:t xml:space="preserve"> </w:t>
      </w:r>
      <w:r>
        <w:t xml:space="preserve">fuels with renewables requires higher installed power capacity. Total installed capacity</w:t>
      </w:r>
      <w:r>
        <w:t xml:space="preserve"> </w:t>
      </w:r>
      <w:r>
        <w:t xml:space="preserve">grows more than two times faster than electricity generation between 2015 and 2040.</w:t>
      </w:r>
      <w:r>
        <w:t xml:space="preserve"> </w:t>
      </w:r>
      <w:r>
        <w:t xml:space="preserve">There are large differences in renewable capacity across scenarios. In 2040, S3 and S1</w:t>
      </w:r>
      <w:r>
        <w:t xml:space="preserve"> </w:t>
      </w:r>
      <w:r>
        <w:t xml:space="preserve">requires 6% more and 8% less capacity than S2, respectively (2300 GW in S3, 1940 GW</w:t>
      </w:r>
      <w:r>
        <w:t xml:space="preserve"> </w:t>
      </w:r>
      <w:r>
        <w:t xml:space="preserve">in S1 and 2140 GW in S2). The circular economy measures and behavioural changes in</w:t>
      </w:r>
      <w:r>
        <w:t xml:space="preserve"> </w:t>
      </w:r>
      <w:r>
        <w:t xml:space="preserve">LIFE significantly decrease the amount of generation capacity, by around 200 GW in</w:t>
      </w:r>
      <w:r>
        <w:t xml:space="preserve"> </w:t>
      </w:r>
      <w:r>
        <w:t xml:space="preserve">2040.</w:t>
      </w:r>
      <w:r>
        <w:t xml:space="preserve"> </w:t>
      </w:r>
      <w:r>
        <w:t xml:space="preserve">Balancing the high share of variable renewable electricity generation requires a flexible</w:t>
      </w:r>
      <w:r>
        <w:t xml:space="preserve"> </w:t>
      </w:r>
      <w:r>
        <w:t xml:space="preserve">power system. Flexibility needs are increasingly met by storage solutions (mainly</w:t>
      </w:r>
      <w:r>
        <w:t xml:space="preserve"> </w:t>
      </w:r>
      <w:r>
        <w:t xml:space="preserve">pumped hydro storage and batteries) reaching 275 GW in S3 in 2040 and by demand side</w:t>
      </w:r>
      <w:r>
        <w:t xml:space="preserve"> </w:t>
      </w:r>
      <w:r>
        <w:t xml:space="preserve">measures including demand management technologies such as the production of</w:t>
      </w:r>
      <w:r>
        <w:t xml:space="preserve"> </w:t>
      </w:r>
      <w:r>
        <w:t xml:space="preserve">hydrogen with electrolysers and – to a lower extent – the production of other RFNBOs.</w:t>
      </w:r>
      <w:r>
        <w:t xml:space="preserve"> </w:t>
      </w:r>
      <w:r>
        <w:t xml:space="preserve">There is a marked difference with scenarios S1 and S2 requiring significantly less storage</w:t>
      </w:r>
      <w:r>
        <w:t xml:space="preserve"> </w:t>
      </w:r>
      <w:r>
        <w:t xml:space="preserve">and electrolyser capacity than S3 in 2040.</w:t>
      </w:r>
    </w:p>
    <w:p>
      <w:pPr>
        <w:pStyle w:val="Compact"/>
        <w:numPr>
          <w:ilvl w:val="0"/>
          <w:numId w:val="1025"/>
        </w:numPr>
      </w:pPr>
      <w:r>
        <w:t xml:space="preserve">These assumptions reflect the situation until March 2023. In June 2023, France has adopted a law</w:t>
      </w:r>
      <w:r>
        <w:t xml:space="preserve"> </w:t>
      </w:r>
      <w:r>
        <w:t xml:space="preserve">which removes the objective of reducing the share of nuclear power in the electricity mix. additional 3.3</w:t>
      </w:r>
      <w:r>
        <w:t xml:space="preserve"> </w:t>
      </w:r>
      <w:r>
        <w:t xml:space="preserve">GWe nuclear capacity was officially announced for deployment by mid-2030s. See Annex 8 for more</w:t>
      </w:r>
      <w:r>
        <w:t xml:space="preserve"> </w:t>
      </w:r>
      <w:r>
        <w:t xml:space="preserve">details. Future analysis will take the revised policies into account, as reflected in the updated National</w:t>
      </w:r>
      <w:r>
        <w:t xml:space="preserve"> </w:t>
      </w:r>
      <w:r>
        <w:t xml:space="preserve">Energy and Climate Plans which are currently being drafted.</w:t>
      </w:r>
    </w:p>
    <w:p>
      <w:pPr>
        <w:pStyle w:val="FirstParagraph"/>
      </w:pPr>
      <w:r>
        <w:t xml:space="preserve">46</w:t>
      </w:r>
    </w:p>
    <w:p>
      <w:pPr>
        <w:pStyle w:val="BodyText"/>
      </w:pPr>
      <w:r>
        <w:t xml:space="preserve">Final energy consumption (FEC) shows a large reduction already this decade, reaching</w:t>
      </w:r>
      <w:r>
        <w:t xml:space="preserve"> </w:t>
      </w:r>
      <w:r>
        <w:t xml:space="preserve">765 Mtoe in 2030 (32 EJ: the Energy Efficiency Directive target), further reducing in</w:t>
      </w:r>
      <w:r>
        <w:t xml:space="preserve"> </w:t>
      </w:r>
      <w:r>
        <w:t xml:space="preserve">2040 to 622 Mtoe (26 EJ) in S1, 614 Mtoe (25.7 EJ) in S2 and 604 Mtoe in S3 (25.3 EJ).</w:t>
      </w:r>
      <w:r>
        <w:t xml:space="preserve"> </w:t>
      </w:r>
      <w:r>
        <w:t xml:space="preserve">The share of renewable energy in gross FEC increases from 42% in 2030 (in line with the</w:t>
      </w:r>
      <w:r>
        <w:t xml:space="preserve"> </w:t>
      </w:r>
      <w:r>
        <w:t xml:space="preserve">Renewable Energy Directive target) to 65% in S1, 72% in S2 and 75% in S3 in 2040.</w:t>
      </w:r>
      <w:r>
        <w:t xml:space="preserve"> </w:t>
      </w:r>
      <w:r>
        <w:t xml:space="preserve">The share of fossil fuels in total FEC decreases from above 60% in 2015 to 30% in S1,</w:t>
      </w:r>
      <w:r>
        <w:t xml:space="preserve"> </w:t>
      </w:r>
      <w:r>
        <w:t xml:space="preserve">25% in S2 and 23% in S3 in 2040, and further down to only 5% in 2050. Electricity</w:t>
      </w:r>
      <w:r>
        <w:t xml:space="preserve"> </w:t>
      </w:r>
      <w:r>
        <w:t xml:space="preserve">becomes the dominant energy vector in final energy sectors. The share of electricity in</w:t>
      </w:r>
      <w:r>
        <w:t xml:space="preserve"> </w:t>
      </w:r>
      <w:r>
        <w:t xml:space="preserve">FEC increases from 23% in 2015 to above 45% in 2040 (approximately 280-290 Mtoe</w:t>
      </w:r>
      <w:r>
        <w:t xml:space="preserve"> </w:t>
      </w:r>
      <w:r>
        <w:t xml:space="preserve">across scenarios or 11.7 – 12.1 EJ) and up to 57% (320 Mtoe – 13.4 EJ) in 2050. This</w:t>
      </w:r>
      <w:r>
        <w:t xml:space="preserve"> </w:t>
      </w:r>
      <w:r>
        <w:t xml:space="preserve">increase is mainly driven by the uptake of electric vehicles, the penetration of heat pumps</w:t>
      </w:r>
      <w:r>
        <w:t xml:space="preserve"> </w:t>
      </w:r>
      <w:r>
        <w:t xml:space="preserve">and electrification of low and medium temperature industrial processes. Fossil fuels start</w:t>
      </w:r>
      <w:r>
        <w:t xml:space="preserve"> </w:t>
      </w:r>
      <w:r>
        <w:t xml:space="preserve">to be partially replaced by hydrogen and other RFNBOs in industry and transport</w:t>
      </w:r>
      <w:r>
        <w:t xml:space="preserve"> </w:t>
      </w:r>
      <w:r>
        <w:t xml:space="preserve">(representing more than 10% and 20% of sectoral demand in S2 and S3 in 2040), while</w:t>
      </w:r>
      <w:r>
        <w:t xml:space="preserve"> </w:t>
      </w:r>
      <w:r>
        <w:t xml:space="preserve">the consumption of RFNBOs in the building sector remains limited throughout the</w:t>
      </w:r>
      <w:r>
        <w:t xml:space="preserve"> </w:t>
      </w:r>
      <w:r>
        <w:t xml:space="preserve">period. Across all sectors, RFNBOs account for approximately 5-10% of total FEC in</w:t>
      </w:r>
      <w:r>
        <w:t xml:space="preserve"> </w:t>
      </w:r>
      <w:r>
        <w:t xml:space="preserve">2040 and 16% in 2050.</w:t>
      </w:r>
      <w:r>
        <w:t xml:space="preserve"> </w:t>
      </w:r>
      <w:r>
        <w:t xml:space="preserve">Under existing energy efficiency policies, all end-use sectors are expected to reduce</w:t>
      </w:r>
      <w:r>
        <w:t xml:space="preserve"> </w:t>
      </w:r>
      <w:r>
        <w:t xml:space="preserve">energy consumption significantly in the current decade. Energy consumption continues to</w:t>
      </w:r>
      <w:r>
        <w:t xml:space="preserve"> </w:t>
      </w:r>
      <w:r>
        <w:t xml:space="preserve">decrease in the decade 2031-2040 albeit at a slower pace (except for the transport sector</w:t>
      </w:r>
      <w:r>
        <w:t xml:space="preserve"> </w:t>
      </w:r>
      <w:r>
        <w:t xml:space="preserve">that sees considerable improvements after 2030 thanks to accelerated electrification).</w:t>
      </w:r>
      <w:r>
        <w:t xml:space="preserve"> </w:t>
      </w:r>
      <w:r>
        <w:t xml:space="preserve">Compared to 2021, energy consumption decreases by 42% in 2040, in the transport</w:t>
      </w:r>
      <w:r>
        <w:t xml:space="preserve"> </w:t>
      </w:r>
      <w:r>
        <w:t xml:space="preserve">sector (59), 45% in the residential sector, approximately 30% in the services and industrial</w:t>
      </w:r>
      <w:r>
        <w:t xml:space="preserve"> </w:t>
      </w:r>
      <w:r>
        <w:t xml:space="preserve">sectors and by 25% in agriculture. Only small additional reductions in final energy</w:t>
      </w:r>
      <w:r>
        <w:t xml:space="preserve"> </w:t>
      </w:r>
      <w:r>
        <w:t xml:space="preserve">consumption occur by 2050 in all sectors.</w:t>
      </w:r>
      <w:r>
        <w:br/>
      </w:r>
      <w:r>
        <w:t xml:space="preserve">6.2.2 Raw materials needs</w:t>
      </w:r>
      <w:r>
        <w:t xml:space="preserve"> </w:t>
      </w:r>
      <w:r>
        <w:t xml:space="preserve">The manufacturing and deployment of net-zero technologies will increase the needs for</w:t>
      </w:r>
      <w:r>
        <w:t xml:space="preserve"> </w:t>
      </w:r>
      <w:r>
        <w:t xml:space="preserve">Critical Raw Materials (CRMs).</w:t>
      </w:r>
      <w:r>
        <w:br/>
      </w:r>
      <w:r>
        <w:t xml:space="preserve">With scenario S3, the deployment of five net-zero technologies (wind turbines, solar PV,</w:t>
      </w:r>
      <w:r>
        <w:t xml:space="preserve"> </w:t>
      </w:r>
      <w:r>
        <w:t xml:space="preserve">batteries, electrolysers, and heat pumps) would imply a need for up to 500 000 tonnes of</w:t>
      </w:r>
      <w:r>
        <w:t xml:space="preserve"> </w:t>
      </w:r>
      <w:r>
        <w:t xml:space="preserve">copper each year in the decade 2031-2040, including 125 000 tonnes for wind alone. This</w:t>
      </w:r>
      <w:r>
        <w:t xml:space="preserve"> </w:t>
      </w:r>
      <w:r>
        <w:t xml:space="preserve">compares with a global copper demand of 26 million tonnes in 2022 according to the</w:t>
      </w:r>
      <w:r>
        <w:t xml:space="preserve"> </w:t>
      </w:r>
      <w:r>
        <w:t xml:space="preserve">IEA, including 370 000 tonnes for electric vehicles and 1.2 million tonnes for wind and</w:t>
      </w:r>
      <w:r>
        <w:t xml:space="preserve"> </w:t>
      </w:r>
      <w:r>
        <w:t xml:space="preserve">solar (60). The global supply for copper is expected to exceed 30 million tonnes in 2030</w:t>
      </w:r>
      <w:r>
        <w:t xml:space="preserve"> </w:t>
      </w:r>
      <w:r>
        <w:t xml:space="preserve">(61).</w:t>
      </w:r>
    </w:p>
    <w:p>
      <w:pPr>
        <w:pStyle w:val="Compact"/>
        <w:numPr>
          <w:ilvl w:val="0"/>
          <w:numId w:val="1026"/>
        </w:numPr>
      </w:pPr>
      <w:r>
        <w:t xml:space="preserve">Including international aviation but excluding international maritime transport.</w:t>
      </w:r>
    </w:p>
    <w:p>
      <w:pPr>
        <w:pStyle w:val="Compact"/>
        <w:numPr>
          <w:ilvl w:val="0"/>
          <w:numId w:val="1026"/>
        </w:numPr>
      </w:pPr>
      <w:r>
        <w:t xml:space="preserve">IEA (2023), Critical Minerals Data Explorer, IEA, Paris https://www.iea.org/data-and-statistics/data-</w:t>
      </w:r>
      <w:r>
        <w:t xml:space="preserve"> </w:t>
      </w:r>
      <w:r>
        <w:t xml:space="preserve">tools/critical-minerals-data-explorer. Accessed on 05 December 2023.</w:t>
      </w:r>
    </w:p>
    <w:p>
      <w:pPr>
        <w:pStyle w:val="Compact"/>
        <w:numPr>
          <w:ilvl w:val="0"/>
          <w:numId w:val="1026"/>
        </w:numPr>
      </w:pPr>
      <w:r>
        <w:t xml:space="preserve">IEA (2023), Net Zero Roadmap: A Global Pathway to Keep the 1.5 °C Goal in Reach, IEA, Paris</w:t>
      </w:r>
      <w:r>
        <w:t xml:space="preserve"> </w:t>
      </w:r>
      <w:r>
        <w:t xml:space="preserve">https://www.iea.org/reports/net-zero-roadmap-a-global-pathway-to-keep-the-15-0c-goal-in-reach</w:t>
      </w:r>
    </w:p>
    <w:p>
      <w:pPr>
        <w:pStyle w:val="FirstParagraph"/>
      </w:pPr>
      <w:r>
        <w:t xml:space="preserve">47</w:t>
      </w:r>
    </w:p>
    <w:p>
      <w:pPr>
        <w:pStyle w:val="BodyText"/>
      </w:pPr>
      <w:r>
        <w:t xml:space="preserve">Batteries for electric vehicles and stationary batteries would create needs of up to 80 000</w:t>
      </w:r>
      <w:r>
        <w:t xml:space="preserve"> </w:t>
      </w:r>
      <w:r>
        <w:t xml:space="preserve">tonnes of lithium and 60 000 tonnes of cobalt per year in 2040. As a comparison, global</w:t>
      </w:r>
      <w:r>
        <w:t xml:space="preserve"> </w:t>
      </w:r>
      <w:r>
        <w:t xml:space="preserve">lithium demand in 2022 was 130 000 tonnes, including 69 000 tonnes for electric</w:t>
      </w:r>
      <w:r>
        <w:t xml:space="preserve"> </w:t>
      </w:r>
      <w:r>
        <w:t xml:space="preserve">vehicles, and cobalt demand was around 200 000 tonnes (60). By 2030, global supply for</w:t>
      </w:r>
      <w:r>
        <w:t xml:space="preserve"> </w:t>
      </w:r>
      <w:r>
        <w:t xml:space="preserve">lithium and cobalt are expected to be as high as 721 000 and 380 000 tonnes, respectively</w:t>
      </w:r>
      <w:r>
        <w:t xml:space="preserve"> </w:t>
      </w:r>
      <w:r>
        <w:t xml:space="preserve">(61).</w:t>
      </w:r>
      <w:r>
        <w:br/>
      </w:r>
      <w:r>
        <w:t xml:space="preserve">In S1 and S3, raw material needs would be lower and higher than in S2, respectively, as</w:t>
      </w:r>
      <w:r>
        <w:t xml:space="preserve"> </w:t>
      </w:r>
      <w:r>
        <w:t xml:space="preserve">in 2040 net installed renewable power capacity is lower by 8% in S1 and higher by 6% in</w:t>
      </w:r>
      <w:r>
        <w:t xml:space="preserve"> </w:t>
      </w:r>
      <w:r>
        <w:t xml:space="preserve">S3 compared to S2.</w:t>
      </w:r>
      <w:r>
        <w:br/>
      </w:r>
      <w:r>
        <w:t xml:space="preserve">6.3</w:t>
      </w:r>
      <w:r>
        <w:t xml:space="preserve"> </w:t>
      </w:r>
      <w:r>
        <w:t xml:space="preserve">Environmental and health impacts</w:t>
      </w:r>
      <w:r>
        <w:br/>
      </w:r>
      <w:r>
        <w:t xml:space="preserve">6.3.1 Benefits of climate change mitigation</w:t>
      </w:r>
      <w:r>
        <w:t xml:space="preserve"> </w:t>
      </w:r>
      <w:r>
        <w:t xml:space="preserve">It is estimated that climate damages could cost EU GDP by up to 1% annually already in</w:t>
      </w:r>
      <w:r>
        <w:t xml:space="preserve"> </w:t>
      </w:r>
      <w:r>
        <w:t xml:space="preserve">the next few years, with damages strongly increasing afterwards, reaching up to 2.3% of</w:t>
      </w:r>
      <w:r>
        <w:t xml:space="preserve"> </w:t>
      </w:r>
      <w:r>
        <w:t xml:space="preserve">EU GDP by mid-century, and possibly getting much higher in only a few decades in case</w:t>
      </w:r>
      <w:r>
        <w:t xml:space="preserve"> </w:t>
      </w:r>
      <w:r>
        <w:t xml:space="preserve">of uncontrolled climate change with estimates for the EU in this analysis reaching 7% by</w:t>
      </w:r>
      <w:r>
        <w:t xml:space="preserve"> </w:t>
      </w:r>
      <w:r>
        <w:t xml:space="preserve">the end of the century. Such estimates are conservative since they do not include the</w:t>
      </w:r>
      <w:r>
        <w:t xml:space="preserve"> </w:t>
      </w:r>
      <w:r>
        <w:t xml:space="preserve">wider impacts on society and natural systems (see Annex 7).</w:t>
      </w:r>
      <w:r>
        <w:br/>
      </w:r>
      <w:r>
        <w:t xml:space="preserve">To compare the avoided cost of climate change across options, Table 11 below provides</w:t>
      </w:r>
      <w:r>
        <w:t xml:space="preserve"> </w:t>
      </w:r>
      <w:r>
        <w:t xml:space="preserve">a comparison of the monetisation of the externalities associated to GHG emissions. It</w:t>
      </w:r>
      <w:r>
        <w:t xml:space="preserve"> </w:t>
      </w:r>
      <w:r>
        <w:t xml:space="preserve">considers the difference across target options in cumulative emissions over 2030-2050</w:t>
      </w:r>
      <w:r>
        <w:t xml:space="preserve"> </w:t>
      </w:r>
      <w:r>
        <w:t xml:space="preserve">and a “cost of carbon” capturing these externalities.</w:t>
      </w:r>
      <w:r>
        <w:br/>
      </w:r>
      <w:r>
        <w:t xml:space="preserve">Table 11: Difference across options in cumulative GHG emissions and cost of climate</w:t>
      </w:r>
      <w:r>
        <w:t xml:space="preserve"> </w:t>
      </w:r>
      <w:r>
        <w:t xml:space="preserve">change</w:t>
      </w:r>
    </w:p>
    <w:p>
      <w:pPr>
        <w:pStyle w:val="BodyText"/>
      </w:pPr>
      <w:r>
        <w:t xml:space="preserve">Comparison to target option 2</w:t>
      </w:r>
    </w:p>
    <w:p>
      <w:pPr>
        <w:pStyle w:val="BodyText"/>
      </w:pP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2030-2050</w:t>
      </w:r>
    </w:p>
    <w:p>
      <w:pPr>
        <w:pStyle w:val="BodyText"/>
      </w:pP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Option</w:t>
      </w:r>
      <w:r>
        <w:t xml:space="preserve"> </w:t>
      </w:r>
      <w:r>
        <w:t xml:space="preserve">1</w:t>
      </w:r>
      <w:r>
        <w:t xml:space="preserve"> </w:t>
      </w:r>
      <w:r>
        <w:t xml:space="preserve">Option</w:t>
      </w:r>
      <w:r>
        <w:t xml:space="preserve"> </w:t>
      </w:r>
      <w:r>
        <w:t xml:space="preserve">3</w:t>
      </w:r>
      <w:r>
        <w:t xml:space="preserve"> </w:t>
      </w:r>
      <w:r>
        <w:t xml:space="preserve">Cumulative GHGs* (GtCO2-eq)</w:t>
      </w:r>
      <w:r>
        <w:t xml:space="preserve"> </w:t>
      </w:r>
      <w:r>
        <w:t xml:space="preserve">1.7</w:t>
      </w:r>
      <w:r>
        <w:t xml:space="preserve"> </w:t>
      </w:r>
      <w:r>
        <w:t xml:space="preserve">-1.3</w:t>
      </w:r>
      <w:r>
        <w:t xml:space="preserve"> </w:t>
      </w:r>
      <w:r>
        <w:t xml:space="preserve">1.4</w:t>
      </w:r>
      <w:r>
        <w:t xml:space="preserve"> </w:t>
      </w:r>
      <w:r>
        <w:t xml:space="preserve">-1.1</w:t>
      </w:r>
      <w:r>
        <w:t xml:space="preserve"> </w:t>
      </w:r>
      <w:r>
        <w:t xml:space="preserve">3.1</w:t>
      </w:r>
      <w:r>
        <w:t xml:space="preserve"> </w:t>
      </w:r>
      <w:r>
        <w:t xml:space="preserve">-2.4</w:t>
      </w:r>
      <w:r>
        <w:t xml:space="preserve"> </w:t>
      </w:r>
      <w:r>
        <w:t xml:space="preserve">Climate change cost**</w:t>
      </w:r>
      <w:r>
        <w:br/>
      </w:r>
      <w:r>
        <w:t xml:space="preserve">[Bn EUR 2023 per year]</w:t>
      </w:r>
      <w:r>
        <w:t xml:space="preserve"> </w:t>
      </w:r>
      <w:r>
        <w:t xml:space="preserve">(Lower valuation)</w:t>
      </w:r>
      <w:r>
        <w:br/>
      </w:r>
      <w:r>
        <w:t xml:space="preserve">26</w:t>
      </w:r>
      <w:r>
        <w:t xml:space="preserve"> </w:t>
      </w:r>
      <w:r>
        <w:t xml:space="preserve">-20</w:t>
      </w:r>
      <w:r>
        <w:t xml:space="preserve"> </w:t>
      </w:r>
      <w:r>
        <w:t xml:space="preserve">31</w:t>
      </w:r>
      <w:r>
        <w:t xml:space="preserve"> </w:t>
      </w:r>
      <w:r>
        <w:t xml:space="preserve">-24</w:t>
      </w:r>
      <w:r>
        <w:t xml:space="preserve"> </w:t>
      </w:r>
      <w:r>
        <w:t xml:space="preserve">29</w:t>
      </w:r>
      <w:r>
        <w:t xml:space="preserve"> </w:t>
      </w:r>
      <w:r>
        <w:t xml:space="preserve">-22</w:t>
      </w:r>
      <w:r>
        <w:t xml:space="preserve"> </w:t>
      </w:r>
      <w:r>
        <w:t xml:space="preserve">(Higher valuation)</w:t>
      </w:r>
      <w:r>
        <w:br/>
      </w:r>
      <w:r>
        <w:t xml:space="preserve">49</w:t>
      </w:r>
      <w:r>
        <w:t xml:space="preserve"> </w:t>
      </w:r>
      <w:r>
        <w:t xml:space="preserve">-38</w:t>
      </w:r>
      <w:r>
        <w:t xml:space="preserve"> </w:t>
      </w:r>
      <w:r>
        <w:t xml:space="preserve">58</w:t>
      </w:r>
      <w:r>
        <w:t xml:space="preserve"> </w:t>
      </w:r>
      <w:r>
        <w:t xml:space="preserve">-44</w:t>
      </w:r>
      <w:r>
        <w:t xml:space="preserve"> </w:t>
      </w:r>
      <w:r>
        <w:t xml:space="preserve">53</w:t>
      </w:r>
      <w:r>
        <w:t xml:space="preserve"> </w:t>
      </w:r>
      <w:r>
        <w:t xml:space="preserve">-41</w:t>
      </w:r>
      <w:r>
        <w:t xml:space="preserve"> </w:t>
      </w:r>
      <w:r>
        <w:t xml:space="preserve">Note: *Considering 2040 reductions of 85% for T2 and 90% for T3. **Cost calculations based on the “Handbook</w:t>
      </w:r>
      <w:r>
        <w:t xml:space="preserve"> </w:t>
      </w:r>
      <w:r>
        <w:t xml:space="preserve">on the external costs of transport (Version 2019 – 1.1)” following the avoidance cost approach. The cost of</w:t>
      </w:r>
      <w:r>
        <w:t xml:space="preserve"> </w:t>
      </w:r>
      <w:r>
        <w:t xml:space="preserve">carbon is interpolated from the Handbook: EUR 155 per tonne of CO2 in 2030-2040 and EUR 224 per tonne in</w:t>
      </w:r>
      <w:r>
        <w:t xml:space="preserve"> </w:t>
      </w:r>
      <w:r>
        <w:t xml:space="preserve">2041-2050 (central value of the handbook, used for the “Lower” valuation) and EUR 291 per tonne in 2031-</w:t>
      </w:r>
      <w:r>
        <w:t xml:space="preserve"> </w:t>
      </w:r>
      <w:r>
        <w:t xml:space="preserve">2040 and EUR 416 per tonne in 2041-2050 (high value of the handbook, used for the “Higher” valuation), in</w:t>
      </w:r>
      <w:r>
        <w:t xml:space="preserve"> </w:t>
      </w:r>
      <w:r>
        <w:t xml:space="preserve">EUR 2023.</w:t>
      </w:r>
      <w:r>
        <w:t xml:space="preserve"> </w:t>
      </w:r>
      <w:r>
        <w:t xml:space="preserve">Note that the methodology used for the monetisation of the external costs of climate</w:t>
      </w:r>
      <w:r>
        <w:t xml:space="preserve"> </w:t>
      </w:r>
      <w:r>
        <w:t xml:space="preserve">change is subject to discussions and that there is a high level of uncertainty associated</w:t>
      </w:r>
      <w:r>
        <w:t xml:space="preserve"> </w:t>
      </w:r>
      <w:r>
        <w:t xml:space="preserve">with such estimates and their use. Some studies conclude that the costs used are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(significantly) underestimated. In some other organisations (62), a cost of carbon of above</w:t>
      </w:r>
      <w:r>
        <w:t xml:space="preserve"> </w:t>
      </w:r>
      <w:r>
        <w:t xml:space="preserve">€800/ tCO2 is suggested by 2050.</w:t>
      </w:r>
      <w:r>
        <w:t xml:space="preserve"> </w:t>
      </w:r>
      <w:r>
        <w:t xml:space="preserve">In addition, given the difficulty in doing so, analyses, including this one, do not represent</w:t>
      </w:r>
      <w:r>
        <w:t xml:space="preserve"> </w:t>
      </w:r>
      <w:r>
        <w:t xml:space="preserve">the impacts of crossing climate tipping points, which are increasingly likely with every</w:t>
      </w:r>
      <w:r>
        <w:t xml:space="preserve"> </w:t>
      </w:r>
      <w:r>
        <w:t xml:space="preserve">incremental increase in global warming. Looking forward, the cost of unmitigated</w:t>
      </w:r>
      <w:r>
        <w:t xml:space="preserve"> </w:t>
      </w:r>
      <w:r>
        <w:t xml:space="preserve">climate change will greatly exceed the cost of reducing GHG emissions, both in</w:t>
      </w:r>
      <w:r>
        <w:t xml:space="preserve"> </w:t>
      </w:r>
      <w:r>
        <w:t xml:space="preserve">magnitude and extent.</w:t>
      </w:r>
      <w:r>
        <w:br/>
      </w:r>
      <w:r>
        <w:t xml:space="preserve">6.3.2 Health impacts</w:t>
      </w:r>
      <w:r>
        <w:t xml:space="preserve"> </w:t>
      </w:r>
      <w:r>
        <w:t xml:space="preserve">The transformations required to reduce GHG emissions in the EU have positive impacts</w:t>
      </w:r>
      <w:r>
        <w:t xml:space="preserve"> </w:t>
      </w:r>
      <w:r>
        <w:t xml:space="preserve">on air quality because they lead to lower energy consumption and a shift to non-emitting</w:t>
      </w:r>
      <w:r>
        <w:t xml:space="preserve"> </w:t>
      </w:r>
      <w:r>
        <w:t xml:space="preserve">renewable energy sources and to less polluting combustion fuels. According to</w:t>
      </w:r>
      <w:r>
        <w:t xml:space="preserve"> </w:t>
      </w:r>
      <w:r>
        <w:t xml:space="preserve">projections produced using the GAINS model (63), the S1, S2 and S3 scenarios have very</w:t>
      </w:r>
      <w:r>
        <w:t xml:space="preserve"> </w:t>
      </w:r>
      <w:r>
        <w:t xml:space="preserve">similar impacts, with primary air pollutant emissions in the EU decreasing by 16%-77%</w:t>
      </w:r>
      <w:r>
        <w:t xml:space="preserve"> </w:t>
      </w:r>
      <w:r>
        <w:t xml:space="preserve">(depending on the pollutant) between 2015 and 2040 (see Table 12). This results mostly</w:t>
      </w:r>
      <w:r>
        <w:t xml:space="preserve"> </w:t>
      </w:r>
      <w:r>
        <w:t xml:space="preserve">from the projected strong decline in fossil fuel use in the energy system and lower</w:t>
      </w:r>
      <w:r>
        <w:t xml:space="preserve"> </w:t>
      </w:r>
      <w:r>
        <w:t xml:space="preserve">consumption of solid biomass in residential buildings, combined with clean air policies.</w:t>
      </w:r>
      <w:r>
        <w:t xml:space="preserve"> </w:t>
      </w:r>
      <w:r>
        <w:t xml:space="preserve">Consequently, the impacts on public health also decline. In general, the most harmful air</w:t>
      </w:r>
      <w:r>
        <w:t xml:space="preserve"> </w:t>
      </w:r>
      <w:r>
        <w:t xml:space="preserve">pollutants for human health are PM2.5, tropospheric ozone and NO2(64). Between 2015</w:t>
      </w:r>
      <w:r>
        <w:t xml:space="preserve"> </w:t>
      </w:r>
      <w:r>
        <w:t xml:space="preserve">and 2040, the number of premature deaths per year caused by PM2.5 and ozone exposure</w:t>
      </w:r>
      <w:r>
        <w:t xml:space="preserve"> </w:t>
      </w:r>
      <w:r>
        <w:t xml:space="preserve">in the EU dropped by 58% (65) and the costs associated to premature mortality caused by</w:t>
      </w:r>
      <w:r>
        <w:t xml:space="preserve"> </w:t>
      </w:r>
      <w:r>
        <w:t xml:space="preserve">PM2.5 and ozone exposure decreased by 55% or 61%, depending on the valuation</w:t>
      </w:r>
      <w:r>
        <w:t xml:space="preserve"> </w:t>
      </w:r>
      <w:r>
        <w:t xml:space="preserve">method employed.</w:t>
      </w:r>
      <w:r>
        <w:br/>
      </w:r>
      <w:r>
        <w:t xml:space="preserve">LIFE yields additional co-benefits in terms of lower air pollutant emissions and a greater</w:t>
      </w:r>
      <w:r>
        <w:t xml:space="preserve"> </w:t>
      </w:r>
      <w:r>
        <w:t xml:space="preserve">reduction in premature mortality, mainly as a result of lower air pollutant emissions from</w:t>
      </w:r>
      <w:r>
        <w:t xml:space="preserve"> </w:t>
      </w:r>
      <w:r>
        <w:t xml:space="preserve">agricultural activities, in particular lower NH3 emissions, which has been found to result</w:t>
      </w:r>
      <w:r>
        <w:t xml:space="preserve"> </w:t>
      </w:r>
      <w:r>
        <w:t xml:space="preserve">in economic benefits from improved health (66). Additional indirect air quality benefits</w:t>
      </w:r>
      <w:r>
        <w:t xml:space="preserve"> </w:t>
      </w:r>
      <w:r>
        <w:t xml:space="preserve">also stem from reduced methane emissions as a precursor of ozone emissions. In addition</w:t>
      </w:r>
      <w:r>
        <w:t xml:space="preserve"> </w:t>
      </w:r>
      <w:r>
        <w:t xml:space="preserve">to improved air quality, a shift in diet as in LIFE would deliver significant health</w:t>
      </w:r>
    </w:p>
    <w:p>
      <w:pPr>
        <w:pStyle w:val="Compact"/>
        <w:numPr>
          <w:ilvl w:val="0"/>
          <w:numId w:val="1027"/>
        </w:numPr>
      </w:pPr>
      <w:r>
        <w:t xml:space="preserve">EIB, France, Germany, UK for example</w:t>
      </w:r>
    </w:p>
    <w:p>
      <w:pPr>
        <w:pStyle w:val="Compact"/>
        <w:numPr>
          <w:ilvl w:val="0"/>
          <w:numId w:val="1027"/>
        </w:numPr>
      </w:pPr>
      <w:r>
        <w:t xml:space="preserve">The methodology used is similar to the one used in the Third Clean Air Outlook (COM(2022) 673).</w:t>
      </w:r>
    </w:p>
    <w:p>
      <w:pPr>
        <w:pStyle w:val="Compact"/>
        <w:numPr>
          <w:ilvl w:val="0"/>
          <w:numId w:val="1027"/>
        </w:numPr>
      </w:pPr>
      <w:r>
        <w:t xml:space="preserve">According to the Third Clean Air Outlook. Note that tropospheric ozone is not emitted directly into the</w:t>
      </w:r>
      <w:r>
        <w:t xml:space="preserve"> </w:t>
      </w:r>
      <w:r>
        <w:t xml:space="preserve">air. It is created by chemical reactions between oxides of nitrogen (NOx) and volatile organic compounds</w:t>
      </w:r>
      <w:r>
        <w:t xml:space="preserve"> </w:t>
      </w:r>
      <w:r>
        <w:t xml:space="preserve">(VOC), in the presence of sunlight. The analysis of clean air impacts will be presented in more details in</w:t>
      </w:r>
      <w:r>
        <w:t xml:space="preserve"> </w:t>
      </w:r>
      <w:r>
        <w:t xml:space="preserve">the COM 4th Clean Air Outlook report (forthcoming, 2024).</w:t>
      </w:r>
    </w:p>
    <w:p>
      <w:pPr>
        <w:pStyle w:val="Compact"/>
        <w:numPr>
          <w:ilvl w:val="0"/>
          <w:numId w:val="1027"/>
        </w:numPr>
      </w:pPr>
      <w:r>
        <w:t xml:space="preserve">The analysis considers the direct effects of PM2.5 (full exposure range) and ozone on human health,</w:t>
      </w:r>
      <w:r>
        <w:t xml:space="preserve"> </w:t>
      </w:r>
      <w:r>
        <w:t xml:space="preserve">together with the indirect effects of NOx as precursors of particulate matter and ozone. However, the direct</w:t>
      </w:r>
      <w:r>
        <w:t xml:space="preserve"> </w:t>
      </w:r>
      <w:r>
        <w:t xml:space="preserve">effects of NO2 are not considered to avoid the risk of double counting, since there is conflicting scientific</w:t>
      </w:r>
      <w:r>
        <w:t xml:space="preserve"> </w:t>
      </w:r>
      <w:r>
        <w:t xml:space="preserve">evidence on the extent to which the health impacts of PM2.5 and NO2 overlap.</w:t>
      </w:r>
    </w:p>
    <w:p>
      <w:pPr>
        <w:pStyle w:val="Compact"/>
        <w:numPr>
          <w:ilvl w:val="0"/>
          <w:numId w:val="1027"/>
        </w:numPr>
      </w:pPr>
      <w:r>
        <w:t xml:space="preserve">Shift to flexitarian diets could reduce ammonia emissions by 33% in the EU. Through avoided</w:t>
      </w:r>
      <w:r>
        <w:t xml:space="preserve"> </w:t>
      </w:r>
      <w:r>
        <w:t xml:space="preserve">premature mortality, economic losses in the agricultural sector from dietary shifts could be mitigated by</w:t>
      </w:r>
      <w:r>
        <w:t xml:space="preserve"> </w:t>
      </w:r>
      <w:r>
        <w:t xml:space="preserve">39% in the EU in such a scenario. Himics et al. ‘Co-benefits of a flexitarian diet for air quality and human</w:t>
      </w:r>
      <w:r>
        <w:t xml:space="preserve"> </w:t>
      </w:r>
      <w:r>
        <w:t xml:space="preserve">health in Europe’, 2022</w:t>
      </w:r>
    </w:p>
    <w:p>
      <w:pPr>
        <w:pStyle w:val="FirstParagraph"/>
      </w:pPr>
      <w:r>
        <w:t xml:space="preserve">49</w:t>
      </w:r>
    </w:p>
    <w:p>
      <w:pPr>
        <w:pStyle w:val="BodyText"/>
      </w:pPr>
      <w:r>
        <w:t xml:space="preserve">benefits, reducing for example the risk of cardiovascular diseases (67), cancer (68),</w:t>
      </w:r>
      <w:r>
        <w:t xml:space="preserve"> </w:t>
      </w:r>
      <w:r>
        <w:t xml:space="preserve">diabetes, and obesity (69).</w:t>
      </w:r>
      <w:r>
        <w:br/>
      </w:r>
      <w:r>
        <w:t xml:space="preserve">Table 12: Primary air pollutant emissions, impacts on premature mortality and costs</w:t>
      </w:r>
      <w:r>
        <w:t xml:space="preserve"> </w:t>
      </w:r>
      <w:r>
        <w:t xml:space="preserve">associated to premature mortality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2040</w:t>
      </w:r>
      <w:r>
        <w:t xml:space="preserve"> </w:t>
      </w:r>
      <w:r>
        <w:t xml:space="preserve">Change 2015-2040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Primary air pollutant emissions (kt)</w:t>
      </w:r>
      <w:r>
        <w:t xml:space="preserve"> </w:t>
      </w:r>
      <w:r>
        <w:t xml:space="preserve">SO2</w:t>
      </w:r>
      <w:r>
        <w:t xml:space="preserve"> </w:t>
      </w:r>
      <w:r>
        <w:t xml:space="preserve">2316</w:t>
      </w:r>
      <w:r>
        <w:t xml:space="preserve"> </w:t>
      </w:r>
      <w:r>
        <w:t xml:space="preserve">525</w:t>
      </w:r>
      <w:r>
        <w:t xml:space="preserve"> </w:t>
      </w:r>
      <w:r>
        <w:t xml:space="preserve">529</w:t>
      </w:r>
      <w:r>
        <w:t xml:space="preserve"> </w:t>
      </w:r>
      <w:r>
        <w:t xml:space="preserve">529</w:t>
      </w:r>
      <w:r>
        <w:t xml:space="preserve"> </w:t>
      </w:r>
      <w:r>
        <w:t xml:space="preserve">529</w:t>
      </w:r>
      <w:r>
        <w:t xml:space="preserve"> </w:t>
      </w:r>
      <w:r>
        <w:t xml:space="preserve">-1791</w:t>
      </w:r>
      <w:r>
        <w:br/>
      </w:r>
      <w:r>
        <w:t xml:space="preserve">(-77.3%)</w:t>
      </w:r>
      <w:r>
        <w:t xml:space="preserve"> </w:t>
      </w:r>
      <w:r>
        <w:t xml:space="preserve">-1787</w:t>
      </w:r>
      <w:r>
        <w:br/>
      </w:r>
      <w:r>
        <w:t xml:space="preserve">(-77.1%)</w:t>
      </w:r>
      <w:r>
        <w:t xml:space="preserve"> </w:t>
      </w:r>
      <w:r>
        <w:t xml:space="preserve">-1787</w:t>
      </w:r>
      <w:r>
        <w:br/>
      </w:r>
      <w:r>
        <w:t xml:space="preserve">(-77.1%)</w:t>
      </w:r>
      <w:r>
        <w:t xml:space="preserve"> </w:t>
      </w:r>
      <w:r>
        <w:t xml:space="preserve">-1787</w:t>
      </w:r>
      <w:r>
        <w:br/>
      </w:r>
      <w:r>
        <w:t xml:space="preserve">(-77.1%)</w:t>
      </w:r>
      <w:r>
        <w:t xml:space="preserve"> </w:t>
      </w:r>
      <w:r>
        <w:t xml:space="preserve">NOx</w:t>
      </w:r>
      <w:r>
        <w:t xml:space="preserve"> </w:t>
      </w:r>
      <w:r>
        <w:t xml:space="preserve">7392</w:t>
      </w:r>
      <w:r>
        <w:t xml:space="preserve"> </w:t>
      </w:r>
      <w:r>
        <w:t xml:space="preserve">2140</w:t>
      </w:r>
      <w:r>
        <w:t xml:space="preserve"> </w:t>
      </w:r>
      <w:r>
        <w:t xml:space="preserve">2140</w:t>
      </w:r>
      <w:r>
        <w:t xml:space="preserve"> </w:t>
      </w:r>
      <w:r>
        <w:t xml:space="preserve">2114</w:t>
      </w:r>
      <w:r>
        <w:t xml:space="preserve"> </w:t>
      </w:r>
      <w:r>
        <w:t xml:space="preserve">1913</w:t>
      </w:r>
      <w:r>
        <w:t xml:space="preserve"> </w:t>
      </w:r>
      <w:r>
        <w:t xml:space="preserve">-5252</w:t>
      </w:r>
      <w:r>
        <w:br/>
      </w:r>
      <w:r>
        <w:t xml:space="preserve">(-71.1%)</w:t>
      </w:r>
      <w:r>
        <w:t xml:space="preserve"> </w:t>
      </w:r>
      <w:r>
        <w:t xml:space="preserve">-5252</w:t>
      </w:r>
      <w:r>
        <w:br/>
      </w:r>
      <w:r>
        <w:t xml:space="preserve">(-71.1%)</w:t>
      </w:r>
      <w:r>
        <w:t xml:space="preserve"> </w:t>
      </w:r>
      <w:r>
        <w:t xml:space="preserve">-5277</w:t>
      </w:r>
      <w:r>
        <w:br/>
      </w:r>
      <w:r>
        <w:t xml:space="preserve">(-71.4%)</w:t>
      </w:r>
      <w:r>
        <w:t xml:space="preserve"> </w:t>
      </w:r>
      <w:r>
        <w:t xml:space="preserve">-5478</w:t>
      </w:r>
      <w:r>
        <w:br/>
      </w:r>
      <w:r>
        <w:t xml:space="preserve">(-74.1%)</w:t>
      </w:r>
      <w:r>
        <w:t xml:space="preserve"> </w:t>
      </w:r>
      <w:r>
        <w:t xml:space="preserve">PM2.5</w:t>
      </w:r>
      <w:r>
        <w:t xml:space="preserve"> </w:t>
      </w:r>
      <w:r>
        <w:t xml:space="preserve">1380</w:t>
      </w:r>
      <w:r>
        <w:t xml:space="preserve"> </w:t>
      </w:r>
      <w:r>
        <w:t xml:space="preserve">521</w:t>
      </w:r>
      <w:r>
        <w:t xml:space="preserve"> </w:t>
      </w:r>
      <w:r>
        <w:t xml:space="preserve">524</w:t>
      </w:r>
      <w:r>
        <w:t xml:space="preserve"> </w:t>
      </w:r>
      <w:r>
        <w:t xml:space="preserve">521</w:t>
      </w:r>
      <w:r>
        <w:t xml:space="preserve"> </w:t>
      </w:r>
      <w:r>
        <w:t xml:space="preserve">517</w:t>
      </w:r>
      <w:r>
        <w:t xml:space="preserve"> </w:t>
      </w:r>
      <w:r>
        <w:t xml:space="preserve">-859</w:t>
      </w:r>
      <w:r>
        <w:br/>
      </w:r>
      <w:r>
        <w:t xml:space="preserve">(-62.2%)</w:t>
      </w:r>
      <w:r>
        <w:t xml:space="preserve"> </w:t>
      </w:r>
      <w:r>
        <w:t xml:space="preserve">-857</w:t>
      </w:r>
      <w:r>
        <w:br/>
      </w:r>
      <w:r>
        <w:t xml:space="preserve">(-62.1%)</w:t>
      </w:r>
      <w:r>
        <w:t xml:space="preserve"> </w:t>
      </w:r>
      <w:r>
        <w:t xml:space="preserve">-859</w:t>
      </w:r>
      <w:r>
        <w:br/>
      </w:r>
      <w:r>
        <w:t xml:space="preserve">(-62.2%)</w:t>
      </w:r>
      <w:r>
        <w:t xml:space="preserve"> </w:t>
      </w:r>
      <w:r>
        <w:t xml:space="preserve">-863</w:t>
      </w:r>
      <w:r>
        <w:br/>
      </w:r>
      <w:r>
        <w:t xml:space="preserve">(-62.5%)</w:t>
      </w:r>
      <w:r>
        <w:t xml:space="preserve"> </w:t>
      </w:r>
      <w:r>
        <w:t xml:space="preserve">VOC</w:t>
      </w:r>
      <w:r>
        <w:t xml:space="preserve"> </w:t>
      </w:r>
      <w:r>
        <w:t xml:space="preserve">6362</w:t>
      </w:r>
      <w:r>
        <w:t xml:space="preserve"> </w:t>
      </w:r>
      <w:r>
        <w:t xml:space="preserve">4503</w:t>
      </w:r>
      <w:r>
        <w:t xml:space="preserve"> </w:t>
      </w:r>
      <w:r>
        <w:t xml:space="preserve">4501</w:t>
      </w:r>
      <w:r>
        <w:t xml:space="preserve"> </w:t>
      </w:r>
      <w:r>
        <w:t xml:space="preserve">4497</w:t>
      </w:r>
      <w:r>
        <w:t xml:space="preserve"> </w:t>
      </w:r>
      <w:r>
        <w:t xml:space="preserve">4259</w:t>
      </w:r>
      <w:r>
        <w:t xml:space="preserve"> </w:t>
      </w:r>
      <w:r>
        <w:t xml:space="preserve">-1860</w:t>
      </w:r>
      <w:r>
        <w:br/>
      </w:r>
      <w:r>
        <w:t xml:space="preserve">(-29.2%)</w:t>
      </w:r>
      <w:r>
        <w:t xml:space="preserve"> </w:t>
      </w:r>
      <w:r>
        <w:t xml:space="preserve">-1861</w:t>
      </w:r>
      <w:r>
        <w:br/>
      </w:r>
      <w:r>
        <w:t xml:space="preserve">(-29.3%)</w:t>
      </w:r>
      <w:r>
        <w:t xml:space="preserve"> </w:t>
      </w:r>
      <w:r>
        <w:t xml:space="preserve">-1865</w:t>
      </w:r>
      <w:r>
        <w:br/>
      </w:r>
      <w:r>
        <w:t xml:space="preserve">(-29.3%)</w:t>
      </w:r>
      <w:r>
        <w:t xml:space="preserve"> </w:t>
      </w:r>
      <w:r>
        <w:t xml:space="preserve">-2103</w:t>
      </w:r>
      <w:r>
        <w:br/>
      </w:r>
      <w:r>
        <w:t xml:space="preserve">(-33.1%)</w:t>
      </w:r>
      <w:r>
        <w:t xml:space="preserve"> </w:t>
      </w:r>
      <w:r>
        <w:t xml:space="preserve">NH3</w:t>
      </w:r>
      <w:r>
        <w:t xml:space="preserve"> </w:t>
      </w:r>
      <w:r>
        <w:t xml:space="preserve">3690</w:t>
      </w:r>
      <w:r>
        <w:t xml:space="preserve"> </w:t>
      </w:r>
      <w:r>
        <w:t xml:space="preserve">3086</w:t>
      </w:r>
      <w:r>
        <w:t xml:space="preserve"> </w:t>
      </w:r>
      <w:r>
        <w:t xml:space="preserve">3090</w:t>
      </w:r>
      <w:r>
        <w:t xml:space="preserve"> </w:t>
      </w:r>
      <w:r>
        <w:t xml:space="preserve">3091</w:t>
      </w:r>
      <w:r>
        <w:t xml:space="preserve"> </w:t>
      </w:r>
      <w:r>
        <w:t xml:space="preserve">2346</w:t>
      </w:r>
      <w:r>
        <w:t xml:space="preserve"> </w:t>
      </w:r>
      <w:r>
        <w:t xml:space="preserve">-604</w:t>
      </w:r>
      <w:r>
        <w:br/>
      </w:r>
      <w:r>
        <w:t xml:space="preserve">(-16.4%)</w:t>
      </w:r>
      <w:r>
        <w:t xml:space="preserve"> </w:t>
      </w:r>
      <w:r>
        <w:t xml:space="preserve">-600</w:t>
      </w:r>
      <w:r>
        <w:br/>
      </w:r>
      <w:r>
        <w:t xml:space="preserve">(-16.3%)</w:t>
      </w:r>
      <w:r>
        <w:t xml:space="preserve"> </w:t>
      </w:r>
      <w:r>
        <w:t xml:space="preserve">-599</w:t>
      </w:r>
      <w:r>
        <w:br/>
      </w:r>
      <w:r>
        <w:t xml:space="preserve">(-16.2%)</w:t>
      </w:r>
      <w:r>
        <w:t xml:space="preserve"> </w:t>
      </w:r>
      <w:r>
        <w:t xml:space="preserve">-1345</w:t>
      </w:r>
      <w:r>
        <w:br/>
      </w:r>
      <w:r>
        <w:t xml:space="preserve">(-36.4%)</w:t>
      </w:r>
      <w:r>
        <w:t xml:space="preserve"> </w:t>
      </w:r>
      <w:r>
        <w:t xml:space="preserve">Premature mortality caused by PM2.5 and ozone exposure</w:t>
      </w:r>
      <w:r>
        <w:t xml:space="preserve"> </w:t>
      </w:r>
      <w:r>
        <w:t xml:space="preserve">Expressed in 1000</w:t>
      </w:r>
      <w:r>
        <w:t xml:space="preserve"> </w:t>
      </w:r>
      <w:r>
        <w:t xml:space="preserve">death cases per year</w:t>
      </w:r>
      <w:r>
        <w:t xml:space="preserve"> </w:t>
      </w:r>
      <w:r>
        <w:t xml:space="preserve">466</w:t>
      </w:r>
      <w:r>
        <w:t xml:space="preserve"> </w:t>
      </w:r>
      <w:r>
        <w:t xml:space="preserve">197</w:t>
      </w:r>
      <w:r>
        <w:t xml:space="preserve"> </w:t>
      </w:r>
      <w:r>
        <w:t xml:space="preserve">198</w:t>
      </w:r>
      <w:r>
        <w:t xml:space="preserve"> </w:t>
      </w:r>
      <w:r>
        <w:t xml:space="preserve">196</w:t>
      </w:r>
      <w:r>
        <w:t xml:space="preserve"> </w:t>
      </w:r>
      <w:r>
        <w:t xml:space="preserve">188</w:t>
      </w:r>
      <w:r>
        <w:t xml:space="preserve"> </w:t>
      </w:r>
      <w:r>
        <w:t xml:space="preserve">-268</w:t>
      </w:r>
      <w:r>
        <w:br/>
      </w:r>
      <w:r>
        <w:t xml:space="preserve">(-57.6%)</w:t>
      </w:r>
      <w:r>
        <w:t xml:space="preserve"> </w:t>
      </w:r>
      <w:r>
        <w:t xml:space="preserve">-268</w:t>
      </w:r>
      <w:r>
        <w:br/>
      </w:r>
      <w:r>
        <w:t xml:space="preserve">(-57.6%)</w:t>
      </w:r>
      <w:r>
        <w:t xml:space="preserve"> </w:t>
      </w:r>
      <w:r>
        <w:t xml:space="preserve">-269</w:t>
      </w:r>
      <w:r>
        <w:br/>
      </w:r>
      <w:r>
        <w:t xml:space="preserve">(-57.8%)</w:t>
      </w:r>
      <w:r>
        <w:t xml:space="preserve"> </w:t>
      </w:r>
      <w:r>
        <w:t xml:space="preserve">-277</w:t>
      </w:r>
      <w:r>
        <w:br/>
      </w:r>
      <w:r>
        <w:t xml:space="preserve">(-59.5%)</w:t>
      </w:r>
      <w:r>
        <w:t xml:space="preserve"> </w:t>
      </w:r>
      <w:r>
        <w:t xml:space="preserve">Expressed in 1000 life</w:t>
      </w:r>
      <w:r>
        <w:t xml:space="preserve"> </w:t>
      </w:r>
      <w:r>
        <w:t xml:space="preserve">years lost per year</w:t>
      </w:r>
      <w:r>
        <w:t xml:space="preserve"> </w:t>
      </w:r>
      <w:r>
        <w:t xml:space="preserve">5977</w:t>
      </w:r>
      <w:r>
        <w:t xml:space="preserve"> </w:t>
      </w:r>
      <w:r>
        <w:t xml:space="preserve">2667</w:t>
      </w:r>
      <w:r>
        <w:t xml:space="preserve"> </w:t>
      </w:r>
      <w:r>
        <w:t xml:space="preserve">2668</w:t>
      </w:r>
      <w:r>
        <w:t xml:space="preserve"> </w:t>
      </w:r>
      <w:r>
        <w:t xml:space="preserve">2650</w:t>
      </w:r>
      <w:r>
        <w:t xml:space="preserve"> </w:t>
      </w:r>
      <w:r>
        <w:t xml:space="preserve">2544</w:t>
      </w:r>
      <w:r>
        <w:t xml:space="preserve"> </w:t>
      </w:r>
      <w:r>
        <w:t xml:space="preserve">-3309</w:t>
      </w:r>
      <w:r>
        <w:br/>
      </w:r>
      <w:r>
        <w:t xml:space="preserve">(-55.4%)</w:t>
      </w:r>
      <w:r>
        <w:t xml:space="preserve"> </w:t>
      </w:r>
      <w:r>
        <w:t xml:space="preserve">-3309</w:t>
      </w:r>
      <w:r>
        <w:br/>
      </w:r>
      <w:r>
        <w:t xml:space="preserve">(-55.4%)</w:t>
      </w:r>
      <w:r>
        <w:t xml:space="preserve"> </w:t>
      </w:r>
      <w:r>
        <w:t xml:space="preserve">-3326</w:t>
      </w:r>
      <w:r>
        <w:br/>
      </w:r>
      <w:r>
        <w:t xml:space="preserve">(-55.7%)</w:t>
      </w:r>
      <w:r>
        <w:t xml:space="preserve"> </w:t>
      </w:r>
      <w:r>
        <w:t xml:space="preserve">-3432</w:t>
      </w:r>
      <w:r>
        <w:br/>
      </w:r>
      <w:r>
        <w:t xml:space="preserve">(-57.4%)</w:t>
      </w:r>
      <w:r>
        <w:t xml:space="preserve"> </w:t>
      </w:r>
      <w:r>
        <w:t xml:space="preserve">Costs associated to premature mortality caused by PM2.5 and ozone exposure (EUR 2023 billion/year)</w:t>
      </w:r>
      <w:r>
        <w:t xml:space="preserve"> </w:t>
      </w:r>
      <w:r>
        <w:t xml:space="preserve">Higher valuation</w:t>
      </w:r>
      <w:r>
        <w:t xml:space="preserve"> </w:t>
      </w:r>
      <w:r>
        <w:t xml:space="preserve">method (VSL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1724</w:t>
      </w:r>
      <w:r>
        <w:rPr>
          <w:i/>
          <w:iCs/>
        </w:rPr>
        <w:t xml:space="preserve"> </w:t>
      </w:r>
      <w:r>
        <w:rPr>
          <w:i/>
          <w:iCs/>
        </w:rPr>
        <w:t xml:space="preserve">677</w:t>
      </w:r>
      <w:r>
        <w:rPr>
          <w:i/>
          <w:iCs/>
        </w:rPr>
        <w:t xml:space="preserve"> </w:t>
      </w:r>
      <w:r>
        <w:rPr>
          <w:i/>
          <w:iCs/>
        </w:rPr>
        <w:t xml:space="preserve">677</w:t>
      </w:r>
      <w:r>
        <w:rPr>
          <w:i/>
          <w:iCs/>
        </w:rPr>
        <w:t xml:space="preserve"> </w:t>
      </w:r>
      <w:r>
        <w:rPr>
          <w:i/>
          <w:iCs/>
        </w:rPr>
        <w:t xml:space="preserve">673</w:t>
      </w:r>
      <w:r>
        <w:rPr>
          <w:i/>
          <w:iCs/>
        </w:rPr>
        <w:t xml:space="preserve"> </w:t>
      </w:r>
      <w:r>
        <w:rPr>
          <w:i/>
          <w:iCs/>
        </w:rPr>
        <w:t xml:space="preserve">646</w:t>
      </w:r>
      <w:r>
        <w:rPr>
          <w:i/>
          <w:iCs/>
        </w:rPr>
        <w:t xml:space="preserve"> </w:t>
      </w:r>
      <w:r>
        <w:rPr>
          <w:i/>
          <w:iCs/>
        </w:rPr>
        <w:t xml:space="preserve">-1047</w:t>
      </w:r>
      <w:r>
        <w:rPr>
          <w:i/>
          <w:iCs/>
        </w:rPr>
        <w:t xml:space="preserve"> </w:t>
      </w:r>
      <w:r>
        <w:rPr>
          <w:i/>
          <w:iCs/>
        </w:rPr>
        <w:t xml:space="preserve">(-60.7%)</w:t>
      </w:r>
      <w:r>
        <w:rPr>
          <w:i/>
          <w:iCs/>
        </w:rPr>
        <w:t xml:space="preserve"> </w:t>
      </w:r>
      <w:r>
        <w:rPr>
          <w:i/>
          <w:iCs/>
        </w:rPr>
        <w:t xml:space="preserve">-1046</w:t>
      </w:r>
      <w:r>
        <w:rPr>
          <w:i/>
          <w:iCs/>
        </w:rPr>
        <w:t xml:space="preserve"> </w:t>
      </w:r>
      <w:r>
        <w:rPr>
          <w:i/>
          <w:iCs/>
        </w:rPr>
        <w:t xml:space="preserve">(-60.7%)</w:t>
      </w:r>
      <w:r>
        <w:rPr>
          <w:i/>
          <w:iCs/>
        </w:rPr>
        <w:t xml:space="preserve"> </w:t>
      </w:r>
      <w:r>
        <w:rPr>
          <w:i/>
          <w:iCs/>
        </w:rPr>
        <w:t xml:space="preserve">-1051</w:t>
      </w:r>
      <w:r>
        <w:rPr>
          <w:i/>
          <w:iCs/>
        </w:rPr>
        <w:t xml:space="preserve"> </w:t>
      </w:r>
      <w:r>
        <w:rPr>
          <w:i/>
          <w:iCs/>
        </w:rPr>
        <w:t xml:space="preserve">(-61.0%)</w:t>
      </w:r>
      <w:r>
        <w:rPr>
          <w:i/>
          <w:iCs/>
        </w:rPr>
        <w:t xml:space="preserve"> </w:t>
      </w:r>
      <w:r>
        <w:rPr>
          <w:i/>
          <w:iCs/>
        </w:rPr>
        <w:t xml:space="preserve">-1077</w:t>
      </w:r>
      <w:r>
        <w:rPr>
          <w:i/>
          <w:iCs/>
        </w:rPr>
        <w:t xml:space="preserve"> </w:t>
      </w:r>
      <w:r>
        <w:rPr>
          <w:i/>
          <w:iCs/>
        </w:rPr>
        <w:t xml:space="preserve">(-62.5%)</w:t>
      </w:r>
      <w:r>
        <w:rPr>
          <w:i/>
          <w:iCs/>
        </w:rPr>
        <w:t xml:space="preserve"> </w:t>
      </w:r>
      <w:r>
        <w:rPr>
          <w:i/>
          <w:iCs/>
        </w:rPr>
        <w:t xml:space="preserve">Lower valuation</w:t>
      </w:r>
      <w:r>
        <w:rPr>
          <w:i/>
          <w:iCs/>
        </w:rPr>
        <w:t xml:space="preserve"> </w:t>
      </w:r>
      <w:r>
        <w:rPr>
          <w:i/>
          <w:iCs/>
        </w:rPr>
        <w:t xml:space="preserve">method (VOLY</w:t>
      </w:r>
      <w:r>
        <w:t xml:space="preserve">)</w:t>
      </w:r>
      <w:r>
        <w:t xml:space="preserve"> </w:t>
      </w:r>
      <w:r>
        <w:t xml:space="preserve">686</w:t>
      </w:r>
      <w:r>
        <w:t xml:space="preserve"> </w:t>
      </w:r>
      <w:r>
        <w:t xml:space="preserve">306</w:t>
      </w:r>
      <w:r>
        <w:t xml:space="preserve"> </w:t>
      </w:r>
      <w:r>
        <w:t xml:space="preserve">306</w:t>
      </w:r>
      <w:r>
        <w:t xml:space="preserve"> </w:t>
      </w:r>
      <w:r>
        <w:t xml:space="preserve">304</w:t>
      </w:r>
      <w:r>
        <w:t xml:space="preserve"> </w:t>
      </w:r>
      <w:r>
        <w:t xml:space="preserve">292</w:t>
      </w:r>
      <w:r>
        <w:t xml:space="preserve"> </w:t>
      </w:r>
      <w:r>
        <w:t xml:space="preserve">-380</w:t>
      </w:r>
      <w:r>
        <w:t xml:space="preserve"> </w:t>
      </w:r>
      <w:r>
        <w:t xml:space="preserve">(-55.4%)</w:t>
      </w:r>
      <w:r>
        <w:t xml:space="preserve"> </w:t>
      </w:r>
      <w:r>
        <w:t xml:space="preserve">-380</w:t>
      </w:r>
      <w:r>
        <w:t xml:space="preserve"> </w:t>
      </w:r>
      <w:r>
        <w:t xml:space="preserve">(-55.4%)</w:t>
      </w:r>
      <w:r>
        <w:t xml:space="preserve"> </w:t>
      </w:r>
      <w:r>
        <w:t xml:space="preserve">-382</w:t>
      </w:r>
      <w:r>
        <w:t xml:space="preserve"> </w:t>
      </w:r>
      <w:r>
        <w:t xml:space="preserve">(-55.7%)</w:t>
      </w:r>
      <w:r>
        <w:t xml:space="preserve"> </w:t>
      </w:r>
      <w:r>
        <w:t xml:space="preserve">-394</w:t>
      </w:r>
      <w:r>
        <w:t xml:space="preserve"> </w:t>
      </w:r>
      <w:r>
        <w:t xml:space="preserve">(-57.4%)</w:t>
      </w:r>
      <w:r>
        <w:t xml:space="preserve"> </w:t>
      </w:r>
      <w:r>
        <w:t xml:space="preserve">Note: * The valuation follows the same methodology used in the Third Clean Air Outlook. The “higher valuation”</w:t>
      </w:r>
      <w:r>
        <w:t xml:space="preserve"> </w:t>
      </w:r>
      <w:r>
        <w:t xml:space="preserve">is done using the value of a statistical life (VSL) methodology (where the VSL is assumed to be EUR 4.36</w:t>
      </w:r>
      <w:r>
        <w:t xml:space="preserve"> </w:t>
      </w:r>
      <w:r>
        <w:t xml:space="preserve">million, in EUR 2023), and the “lower valuation” is done using the value of a life year (VOLY) methodology</w:t>
      </w:r>
      <w:r>
        <w:t xml:space="preserve"> </w:t>
      </w:r>
      <w:r>
        <w:t xml:space="preserve">(where the VOLY is assumed to be EUR 114 722, in EUR 2023). Note that, in the Third Clean Air Outlook, these</w:t>
      </w:r>
      <w:r>
        <w:t xml:space="preserve"> </w:t>
      </w:r>
      <w:r>
        <w:t xml:space="preserve">values are expressed in EUR 2015.</w:t>
      </w:r>
      <w:r>
        <w:br/>
      </w:r>
      <w:r>
        <w:t xml:space="preserve">Source: GAINS.</w:t>
      </w:r>
      <w:r>
        <w:t xml:space="preserve"> </w:t>
      </w:r>
      <w:r>
        <w:t xml:space="preserve">In addition to direct effects, climate action should mitigate the increasing negative effects</w:t>
      </w:r>
      <w:r>
        <w:t xml:space="preserve"> </w:t>
      </w:r>
      <w:r>
        <w:t xml:space="preserve">that climate change has on air quality and human health, due notably to heatwaves and</w:t>
      </w:r>
      <w:r>
        <w:t xml:space="preserve"> </w:t>
      </w:r>
      <w:r>
        <w:t xml:space="preserve">wildfires (70) and the climate-induced spread of vector-borne diseases.</w:t>
      </w:r>
    </w:p>
    <w:p>
      <w:pPr>
        <w:pStyle w:val="Compact"/>
        <w:numPr>
          <w:ilvl w:val="0"/>
          <w:numId w:val="1028"/>
        </w:numPr>
      </w:pPr>
      <w:r>
        <w:t xml:space="preserve">Koch et al. (2023) Vegetarian or vegan diets and blood lipids: a meta-analysis of randomized trials.</w:t>
      </w:r>
      <w:r>
        <w:t xml:space="preserve"> </w:t>
      </w:r>
      <w:r>
        <w:t xml:space="preserve">European Heart Journal</w:t>
      </w:r>
    </w:p>
    <w:p>
      <w:pPr>
        <w:pStyle w:val="Compact"/>
        <w:numPr>
          <w:ilvl w:val="0"/>
          <w:numId w:val="1028"/>
        </w:numPr>
      </w:pPr>
      <w:r>
        <w:t xml:space="preserve">Chan, Doris SM, Rosa Lau, Dagfinn Aune, Rui Vieira, Darren C. Greenwood, Ellen Kampman, and</w:t>
      </w:r>
      <w:r>
        <w:t xml:space="preserve"> </w:t>
      </w:r>
      <w:r>
        <w:t xml:space="preserve">Teresa Norat.</w:t>
      </w:r>
      <w:r>
        <w:t xml:space="preserve"> </w:t>
      </w:r>
      <w:r>
        <w:t xml:space="preserve">“Red and processed meat and colorectal cancer incidence: meta-analysis of prospective</w:t>
      </w:r>
      <w:r>
        <w:t xml:space="preserve"> </w:t>
      </w:r>
      <w:r>
        <w:t xml:space="preserve">studies.”</w:t>
      </w:r>
      <w:r>
        <w:t xml:space="preserve"> </w:t>
      </w:r>
      <w:r>
        <w:t xml:space="preserve">PloS one 6, no. 6 (2011): e20456.</w:t>
      </w:r>
    </w:p>
    <w:p>
      <w:pPr>
        <w:pStyle w:val="Compact"/>
        <w:numPr>
          <w:ilvl w:val="0"/>
          <w:numId w:val="1028"/>
        </w:numPr>
      </w:pPr>
      <w:r>
        <w:t xml:space="preserve">Tukker et al. (2011) Environmental impacts of changes to healthier diets in Europe. Ecological</w:t>
      </w:r>
      <w:r>
        <w:t xml:space="preserve"> </w:t>
      </w:r>
      <w:r>
        <w:t xml:space="preserve">Economics</w:t>
      </w:r>
    </w:p>
    <w:p>
      <w:pPr>
        <w:pStyle w:val="Compact"/>
        <w:numPr>
          <w:ilvl w:val="0"/>
          <w:numId w:val="1028"/>
        </w:numPr>
      </w:pPr>
      <w:r>
        <w:t xml:space="preserve">World Meteorological Organization, WMO Air Quality and Climate Bulletin, No 3, September 2023.</w:t>
      </w:r>
    </w:p>
    <w:p>
      <w:pPr>
        <w:pStyle w:val="FirstParagraph"/>
      </w:pPr>
      <w:r>
        <w:t xml:space="preserve">50</w:t>
      </w:r>
    </w:p>
    <w:p>
      <w:pPr>
        <w:pStyle w:val="BodyText"/>
      </w:pPr>
      <w:r>
        <w:t xml:space="preserve">6.3.3 Environmental impacts</w:t>
      </w:r>
      <w:r>
        <w:t xml:space="preserve"> </w:t>
      </w:r>
      <w:r>
        <w:t xml:space="preserve">Air pollution causes acidification and eutrophication, damaging ecosystems and crops.</w:t>
      </w:r>
      <w:r>
        <w:t xml:space="preserve"> </w:t>
      </w:r>
      <w:r>
        <w:t xml:space="preserve">As shown in Table 13, in the S1, S2 and S3 scenarios, the decrease in SO2, NOx and NH3</w:t>
      </w:r>
      <w:r>
        <w:t xml:space="preserve"> </w:t>
      </w:r>
      <w:r>
        <w:t xml:space="preserve">emissions reduces the total area affected by severe acidification in the EU by around 80%</w:t>
      </w:r>
      <w:r>
        <w:t xml:space="preserve"> </w:t>
      </w:r>
      <w:r>
        <w:t xml:space="preserve">between 2015 and 2040. Moreover, the total area affected by severe eutrophication</w:t>
      </w:r>
      <w:r>
        <w:t xml:space="preserve"> </w:t>
      </w:r>
      <w:r>
        <w:t xml:space="preserve">decreases by around 23.5% over the same period, mainly as a result of the decrease in</w:t>
      </w:r>
      <w:r>
        <w:t xml:space="preserve"> </w:t>
      </w:r>
      <w:r>
        <w:t xml:space="preserve">nitrogen-related emissions. LIFE brings complementary co-benefits in terms of reduced</w:t>
      </w:r>
      <w:r>
        <w:t xml:space="preserve"> </w:t>
      </w:r>
      <w:r>
        <w:t xml:space="preserve">acidification and eutrophication because of the lower NOx and NH3 emissions from</w:t>
      </w:r>
      <w:r>
        <w:t xml:space="preserve"> </w:t>
      </w:r>
      <w:r>
        <w:t xml:space="preserve">agricultural activities.</w:t>
      </w:r>
      <w:r>
        <w:t xml:space="preserve"> </w:t>
      </w:r>
      <w:r>
        <w:t xml:space="preserve">Table 13: EU ecosystem area where acidification or eutrophication exceed critical loads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2040</w:t>
      </w:r>
      <w:r>
        <w:t xml:space="preserve"> </w:t>
      </w:r>
      <w:r>
        <w:t xml:space="preserve">Change 2015-2040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LIFE</w:t>
      </w:r>
      <w:r>
        <w:t xml:space="preserve"> </w:t>
      </w:r>
      <w:r>
        <w:t xml:space="preserve">Acidification (1000 km2)</w:t>
      </w:r>
      <w:r>
        <w:t xml:space="preserve"> </w:t>
      </w:r>
      <w:r>
        <w:t xml:space="preserve">157</w:t>
      </w:r>
      <w:r>
        <w:t xml:space="preserve"> </w:t>
      </w:r>
      <w:r>
        <w:t xml:space="preserve">31</w:t>
      </w:r>
      <w:r>
        <w:t xml:space="preserve"> </w:t>
      </w:r>
      <w:r>
        <w:t xml:space="preserve">31</w:t>
      </w:r>
      <w:r>
        <w:t xml:space="preserve"> </w:t>
      </w:r>
      <w:r>
        <w:t xml:space="preserve">31</w:t>
      </w:r>
      <w:r>
        <w:t xml:space="preserve"> </w:t>
      </w:r>
      <w:r>
        <w:t xml:space="preserve">19</w:t>
      </w:r>
      <w:r>
        <w:t xml:space="preserve"> </w:t>
      </w:r>
      <w:r>
        <w:t xml:space="preserve">-126</w:t>
      </w:r>
      <w:r>
        <w:br/>
      </w:r>
      <w:r>
        <w:t xml:space="preserve">(-80.4%)</w:t>
      </w:r>
      <w:r>
        <w:t xml:space="preserve"> </w:t>
      </w:r>
      <w:r>
        <w:t xml:space="preserve">-126</w:t>
      </w:r>
      <w:r>
        <w:br/>
      </w:r>
      <w:r>
        <w:t xml:space="preserve">(-80.4%)</w:t>
      </w:r>
      <w:r>
        <w:t xml:space="preserve"> </w:t>
      </w:r>
      <w:r>
        <w:t xml:space="preserve">-126</w:t>
      </w:r>
      <w:r>
        <w:br/>
      </w:r>
      <w:r>
        <w:t xml:space="preserve">(-80.4%)</w:t>
      </w:r>
      <w:r>
        <w:t xml:space="preserve"> </w:t>
      </w:r>
      <w:r>
        <w:t xml:space="preserve">-137</w:t>
      </w:r>
      <w:r>
        <w:br/>
      </w:r>
      <w:r>
        <w:t xml:space="preserve">(-87.7%)</w:t>
      </w:r>
      <w:r>
        <w:t xml:space="preserve"> </w:t>
      </w:r>
      <w:r>
        <w:t xml:space="preserve">Eutrophication (1000 km2)</w:t>
      </w:r>
      <w:r>
        <w:br/>
      </w:r>
      <w:r>
        <w:t xml:space="preserve">1164</w:t>
      </w:r>
      <w:r>
        <w:t xml:space="preserve"> </w:t>
      </w:r>
      <w:r>
        <w:t xml:space="preserve">891</w:t>
      </w:r>
      <w:r>
        <w:t xml:space="preserve"> </w:t>
      </w:r>
      <w:r>
        <w:t xml:space="preserve">892</w:t>
      </w:r>
      <w:r>
        <w:t xml:space="preserve"> </w:t>
      </w:r>
      <w:r>
        <w:t xml:space="preserve">890</w:t>
      </w:r>
      <w:r>
        <w:t xml:space="preserve"> </w:t>
      </w:r>
      <w:r>
        <w:t xml:space="preserve">742</w:t>
      </w:r>
      <w:r>
        <w:t xml:space="preserve"> </w:t>
      </w:r>
      <w:r>
        <w:t xml:space="preserve">-273</w:t>
      </w:r>
      <w:r>
        <w:br/>
      </w:r>
      <w:r>
        <w:t xml:space="preserve">(-23.5%)</w:t>
      </w:r>
      <w:r>
        <w:t xml:space="preserve"> </w:t>
      </w:r>
      <w:r>
        <w:t xml:space="preserve">-272</w:t>
      </w:r>
      <w:r>
        <w:br/>
      </w:r>
      <w:r>
        <w:t xml:space="preserve">(-23.4%)</w:t>
      </w:r>
      <w:r>
        <w:t xml:space="preserve"> </w:t>
      </w:r>
      <w:r>
        <w:t xml:space="preserve">-274</w:t>
      </w:r>
      <w:r>
        <w:br/>
      </w:r>
      <w:r>
        <w:t xml:space="preserve">(-23.5%)</w:t>
      </w:r>
      <w:r>
        <w:t xml:space="preserve"> </w:t>
      </w:r>
      <w:r>
        <w:t xml:space="preserve">-422</w:t>
      </w:r>
      <w:r>
        <w:br/>
      </w:r>
      <w:r>
        <w:t xml:space="preserve">(-36.3%)</w:t>
      </w:r>
      <w:r>
        <w:t xml:space="preserve"> </w:t>
      </w:r>
      <w:r>
        <w:t xml:space="preserve">Source: GAINS.</w:t>
      </w:r>
      <w:r>
        <w:t xml:space="preserve"> </w:t>
      </w:r>
      <w:r>
        <w:t xml:space="preserve">S2 and S3 show a higher demand for bioenergy compared to today. Due to the higher</w:t>
      </w:r>
      <w:r>
        <w:t xml:space="preserve"> </w:t>
      </w:r>
      <w:r>
        <w:t xml:space="preserve">reliance of S3 on industrial carbon removals (including DACCS) and e-fuels than S1 or</w:t>
      </w:r>
      <w:r>
        <w:t xml:space="preserve"> </w:t>
      </w:r>
      <w:r>
        <w:t xml:space="preserve">S2, S3 may involve greater need for bioenergy if BECCS and liquid biofuels were to</w:t>
      </w:r>
      <w:r>
        <w:t xml:space="preserve"> </w:t>
      </w:r>
      <w:r>
        <w:t xml:space="preserve">substitute a limited deployment of these technologies.</w:t>
      </w:r>
      <w:r>
        <w:br/>
      </w:r>
      <w:r>
        <w:t xml:space="preserve">The future demand for biomass in 2040 compared to today is driven by an increased</w:t>
      </w:r>
      <w:r>
        <w:t xml:space="preserve"> </w:t>
      </w:r>
      <w:r>
        <w:t xml:space="preserve">demand for advanced/ second generation biofuels, and is satisfied through a higher</w:t>
      </w:r>
      <w:r>
        <w:t xml:space="preserve"> </w:t>
      </w:r>
      <w:r>
        <w:t xml:space="preserve">supply of lignocellulosic crops, which to a large extent substitute crops for first</w:t>
      </w:r>
      <w:r>
        <w:t xml:space="preserve"> </w:t>
      </w:r>
      <w:r>
        <w:t xml:space="preserve">generation biofuels (71). In 2040 total cropland remains unchanged in S1 compared to</w:t>
      </w:r>
      <w:r>
        <w:t xml:space="preserve"> </w:t>
      </w:r>
      <w:r>
        <w:t xml:space="preserve">today and increases by 1.2 Mha in S2 and S3. In S2 and S3, forest land increases by</w:t>
      </w:r>
      <w:r>
        <w:t xml:space="preserve"> </w:t>
      </w:r>
      <w:r>
        <w:t xml:space="preserve">about 4.9 Mha compared to 3.3 Mha in S1 and (rewetted) wet- and peatlands increase by</w:t>
      </w:r>
      <w:r>
        <w:t xml:space="preserve"> </w:t>
      </w:r>
      <w:r>
        <w:t xml:space="preserve">about 1.4 Mha from a conversion of grassland in S2 and S3 (compared to 0 Mha in S1).</w:t>
      </w:r>
      <w:r>
        <w:br/>
      </w:r>
      <w:r>
        <w:t xml:space="preserve">The impacts on biodiversity resulting from land use change are very limited across</w:t>
      </w:r>
      <w:r>
        <w:t xml:space="preserve"> </w:t>
      </w:r>
      <w:r>
        <w:t xml:space="preserve">scenarios and remain between -1% (S1) and +4% (S2) of average suitable habitat</w:t>
      </w:r>
      <w:r>
        <w:t xml:space="preserve"> </w:t>
      </w:r>
      <w:r>
        <w:t xml:space="preserve">increase in 2040 compared to 2020. The practices put in place to increase LULUCF net</w:t>
      </w:r>
      <w:r>
        <w:t xml:space="preserve"> </w:t>
      </w:r>
      <w:r>
        <w:t xml:space="preserve">removals can actually positively impact biodiversity: reforestation, polyculture</w:t>
      </w:r>
      <w:r>
        <w:t xml:space="preserve"> </w:t>
      </w:r>
      <w:r>
        <w:t xml:space="preserve">afforestation under close-to-nature practices and rewetting of peatlands play out more</w:t>
      </w:r>
      <w:r>
        <w:t xml:space="preserve"> </w:t>
      </w:r>
      <w:r>
        <w:t xml:space="preserve">favourably for habitats and ecosystems than monocultures. Different biomass demand</w:t>
      </w:r>
      <w:r>
        <w:t xml:space="preserve"> </w:t>
      </w:r>
      <w:r>
        <w:t xml:space="preserve">does not significantly alter biodiversity across scenarios, however, for lignocellulosic</w:t>
      </w:r>
      <w:r>
        <w:t xml:space="preserve"> </w:t>
      </w:r>
      <w:r>
        <w:t xml:space="preserve">crops to be fully environmental beneficial, impacts on land-use and water-use should be</w:t>
      </w:r>
      <w:r>
        <w:t xml:space="preserve"> </w:t>
      </w:r>
      <w:r>
        <w:t xml:space="preserve">minimised, by showing higher yields and lower water use than feed crops and through</w:t>
      </w:r>
      <w:r>
        <w:t xml:space="preserve"> </w:t>
      </w:r>
      <w:r>
        <w:t xml:space="preserve">applying limitation in their use.</w:t>
      </w:r>
    </w:p>
    <w:p>
      <w:pPr>
        <w:pStyle w:val="Compact"/>
        <w:numPr>
          <w:ilvl w:val="0"/>
          <w:numId w:val="1029"/>
        </w:numPr>
      </w:pPr>
      <w:r>
        <w:t xml:space="preserve">In 2040 total cropland remains unchanged in S1 and increases by 1.2 Mha in S2 and S3, because</w:t>
      </w:r>
      <w:r>
        <w:t xml:space="preserve"> </w:t>
      </w:r>
      <w:r>
        <w:t xml:space="preserve">around 80% of the required area for lignocellulosic crops comes from crops for first generation biofuels or</w:t>
      </w:r>
      <w:r>
        <w:t xml:space="preserve"> </w:t>
      </w:r>
      <w:r>
        <w:t xml:space="preserve">other crops.</w:t>
      </w:r>
    </w:p>
    <w:p>
      <w:pPr>
        <w:pStyle w:val="FirstParagraph"/>
      </w:pPr>
      <w:r>
        <w:t xml:space="preserve">51</w:t>
      </w:r>
    </w:p>
    <w:p>
      <w:pPr>
        <w:pStyle w:val="BodyText"/>
      </w:pPr>
      <w:r>
        <w:t xml:space="preserve">Building on a shift to healthier diets and more sustainable practices, LIFE leads to</w:t>
      </w:r>
      <w:r>
        <w:t xml:space="preserve"> </w:t>
      </w:r>
      <w:r>
        <w:t xml:space="preserve">complementary changes in the agricultural land area, where allowing part of the land to</w:t>
      </w:r>
      <w:r>
        <w:t xml:space="preserve"> </w:t>
      </w:r>
      <w:r>
        <w:t xml:space="preserve">be freed up from livestock, fodder activities and intensively grazed land and converted</w:t>
      </w:r>
      <w:r>
        <w:t xml:space="preserve"> </w:t>
      </w:r>
      <w:r>
        <w:t xml:space="preserve">into extensive grassland, high diversity landscape features with – in comparison to S2</w:t>
      </w:r>
      <w:r>
        <w:t xml:space="preserve"> </w:t>
      </w:r>
      <w:r>
        <w:t xml:space="preserve">and S3 – more natural vegetation (+6.8 Mha), forest land (+4 Mha) and rewetted organic</w:t>
      </w:r>
      <w:r>
        <w:t xml:space="preserve"> </w:t>
      </w:r>
      <w:r>
        <w:t xml:space="preserve">soils (+0.3 Mha). This change in land use is accompanied by a reduction in nutrient</w:t>
      </w:r>
      <w:r>
        <w:t xml:space="preserve"> </w:t>
      </w:r>
      <w:r>
        <w:t xml:space="preserve">surplus and use of pesticides, and an increase of organic farming in line with the Farm to</w:t>
      </w:r>
      <w:r>
        <w:t xml:space="preserve"> </w:t>
      </w:r>
      <w:r>
        <w:t xml:space="preserve">Fork Strategy. The land use change has a positive effect on LULUCF net removals,</w:t>
      </w:r>
      <w:r>
        <w:t xml:space="preserve"> </w:t>
      </w:r>
      <w:r>
        <w:t xml:space="preserve">which can be expected to create additional income opportunities for farmers through</w:t>
      </w:r>
      <w:r>
        <w:t xml:space="preserve"> </w:t>
      </w:r>
      <w:r>
        <w:t xml:space="preserve">carbon farming, as well as significant co-benefits for biodiversity: the likelihood to find</w:t>
      </w:r>
      <w:r>
        <w:t xml:space="preserve"> </w:t>
      </w:r>
      <w:r>
        <w:t xml:space="preserve">agricultural areas with a high value for biodiversity and ecosystems improves by 14%</w:t>
      </w:r>
      <w:r>
        <w:t xml:space="preserve"> </w:t>
      </w:r>
      <w:r>
        <w:t xml:space="preserve">within the EU (72) compared to S2 and S3.</w:t>
      </w:r>
      <w:r>
        <w:t xml:space="preserve"> </w:t>
      </w:r>
      <w:r>
        <w:t xml:space="preserve">Biodiversity is also affected by climate change. High-latitude and freshwater ecosystems,</w:t>
      </w:r>
      <w:r>
        <w:t xml:space="preserve"> </w:t>
      </w:r>
      <w:r>
        <w:t xml:space="preserve">the prevailing domains in southern European and Boreal areas, are particularly</w:t>
      </w:r>
      <w:r>
        <w:t xml:space="preserve"> </w:t>
      </w:r>
      <w:r>
        <w:t xml:space="preserve">vulnerable to climate change (see Annex 7). Climate change mitigation reduces the</w:t>
      </w:r>
      <w:r>
        <w:t xml:space="preserve"> </w:t>
      </w:r>
      <w:r>
        <w:t xml:space="preserve">likelihood of larger climate change impacts on biodiversity and natural systems and, in so</w:t>
      </w:r>
      <w:r>
        <w:t xml:space="preserve"> </w:t>
      </w:r>
      <w:r>
        <w:t xml:space="preserve">doing, helps to increase resilience and adaption to climate change. More biodiverse</w:t>
      </w:r>
      <w:r>
        <w:t xml:space="preserve"> </w:t>
      </w:r>
      <w:r>
        <w:t xml:space="preserve">ecosystems (e.g., biodiverse forests), are more resilient, multifunctional, deliver more</w:t>
      </w:r>
      <w:r>
        <w:t xml:space="preserve"> </w:t>
      </w:r>
      <w:r>
        <w:t xml:space="preserve">ecosystem services and may function better to remove carbon (73) (74).</w:t>
      </w:r>
      <w:r>
        <w:t xml:space="preserve"> </w:t>
      </w:r>
      <w:r>
        <w:t xml:space="preserve">6.4</w:t>
      </w:r>
      <w:r>
        <w:t xml:space="preserve"> </w:t>
      </w:r>
      <w:r>
        <w:t xml:space="preserve">The socio-economic implications of mitigation (75)</w:t>
      </w:r>
      <w:r>
        <w:t xml:space="preserve"> </w:t>
      </w:r>
      <w:r>
        <w:t xml:space="preserve">6.4.1 Macro-economic impacts</w:t>
      </w:r>
      <w:r>
        <w:t xml:space="preserve"> </w:t>
      </w:r>
      <w:r>
        <w:t xml:space="preserve">The impact assessments for the 2030 Climate Target Plan and the long-term strategy for</w:t>
      </w:r>
      <w:r>
        <w:t xml:space="preserve"> </w:t>
      </w:r>
      <w:r>
        <w:t xml:space="preserve">2050 concluded that the respective objectives were projected to have limited impacts on</w:t>
      </w:r>
      <w:r>
        <w:t xml:space="preserve"> </w:t>
      </w:r>
      <w:r>
        <w:t xml:space="preserve">broad macro-economic aggregates, including GDP and total employment. These</w:t>
      </w:r>
      <w:r>
        <w:t xml:space="preserve"> </w:t>
      </w:r>
      <w:r>
        <w:t xml:space="preserve">conclusions were reached while assessing impacts relative to a baseline with significantly</w:t>
      </w:r>
      <w:r>
        <w:t xml:space="preserve"> </w:t>
      </w:r>
      <w:r>
        <w:t xml:space="preserve">lower climate ambition. The benchmark used for the comparison of the macro-economic</w:t>
      </w:r>
      <w:r>
        <w:t xml:space="preserve"> </w:t>
      </w:r>
      <w:r>
        <w:t xml:space="preserve">modelling in this impact assessment is the S2 scenario.</w:t>
      </w:r>
      <w:r>
        <w:br/>
      </w:r>
      <w:r>
        <w:t xml:space="preserve">At aggregate level, the three models used in this impact assessment consistently show</w:t>
      </w:r>
      <w:r>
        <w:t xml:space="preserve"> </w:t>
      </w:r>
      <w:r>
        <w:t xml:space="preserve">that a higher level of mitigation in 2040 only has a slightly negative, transitory impact on</w:t>
      </w:r>
      <w:r>
        <w:t xml:space="preserve"> </w:t>
      </w:r>
      <w:r>
        <w:t xml:space="preserve">GDP, while a lower level of mitigation yields a minor positive effect. In 2040, GDP for</w:t>
      </w:r>
      <w:r>
        <w:t xml:space="preserve"> </w:t>
      </w:r>
      <w:r>
        <w:t xml:space="preserve">S3 is at worst 0.8% lower than in S2 under the E-QUEST model (see Table 14 and</w:t>
      </w:r>
    </w:p>
    <w:p>
      <w:pPr>
        <w:pStyle w:val="Compact"/>
        <w:numPr>
          <w:ilvl w:val="0"/>
          <w:numId w:val="1030"/>
        </w:numPr>
      </w:pPr>
      <w:r>
        <w:t xml:space="preserve">Using the ‘Biodiversity Friendly Practices’ (BFP), a biodiversity indicator capturing the likelihood to</w:t>
      </w:r>
      <w:r>
        <w:t xml:space="preserve"> </w:t>
      </w:r>
      <w:r>
        <w:t xml:space="preserve">find High Nature Value farmland in a region. The total index is an area weighted average of the partial</w:t>
      </w:r>
      <w:r>
        <w:t xml:space="preserve"> </w:t>
      </w:r>
      <w:r>
        <w:t xml:space="preserve">indices for arable crops, permanent crops, grassland and set aside / fallow land. Partial indices for different</w:t>
      </w:r>
      <w:r>
        <w:t xml:space="preserve"> </w:t>
      </w:r>
      <w:r>
        <w:t xml:space="preserve">land use categories are therefore weighted according to their proportion of total utilised agricultural area.</w:t>
      </w:r>
    </w:p>
    <w:p>
      <w:pPr>
        <w:pStyle w:val="Compact"/>
        <w:numPr>
          <w:ilvl w:val="0"/>
          <w:numId w:val="1030"/>
        </w:numPr>
      </w:pPr>
      <w:r>
        <w:t xml:space="preserve">Mori, Akira S., Laura E. Dee, Andrew Gonzalez, Haruka Ohashi, Jane Cowles, Alexandra J. Wright,</w:t>
      </w:r>
      <w:r>
        <w:t xml:space="preserve"> </w:t>
      </w:r>
      <w:r>
        <w:t xml:space="preserve">Michel Loreau et al. </w:t>
      </w:r>
      <w:r>
        <w:t xml:space="preserve">“Biodiversity–productivity relationships are key to nature-based climate solutions.”</w:t>
      </w:r>
      <w:r>
        <w:t xml:space="preserve"> </w:t>
      </w:r>
      <w:r>
        <w:t xml:space="preserve">Nature Climate Change 11, no. 6 (2021): 543-550.</w:t>
      </w:r>
    </w:p>
    <w:p>
      <w:pPr>
        <w:pStyle w:val="Compact"/>
        <w:numPr>
          <w:ilvl w:val="0"/>
          <w:numId w:val="1030"/>
        </w:numPr>
      </w:pPr>
      <w:r>
        <w:t xml:space="preserve">Liang, Jingjing, Thomas W. Crowther, Nicolas Picard, Susan Wiser, Mo Zhou, Giorgio Alberti, Ernst-</w:t>
      </w:r>
      <w:r>
        <w:t xml:space="preserve"> </w:t>
      </w:r>
      <w:r>
        <w:t xml:space="preserve">Detlef Schulze et al. </w:t>
      </w:r>
      <w:r>
        <w:t xml:space="preserve">“Positive biodiversity-productivity relationship predominant in global forests.”</w:t>
      </w:r>
      <w:r>
        <w:t xml:space="preserve"> </w:t>
      </w:r>
      <w:r>
        <w:t xml:space="preserve">Science 354, no. 6309 (2016): aaf8957.</w:t>
      </w:r>
    </w:p>
    <w:p>
      <w:pPr>
        <w:pStyle w:val="Compact"/>
        <w:numPr>
          <w:ilvl w:val="0"/>
          <w:numId w:val="1030"/>
        </w:numPr>
      </w:pPr>
      <w:r>
        <w:t xml:space="preserve">All figures quoted in this section are expressed in constant EUR 2023.</w:t>
      </w:r>
    </w:p>
    <w:p>
      <w:pPr>
        <w:pStyle w:val="FirstParagraph"/>
      </w:pPr>
      <w:r>
        <w:t xml:space="preserve">52</w:t>
      </w:r>
    </w:p>
    <w:p>
      <w:pPr>
        <w:pStyle w:val="BodyText"/>
      </w:pPr>
      <w:r>
        <w:t xml:space="preserve">Annex 8) while output is at best 0.6% higher in S1 than in S2 (JRC-GEM-E3 model). By</w:t>
      </w:r>
      <w:r>
        <w:t xml:space="preserve"> </w:t>
      </w:r>
      <w:r>
        <w:t xml:space="preserve">2050, GDP levels almost converge for the three scenarios.</w:t>
      </w:r>
      <w:r>
        <w:br/>
      </w:r>
      <w:r>
        <w:t xml:space="preserve">However, the limited impacts on broad aggregates do not reflect the transformations that</w:t>
      </w:r>
      <w:r>
        <w:t xml:space="preserve"> </w:t>
      </w:r>
      <w:r>
        <w:t xml:space="preserve">the economy will undergo, and the required reallocation of capital and employment in the</w:t>
      </w:r>
      <w:r>
        <w:t xml:space="preserve"> </w:t>
      </w:r>
      <w:r>
        <w:t xml:space="preserve">coming decades across sectors and actors. The macro-economic models indicate that a</w:t>
      </w:r>
      <w:r>
        <w:t xml:space="preserve"> </w:t>
      </w:r>
      <w:r>
        <w:t xml:space="preserve">higher GHG ambition in 2040 shifts the composition of GDP from consumption towards</w:t>
      </w:r>
      <w:r>
        <w:t xml:space="preserve"> </w:t>
      </w:r>
      <w:r>
        <w:t xml:space="preserve">investment (consistent with the investment needs identified in section 6.4.2).</w:t>
      </w:r>
      <w:r>
        <w:t xml:space="preserve"> </w:t>
      </w:r>
      <w:r>
        <w:t xml:space="preserve">Nevertheless, the impacts on private consumption remain small across models and levels</w:t>
      </w:r>
      <w:r>
        <w:t xml:space="preserve"> </w:t>
      </w:r>
      <w:r>
        <w:t xml:space="preserve">of ambition. In addition, the composition of consumption should evolve over time, with a</w:t>
      </w:r>
      <w:r>
        <w:t xml:space="preserve"> </w:t>
      </w:r>
      <w:r>
        <w:t xml:space="preserve">gradual decrease in the share of energy consumption and an increase in the share of other</w:t>
      </w:r>
      <w:r>
        <w:t xml:space="preserve"> </w:t>
      </w:r>
      <w:r>
        <w:t xml:space="preserve">goods in total consumption. This compositional shift would be positive from a welfare</w:t>
      </w:r>
      <w:r>
        <w:t xml:space="preserve"> </w:t>
      </w:r>
      <w:r>
        <w:t xml:space="preserve">perspective, as energy-related services would not be negatively affected by lower energy</w:t>
      </w:r>
      <w:r>
        <w:t xml:space="preserve"> </w:t>
      </w:r>
      <w:r>
        <w:t xml:space="preserve">consumption (e.g., a better insulated house provides the same – or likely better – level of</w:t>
      </w:r>
      <w:r>
        <w:t xml:space="preserve"> </w:t>
      </w:r>
      <w:r>
        <w:t xml:space="preserve">comfort than a poorly insulated one, with a lower energy consumption).</w:t>
      </w:r>
      <w:r>
        <w:t xml:space="preserve"> </w:t>
      </w:r>
      <w:r>
        <w:t xml:space="preserve">In terms of sectoral output, a higher level of climate ambition in 2040 is associated with a</w:t>
      </w:r>
      <w:r>
        <w:t xml:space="preserve"> </w:t>
      </w:r>
      <w:r>
        <w:t xml:space="preserve">faster decline in the output of fossil fuel industries, though all scenarios reach broadly</w:t>
      </w:r>
      <w:r>
        <w:t xml:space="preserve"> </w:t>
      </w:r>
      <w:r>
        <w:t xml:space="preserve">similarly low levels of output by 2050 (see Table 14 and Annex 8). The impact on the</w:t>
      </w:r>
      <w:r>
        <w:t xml:space="preserve"> </w:t>
      </w:r>
      <w:r>
        <w:t xml:space="preserve">output of energy intensive industries is also somewhat larger with more ambition, even</w:t>
      </w:r>
      <w:r>
        <w:t xml:space="preserve"> </w:t>
      </w:r>
      <w:r>
        <w:t xml:space="preserve">though the effect under S3 is limited with a decline of 0.2% relative to S2 in 2040 and</w:t>
      </w:r>
      <w:r>
        <w:t xml:space="preserve"> </w:t>
      </w:r>
      <w:r>
        <w:t xml:space="preserve">2050, both under a scenario where the rest of the world implements policies in line with</w:t>
      </w:r>
      <w:r>
        <w:t xml:space="preserve"> </w:t>
      </w:r>
      <w:r>
        <w:t xml:space="preserve">the current NDCs (fragmented action setting) and under a scenario where the rest of the</w:t>
      </w:r>
      <w:r>
        <w:t xml:space="preserve"> </w:t>
      </w:r>
      <w:r>
        <w:t xml:space="preserve">world acts in line with the 1.5°C objective (global action setting).</w:t>
      </w:r>
      <w:r>
        <w:t xml:space="preserve"> </w:t>
      </w:r>
      <w:r>
        <w:t xml:space="preserve">Table 14: Sectoral output and GDP in 2040, deviation vs. S2 (% change)</w:t>
      </w:r>
    </w:p>
    <w:p>
      <w:pPr>
        <w:pStyle w:val="BodyText"/>
      </w:pPr>
      <w:r>
        <w:t xml:space="preserve">S1 fragmented</w:t>
      </w:r>
      <w:r>
        <w:t xml:space="preserve"> </w:t>
      </w:r>
      <w:r>
        <w:t xml:space="preserve">S3 fragmented</w:t>
      </w:r>
      <w:r>
        <w:t xml:space="preserve"> </w:t>
      </w:r>
      <w:r>
        <w:t xml:space="preserve">S1 global</w:t>
      </w:r>
      <w:r>
        <w:t xml:space="preserve"> </w:t>
      </w:r>
      <w:r>
        <w:t xml:space="preserve">S3 global</w:t>
      </w:r>
      <w:r>
        <w:t xml:space="preserve"> </w:t>
      </w:r>
      <w:r>
        <w:t xml:space="preserve">GDP (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0.5%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0.6%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Fossil fuel industries</w:t>
      </w:r>
      <w:r>
        <w:rPr>
          <w:i/>
          <w:iCs/>
        </w:rPr>
        <w:t xml:space="preserve"> </w:t>
      </w:r>
      <w:r>
        <w:rPr>
          <w:i/>
          <w:iCs/>
        </w:rPr>
        <w:t xml:space="preserve">10.2%</w:t>
      </w:r>
      <w:r>
        <w:rPr>
          <w:i/>
          <w:iCs/>
        </w:rPr>
        <w:t xml:space="preserve"> </w:t>
      </w:r>
      <w:r>
        <w:rPr>
          <w:i/>
          <w:iCs/>
        </w:rPr>
        <w:t xml:space="preserve">-5.6%</w:t>
      </w:r>
      <w:r>
        <w:rPr>
          <w:i/>
          <w:iCs/>
        </w:rPr>
        <w:t xml:space="preserve"> </w:t>
      </w:r>
      <w:r>
        <w:rPr>
          <w:i/>
          <w:iCs/>
        </w:rPr>
        <w:t xml:space="preserve">15.0%</w:t>
      </w:r>
      <w:r>
        <w:rPr>
          <w:i/>
          <w:iCs/>
        </w:rPr>
        <w:t xml:space="preserve"> </w:t>
      </w:r>
      <w:r>
        <w:rPr>
          <w:i/>
          <w:iCs/>
        </w:rPr>
        <w:t xml:space="preserve">-5.2%</w:t>
      </w:r>
      <w:r>
        <w:rPr>
          <w:i/>
          <w:iCs/>
        </w:rPr>
        <w:t xml:space="preserve"> </w:t>
      </w:r>
      <w:r>
        <w:rPr>
          <w:i/>
          <w:iCs/>
        </w:rPr>
        <w:t xml:space="preserve">Energy intensive industries</w:t>
      </w:r>
      <w:r>
        <w:rPr>
          <w:i/>
          <w:iCs/>
        </w:rPr>
        <w:t xml:space="preserve"> </w:t>
      </w:r>
      <w:r>
        <w:rPr>
          <w:i/>
          <w:iCs/>
        </w:rPr>
        <w:t xml:space="preserve">1.4%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-0.3%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 equipment</w:t>
      </w:r>
      <w:r>
        <w:rPr>
          <w:i/>
          <w:iCs/>
        </w:rPr>
        <w:t xml:space="preserve"> </w:t>
      </w:r>
      <w:r>
        <w:rPr>
          <w:i/>
          <w:iCs/>
        </w:rPr>
        <w:t xml:space="preserve">0.7%</w:t>
      </w:r>
      <w:r>
        <w:rPr>
          <w:i/>
          <w:iCs/>
        </w:rPr>
        <w:t xml:space="preserve"> </w:t>
      </w:r>
      <w:r>
        <w:rPr>
          <w:i/>
          <w:iCs/>
        </w:rPr>
        <w:t xml:space="preserve">-0.5%</w:t>
      </w:r>
      <w:r>
        <w:rPr>
          <w:i/>
          <w:iCs/>
        </w:rPr>
        <w:t xml:space="preserve"> </w:t>
      </w:r>
      <w:r>
        <w:rPr>
          <w:i/>
          <w:iCs/>
        </w:rPr>
        <w:t xml:space="preserve">0.6%</w:t>
      </w:r>
      <w:r>
        <w:rPr>
          <w:i/>
          <w:iCs/>
        </w:rPr>
        <w:t xml:space="preserve"> </w:t>
      </w:r>
      <w:r>
        <w:rPr>
          <w:i/>
          <w:iCs/>
        </w:rPr>
        <w:t xml:space="preserve">-0.4%</w:t>
      </w:r>
      <w:r>
        <w:rPr>
          <w:i/>
          <w:iCs/>
        </w:rPr>
        <w:t xml:space="preserve"> </w:t>
      </w:r>
      <w:r>
        <w:rPr>
          <w:i/>
          <w:iCs/>
        </w:rPr>
        <w:t xml:space="preserve">Other equipment goods</w:t>
      </w:r>
      <w:r>
        <w:rPr>
          <w:i/>
          <w:iCs/>
        </w:rPr>
        <w:t xml:space="preserve"> </w:t>
      </w:r>
      <w:r>
        <w:rPr>
          <w:i/>
          <w:iCs/>
        </w:rPr>
        <w:t xml:space="preserve">0.5%</w:t>
      </w:r>
      <w:r>
        <w:rPr>
          <w:i/>
          <w:iCs/>
        </w:rPr>
        <w:t xml:space="preserve"> </w:t>
      </w:r>
      <w:r>
        <w:rPr>
          <w:i/>
          <w:iCs/>
        </w:rPr>
        <w:t xml:space="preserve">0.2%</w:t>
      </w:r>
      <w:r>
        <w:rPr>
          <w:i/>
          <w:iCs/>
        </w:rPr>
        <w:t xml:space="preserve"> </w:t>
      </w:r>
      <w:r>
        <w:rPr>
          <w:i/>
          <w:iCs/>
        </w:rPr>
        <w:t xml:space="preserve">-1.3%</w:t>
      </w:r>
      <w:r>
        <w:rPr>
          <w:i/>
          <w:iCs/>
        </w:rPr>
        <w:t xml:space="preserve"> </w:t>
      </w:r>
      <w:r>
        <w:rPr>
          <w:i/>
          <w:iCs/>
        </w:rPr>
        <w:t xml:space="preserve">0.3%</w:t>
      </w:r>
      <w:r>
        <w:rPr>
          <w:i/>
          <w:iCs/>
        </w:rPr>
        <w:t xml:space="preserve"> </w:t>
      </w:r>
      <w:r>
        <w:rPr>
          <w:i/>
          <w:iCs/>
        </w:rPr>
        <w:t xml:space="preserve">Consumer goods industries</w:t>
      </w:r>
      <w:r>
        <w:rPr>
          <w:i/>
          <w:iCs/>
        </w:rPr>
        <w:t xml:space="preserve"> </w:t>
      </w:r>
      <w:r>
        <w:rPr>
          <w:i/>
          <w:iCs/>
        </w:rPr>
        <w:t xml:space="preserve">0.7%</w:t>
      </w:r>
      <w:r>
        <w:rPr>
          <w:i/>
          <w:iCs/>
        </w:rPr>
        <w:t xml:space="preserve"> </w:t>
      </w:r>
      <w:r>
        <w:rPr>
          <w:i/>
          <w:iCs/>
        </w:rPr>
        <w:t xml:space="preserve">-0.6%</w:t>
      </w:r>
      <w:r>
        <w:rPr>
          <w:i/>
          <w:iCs/>
        </w:rPr>
        <w:t xml:space="preserve"> </w:t>
      </w:r>
      <w:r>
        <w:rPr>
          <w:i/>
          <w:iCs/>
        </w:rPr>
        <w:t xml:space="preserve">-0.8%</w:t>
      </w:r>
      <w:r>
        <w:rPr>
          <w:i/>
          <w:iCs/>
        </w:rPr>
        <w:t xml:space="preserve"> </w:t>
      </w:r>
      <w:r>
        <w:rPr>
          <w:i/>
          <w:iCs/>
        </w:rPr>
        <w:t xml:space="preserve">-0.8%</w:t>
      </w:r>
      <w:r>
        <w:rPr>
          <w:i/>
          <w:iCs/>
        </w:rPr>
        <w:t xml:space="preserve"> </w:t>
      </w:r>
      <w:r>
        <w:rPr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2.0%</w:t>
      </w:r>
      <w:r>
        <w:rPr>
          <w:i/>
          <w:iCs/>
        </w:rPr>
        <w:t xml:space="preserve"> </w:t>
      </w:r>
      <w:r>
        <w:rPr>
          <w:i/>
          <w:iCs/>
        </w:rPr>
        <w:t xml:space="preserve">-1.0%</w:t>
      </w:r>
      <w:r>
        <w:rPr>
          <w:i/>
          <w:iCs/>
        </w:rPr>
        <w:t xml:space="preserve"> </w:t>
      </w:r>
      <w:r>
        <w:rPr>
          <w:i/>
          <w:iCs/>
        </w:rPr>
        <w:t xml:space="preserve">1.0%</w:t>
      </w:r>
      <w:r>
        <w:rPr>
          <w:i/>
          <w:iCs/>
        </w:rPr>
        <w:t xml:space="preserve"> </w:t>
      </w:r>
      <w:r>
        <w:rPr>
          <w:i/>
          <w:iCs/>
        </w:rPr>
        <w:t xml:space="preserve">-1.1%</w:t>
      </w:r>
      <w:r>
        <w:rPr>
          <w:i/>
          <w:iCs/>
        </w:rPr>
        <w:t xml:space="preserve"> </w:t>
      </w:r>
      <w:r>
        <w:rPr>
          <w:i/>
          <w:iCs/>
        </w:rPr>
        <w:t xml:space="preserve">Construction</w:t>
      </w:r>
      <w:r>
        <w:rPr>
          <w:i/>
          <w:iCs/>
        </w:rPr>
        <w:t xml:space="preserve"> </w:t>
      </w:r>
      <w:r>
        <w:rPr>
          <w:i/>
          <w:iCs/>
        </w:rPr>
        <w:t xml:space="preserve">0.0%</w:t>
      </w:r>
      <w:r>
        <w:rPr>
          <w:i/>
          <w:iCs/>
        </w:rPr>
        <w:t xml:space="preserve"> </w:t>
      </w:r>
      <w:r>
        <w:rPr>
          <w:i/>
          <w:iCs/>
        </w:rPr>
        <w:t xml:space="preserve">0.5%</w:t>
      </w:r>
      <w:r>
        <w:rPr>
          <w:i/>
          <w:iCs/>
        </w:rPr>
        <w:t xml:space="preserve"> </w:t>
      </w:r>
      <w:r>
        <w:rPr>
          <w:i/>
          <w:iCs/>
        </w:rPr>
        <w:t xml:space="preserve">0.0%</w:t>
      </w:r>
      <w:r>
        <w:rPr>
          <w:i/>
          <w:iCs/>
        </w:rPr>
        <w:t xml:space="preserve"> </w:t>
      </w:r>
      <w:r>
        <w:rPr>
          <w:i/>
          <w:iCs/>
        </w:rPr>
        <w:t xml:space="preserve">0.6%</w:t>
      </w:r>
      <w:r>
        <w:rPr>
          <w:i/>
          <w:iCs/>
        </w:rPr>
        <w:t xml:space="preserve"> </w:t>
      </w:r>
      <w:r>
        <w:rPr>
          <w:i/>
          <w:iCs/>
        </w:rPr>
        <w:t xml:space="preserve">Market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0.5%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1.1%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Non-market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0.2%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0.4%</w:t>
      </w:r>
      <w:r>
        <w:rPr>
          <w:i/>
          <w:iCs/>
        </w:rPr>
        <w:t xml:space="preserve"> </w:t>
      </w:r>
      <w:r>
        <w:rPr>
          <w:i/>
          <w:iCs/>
        </w:rPr>
        <w:t xml:space="preserve">-0.2%</w:t>
      </w:r>
      <w:r>
        <w:rPr>
          <w:i/>
          <w:iCs/>
        </w:rPr>
        <w:t xml:space="preserve"> </w:t>
      </w:r>
      <w:r>
        <w:rPr>
          <w:i/>
          <w:iCs/>
        </w:rPr>
        <w:t xml:space="preserve">Agriculture</w:t>
      </w:r>
      <w:r>
        <w:rPr>
          <w:i/>
          <w:iCs/>
        </w:rPr>
        <w:t xml:space="preserve"> </w:t>
      </w:r>
      <w:r>
        <w:rPr>
          <w:i/>
          <w:iCs/>
        </w:rPr>
        <w:t xml:space="preserve">2.0%</w:t>
      </w:r>
      <w:r>
        <w:rPr>
          <w:i/>
          <w:iCs/>
        </w:rPr>
        <w:t xml:space="preserve"> </w:t>
      </w:r>
      <w:r>
        <w:rPr>
          <w:i/>
          <w:iCs/>
        </w:rPr>
        <w:t xml:space="preserve">-1.0%</w:t>
      </w:r>
      <w:r>
        <w:rPr>
          <w:i/>
          <w:iCs/>
        </w:rPr>
        <w:t xml:space="preserve"> </w:t>
      </w:r>
      <w:r>
        <w:rPr>
          <w:i/>
          <w:iCs/>
        </w:rPr>
        <w:t xml:space="preserve">1.0%</w:t>
      </w:r>
      <w:r>
        <w:rPr>
          <w:i/>
          <w:iCs/>
        </w:rPr>
        <w:t xml:space="preserve"> </w:t>
      </w:r>
      <w:r>
        <w:rPr>
          <w:i/>
          <w:iCs/>
        </w:rPr>
        <w:t xml:space="preserve">-1.1%</w:t>
      </w:r>
      <w:r>
        <w:rPr>
          <w:i/>
          <w:iCs/>
        </w:rPr>
        <w:t xml:space="preserve"> </w:t>
      </w:r>
      <w:r>
        <w:rPr>
          <w:i/>
          <w:iCs/>
        </w:rPr>
        <w:t xml:space="preserve">Forestry</w:t>
      </w:r>
      <w:r>
        <w:rPr>
          <w:i/>
          <w:iCs/>
        </w:rPr>
        <w:t xml:space="preserve"> </w:t>
      </w:r>
      <w:r>
        <w:rPr>
          <w:i/>
          <w:iCs/>
        </w:rPr>
        <w:t xml:space="preserve">-10.9%</w:t>
      </w:r>
      <w:r>
        <w:rPr>
          <w:i/>
          <w:iCs/>
        </w:rPr>
        <w:t xml:space="preserve"> </w:t>
      </w:r>
      <w:r>
        <w:rPr>
          <w:i/>
          <w:iCs/>
        </w:rPr>
        <w:t xml:space="preserve">0.5%</w:t>
      </w:r>
      <w:r>
        <w:rPr>
          <w:i/>
          <w:iCs/>
        </w:rPr>
        <w:t xml:space="preserve"> </w:t>
      </w:r>
      <w:r>
        <w:rPr>
          <w:i/>
          <w:iCs/>
        </w:rPr>
        <w:t xml:space="preserve">-13.1%</w:t>
      </w:r>
      <w:r>
        <w:rPr>
          <w:i/>
          <w:iCs/>
        </w:rPr>
        <w:t xml:space="preserve"> </w:t>
      </w:r>
      <w:r>
        <w:rPr>
          <w:i/>
          <w:iCs/>
        </w:rPr>
        <w:t xml:space="preserve">-1.4%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t xml:space="preserve">) The GDP impacts reported in this table are only those from the JRC-GEM-E3 model.</w:t>
      </w:r>
      <w:r>
        <w:t xml:space="preserve"> </w:t>
      </w:r>
      <w:r>
        <w:t xml:space="preserve">Source: JRC-GEM-E3.</w:t>
      </w:r>
      <w:r>
        <w:t xml:space="preserve"> </w:t>
      </w:r>
      <w:r>
        <w:t xml:space="preserve">While the output of energy intensive industries is somewhat larger under S1 than under</w:t>
      </w:r>
      <w:r>
        <w:t xml:space="preserve"> </w:t>
      </w:r>
      <w:r>
        <w:t xml:space="preserve">S2 in 2040 under a fragmented action setting, it is actually lower in a global action</w:t>
      </w:r>
      <w:r>
        <w:t xml:space="preserve"> </w:t>
      </w:r>
      <w:r>
        <w:t xml:space="preserve">setting. This is driven by the earlier adoption of decarbonised technologies in EU</w:t>
      </w:r>
      <w:r>
        <w:t xml:space="preserve"> </w:t>
      </w:r>
      <w:r>
        <w:t xml:space="preserve">industry relative to the rest of the world under S2, which results in an increase in its</w:t>
      </w:r>
      <w:r>
        <w:t xml:space="preserve"> </w:t>
      </w:r>
      <w:r>
        <w:t xml:space="preserve">competitiveness in a setting where the rest of the world also needs to invest in low-</w:t>
      </w:r>
      <w:r>
        <w:t xml:space="preserve"> </w:t>
      </w:r>
      <w:r>
        <w:t xml:space="preserve">carbon processes. It must be noted also that the output of energy intensive industries is</w:t>
      </w:r>
      <w:r>
        <w:t xml:space="preserve"> </w:t>
      </w:r>
      <w:r>
        <w:t xml:space="preserve">projected to continue growing across all scenarios in future decades. The growth rate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between 2015 and 2040 is projected to range between 25.5% and 27.6% (fragmented</w:t>
      </w:r>
      <w:r>
        <w:t xml:space="preserve"> </w:t>
      </w:r>
      <w:r>
        <w:t xml:space="preserve">action setting).</w:t>
      </w:r>
      <w:r>
        <w:t xml:space="preserve"> </w:t>
      </w:r>
      <w:r>
        <w:t xml:space="preserve">A higher level of ambition in 2040 (S3) would entail somewhat lower private</w:t>
      </w:r>
      <w:r>
        <w:t xml:space="preserve"> </w:t>
      </w:r>
      <w:r>
        <w:t xml:space="preserve">consumption, which would affect notably road and air transport, equipment goods and</w:t>
      </w:r>
      <w:r>
        <w:t xml:space="preserve"> </w:t>
      </w:r>
      <w:r>
        <w:t xml:space="preserve">consumer goods industries. However, under a global action setting, these sectors could</w:t>
      </w:r>
      <w:r>
        <w:t xml:space="preserve"> </w:t>
      </w:r>
      <w:r>
        <w:t xml:space="preserve">actually be positively impacted by 2050 as global demand for equipment goods and</w:t>
      </w:r>
      <w:r>
        <w:t xml:space="preserve"> </w:t>
      </w:r>
      <w:r>
        <w:t xml:space="preserve">technological know-how linked to decarbonisation increases and as the EU gains</w:t>
      </w:r>
      <w:r>
        <w:t xml:space="preserve"> </w:t>
      </w:r>
      <w:r>
        <w:t xml:space="preserve">competitiveness and export market shares, thereby also driving up transport activity.</w:t>
      </w:r>
      <w:r>
        <w:t xml:space="preserve"> </w:t>
      </w:r>
      <w:r>
        <w:t xml:space="preserve">Overall, the difference in the evolution in the EU’s global export market shares across</w:t>
      </w:r>
      <w:r>
        <w:t xml:space="preserve"> </w:t>
      </w:r>
      <w:r>
        <w:t xml:space="preserve">scenarios is marginal, which points to limited differences in competitiveness impacts</w:t>
      </w:r>
      <w:r>
        <w:t xml:space="preserve"> </w:t>
      </w:r>
      <w:r>
        <w:t xml:space="preserve">across target options (Table 15). While the EU is expected to represent a gradually</w:t>
      </w:r>
      <w:r>
        <w:t xml:space="preserve"> </w:t>
      </w:r>
      <w:r>
        <w:t xml:space="preserve">declining share of global exports in the coming decades, this is driven mainly by the</w:t>
      </w:r>
      <w:r>
        <w:t xml:space="preserve"> </w:t>
      </w:r>
      <w:r>
        <w:t xml:space="preserve">smaller relative size of its population and economy and not by the level of climate</w:t>
      </w:r>
      <w:r>
        <w:t xml:space="preserve"> </w:t>
      </w:r>
      <w:r>
        <w:t xml:space="preserve">ambition. As indicated above, a more relevant factor for the impacts on competitiveness</w:t>
      </w:r>
      <w:r>
        <w:t xml:space="preserve"> </w:t>
      </w:r>
      <w:r>
        <w:t xml:space="preserve">is the level of ambition in mitigation policies in the rest of the world, with a higher level</w:t>
      </w:r>
      <w:r>
        <w:t xml:space="preserve"> </w:t>
      </w:r>
      <w:r>
        <w:t xml:space="preserve">of ambition susceptible to increase market shares for EU companies.</w:t>
      </w:r>
      <w:r>
        <w:t xml:space="preserve"> </w:t>
      </w:r>
      <w:r>
        <w:t xml:space="preserve">Table 15: EU share in global exports (% of world trade)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Fragmented action</w:t>
      </w:r>
    </w:p>
    <w:p>
      <w:pPr>
        <w:pStyle w:val="BodyText"/>
      </w:pPr>
      <w:r>
        <w:t xml:space="preserve">All exports</w:t>
      </w:r>
      <w:r>
        <w:t xml:space="preserve"> </w:t>
      </w:r>
      <w:r>
        <w:t xml:space="preserve">16.4%</w:t>
      </w:r>
      <w:r>
        <w:t xml:space="preserve"> </w:t>
      </w:r>
      <w:r>
        <w:t xml:space="preserve">16.2%</w:t>
      </w:r>
      <w:r>
        <w:t xml:space="preserve"> </w:t>
      </w:r>
      <w:r>
        <w:t xml:space="preserve">16.1%</w:t>
      </w:r>
      <w:r>
        <w:t xml:space="preserve"> </w:t>
      </w:r>
      <w:r>
        <w:t xml:space="preserve">15.9%</w:t>
      </w:r>
      <w:r>
        <w:t xml:space="preserve"> </w:t>
      </w:r>
      <w:r>
        <w:t xml:space="preserve">15.9%</w:t>
      </w:r>
      <w:r>
        <w:t xml:space="preserve"> </w:t>
      </w:r>
      <w:r>
        <w:t xml:space="preserve">15.9%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17.4%</w:t>
      </w:r>
      <w:r>
        <w:t xml:space="preserve"> </w:t>
      </w:r>
      <w:r>
        <w:t xml:space="preserve">17.1%</w:t>
      </w:r>
      <w:r>
        <w:t xml:space="preserve"> </w:t>
      </w:r>
      <w:r>
        <w:t xml:space="preserve">17.1%</w:t>
      </w:r>
      <w:r>
        <w:t xml:space="preserve"> </w:t>
      </w:r>
      <w:r>
        <w:t xml:space="preserve">16.9%</w:t>
      </w:r>
      <w:r>
        <w:t xml:space="preserve"> </w:t>
      </w:r>
      <w:r>
        <w:t xml:space="preserve">16.8%</w:t>
      </w:r>
      <w:r>
        <w:t xml:space="preserve"> </w:t>
      </w:r>
      <w:r>
        <w:t xml:space="preserve">16.8%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25.3%</w:t>
      </w:r>
      <w:r>
        <w:t xml:space="preserve"> </w:t>
      </w:r>
      <w:r>
        <w:t xml:space="preserve">25.1%</w:t>
      </w:r>
      <w:r>
        <w:t xml:space="preserve"> </w:t>
      </w:r>
      <w:r>
        <w:t xml:space="preserve">25.0%</w:t>
      </w:r>
      <w:r>
        <w:t xml:space="preserve"> </w:t>
      </w:r>
      <w:r>
        <w:t xml:space="preserve">24.1%</w:t>
      </w:r>
      <w:r>
        <w:t xml:space="preserve"> </w:t>
      </w:r>
      <w:r>
        <w:t xml:space="preserve">24.1%</w:t>
      </w:r>
      <w:r>
        <w:t xml:space="preserve"> </w:t>
      </w:r>
      <w:r>
        <w:t xml:space="preserve">24.1%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17.5%</w:t>
      </w:r>
      <w:r>
        <w:t xml:space="preserve"> </w:t>
      </w:r>
      <w:r>
        <w:t xml:space="preserve">17.3%</w:t>
      </w:r>
      <w:r>
        <w:t xml:space="preserve"> </w:t>
      </w:r>
      <w:r>
        <w:t xml:space="preserve">17.1%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12.6%</w:t>
      </w:r>
      <w:r>
        <w:t xml:space="preserve"> </w:t>
      </w:r>
      <w:r>
        <w:t xml:space="preserve">12.5%</w:t>
      </w:r>
      <w:r>
        <w:t xml:space="preserve"> </w:t>
      </w:r>
      <w:r>
        <w:t xml:space="preserve">12.3%</w:t>
      </w:r>
      <w:r>
        <w:t xml:space="preserve"> </w:t>
      </w:r>
      <w:r>
        <w:t xml:space="preserve">12.0%</w:t>
      </w:r>
      <w:r>
        <w:t xml:space="preserve"> </w:t>
      </w:r>
      <w:r>
        <w:t xml:space="preserve">12.0%</w:t>
      </w:r>
      <w:r>
        <w:t xml:space="preserve"> </w:t>
      </w:r>
      <w:r>
        <w:t xml:space="preserve">12.0%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22.7%</w:t>
      </w:r>
      <w:r>
        <w:t xml:space="preserve"> </w:t>
      </w:r>
      <w:r>
        <w:t xml:space="preserve">22.8%</w:t>
      </w:r>
      <w:r>
        <w:t xml:space="preserve"> </w:t>
      </w:r>
      <w:r>
        <w:t xml:space="preserve">22.7%</w:t>
      </w:r>
      <w:r>
        <w:t xml:space="preserve"> </w:t>
      </w:r>
      <w:r>
        <w:t xml:space="preserve">21.5%</w:t>
      </w:r>
      <w:r>
        <w:t xml:space="preserve"> </w:t>
      </w:r>
      <w:r>
        <w:t xml:space="preserve">21.5%</w:t>
      </w:r>
      <w:r>
        <w:t xml:space="preserve"> </w:t>
      </w:r>
      <w:r>
        <w:t xml:space="preserve">21.5%</w:t>
      </w:r>
      <w:r>
        <w:t xml:space="preserve"> </w:t>
      </w:r>
      <w:r>
        <w:t xml:space="preserve">Agriculture</w:t>
      </w:r>
      <w:r>
        <w:t xml:space="preserve"> </w:t>
      </w:r>
      <w:r>
        <w:t xml:space="preserve">7.2%</w:t>
      </w:r>
      <w:r>
        <w:t xml:space="preserve"> </w:t>
      </w:r>
      <w:r>
        <w:t xml:space="preserve">7.0%</w:t>
      </w:r>
      <w:r>
        <w:t xml:space="preserve"> </w:t>
      </w:r>
      <w:r>
        <w:t xml:space="preserve">7.0%</w:t>
      </w:r>
      <w:r>
        <w:t xml:space="preserve"> </w:t>
      </w:r>
      <w:r>
        <w:t xml:space="preserve">6.2%</w:t>
      </w:r>
      <w:r>
        <w:t xml:space="preserve"> </w:t>
      </w:r>
      <w:r>
        <w:t xml:space="preserve">6.3%</w:t>
      </w:r>
      <w:r>
        <w:t xml:space="preserve"> </w:t>
      </w:r>
      <w:r>
        <w:t xml:space="preserve">6.3%</w:t>
      </w:r>
      <w:r>
        <w:t xml:space="preserve"> </w:t>
      </w:r>
      <w:r>
        <w:t xml:space="preserve">Forestry</w:t>
      </w:r>
      <w:r>
        <w:t xml:space="preserve"> </w:t>
      </w:r>
      <w:r>
        <w:t xml:space="preserve">4.4%</w:t>
      </w:r>
      <w:r>
        <w:t xml:space="preserve"> </w:t>
      </w:r>
      <w:r>
        <w:t xml:space="preserve">4.3%</w:t>
      </w:r>
      <w:r>
        <w:t xml:space="preserve"> </w:t>
      </w:r>
      <w:r>
        <w:t xml:space="preserve">4.3%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Global action</w:t>
      </w:r>
    </w:p>
    <w:p>
      <w:pPr>
        <w:pStyle w:val="BodyText"/>
      </w:pPr>
      <w:r>
        <w:t xml:space="preserve">All exports</w:t>
      </w:r>
      <w:r>
        <w:t xml:space="preserve"> </w:t>
      </w:r>
      <w:r>
        <w:t xml:space="preserve">16.9%</w:t>
      </w:r>
      <w:r>
        <w:t xml:space="preserve"> </w:t>
      </w:r>
      <w:r>
        <w:t xml:space="preserve">16.7%</w:t>
      </w:r>
      <w:r>
        <w:t xml:space="preserve"> </w:t>
      </w:r>
      <w:r>
        <w:t xml:space="preserve">16.6%</w:t>
      </w:r>
      <w:r>
        <w:t xml:space="preserve"> </w:t>
      </w:r>
      <w:r>
        <w:t xml:space="preserve">16.9%</w:t>
      </w:r>
      <w:r>
        <w:t xml:space="preserve"> </w:t>
      </w:r>
      <w:r>
        <w:t xml:space="preserve">16.9%</w:t>
      </w:r>
      <w:r>
        <w:t xml:space="preserve"> </w:t>
      </w:r>
      <w:r>
        <w:t xml:space="preserve">16.8%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17.9%</w:t>
      </w:r>
      <w:r>
        <w:t xml:space="preserve"> </w:t>
      </w:r>
      <w:r>
        <w:t xml:space="preserve">17.6%</w:t>
      </w:r>
      <w:r>
        <w:t xml:space="preserve"> </w:t>
      </w:r>
      <w:r>
        <w:t xml:space="preserve">17.6%</w:t>
      </w:r>
      <w:r>
        <w:t xml:space="preserve"> </w:t>
      </w:r>
      <w:r>
        <w:t xml:space="preserve">17.6%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25.3%</w:t>
      </w:r>
      <w:r>
        <w:t xml:space="preserve"> </w:t>
      </w:r>
      <w:r>
        <w:t xml:space="preserve">25.2%</w:t>
      </w:r>
      <w:r>
        <w:t xml:space="preserve"> </w:t>
      </w:r>
      <w:r>
        <w:t xml:space="preserve">25.0%</w:t>
      </w:r>
      <w:r>
        <w:t xml:space="preserve"> </w:t>
      </w:r>
      <w:r>
        <w:t xml:space="preserve">24.4%</w:t>
      </w:r>
      <w:r>
        <w:t xml:space="preserve"> </w:t>
      </w:r>
      <w:r>
        <w:t xml:space="preserve">24.4%</w:t>
      </w:r>
      <w:r>
        <w:t xml:space="preserve"> </w:t>
      </w:r>
      <w:r>
        <w:t xml:space="preserve">24.3%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18.1%</w:t>
      </w:r>
      <w:r>
        <w:t xml:space="preserve"> </w:t>
      </w:r>
      <w:r>
        <w:t xml:space="preserve">17.9%</w:t>
      </w:r>
      <w:r>
        <w:t xml:space="preserve"> </w:t>
      </w:r>
      <w:r>
        <w:t xml:space="preserve">17.8%</w:t>
      </w:r>
      <w:r>
        <w:t xml:space="preserve"> </w:t>
      </w:r>
      <w:r>
        <w:t xml:space="preserve">18.7%</w:t>
      </w:r>
      <w:r>
        <w:t xml:space="preserve"> </w:t>
      </w:r>
      <w:r>
        <w:t xml:space="preserve">18.7%</w:t>
      </w:r>
      <w:r>
        <w:t xml:space="preserve"> </w:t>
      </w:r>
      <w:r>
        <w:t xml:space="preserve">18.7%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13.3%</w:t>
      </w:r>
      <w:r>
        <w:t xml:space="preserve"> </w:t>
      </w:r>
      <w:r>
        <w:t xml:space="preserve">13.2%</w:t>
      </w:r>
      <w:r>
        <w:t xml:space="preserve"> </w:t>
      </w:r>
      <w:r>
        <w:t xml:space="preserve">13.0%</w:t>
      </w:r>
      <w:r>
        <w:t xml:space="preserve"> </w:t>
      </w:r>
      <w:r>
        <w:t xml:space="preserve">13.6%</w:t>
      </w:r>
      <w:r>
        <w:t xml:space="preserve"> </w:t>
      </w:r>
      <w:r>
        <w:t xml:space="preserve">13.6%</w:t>
      </w:r>
      <w:r>
        <w:t xml:space="preserve"> </w:t>
      </w:r>
      <w:r>
        <w:t xml:space="preserve">13.6%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21.7%</w:t>
      </w:r>
      <w:r>
        <w:t xml:space="preserve"> </w:t>
      </w:r>
      <w:r>
        <w:t xml:space="preserve">21.7%</w:t>
      </w:r>
      <w:r>
        <w:t xml:space="preserve"> </w:t>
      </w:r>
      <w:r>
        <w:t xml:space="preserve">21.7%</w:t>
      </w:r>
      <w:r>
        <w:t xml:space="preserve"> </w:t>
      </w:r>
      <w:r>
        <w:t xml:space="preserve">19.1%</w:t>
      </w:r>
      <w:r>
        <w:t xml:space="preserve"> </w:t>
      </w:r>
      <w:r>
        <w:t xml:space="preserve">19.1%</w:t>
      </w:r>
      <w:r>
        <w:t xml:space="preserve"> </w:t>
      </w:r>
      <w:r>
        <w:t xml:space="preserve">19.1%</w:t>
      </w:r>
      <w:r>
        <w:t xml:space="preserve"> </w:t>
      </w:r>
      <w:r>
        <w:t xml:space="preserve">Agriculture</w:t>
      </w:r>
      <w:r>
        <w:t xml:space="preserve"> </w:t>
      </w:r>
      <w:r>
        <w:t xml:space="preserve">7.8%</w:t>
      </w:r>
      <w:r>
        <w:t xml:space="preserve"> </w:t>
      </w:r>
      <w:r>
        <w:t xml:space="preserve">7.6%</w:t>
      </w:r>
      <w:r>
        <w:t xml:space="preserve"> </w:t>
      </w:r>
      <w:r>
        <w:t xml:space="preserve">7.5%</w:t>
      </w:r>
      <w:r>
        <w:t xml:space="preserve"> </w:t>
      </w:r>
      <w:r>
        <w:t xml:space="preserve">6.4%</w:t>
      </w:r>
      <w:r>
        <w:t xml:space="preserve"> </w:t>
      </w:r>
      <w:r>
        <w:t xml:space="preserve">6.5%</w:t>
      </w:r>
      <w:r>
        <w:t xml:space="preserve"> </w:t>
      </w:r>
      <w:r>
        <w:t xml:space="preserve">6.9%</w:t>
      </w:r>
      <w:r>
        <w:t xml:space="preserve"> </w:t>
      </w:r>
      <w:r>
        <w:t xml:space="preserve">Forestry</w:t>
      </w:r>
      <w:r>
        <w:t xml:space="preserve"> </w:t>
      </w:r>
      <w:r>
        <w:t xml:space="preserve">4.4%</w:t>
      </w:r>
      <w:r>
        <w:t xml:space="preserve"> </w:t>
      </w:r>
      <w:r>
        <w:t xml:space="preserve">4.3%</w:t>
      </w:r>
      <w:r>
        <w:t xml:space="preserve"> </w:t>
      </w:r>
      <w:r>
        <w:t xml:space="preserve">4.3%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3.2%</w:t>
      </w:r>
      <w:r>
        <w:t xml:space="preserve"> </w:t>
      </w:r>
      <w:r>
        <w:t xml:space="preserve">Source: JRC-GEM-E3.</w:t>
      </w:r>
      <w:r>
        <w:t xml:space="preserve"> </w:t>
      </w:r>
      <w:r>
        <w:t xml:space="preserve">The transition to climate neutrality and the level of ambition for 2040 will also impact the</w:t>
      </w:r>
      <w:r>
        <w:t xml:space="preserve"> </w:t>
      </w:r>
      <w:r>
        <w:t xml:space="preserve">EU’s main trading partners. While the level of total EU imports is similar across</w:t>
      </w:r>
      <w:r>
        <w:t xml:space="preserve"> </w:t>
      </w:r>
      <w:r>
        <w:t xml:space="preserve">scenarios, the composition of imports and their carbon intensity will change with the</w:t>
      </w:r>
      <w:r>
        <w:t xml:space="preserve"> </w:t>
      </w:r>
      <w:r>
        <w:t xml:space="preserve">transition. Imports of fossil fuels will decline sharply in the coming decades, with an</w:t>
      </w:r>
      <w:r>
        <w:t xml:space="preserve"> </w:t>
      </w:r>
      <w:r>
        <w:t xml:space="preserve">even sharper and faster decline under S3. For market services and agro-forestry goods,</w:t>
      </w:r>
      <w:r>
        <w:t xml:space="preserve"> </w:t>
      </w:r>
      <w:r>
        <w:t xml:space="preserve">the share of EU imports is expected to grow during the transition. A broad-based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assessment suggests that the share of EU imports coming from Africa and Asia</w:t>
      </w:r>
      <w:r>
        <w:t xml:space="preserve"> </w:t>
      </w:r>
      <w:r>
        <w:t xml:space="preserve">(excluding China and India) will increase.</w:t>
      </w:r>
      <w:r>
        <w:br/>
      </w:r>
      <w:r>
        <w:t xml:space="preserve">The extent to which public finances could be affected by the transition itself and by the</w:t>
      </w:r>
      <w:r>
        <w:t xml:space="preserve"> </w:t>
      </w:r>
      <w:r>
        <w:t xml:space="preserve">scenarios in this impact assessment will depend on a multiplicity of factors, many</w:t>
      </w:r>
      <w:r>
        <w:t xml:space="preserve"> </w:t>
      </w:r>
      <w:r>
        <w:t xml:space="preserve">determined at Member State level. On the revenue side, environmental taxes play a key</w:t>
      </w:r>
      <w:r>
        <w:t xml:space="preserve"> </w:t>
      </w:r>
      <w:r>
        <w:t xml:space="preserve">role in decoupling economic growth and environmental impacts. In 2021, environmental</w:t>
      </w:r>
      <w:r>
        <w:t xml:space="preserve"> </w:t>
      </w:r>
      <w:r>
        <w:t xml:space="preserve">taxes represented about 2.2% of GDP or 5.5% of the total revenues of EU Member States</w:t>
      </w:r>
      <w:r>
        <w:t xml:space="preserve"> </w:t>
      </w:r>
      <w:r>
        <w:t xml:space="preserve">from taxes and social contributions, the bulk linked to energy taxes for fossil fuels. The</w:t>
      </w:r>
      <w:r>
        <w:t xml:space="preserve"> </w:t>
      </w:r>
      <w:r>
        <w:t xml:space="preserve">base of carbon taxes will erode as the EU progresses towards climate neutrality.</w:t>
      </w:r>
      <w:r>
        <w:t xml:space="preserve"> </w:t>
      </w:r>
      <w:r>
        <w:t xml:space="preserve">Revenues from carbon pricing or other taxes aiming at reducing emissions should</w:t>
      </w:r>
      <w:r>
        <w:t xml:space="preserve"> </w:t>
      </w:r>
      <w:r>
        <w:t xml:space="preserve">increase over the transition before declining as the EU economy moves towards climate</w:t>
      </w:r>
      <w:r>
        <w:t xml:space="preserve"> </w:t>
      </w:r>
      <w:r>
        <w:t xml:space="preserve">neutrality. In that context, phasing out fossil fuel subsidies will be all the more important.</w:t>
      </w:r>
      <w:r>
        <w:t xml:space="preserve"> </w:t>
      </w:r>
      <w:r>
        <w:t xml:space="preserve">These trends will have implications for the design of tax and revenue systems.</w:t>
      </w:r>
      <w:r>
        <w:t xml:space="preserve"> </w:t>
      </w:r>
      <w:r>
        <w:t xml:space="preserve">On the expenditure side, the impact will be affected, among others, by the extent to</w:t>
      </w:r>
      <w:r>
        <w:t xml:space="preserve"> </w:t>
      </w:r>
      <w:r>
        <w:t xml:space="preserve">which Member States directly fund or support investment in climate change mitigation</w:t>
      </w:r>
      <w:r>
        <w:t xml:space="preserve"> </w:t>
      </w:r>
      <w:r>
        <w:t xml:space="preserve">and adaptation. In turn, the risks to government finances arising from fossil fuel price</w:t>
      </w:r>
      <w:r>
        <w:t xml:space="preserve"> </w:t>
      </w:r>
      <w:r>
        <w:t xml:space="preserve">shocks, as recently experienced following Russia’s war of aggression in Ukraine, would</w:t>
      </w:r>
      <w:r>
        <w:t xml:space="preserve"> </w:t>
      </w:r>
      <w:r>
        <w:t xml:space="preserve">be much lower under a higher target for 2040. Simulation with the JRC-GEM-E3 model</w:t>
      </w:r>
      <w:r>
        <w:t xml:space="preserve"> </w:t>
      </w:r>
      <w:r>
        <w:t xml:space="preserve">of a stylised shock resulting in doubling of fossil fuel prices (coal, oil and gas), without</w:t>
      </w:r>
      <w:r>
        <w:t xml:space="preserve"> </w:t>
      </w:r>
      <w:r>
        <w:t xml:space="preserve">knock-on effects on electricity prices, shows that the negative impact on GDP, private</w:t>
      </w:r>
      <w:r>
        <w:t xml:space="preserve"> </w:t>
      </w:r>
      <w:r>
        <w:t xml:space="preserve">consumption and employment is halved if it takes place in an economy with a largely</w:t>
      </w:r>
      <w:r>
        <w:t xml:space="preserve"> </w:t>
      </w:r>
      <w:r>
        <w:t xml:space="preserve">decarbonised energy system projected for 2040, compared to the same shock taking place</w:t>
      </w:r>
      <w:r>
        <w:t xml:space="preserve"> </w:t>
      </w:r>
      <w:r>
        <w:t xml:space="preserve">in 2025 (GDP impact of -0.4% vs. -0.8% and private consumption impact of -1.3% vs. -</w:t>
      </w:r>
      <w:r>
        <w:t xml:space="preserve"> </w:t>
      </w:r>
      <w:r>
        <w:t xml:space="preserve">2.6%).</w:t>
      </w:r>
      <w:r>
        <w:br/>
      </w:r>
      <w:r>
        <w:t xml:space="preserve">The risks from climate-related hazards for public finance are becoming increasingly</w:t>
      </w:r>
      <w:r>
        <w:t xml:space="preserve"> </w:t>
      </w:r>
      <w:r>
        <w:t xml:space="preserve">obvious, though these will be determined by the success of global mitigation efforts and</w:t>
      </w:r>
      <w:r>
        <w:t xml:space="preserve"> </w:t>
      </w:r>
      <w:r>
        <w:t xml:space="preserve">the extent to which private insurance can provide adequate coverage (76). Insurance cover</w:t>
      </w:r>
      <w:r>
        <w:t xml:space="preserve"> </w:t>
      </w:r>
      <w:r>
        <w:t xml:space="preserve">for climate-related natural catastrophes is low - at about 25% at EU level, with large</w:t>
      </w:r>
      <w:r>
        <w:t xml:space="preserve"> </w:t>
      </w:r>
      <w:r>
        <w:t xml:space="preserve">disparities among Member States (77).</w:t>
      </w:r>
      <w:r>
        <w:t xml:space="preserve"> </w:t>
      </w:r>
      <w:r>
        <w:t xml:space="preserve">Finally, it is critical to assess the potential impacts of the climate transition alongside its</w:t>
      </w:r>
      <w:r>
        <w:t xml:space="preserve"> </w:t>
      </w:r>
      <w:r>
        <w:t xml:space="preserve">co-benefits (section 6.3) and the costs of inaction. Co-benefits in terms of human health,</w:t>
      </w:r>
      <w:r>
        <w:t xml:space="preserve"> </w:t>
      </w:r>
      <w:r>
        <w:t xml:space="preserve">strategic independence, quality of life and environmental sustainability cannot all be</w:t>
      </w:r>
      <w:r>
        <w:t xml:space="preserve"> </w:t>
      </w:r>
      <w:r>
        <w:t xml:space="preserve">adequately measured in financial terms or as economic impacts; however they are large</w:t>
      </w:r>
      <w:r>
        <w:t xml:space="preserve"> </w:t>
      </w:r>
      <w:r>
        <w:t xml:space="preserve">and affect welfare in many ways. In addition, the damaging impacts of global warming</w:t>
      </w:r>
      <w:r>
        <w:t xml:space="preserve"> </w:t>
      </w:r>
      <w:r>
        <w:t xml:space="preserve">are becoming increasingly stark and immediate, both for our economies and people.</w:t>
      </w:r>
      <w:r>
        <w:t xml:space="preserve"> </w:t>
      </w:r>
      <w:r>
        <w:t xml:space="preserve">Short-term costs are soaring due to the occurrence and intensity of extreme weather-</w:t>
      </w:r>
      <w:r>
        <w:t xml:space="preserve"> </w:t>
      </w:r>
      <w:r>
        <w:t xml:space="preserve">related events. While estimates of long-term economic losses are shrouded with</w:t>
      </w:r>
    </w:p>
    <w:p>
      <w:pPr>
        <w:pStyle w:val="Compact"/>
        <w:numPr>
          <w:ilvl w:val="0"/>
          <w:numId w:val="1031"/>
        </w:numPr>
      </w:pPr>
      <w:r>
        <w:t xml:space="preserve">The Commission’s Fiscal Sustainability Report 2021 highlights that extreme weather and climate-</w:t>
      </w:r>
      <w:r>
        <w:t xml:space="preserve"> </w:t>
      </w:r>
      <w:r>
        <w:t xml:space="preserve">related events already pose risks to fiscal (debt) sustainability in several countries, while further stressing</w:t>
      </w:r>
      <w:r>
        <w:t xml:space="preserve"> </w:t>
      </w:r>
      <w:r>
        <w:t xml:space="preserve">that the assessment is based on an incomplete view of risks and is therefore likely to underestimate the</w:t>
      </w:r>
      <w:r>
        <w:t xml:space="preserve"> </w:t>
      </w:r>
      <w:r>
        <w:t xml:space="preserve">negative fiscal impacts.</w:t>
      </w:r>
    </w:p>
    <w:p>
      <w:pPr>
        <w:pStyle w:val="Compact"/>
        <w:numPr>
          <w:ilvl w:val="0"/>
          <w:numId w:val="1031"/>
        </w:numPr>
      </w:pPr>
      <w:r>
        <w:t xml:space="preserve">Based on the dashboard on insurance protection gap for natural catastrophes from the European</w:t>
      </w:r>
      <w:r>
        <w:t xml:space="preserve"> </w:t>
      </w:r>
      <w:r>
        <w:t xml:space="preserve">Insurance and Occupational Pensions Authority.</w:t>
      </w:r>
    </w:p>
    <w:p>
      <w:pPr>
        <w:pStyle w:val="FirstParagraph"/>
      </w:pPr>
      <w:r>
        <w:t xml:space="preserve">55</w:t>
      </w:r>
    </w:p>
    <w:p>
      <w:pPr>
        <w:pStyle w:val="BodyText"/>
      </w:pPr>
      <w:r>
        <w:t xml:space="preserve">uncertainty and will depend to some extent on our ability to adapt to a changing climate,</w:t>
      </w:r>
      <w:r>
        <w:t xml:space="preserve"> </w:t>
      </w:r>
      <w:r>
        <w:t xml:space="preserve">they all point to impacts that are several times the estimated impacts of mitigation</w:t>
      </w:r>
      <w:r>
        <w:t xml:space="preserve"> </w:t>
      </w:r>
      <w:r>
        <w:t xml:space="preserve">policies.</w:t>
      </w:r>
      <w:r>
        <w:br/>
      </w:r>
      <w:r>
        <w:t xml:space="preserve">6.4.2 Investment needs</w:t>
      </w:r>
      <w:r>
        <w:t xml:space="preserve"> </w:t>
      </w:r>
      <w:r>
        <w:t xml:space="preserve">The EU energy system needs to be decarbonised to a large extent by 2040 in all</w:t>
      </w:r>
      <w:r>
        <w:t xml:space="preserve"> </w:t>
      </w:r>
      <w:r>
        <w:t xml:space="preserve">scenarios. This requires the modernisation of many facets of our economy. All scenarios</w:t>
      </w:r>
      <w:r>
        <w:t xml:space="preserve"> </w:t>
      </w:r>
      <w:r>
        <w:t xml:space="preserve">imply an intensification of efforts to replace fossil fuels with renewable and carbon-free</w:t>
      </w:r>
      <w:r>
        <w:t xml:space="preserve"> </w:t>
      </w:r>
      <w:r>
        <w:t xml:space="preserve">sources of energy, achieving higher energy efficiency across the economy, and increasing</w:t>
      </w:r>
      <w:r>
        <w:t xml:space="preserve"> </w:t>
      </w:r>
      <w:r>
        <w:t xml:space="preserve">innovation. Existing capital assets (e.g., fossil-based power plants, heating and cooling</w:t>
      </w:r>
      <w:r>
        <w:t xml:space="preserve"> </w:t>
      </w:r>
      <w:r>
        <w:t xml:space="preserve">systems or industrial processes) will be progressively replaced with renewable</w:t>
      </w:r>
      <w:r>
        <w:t xml:space="preserve"> </w:t>
      </w:r>
      <w:r>
        <w:t xml:space="preserve">technologies, carbon-free or electricity-based assets, whose capital intensity may be</w:t>
      </w:r>
      <w:r>
        <w:t xml:space="preserve"> </w:t>
      </w:r>
      <w:r>
        <w:t xml:space="preserve">larger than fossil-based assets. New industrial capacities such as critical raw material</w:t>
      </w:r>
      <w:r>
        <w:t xml:space="preserve"> </w:t>
      </w:r>
      <w:r>
        <w:t xml:space="preserve">processing or clean steel, will be built, to supply the decarbonisation needs. The</w:t>
      </w:r>
      <w:r>
        <w:t xml:space="preserve"> </w:t>
      </w:r>
      <w:r>
        <w:t xml:space="preserve">transition of the energy system will require sustained investment including in research,</w:t>
      </w:r>
      <w:r>
        <w:t xml:space="preserve"> </w:t>
      </w:r>
      <w:r>
        <w:t xml:space="preserve">industry, and supply chain capacities. This will trigger innovation.</w:t>
      </w:r>
      <w:r>
        <w:t xml:space="preserve"> </w:t>
      </w:r>
      <w:r>
        <w:t xml:space="preserve">All scenarios require similar significant investment needs for the energy system over the</w:t>
      </w:r>
      <w:r>
        <w:t xml:space="preserve"> </w:t>
      </w:r>
      <w:r>
        <w:t xml:space="preserve">period 2031-2050, although with different time profiles over the two decades, and</w:t>
      </w:r>
      <w:r>
        <w:t xml:space="preserve"> </w:t>
      </w:r>
      <w:r>
        <w:t xml:space="preserve">different sectoral composition. This highlights the necessity to ensure enabling</w:t>
      </w:r>
      <w:r>
        <w:t xml:space="preserve"> </w:t>
      </w:r>
      <w:r>
        <w:t xml:space="preserve">conditions that make such a level of investment feasible and that avoid investment</w:t>
      </w:r>
      <w:r>
        <w:t xml:space="preserve"> </w:t>
      </w:r>
      <w:r>
        <w:t xml:space="preserve">decisions that are not compatible with the transition.</w:t>
      </w:r>
      <w:r>
        <w:br/>
      </w:r>
      <w:r>
        <w:t xml:space="preserve">The three scenarios imply annual energy system investment needs (excluding transport)</w:t>
      </w:r>
      <w:r>
        <w:t xml:space="preserve"> </w:t>
      </w:r>
      <w:r>
        <w:t xml:space="preserve">above 3% of GDP for the period 2031-2050 (Table 16). This amounts to an additional</w:t>
      </w:r>
      <w:r>
        <w:t xml:space="preserve"> </w:t>
      </w:r>
      <w:r>
        <w:t xml:space="preserve">1.5 percentage points of GDP compared to average energy system investment in 2011-</w:t>
      </w:r>
      <w:r>
        <w:t xml:space="preserve"> </w:t>
      </w:r>
      <w:r>
        <w:t xml:space="preserve">2020, a period during which overall investment levels in the EU were historically low</w:t>
      </w:r>
      <w:r>
        <w:t xml:space="preserve"> </w:t>
      </w:r>
      <w:r>
        <w:t xml:space="preserve">(see Annex 8). It is also comparable to the level of investment that will be needed in the</w:t>
      </w:r>
      <w:r>
        <w:t xml:space="preserve"> </w:t>
      </w:r>
      <w:r>
        <w:t xml:space="preserve">current decade to achieve the objectives of the Fit-for-55 package. The resulting</w:t>
      </w:r>
      <w:r>
        <w:t xml:space="preserve"> </w:t>
      </w:r>
      <w:r>
        <w:t xml:space="preserve">evolution of investment as a proportion of GDP is not exceptional in historical terms,</w:t>
      </w:r>
      <w:r>
        <w:t xml:space="preserve"> </w:t>
      </w:r>
      <w:r>
        <w:t xml:space="preserve">though the increase would need to be sustained over a prolonged period of time: the ratio</w:t>
      </w:r>
      <w:r>
        <w:t xml:space="preserve"> </w:t>
      </w:r>
      <w:r>
        <w:t xml:space="preserve">between gross fixed capital formation (GFCF) and GDP in the EU has fluctuated</w:t>
      </w:r>
      <w:r>
        <w:t xml:space="preserve"> </w:t>
      </w:r>
      <w:r>
        <w:t xml:space="preserve">between 20-23% since the mid-90s, dropping to a 20% low between 2010 and 2020</w:t>
      </w:r>
      <w:r>
        <w:t xml:space="preserve"> </w:t>
      </w:r>
      <w:r>
        <w:t xml:space="preserve">before bouncing back in more recent years towards the average of 22% seen in 2000-</w:t>
      </w:r>
      <w:r>
        <w:t xml:space="preserve"> </w:t>
      </w:r>
      <w:r>
        <w:t xml:space="preserve">2010. In the 1970s and 1980s, the average ratio was at 25.8% and 23.1%, respectively.</w:t>
      </w:r>
      <w:r>
        <w:t xml:space="preserve"> </w:t>
      </w:r>
      <w:r>
        <w:t xml:space="preserve">The electricity sector (generation and grid) dominates investment needs on the supply</w:t>
      </w:r>
      <w:r>
        <w:t xml:space="preserve"> </w:t>
      </w:r>
      <w:r>
        <w:t xml:space="preserve">side given the increasing electrification in the economy. On the demand side, the</w:t>
      </w:r>
      <w:r>
        <w:t xml:space="preserve"> </w:t>
      </w:r>
      <w:r>
        <w:t xml:space="preserve">residential sector accounts for the largest share of investment needs at about two-thirds of</w:t>
      </w:r>
      <w:r>
        <w:t xml:space="preserve"> </w:t>
      </w:r>
      <w:r>
        <w:t xml:space="preserve">the total (excluding transport).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Table 16: Average annual energy system investment needs (billion EUR 2023).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</w:p>
    <w:p>
      <w:pPr>
        <w:pStyle w:val="BodyText"/>
      </w:pP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Supply</w:t>
      </w:r>
      <w:r>
        <w:t xml:space="preserve"> </w:t>
      </w:r>
      <w:r>
        <w:t xml:space="preserve">236</w:t>
      </w:r>
      <w:r>
        <w:t xml:space="preserve"> </w:t>
      </w:r>
      <w:r>
        <w:t xml:space="preserve">377</w:t>
      </w:r>
      <w:r>
        <w:t xml:space="preserve"> </w:t>
      </w:r>
      <w:r>
        <w:t xml:space="preserve">306</w:t>
      </w:r>
      <w:r>
        <w:t xml:space="preserve"> </w:t>
      </w:r>
      <w:r>
        <w:t xml:space="preserve">289</w:t>
      </w:r>
      <w:r>
        <w:t xml:space="preserve"> </w:t>
      </w:r>
      <w:r>
        <w:t xml:space="preserve">328</w:t>
      </w:r>
      <w:r>
        <w:t xml:space="preserve"> </w:t>
      </w:r>
      <w:r>
        <w:t xml:space="preserve">308</w:t>
      </w:r>
      <w:r>
        <w:t xml:space="preserve"> </w:t>
      </w:r>
      <w:r>
        <w:t xml:space="preserve">341</w:t>
      </w:r>
      <w:r>
        <w:t xml:space="preserve"> </w:t>
      </w:r>
      <w:r>
        <w:t xml:space="preserve">281</w:t>
      </w:r>
      <w:r>
        <w:t xml:space="preserve"> </w:t>
      </w:r>
      <w:r>
        <w:t xml:space="preserve">311</w:t>
      </w:r>
      <w:r>
        <w:t xml:space="preserve"> </w:t>
      </w:r>
      <w:r>
        <w:t xml:space="preserve">-59</w:t>
      </w:r>
      <w:r>
        <w:t xml:space="preserve"> </w:t>
      </w:r>
      <w:r>
        <w:t xml:space="preserve">-14</w:t>
      </w:r>
      <w:r>
        <w:t xml:space="preserve"> </w:t>
      </w:r>
      <w:r>
        <w:t xml:space="preserve">-36</w:t>
      </w:r>
      <w:r>
        <w:t xml:space="preserve"> </w:t>
      </w:r>
      <w:r>
        <w:t xml:space="preserve">Power grid</w:t>
      </w:r>
      <w:r>
        <w:t xml:space="preserve"> </w:t>
      </w:r>
      <w:r>
        <w:t xml:space="preserve">79</w:t>
      </w:r>
      <w:r>
        <w:t xml:space="preserve"> </w:t>
      </w:r>
      <w:r>
        <w:t xml:space="preserve">88</w:t>
      </w:r>
      <w:r>
        <w:t xml:space="preserve"> </w:t>
      </w:r>
      <w:r>
        <w:t xml:space="preserve">84</w:t>
      </w:r>
      <w:r>
        <w:t xml:space="preserve"> </w:t>
      </w:r>
      <w:r>
        <w:t xml:space="preserve">88</w:t>
      </w:r>
      <w:r>
        <w:t xml:space="preserve"> </w:t>
      </w:r>
      <w:r>
        <w:t xml:space="preserve">81</w:t>
      </w:r>
      <w:r>
        <w:t xml:space="preserve"> </w:t>
      </w:r>
      <w:r>
        <w:t xml:space="preserve">85</w:t>
      </w:r>
      <w:r>
        <w:t xml:space="preserve"> </w:t>
      </w:r>
      <w:r>
        <w:t xml:space="preserve">96</w:t>
      </w:r>
      <w:r>
        <w:t xml:space="preserve"> </w:t>
      </w:r>
      <w:r>
        <w:t xml:space="preserve">75</w:t>
      </w:r>
      <w:r>
        <w:t xml:space="preserve"> </w:t>
      </w:r>
      <w:r>
        <w:t xml:space="preserve">85</w:t>
      </w:r>
      <w:r>
        <w:t xml:space="preserve"> </w:t>
      </w:r>
      <w:r>
        <w:t xml:space="preserve">-15</w:t>
      </w:r>
      <w:r>
        <w:t xml:space="preserve"> </w:t>
      </w:r>
      <w:r>
        <w:t xml:space="preserve">-2</w:t>
      </w:r>
      <w:r>
        <w:t xml:space="preserve"> </w:t>
      </w:r>
      <w:r>
        <w:t xml:space="preserve">-9</w:t>
      </w:r>
      <w:r>
        <w:t xml:space="preserve"> </w:t>
      </w:r>
      <w:r>
        <w:t xml:space="preserve">Power plants</w:t>
      </w:r>
      <w:r>
        <w:t xml:space="preserve"> </w:t>
      </w:r>
      <w:r>
        <w:t xml:space="preserve">97</w:t>
      </w:r>
      <w:r>
        <w:t xml:space="preserve"> </w:t>
      </w:r>
      <w:r>
        <w:t xml:space="preserve">187</w:t>
      </w:r>
      <w:r>
        <w:t xml:space="preserve"> </w:t>
      </w:r>
      <w:r>
        <w:t xml:space="preserve">142</w:t>
      </w:r>
      <w:r>
        <w:t xml:space="preserve"> </w:t>
      </w:r>
      <w:r>
        <w:t xml:space="preserve">128</w:t>
      </w:r>
      <w:r>
        <w:t xml:space="preserve"> </w:t>
      </w:r>
      <w:r>
        <w:t xml:space="preserve">157</w:t>
      </w:r>
      <w:r>
        <w:t xml:space="preserve"> </w:t>
      </w:r>
      <w:r>
        <w:t xml:space="preserve">142</w:t>
      </w:r>
      <w:r>
        <w:t xml:space="preserve"> </w:t>
      </w:r>
      <w:r>
        <w:t xml:space="preserve">151</w:t>
      </w:r>
      <w:r>
        <w:t xml:space="preserve"> </w:t>
      </w:r>
      <w:r>
        <w:t xml:space="preserve">133</w:t>
      </w:r>
      <w:r>
        <w:t xml:space="preserve"> </w:t>
      </w:r>
      <w:r>
        <w:t xml:space="preserve">142</w:t>
      </w:r>
      <w:r>
        <w:t xml:space="preserve"> </w:t>
      </w:r>
      <w:r>
        <w:t xml:space="preserve">-28</w:t>
      </w:r>
      <w:r>
        <w:t xml:space="preserve"> </w:t>
      </w:r>
      <w:r>
        <w:t xml:space="preserve">-6</w:t>
      </w:r>
      <w:r>
        <w:t xml:space="preserve"> </w:t>
      </w:r>
      <w:r>
        <w:t xml:space="preserve">-17</w:t>
      </w:r>
      <w:r>
        <w:t xml:space="preserve"> </w:t>
      </w:r>
      <w:r>
        <w:t xml:space="preserve">Other</w:t>
      </w:r>
      <w:r>
        <w:t xml:space="preserve"> </w:t>
      </w:r>
      <w:r>
        <w:t xml:space="preserve">59</w:t>
      </w:r>
      <w:r>
        <w:t xml:space="preserve"> </w:t>
      </w:r>
      <w:r>
        <w:t xml:space="preserve">102</w:t>
      </w:r>
      <w:r>
        <w:t xml:space="preserve"> </w:t>
      </w:r>
      <w:r>
        <w:t xml:space="preserve">81</w:t>
      </w:r>
      <w:r>
        <w:t xml:space="preserve"> </w:t>
      </w:r>
      <w:r>
        <w:t xml:space="preserve">72</w:t>
      </w:r>
      <w:r>
        <w:t xml:space="preserve"> </w:t>
      </w:r>
      <w:r>
        <w:t xml:space="preserve">90</w:t>
      </w:r>
      <w:r>
        <w:t xml:space="preserve"> </w:t>
      </w:r>
      <w:r>
        <w:t xml:space="preserve">81</w:t>
      </w:r>
      <w:r>
        <w:t xml:space="preserve"> </w:t>
      </w:r>
      <w:r>
        <w:t xml:space="preserve">94</w:t>
      </w:r>
      <w:r>
        <w:t xml:space="preserve"> </w:t>
      </w:r>
      <w:r>
        <w:t xml:space="preserve">73</w:t>
      </w:r>
      <w:r>
        <w:t xml:space="preserve"> </w:t>
      </w:r>
      <w:r>
        <w:t xml:space="preserve">83</w:t>
      </w:r>
      <w:r>
        <w:t xml:space="preserve"> </w:t>
      </w:r>
      <w:r>
        <w:t xml:space="preserve">-16</w:t>
      </w:r>
      <w:r>
        <w:t xml:space="preserve"> </w:t>
      </w:r>
      <w:r>
        <w:t xml:space="preserve">-6</w:t>
      </w:r>
      <w:r>
        <w:t xml:space="preserve"> </w:t>
      </w:r>
      <w:r>
        <w:t xml:space="preserve">-11</w:t>
      </w:r>
      <w:r>
        <w:t xml:space="preserve"> </w:t>
      </w:r>
      <w:r>
        <w:t xml:space="preserve">Demand excl.</w:t>
      </w:r>
      <w:r>
        <w:t xml:space="preserve"> </w:t>
      </w:r>
      <w:r>
        <w:t xml:space="preserve">transport</w:t>
      </w:r>
      <w:r>
        <w:t xml:space="preserve"> </w:t>
      </w:r>
      <w:r>
        <w:t xml:space="preserve">332</w:t>
      </w:r>
      <w:r>
        <w:t xml:space="preserve"> </w:t>
      </w:r>
      <w:r>
        <w:t xml:space="preserve">377</w:t>
      </w:r>
      <w:r>
        <w:t xml:space="preserve"> </w:t>
      </w:r>
      <w:r>
        <w:t xml:space="preserve">354</w:t>
      </w:r>
      <w:r>
        <w:t xml:space="preserve"> </w:t>
      </w:r>
      <w:r>
        <w:t xml:space="preserve">355</w:t>
      </w:r>
      <w:r>
        <w:t xml:space="preserve"> </w:t>
      </w:r>
      <w:r>
        <w:t xml:space="preserve">357</w:t>
      </w:r>
      <w:r>
        <w:t xml:space="preserve"> </w:t>
      </w:r>
      <w:r>
        <w:t xml:space="preserve">356</w:t>
      </w:r>
      <w:r>
        <w:t xml:space="preserve"> </w:t>
      </w:r>
      <w:r>
        <w:t xml:space="preserve">372</w:t>
      </w:r>
      <w:r>
        <w:t xml:space="preserve"> </w:t>
      </w:r>
      <w:r>
        <w:t xml:space="preserve">338</w:t>
      </w:r>
      <w:r>
        <w:t xml:space="preserve"> </w:t>
      </w:r>
      <w:r>
        <w:t xml:space="preserve">355</w:t>
      </w:r>
      <w:r>
        <w:t xml:space="preserve"> </w:t>
      </w:r>
      <w:r>
        <w:t xml:space="preserve">-23</w:t>
      </w:r>
      <w:r>
        <w:t xml:space="preserve"> </w:t>
      </w:r>
      <w:r>
        <w:t xml:space="preserve">1</w:t>
      </w:r>
      <w:r>
        <w:t xml:space="preserve"> </w:t>
      </w:r>
      <w:r>
        <w:t xml:space="preserve">-11</w:t>
      </w:r>
      <w:r>
        <w:t xml:space="preserve"> </w:t>
      </w:r>
      <w:r>
        <w:t xml:space="preserve">Industry</w:t>
      </w:r>
      <w:r>
        <w:t xml:space="preserve"> </w:t>
      </w:r>
      <w:r>
        <w:t xml:space="preserve">38</w:t>
      </w:r>
      <w:r>
        <w:t xml:space="preserve"> </w:t>
      </w:r>
      <w:r>
        <w:t xml:space="preserve">31</w:t>
      </w:r>
      <w:r>
        <w:t xml:space="preserve"> </w:t>
      </w:r>
      <w:r>
        <w:t xml:space="preserve">35</w:t>
      </w:r>
      <w:r>
        <w:t xml:space="preserve"> </w:t>
      </w:r>
      <w:r>
        <w:t xml:space="preserve">46</w:t>
      </w:r>
      <w:r>
        <w:t xml:space="preserve"> </w:t>
      </w:r>
      <w:r>
        <w:t xml:space="preserve">24</w:t>
      </w:r>
      <w:r>
        <w:t xml:space="preserve"> </w:t>
      </w:r>
      <w:r>
        <w:t xml:space="preserve">35</w:t>
      </w:r>
      <w:r>
        <w:t xml:space="preserve"> </w:t>
      </w:r>
      <w:r>
        <w:t xml:space="preserve">48</w:t>
      </w:r>
      <w:r>
        <w:t xml:space="preserve"> </w:t>
      </w:r>
      <w:r>
        <w:t xml:space="preserve">22</w:t>
      </w:r>
      <w:r>
        <w:t xml:space="preserve"> </w:t>
      </w:r>
      <w:r>
        <w:t xml:space="preserve">35</w:t>
      </w:r>
      <w:r>
        <w:t xml:space="preserve"> </w:t>
      </w:r>
      <w:r>
        <w:t xml:space="preserve">-7</w:t>
      </w:r>
      <w:r>
        <w:t xml:space="preserve"> </w:t>
      </w:r>
      <w:r>
        <w:t xml:space="preserve">-3</w:t>
      </w:r>
      <w:r>
        <w:t xml:space="preserve"> </w:t>
      </w:r>
      <w:r>
        <w:t xml:space="preserve">-5</w:t>
      </w:r>
      <w:r>
        <w:t xml:space="preserve"> </w:t>
      </w:r>
      <w:r>
        <w:t xml:space="preserve">Residential</w:t>
      </w:r>
      <w:r>
        <w:t xml:space="preserve"> </w:t>
      </w:r>
      <w:r>
        <w:t xml:space="preserve">225</w:t>
      </w:r>
      <w:r>
        <w:t xml:space="preserve"> </w:t>
      </w:r>
      <w:r>
        <w:t xml:space="preserve">250</w:t>
      </w:r>
      <w:r>
        <w:t xml:space="preserve"> </w:t>
      </w:r>
      <w:r>
        <w:t xml:space="preserve">237</w:t>
      </w:r>
      <w:r>
        <w:t xml:space="preserve"> </w:t>
      </w:r>
      <w:r>
        <w:t xml:space="preserve">237</w:t>
      </w:r>
      <w:r>
        <w:t xml:space="preserve"> </w:t>
      </w:r>
      <w:r>
        <w:t xml:space="preserve">242</w:t>
      </w:r>
      <w:r>
        <w:t xml:space="preserve"> </w:t>
      </w:r>
      <w:r>
        <w:t xml:space="preserve">239</w:t>
      </w:r>
      <w:r>
        <w:t xml:space="preserve"> </w:t>
      </w:r>
      <w:r>
        <w:t xml:space="preserve">248</w:t>
      </w:r>
      <w:r>
        <w:t xml:space="preserve"> </w:t>
      </w:r>
      <w:r>
        <w:t xml:space="preserve">230</w:t>
      </w:r>
      <w:r>
        <w:t xml:space="preserve"> </w:t>
      </w:r>
      <w:r>
        <w:t xml:space="preserve">239</w:t>
      </w:r>
      <w:r>
        <w:t xml:space="preserve"> </w:t>
      </w:r>
      <w:r>
        <w:t xml:space="preserve">-12</w:t>
      </w:r>
      <w:r>
        <w:t xml:space="preserve"> </w:t>
      </w:r>
      <w:r>
        <w:t xml:space="preserve">4</w:t>
      </w:r>
      <w:r>
        <w:t xml:space="preserve"> </w:t>
      </w:r>
      <w:r>
        <w:t xml:space="preserve">-4</w:t>
      </w:r>
      <w:r>
        <w:t xml:space="preserve"> </w:t>
      </w:r>
      <w:r>
        <w:t xml:space="preserve">Services</w:t>
      </w:r>
      <w:r>
        <w:t xml:space="preserve"> </w:t>
      </w:r>
      <w:r>
        <w:t xml:space="preserve">49</w:t>
      </w:r>
      <w:r>
        <w:t xml:space="preserve"> </w:t>
      </w:r>
      <w:r>
        <w:t xml:space="preserve">78</w:t>
      </w:r>
      <w:r>
        <w:t xml:space="preserve"> </w:t>
      </w:r>
      <w:r>
        <w:t xml:space="preserve">63</w:t>
      </w:r>
      <w:r>
        <w:t xml:space="preserve"> </w:t>
      </w:r>
      <w:r>
        <w:t xml:space="preserve">53</w:t>
      </w:r>
      <w:r>
        <w:t xml:space="preserve"> </w:t>
      </w:r>
      <w:r>
        <w:t xml:space="preserve">73</w:t>
      </w:r>
      <w:r>
        <w:t xml:space="preserve"> </w:t>
      </w:r>
      <w:r>
        <w:t xml:space="preserve">63</w:t>
      </w:r>
      <w:r>
        <w:t xml:space="preserve"> </w:t>
      </w:r>
      <w:r>
        <w:t xml:space="preserve">57</w:t>
      </w:r>
      <w:r>
        <w:t xml:space="preserve"> </w:t>
      </w:r>
      <w:r>
        <w:t xml:space="preserve">67</w:t>
      </w:r>
      <w:r>
        <w:t xml:space="preserve"> </w:t>
      </w:r>
      <w:r>
        <w:t xml:space="preserve">62</w:t>
      </w:r>
      <w:r>
        <w:t xml:space="preserve"> </w:t>
      </w:r>
      <w:r>
        <w:t xml:space="preserve">-4</w:t>
      </w:r>
      <w:r>
        <w:t xml:space="preserve"> </w:t>
      </w:r>
      <w:r>
        <w:t xml:space="preserve">1</w:t>
      </w:r>
      <w:r>
        <w:t xml:space="preserve"> </w:t>
      </w:r>
      <w:r>
        <w:t xml:space="preserve">-2</w:t>
      </w:r>
      <w:r>
        <w:t xml:space="preserve"> </w:t>
      </w:r>
      <w:r>
        <w:t xml:space="preserve">Agriculture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20</w:t>
      </w:r>
      <w:r>
        <w:t xml:space="preserve"> </w:t>
      </w:r>
      <w:r>
        <w:t xml:space="preserve">18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Transport</w:t>
      </w:r>
      <w:r>
        <w:t xml:space="preserve"> </w:t>
      </w:r>
      <w:r>
        <w:t xml:space="preserve">866</w:t>
      </w:r>
      <w:r>
        <w:t xml:space="preserve"> </w:t>
      </w:r>
      <w:r>
        <w:t xml:space="preserve">875</w:t>
      </w:r>
      <w:r>
        <w:t xml:space="preserve"> </w:t>
      </w:r>
      <w:r>
        <w:t xml:space="preserve">870</w:t>
      </w:r>
      <w:r>
        <w:t xml:space="preserve"> </w:t>
      </w:r>
      <w:r>
        <w:t xml:space="preserve">861</w:t>
      </w:r>
      <w:r>
        <w:t xml:space="preserve"> </w:t>
      </w:r>
      <w:r>
        <w:t xml:space="preserve">885</w:t>
      </w:r>
      <w:r>
        <w:t xml:space="preserve"> </w:t>
      </w:r>
      <w:r>
        <w:t xml:space="preserve">873</w:t>
      </w:r>
      <w:r>
        <w:t xml:space="preserve"> </w:t>
      </w:r>
      <w:r>
        <w:t xml:space="preserve">856</w:t>
      </w:r>
      <w:r>
        <w:t xml:space="preserve"> </w:t>
      </w:r>
      <w:r>
        <w:t xml:space="preserve">882</w:t>
      </w:r>
      <w:r>
        <w:t xml:space="preserve"> </w:t>
      </w:r>
      <w:r>
        <w:t xml:space="preserve">869</w:t>
      </w:r>
      <w:r>
        <w:t xml:space="preserve"> </w:t>
      </w:r>
      <w:r>
        <w:t xml:space="preserve">-80</w:t>
      </w:r>
      <w:r>
        <w:t xml:space="preserve"> </w:t>
      </w:r>
      <w:r>
        <w:t xml:space="preserve">-85</w:t>
      </w:r>
      <w:r>
        <w:t xml:space="preserve"> </w:t>
      </w:r>
      <w:r>
        <w:t xml:space="preserve">-82</w:t>
      </w:r>
      <w:r>
        <w:t xml:space="preserve"> </w:t>
      </w:r>
      <w:r>
        <w:t xml:space="preserve">Total</w:t>
      </w:r>
      <w:r>
        <w:t xml:space="preserve"> </w:t>
      </w:r>
      <w:r>
        <w:t xml:space="preserve">1433</w:t>
      </w:r>
      <w:r>
        <w:t xml:space="preserve"> </w:t>
      </w:r>
      <w:r>
        <w:t xml:space="preserve">1629</w:t>
      </w:r>
      <w:r>
        <w:t xml:space="preserve"> </w:t>
      </w:r>
      <w:r>
        <w:t xml:space="preserve">1531</w:t>
      </w:r>
      <w:r>
        <w:t xml:space="preserve"> </w:t>
      </w:r>
      <w:r>
        <w:t xml:space="preserve">1505</w:t>
      </w:r>
      <w:r>
        <w:t xml:space="preserve"> </w:t>
      </w:r>
      <w:r>
        <w:t xml:space="preserve">1570</w:t>
      </w:r>
      <w:r>
        <w:t xml:space="preserve"> </w:t>
      </w:r>
      <w:r>
        <w:t xml:space="preserve">1537</w:t>
      </w:r>
      <w:r>
        <w:t xml:space="preserve"> </w:t>
      </w:r>
      <w:r>
        <w:t xml:space="preserve">1570</w:t>
      </w:r>
      <w:r>
        <w:t xml:space="preserve"> </w:t>
      </w:r>
      <w:r>
        <w:t xml:space="preserve">1501</w:t>
      </w:r>
      <w:r>
        <w:t xml:space="preserve"> </w:t>
      </w:r>
      <w:r>
        <w:t xml:space="preserve">1535</w:t>
      </w:r>
      <w:r>
        <w:t xml:space="preserve"> </w:t>
      </w:r>
      <w:r>
        <w:t xml:space="preserve">-162</w:t>
      </w:r>
      <w:r>
        <w:t xml:space="preserve"> </w:t>
      </w:r>
      <w:r>
        <w:t xml:space="preserve">-97</w:t>
      </w:r>
      <w:r>
        <w:t xml:space="preserve"> </w:t>
      </w:r>
      <w:r>
        <w:t xml:space="preserve">-129</w:t>
      </w:r>
      <w:r>
        <w:t xml:space="preserve"> </w:t>
      </w:r>
      <w:r>
        <w:t xml:space="preserve">Total excl.</w:t>
      </w:r>
      <w:r>
        <w:t xml:space="preserve"> </w:t>
      </w:r>
      <w:r>
        <w:t xml:space="preserve">transport</w:t>
      </w:r>
      <w:r>
        <w:t xml:space="preserve"> </w:t>
      </w:r>
      <w:r>
        <w:t xml:space="preserve">567</w:t>
      </w:r>
      <w:r>
        <w:t xml:space="preserve"> </w:t>
      </w:r>
      <w:r>
        <w:t xml:space="preserve">754</w:t>
      </w:r>
      <w:r>
        <w:t xml:space="preserve"> </w:t>
      </w:r>
      <w:r>
        <w:t xml:space="preserve">661</w:t>
      </w:r>
      <w:r>
        <w:t xml:space="preserve"> </w:t>
      </w:r>
      <w:r>
        <w:t xml:space="preserve">644</w:t>
      </w:r>
      <w:r>
        <w:t xml:space="preserve"> </w:t>
      </w:r>
      <w:r>
        <w:t xml:space="preserve">685</w:t>
      </w:r>
      <w:r>
        <w:t xml:space="preserve"> </w:t>
      </w:r>
      <w:r>
        <w:t xml:space="preserve">664</w:t>
      </w:r>
      <w:r>
        <w:t xml:space="preserve"> </w:t>
      </w:r>
      <w:r>
        <w:t xml:space="preserve">713</w:t>
      </w:r>
      <w:r>
        <w:t xml:space="preserve"> </w:t>
      </w:r>
      <w:r>
        <w:t xml:space="preserve">619</w:t>
      </w:r>
      <w:r>
        <w:t xml:space="preserve"> </w:t>
      </w:r>
      <w:r>
        <w:t xml:space="preserve">666</w:t>
      </w:r>
      <w:r>
        <w:t xml:space="preserve"> </w:t>
      </w:r>
      <w:r>
        <w:t xml:space="preserve">-82</w:t>
      </w:r>
      <w:r>
        <w:t xml:space="preserve"> </w:t>
      </w:r>
      <w:r>
        <w:t xml:space="preserve">-12</w:t>
      </w:r>
      <w:r>
        <w:t xml:space="preserve"> </w:t>
      </w:r>
      <w:r>
        <w:t xml:space="preserve">-47</w:t>
      </w:r>
      <w:r>
        <w:t xml:space="preserve"> </w:t>
      </w:r>
      <w:r>
        <w:t xml:space="preserve">Memo:</w:t>
      </w:r>
    </w:p>
    <w:p>
      <w:pPr>
        <w:pStyle w:val="BodyText"/>
      </w:pPr>
      <w:r>
        <w:t xml:space="preserve">Real GDP</w:t>
      </w:r>
      <w:r>
        <w:t xml:space="preserve"> </w:t>
      </w:r>
      <w:r>
        <w:t xml:space="preserve">(period average)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19444</w:t>
      </w:r>
      <w:r>
        <w:t xml:space="preserve"> </w:t>
      </w:r>
      <w:r>
        <w:t xml:space="preserve">22369</w:t>
      </w:r>
      <w:r>
        <w:t xml:space="preserve"> </w:t>
      </w:r>
      <w:r>
        <w:t xml:space="preserve">20906</w:t>
      </w:r>
      <w:r>
        <w:t xml:space="preserve"> </w:t>
      </w:r>
      <w:r>
        <w:t xml:space="preserve">Note: “LIFE” compares the cost of the LIFE scenario to the S3 scenario, which both meet the same overall net GHG</w:t>
      </w:r>
      <w:r>
        <w:t xml:space="preserve"> </w:t>
      </w:r>
      <w:r>
        <w:t xml:space="preserve">reductions by 2040.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More ambition in 2040 (S3) requires higher annual investment needs in 2031-2040 and a</w:t>
      </w:r>
      <w:r>
        <w:t xml:space="preserve"> </w:t>
      </w:r>
      <w:r>
        <w:t xml:space="preserve">faster deployment of decarbonisation technologies on the supply and demand side, but</w:t>
      </w:r>
      <w:r>
        <w:t xml:space="preserve"> </w:t>
      </w:r>
      <w:r>
        <w:t xml:space="preserve">also comparatively lower investment levels in 2041-2050. The opposite is true for</w:t>
      </w:r>
      <w:r>
        <w:t xml:space="preserve"> </w:t>
      </w:r>
      <w:r>
        <w:t xml:space="preserve">scenario 1, relative to scenario 2, with a significant delay in the deployment of</w:t>
      </w:r>
      <w:r>
        <w:t xml:space="preserve"> </w:t>
      </w:r>
      <w:r>
        <w:t xml:space="preserve">investment that would entail a great deal of catching up with annual investment</w:t>
      </w:r>
      <w:r>
        <w:t xml:space="preserve"> </w:t>
      </w:r>
      <w:r>
        <w:t xml:space="preserve">(excluding transport) of EUR 755 billion in 2041-2050, i.e. 6% higher than what is</w:t>
      </w:r>
      <w:r>
        <w:t xml:space="preserve"> </w:t>
      </w:r>
      <w:r>
        <w:t xml:space="preserve">required under scenario 3 in 2031-2040. The difference across scenarios takes place</w:t>
      </w:r>
      <w:r>
        <w:t xml:space="preserve"> </w:t>
      </w:r>
      <w:r>
        <w:t xml:space="preserve">notably in energy supply (+18% and -18% compared to S2, respectively). A higher level</w:t>
      </w:r>
      <w:r>
        <w:t xml:space="preserve"> </w:t>
      </w:r>
      <w:r>
        <w:t xml:space="preserve">of ambition in 2040 also requires industry to shift faster towards the manufacturing of</w:t>
      </w:r>
      <w:r>
        <w:t xml:space="preserve"> </w:t>
      </w:r>
      <w:r>
        <w:t xml:space="preserve">net-zero technologies and the use of carbon capture, and to expand the associated supply</w:t>
      </w:r>
      <w:r>
        <w:t xml:space="preserve"> </w:t>
      </w:r>
      <w:r>
        <w:t xml:space="preserve">chains that enable the decarbonisation of other sectors. Compared to S2, investments in</w:t>
      </w:r>
      <w:r>
        <w:t xml:space="preserve"> </w:t>
      </w:r>
      <w:r>
        <w:t xml:space="preserve">2031-2040 to decarbonise industry are 4% higher in S3, and 16% lower in S1. In</w:t>
      </w:r>
      <w:r>
        <w:t xml:space="preserve"> </w:t>
      </w:r>
      <w:r>
        <w:t xml:space="preserve">services, the differences are +8% and -7%, respectively, and in the residential sector +5%</w:t>
      </w:r>
      <w:r>
        <w:t xml:space="preserve"> </w:t>
      </w:r>
      <w:r>
        <w:t xml:space="preserve">and -5%, respectively. In agriculture, the difference between the scenarios is very small,</w:t>
      </w:r>
      <w:r>
        <w:t xml:space="preserve"> </w:t>
      </w:r>
      <w:r>
        <w:t xml:space="preserve">at +0.4% and -1.2% relative to S2.</w:t>
      </w:r>
      <w:r>
        <w:t xml:space="preserve"> </w:t>
      </w:r>
      <w:r>
        <w:t xml:space="preserve">LIFE shows that demand-side action, including shifts to a more sharing economy, more</w:t>
      </w:r>
      <w:r>
        <w:t xml:space="preserve"> </w:t>
      </w:r>
      <w:r>
        <w:t xml:space="preserve">circular use of materials or more sustainable mobility can reduce the need for investment</w:t>
      </w:r>
      <w:r>
        <w:t xml:space="preserve"> </w:t>
      </w:r>
      <w:r>
        <w:t xml:space="preserve">across the entire period. The reduced energy demand results in lower investment</w:t>
      </w:r>
      <w:r>
        <w:t xml:space="preserve"> </w:t>
      </w:r>
      <w:r>
        <w:t xml:space="preserve">requirements across the board. In aggregate, average annual investment needs (excluding</w:t>
      </w:r>
      <w:r>
        <w:t xml:space="preserve"> </w:t>
      </w:r>
      <w:r>
        <w:t xml:space="preserve">transport) in 2031-2050 are almost EUR 50 billion or 7.1% lower with LIFE than under</w:t>
      </w:r>
      <w:r>
        <w:t xml:space="preserve"> </w:t>
      </w:r>
      <w:r>
        <w:t xml:space="preserve">S3. They are about EUR 36 billion per annum (12%) lower on the supply side and about</w:t>
      </w:r>
      <w:r>
        <w:t xml:space="preserve"> </w:t>
      </w:r>
      <w:r>
        <w:t xml:space="preserve">EUR 5 billion (15%) lower in industry.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Investment in transport (78) is projected at about EUR 870 billion per annum (4.2% of</w:t>
      </w:r>
      <w:r>
        <w:t xml:space="preserve"> </w:t>
      </w:r>
      <w:r>
        <w:t xml:space="preserve">GDP) in 2031-2050 and varies little across scenarios. About 80% of the average annual</w:t>
      </w:r>
      <w:r>
        <w:t xml:space="preserve"> </w:t>
      </w:r>
      <w:r>
        <w:t xml:space="preserve">investment in 2031-2050 is projected in road transport, mainly to purchase private cars</w:t>
      </w:r>
      <w:r>
        <w:t xml:space="preserve"> </w:t>
      </w:r>
      <w:r>
        <w:t xml:space="preserve">(about EUR 510 billion per annum and 60% of the total) (79). Investment needs for</w:t>
      </w:r>
      <w:r>
        <w:t xml:space="preserve"> </w:t>
      </w:r>
      <w:r>
        <w:t xml:space="preserve">recharging and refuelling infrastructure account for a small proportion of the total, at</w:t>
      </w:r>
      <w:r>
        <w:t xml:space="preserve"> </w:t>
      </w:r>
      <w:r>
        <w:t xml:space="preserve">about EUR 15 billion per annum. Changes towards more sustainable mobility patterns</w:t>
      </w:r>
      <w:r>
        <w:t xml:space="preserve"> </w:t>
      </w:r>
      <w:r>
        <w:t xml:space="preserve">(LIFE) reduce the average annual transport-related investments in 2031-2050 by around</w:t>
      </w:r>
      <w:r>
        <w:t xml:space="preserve"> </w:t>
      </w:r>
      <w:r>
        <w:t xml:space="preserve">EUR 80 billion (9%).</w:t>
      </w:r>
      <w:r>
        <w:t xml:space="preserve"> </w:t>
      </w:r>
      <w:r>
        <w:t xml:space="preserve">These investment needs will be met by both private actors and the public sector. Private</w:t>
      </w:r>
      <w:r>
        <w:t xml:space="preserve"> </w:t>
      </w:r>
      <w:r>
        <w:t xml:space="preserve">businesses are likely to be the main source of investment on the supply side and in</w:t>
      </w:r>
      <w:r>
        <w:t xml:space="preserve"> </w:t>
      </w:r>
      <w:r>
        <w:t xml:space="preserve">industry. Public support via State aid has been instrumental in the past for the</w:t>
      </w:r>
      <w:r>
        <w:t xml:space="preserve"> </w:t>
      </w:r>
      <w:r>
        <w:t xml:space="preserve">deployment of renewable energy generation. It will likely remain critical in the future</w:t>
      </w:r>
      <w:r>
        <w:t xml:space="preserve"> </w:t>
      </w:r>
      <w:r>
        <w:t xml:space="preserve">deployment of innovative decarbonisation technologies in the energy system (e.g. </w:t>
      </w:r>
      <w:r>
        <w:t xml:space="preserve"> </w:t>
      </w:r>
      <w:r>
        <w:t xml:space="preserve">renewable hydrogen) and industry (e.g. innovative production processes and carbon</w:t>
      </w:r>
      <w:r>
        <w:t xml:space="preserve"> </w:t>
      </w:r>
      <w:r>
        <w:t xml:space="preserve">capture, storage, and use). Investment by SMEs largely depends on the sector where they</w:t>
      </w:r>
      <w:r>
        <w:t xml:space="preserve"> </w:t>
      </w:r>
      <w:r>
        <w:t xml:space="preserve">operate (see Annex 4). Households will face large investment needs for the renovation of</w:t>
      </w:r>
      <w:r>
        <w:t xml:space="preserve"> </w:t>
      </w:r>
      <w:r>
        <w:t xml:space="preserve">the building stock and the acquisition of zero tailpipe emission vehicles. How up-front</w:t>
      </w:r>
      <w:r>
        <w:t xml:space="preserve"> </w:t>
      </w:r>
      <w:r>
        <w:t xml:space="preserve">investment costs for renovation and heating/cooling will be borne will depend on</w:t>
      </w:r>
      <w:r>
        <w:t xml:space="preserve"> </w:t>
      </w:r>
      <w:r>
        <w:t xml:space="preserve">ownership structure (homeowners, tenant vs. landlord) and on the extent of public</w:t>
      </w:r>
      <w:r>
        <w:t xml:space="preserve"> </w:t>
      </w:r>
      <w:r>
        <w:t xml:space="preserve">support.</w:t>
      </w:r>
      <w:r>
        <w:t xml:space="preserve"> </w:t>
      </w:r>
      <w:r>
        <w:t xml:space="preserve">The early push on investment under S3 enables the achievement of a higher mitigation</w:t>
      </w:r>
      <w:r>
        <w:t xml:space="preserve"> </w:t>
      </w:r>
      <w:r>
        <w:t xml:space="preserve">target by 2040, with associated benefits in terms of a lower overall carbon budget,</w:t>
      </w:r>
      <w:r>
        <w:t xml:space="preserve"> </w:t>
      </w:r>
      <w:r>
        <w:t xml:space="preserve">reduced fossil fuel imports and lower negative impacts of GHG emissions. In turn, the</w:t>
      </w:r>
      <w:r>
        <w:t xml:space="preserve"> </w:t>
      </w:r>
      <w:r>
        <w:t xml:space="preserve">delay in investment effort under S1 comes at the cost of lower mitigation, higher fossil</w:t>
      </w:r>
      <w:r>
        <w:t xml:space="preserve"> </w:t>
      </w:r>
      <w:r>
        <w:t xml:space="preserve">fuel imports and higher negative impacts from emissions.</w:t>
      </w:r>
      <w:r>
        <w:br/>
      </w:r>
      <w:r>
        <w:t xml:space="preserve">The early push under S3 is most significant on the supply side, where the economic</w:t>
      </w:r>
      <w:r>
        <w:t xml:space="preserve"> </w:t>
      </w:r>
      <w:r>
        <w:t xml:space="preserve">agents responsible for the investment consist mainly in private businesses with good</w:t>
      </w:r>
      <w:r>
        <w:t xml:space="preserve"> </w:t>
      </w:r>
      <w:r>
        <w:t xml:space="preserve">access to finance, backed by collateral in terms of assets and predictable long-term</w:t>
      </w:r>
      <w:r>
        <w:t xml:space="preserve"> </w:t>
      </w:r>
      <w:r>
        <w:t xml:space="preserve">revenue streams (Table 17). Industry would also need to anticipate investment under S3</w:t>
      </w:r>
      <w:r>
        <w:t xml:space="preserve"> </w:t>
      </w:r>
      <w:r>
        <w:t xml:space="preserve">to some extent, and it is likely to have solid access to finance. In the residential sector,</w:t>
      </w:r>
      <w:r>
        <w:t xml:space="preserve"> </w:t>
      </w:r>
      <w:r>
        <w:t xml:space="preserve">where access to finance is likely more challenging for low- and middle-income</w:t>
      </w:r>
      <w:r>
        <w:t xml:space="preserve"> </w:t>
      </w:r>
      <w:r>
        <w:t xml:space="preserve">households the need for an early push under S3 is less significant. Overall, average</w:t>
      </w:r>
      <w:r>
        <w:t xml:space="preserve"> </w:t>
      </w:r>
      <w:r>
        <w:t xml:space="preserve">annual investment (including transport) under S3 is 4% higher than under S2 in 2031-</w:t>
      </w:r>
      <w:r>
        <w:t xml:space="preserve"> </w:t>
      </w:r>
      <w:r>
        <w:t xml:space="preserve">2040. This amounts to 0.3% of GDP, most of which on the supply side.</w:t>
      </w:r>
    </w:p>
    <w:p>
      <w:pPr>
        <w:pStyle w:val="Compact"/>
        <w:numPr>
          <w:ilvl w:val="0"/>
          <w:numId w:val="1032"/>
        </w:numPr>
      </w:pPr>
      <w:r>
        <w:t xml:space="preserve">These figures represent the full acquisition cost of new vehicles, not only the incremental cost related</w:t>
      </w:r>
      <w:r>
        <w:t xml:space="preserve"> </w:t>
      </w:r>
      <w:r>
        <w:t xml:space="preserve">to the decarbonisation of transport. In addition, it should be noted that investment in transport here reflect</w:t>
      </w:r>
      <w:r>
        <w:t xml:space="preserve"> </w:t>
      </w:r>
      <w:r>
        <w:t xml:space="preserve">the expenditures on vehicles, rolling stock, aircraft and vessels plus recharging and refuelling</w:t>
      </w:r>
      <w:r>
        <w:t xml:space="preserve"> </w:t>
      </w:r>
      <w:r>
        <w:t xml:space="preserve">infrastructure. They do not cover investments in infrastructure to support multimodal mobility and</w:t>
      </w:r>
      <w:r>
        <w:t xml:space="preserve"> </w:t>
      </w:r>
      <w:r>
        <w:t xml:space="preserve">sustainable urban transport. They factor in a higher number of vehicles sold as well as any potential</w:t>
      </w:r>
      <w:r>
        <w:t xml:space="preserve"> </w:t>
      </w:r>
      <w:r>
        <w:t xml:space="preserve">increase in the average size/class of vehicles.</w:t>
      </w:r>
      <w:r>
        <w:t xml:space="preserve"> </w:t>
      </w:r>
      <w:r>
        <w:t xml:space="preserve">(79)The figure factors in a higher number of vehicles sold as well as any potential increase in the average</w:t>
      </w:r>
      <w:r>
        <w:t xml:space="preserve"> </w:t>
      </w:r>
      <w:r>
        <w:t xml:space="preserve">size/class of vehicles.</w:t>
      </w:r>
    </w:p>
    <w:p>
      <w:pPr>
        <w:pStyle w:val="FirstParagraph"/>
      </w:pPr>
      <w:r>
        <w:t xml:space="preserve">58</w:t>
      </w:r>
    </w:p>
    <w:p>
      <w:pPr>
        <w:pStyle w:val="BodyText"/>
      </w:pPr>
      <w:r>
        <w:t xml:space="preserve">Table 17: investment profiles across options and financial feasibility (annual averages,</w:t>
      </w:r>
      <w:r>
        <w:t xml:space="preserve"> </w:t>
      </w:r>
      <w:r>
        <w:t xml:space="preserve">2031-2040)</w:t>
      </w:r>
    </w:p>
    <w:p>
      <w:pPr>
        <w:pStyle w:val="BodyText"/>
      </w:pPr>
      <w:r>
        <w:t xml:space="preserve">Billion EUR 2023</w:t>
      </w:r>
      <w:r>
        <w:t xml:space="preserve"> </w:t>
      </w:r>
      <w:r>
        <w:t xml:space="preserve">% change vs. S2</w:t>
      </w:r>
      <w:r>
        <w:t xml:space="preserve"> </w:t>
      </w:r>
      <w:r>
        <w:t xml:space="preserve">% GDP</w:t>
      </w:r>
      <w:r>
        <w:t xml:space="preserve"> </w:t>
      </w:r>
      <w:r>
        <w:t xml:space="preserve">Deviation vs. S2 (% GDP)</w:t>
      </w:r>
    </w:p>
    <w:p>
      <w:pPr>
        <w:pStyle w:val="BodyText"/>
      </w:pPr>
      <w:r>
        <w:t xml:space="preserve">2011-</w:t>
      </w:r>
      <w:r>
        <w:t xml:space="preserve"> </w:t>
      </w:r>
      <w:r>
        <w:t xml:space="preserve">2020</w:t>
      </w:r>
      <w:r>
        <w:t xml:space="preserve"> </w:t>
      </w:r>
      <w:r>
        <w:t xml:space="preserve">S2</w:t>
      </w:r>
      <w:r>
        <w:t xml:space="preserve"> </w:t>
      </w:r>
      <w:r>
        <w:t xml:space="preserve">S1</w:t>
      </w:r>
      <w:r>
        <w:t xml:space="preserve"> </w:t>
      </w:r>
      <w:r>
        <w:t xml:space="preserve">S3</w:t>
      </w:r>
      <w:r>
        <w:t xml:space="preserve"> </w:t>
      </w:r>
      <w:r>
        <w:t xml:space="preserve">2011-</w:t>
      </w:r>
      <w:r>
        <w:t xml:space="preserve"> </w:t>
      </w:r>
      <w:r>
        <w:t xml:space="preserve">2020</w:t>
      </w:r>
      <w:r>
        <w:t xml:space="preserve"> </w:t>
      </w:r>
      <w:r>
        <w:t xml:space="preserve">S2</w:t>
      </w:r>
      <w:r>
        <w:t xml:space="preserve"> </w:t>
      </w:r>
      <w:r>
        <w:t xml:space="preserve">S1</w:t>
      </w:r>
      <w:r>
        <w:t xml:space="preserve"> </w:t>
      </w:r>
      <w:r>
        <w:t xml:space="preserve">S3</w:t>
      </w:r>
      <w:r>
        <w:t xml:space="preserve"> </w:t>
      </w:r>
      <w:r>
        <w:t xml:space="preserve">Total</w:t>
      </w:r>
      <w:r>
        <w:t xml:space="preserve"> </w:t>
      </w:r>
      <w:r>
        <w:t xml:space="preserve">863</w:t>
      </w:r>
      <w:r>
        <w:t xml:space="preserve"> </w:t>
      </w:r>
      <w:r>
        <w:t xml:space="preserve">1505</w:t>
      </w:r>
      <w:r>
        <w:t xml:space="preserve"> </w:t>
      </w:r>
      <w:r>
        <w:t xml:space="preserve">-4.8%</w:t>
      </w:r>
      <w:r>
        <w:t xml:space="preserve"> </w:t>
      </w:r>
      <w:r>
        <w:t xml:space="preserve">+4.3%</w:t>
      </w:r>
      <w:r>
        <w:t xml:space="preserve"> </w:t>
      </w:r>
      <w:r>
        <w:t xml:space="preserve">5.8%</w:t>
      </w:r>
      <w:r>
        <w:t xml:space="preserve"> </w:t>
      </w:r>
      <w:r>
        <w:t xml:space="preserve">7.7%</w:t>
      </w:r>
      <w:r>
        <w:t xml:space="preserve"> </w:t>
      </w:r>
      <w:r>
        <w:t xml:space="preserve">-0.37%</w:t>
      </w:r>
      <w:r>
        <w:t xml:space="preserve"> </w:t>
      </w:r>
      <w:r>
        <w:t xml:space="preserve">+0.33%</w:t>
      </w:r>
      <w:r>
        <w:t xml:space="preserve"> </w:t>
      </w:r>
      <w:r>
        <w:t xml:space="preserve">Total excl. transport</w:t>
      </w:r>
      <w:r>
        <w:t xml:space="preserve"> </w:t>
      </w:r>
      <w:r>
        <w:t xml:space="preserve">248</w:t>
      </w:r>
      <w:r>
        <w:t xml:space="preserve"> </w:t>
      </w:r>
      <w:r>
        <w:t xml:space="preserve">644</w:t>
      </w:r>
      <w:r>
        <w:t xml:space="preserve"> </w:t>
      </w:r>
      <w:r>
        <w:t xml:space="preserve">-11.9%</w:t>
      </w:r>
      <w:r>
        <w:t xml:space="preserve"> </w:t>
      </w:r>
      <w:r>
        <w:t xml:space="preserve">+10.8%</w:t>
      </w:r>
      <w:r>
        <w:t xml:space="preserve"> </w:t>
      </w:r>
      <w:r>
        <w:t xml:space="preserve">1.7%</w:t>
      </w:r>
      <w:r>
        <w:t xml:space="preserve"> </w:t>
      </w:r>
      <w:r>
        <w:t xml:space="preserve">3.3%</w:t>
      </w:r>
      <w:r>
        <w:t xml:space="preserve"> </w:t>
      </w:r>
      <w:r>
        <w:t xml:space="preserve">-0.39%</w:t>
      </w:r>
      <w:r>
        <w:t xml:space="preserve"> </w:t>
      </w:r>
      <w:r>
        <w:t xml:space="preserve">+0.36%</w:t>
      </w:r>
      <w:r>
        <w:t xml:space="preserve"> </w:t>
      </w:r>
      <w:r>
        <w:t xml:space="preserve">Supply</w:t>
      </w:r>
      <w:r>
        <w:t xml:space="preserve"> </w:t>
      </w:r>
      <w:r>
        <w:t xml:space="preserve">80</w:t>
      </w:r>
      <w:r>
        <w:t xml:space="preserve"> </w:t>
      </w:r>
      <w:r>
        <w:t xml:space="preserve">289</w:t>
      </w:r>
      <w:r>
        <w:t xml:space="preserve"> </w:t>
      </w:r>
      <w:r>
        <w:t xml:space="preserve">-18.4%</w:t>
      </w:r>
      <w:r>
        <w:t xml:space="preserve"> </w:t>
      </w:r>
      <w:r>
        <w:t xml:space="preserve">+18.0%</w:t>
      </w:r>
      <w:r>
        <w:t xml:space="preserve"> </w:t>
      </w:r>
      <w:r>
        <w:t xml:space="preserve">0.5%</w:t>
      </w:r>
      <w:r>
        <w:t xml:space="preserve"> </w:t>
      </w:r>
      <w:r>
        <w:t xml:space="preserve">1.5%</w:t>
      </w:r>
      <w:r>
        <w:t xml:space="preserve"> </w:t>
      </w:r>
      <w:r>
        <w:t xml:space="preserve">-0.27%</w:t>
      </w:r>
      <w:r>
        <w:t xml:space="preserve"> </w:t>
      </w:r>
      <w:r>
        <w:t xml:space="preserve">+0.27%</w:t>
      </w:r>
      <w:r>
        <w:t xml:space="preserve"> </w:t>
      </w:r>
      <w:r>
        <w:t xml:space="preserve">Industry</w:t>
      </w:r>
      <w:r>
        <w:t xml:space="preserve"> </w:t>
      </w:r>
      <w:r>
        <w:t xml:space="preserve">7</w:t>
      </w:r>
      <w:r>
        <w:t xml:space="preserve"> </w:t>
      </w:r>
      <w:r>
        <w:t xml:space="preserve">46</w:t>
      </w:r>
      <w:r>
        <w:t xml:space="preserve"> </w:t>
      </w:r>
      <w:r>
        <w:t xml:space="preserve">-15.7%</w:t>
      </w:r>
      <w:r>
        <w:t xml:space="preserve"> </w:t>
      </w:r>
      <w:r>
        <w:t xml:space="preserve">+4.4%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-0.04%</w:t>
      </w:r>
      <w:r>
        <w:t xml:space="preserve"> </w:t>
      </w:r>
      <w:r>
        <w:t xml:space="preserve">+0.01%</w:t>
      </w:r>
      <w:r>
        <w:t xml:space="preserve"> </w:t>
      </w:r>
      <w:r>
        <w:t xml:space="preserve">Residential</w:t>
      </w:r>
      <w:r>
        <w:t xml:space="preserve"> </w:t>
      </w:r>
      <w:r>
        <w:t xml:space="preserve">116</w:t>
      </w:r>
      <w:r>
        <w:t xml:space="preserve"> </w:t>
      </w:r>
      <w:r>
        <w:t xml:space="preserve">237</w:t>
      </w:r>
      <w:r>
        <w:t xml:space="preserve"> </w:t>
      </w:r>
      <w:r>
        <w:t xml:space="preserve">-5.1%</w:t>
      </w:r>
      <w:r>
        <w:t xml:space="preserve"> </w:t>
      </w:r>
      <w:r>
        <w:t xml:space="preserve">+4.7%</w:t>
      </w:r>
      <w:r>
        <w:t xml:space="preserve"> </w:t>
      </w:r>
      <w:r>
        <w:t xml:space="preserve">0.8%</w:t>
      </w:r>
      <w:r>
        <w:t xml:space="preserve"> </w:t>
      </w:r>
      <w:r>
        <w:t xml:space="preserve">1.2%</w:t>
      </w:r>
      <w:r>
        <w:t xml:space="preserve"> </w:t>
      </w:r>
      <w:r>
        <w:t xml:space="preserve">-0.06%</w:t>
      </w:r>
      <w:r>
        <w:t xml:space="preserve"> </w:t>
      </w:r>
      <w:r>
        <w:t xml:space="preserve">+0.06%</w:t>
      </w:r>
      <w:r>
        <w:t xml:space="preserve"> </w:t>
      </w:r>
      <w:r>
        <w:t xml:space="preserve">Services</w:t>
      </w:r>
      <w:r>
        <w:t xml:space="preserve"> </w:t>
      </w:r>
      <w:r>
        <w:t xml:space="preserve">29</w:t>
      </w:r>
      <w:r>
        <w:t xml:space="preserve"> </w:t>
      </w:r>
      <w:r>
        <w:t xml:space="preserve">53</w:t>
      </w:r>
      <w:r>
        <w:t xml:space="preserve"> </w:t>
      </w:r>
      <w:r>
        <w:t xml:space="preserve">-7.1%</w:t>
      </w:r>
      <w:r>
        <w:t xml:space="preserve"> </w:t>
      </w:r>
      <w:r>
        <w:t xml:space="preserve">+8.3%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-0.02%</w:t>
      </w:r>
      <w:r>
        <w:t xml:space="preserve"> </w:t>
      </w:r>
      <w:r>
        <w:t xml:space="preserve">0.02%</w:t>
      </w:r>
      <w:r>
        <w:t xml:space="preserve"> </w:t>
      </w:r>
      <w:r>
        <w:t xml:space="preserve">Agriculture</w:t>
      </w:r>
      <w:r>
        <w:t xml:space="preserve"> </w:t>
      </w:r>
      <w:r>
        <w:t xml:space="preserve">17</w:t>
      </w:r>
      <w:r>
        <w:t xml:space="preserve"> </w:t>
      </w:r>
      <w:r>
        <w:t xml:space="preserve">19</w:t>
      </w:r>
      <w:r>
        <w:t xml:space="preserve"> </w:t>
      </w:r>
      <w:r>
        <w:t xml:space="preserve">-1.2%</w:t>
      </w:r>
      <w:r>
        <w:t xml:space="preserve"> </w:t>
      </w:r>
      <w:r>
        <w:t xml:space="preserve">+0.4%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Transport</w:t>
      </w:r>
      <w:r>
        <w:t xml:space="preserve"> </w:t>
      </w:r>
      <w:r>
        <w:t xml:space="preserve">616</w:t>
      </w:r>
      <w:r>
        <w:t xml:space="preserve"> </w:t>
      </w:r>
      <w:r>
        <w:t xml:space="preserve">861</w:t>
      </w:r>
      <w:r>
        <w:t xml:space="preserve"> </w:t>
      </w:r>
      <w:r>
        <w:t xml:space="preserve">0.5%</w:t>
      </w:r>
      <w:r>
        <w:t xml:space="preserve"> </w:t>
      </w:r>
      <w:r>
        <w:t xml:space="preserve">-0.5%</w:t>
      </w:r>
      <w:r>
        <w:t xml:space="preserve"> </w:t>
      </w:r>
      <w:r>
        <w:t xml:space="preserve">4.2%</w:t>
      </w:r>
      <w:r>
        <w:t xml:space="preserve"> </w:t>
      </w:r>
      <w:r>
        <w:t xml:space="preserve">4.4%</w:t>
      </w:r>
      <w:r>
        <w:t xml:space="preserve"> </w:t>
      </w:r>
      <w:r>
        <w:t xml:space="preserve">+0.02%</w:t>
      </w:r>
      <w:r>
        <w:t xml:space="preserve"> </w:t>
      </w:r>
      <w:r>
        <w:t xml:space="preserve">-0.02%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A sensitivity analysis on investment costs has been done for electricity production from</w:t>
      </w:r>
      <w:r>
        <w:t xml:space="preserve"> </w:t>
      </w:r>
      <w:r>
        <w:t xml:space="preserve">solar and wind energy, new fuels, and heat pumps, i.e. technologies at the core of the</w:t>
      </w:r>
      <w:r>
        <w:t xml:space="preserve"> </w:t>
      </w:r>
      <w:r>
        <w:t xml:space="preserve">Commission proposal on a Net Zero Industry Act (NZIA) and that will be critical as</w:t>
      </w:r>
      <w:r>
        <w:t xml:space="preserve"> </w:t>
      </w:r>
      <w:r>
        <w:t xml:space="preserve">enablers of the EU’s decarbonisation objectives. Over the past decades, the cost of low</w:t>
      </w:r>
      <w:r>
        <w:t xml:space="preserve"> </w:t>
      </w:r>
      <w:r>
        <w:t xml:space="preserve">carbon technologies has decreased sharply as a result of technological progress and</w:t>
      </w:r>
      <w:r>
        <w:t xml:space="preserve"> </w:t>
      </w:r>
      <w:r>
        <w:t xml:space="preserve">learning-by-doing. However, as demand for renewable technologies and electrification -</w:t>
      </w:r>
      <w:r>
        <w:t xml:space="preserve"> </w:t>
      </w:r>
      <w:r>
        <w:t xml:space="preserve">and for the raw materials needed for their production - are set to increase globally, these</w:t>
      </w:r>
      <w:r>
        <w:t xml:space="preserve"> </w:t>
      </w:r>
      <w:r>
        <w:t xml:space="preserve">sectors could potentially be subject to price shocks or sustained price pressures. This</w:t>
      </w:r>
      <w:r>
        <w:t xml:space="preserve"> </w:t>
      </w:r>
      <w:r>
        <w:t xml:space="preserve">would depend on the capacity of global markets to respond to that demand, on the ability</w:t>
      </w:r>
      <w:r>
        <w:t xml:space="preserve"> </w:t>
      </w:r>
      <w:r>
        <w:t xml:space="preserve">of circular economy policies to create a resource base for “secondary” materials</w:t>
      </w:r>
      <w:r>
        <w:t xml:space="preserve"> </w:t>
      </w:r>
      <w:r>
        <w:t xml:space="preserve">production in the EU, and on the capacity of the EU to create a domestic value chain for</w:t>
      </w:r>
      <w:r>
        <w:t xml:space="preserve"> </w:t>
      </w:r>
      <w:r>
        <w:t xml:space="preserve">primary materials. A 20% increase in investment costs for the four NZIA-covered</w:t>
      </w:r>
      <w:r>
        <w:t xml:space="preserve"> </w:t>
      </w:r>
      <w:r>
        <w:t xml:space="preserve">technologies would increase annual energy system investment needs (excluding</w:t>
      </w:r>
      <w:r>
        <w:t xml:space="preserve"> </w:t>
      </w:r>
      <w:r>
        <w:t xml:space="preserve">transport) in 2031-2040 by 5.5%, 6.1% and 6.3%, respectively under S1, S2 and S3.</w:t>
      </w:r>
      <w:r>
        <w:t xml:space="preserve"> </w:t>
      </w:r>
      <w:r>
        <w:t xml:space="preserve">However, such a cost increase would only affect newly installed capacity during the</w:t>
      </w:r>
      <w:r>
        <w:t xml:space="preserve"> </w:t>
      </w:r>
      <w:r>
        <w:t xml:space="preserve">period of the price shock, and not the entire stock of assets. In this regard, a price shock</w:t>
      </w:r>
      <w:r>
        <w:t xml:space="preserve"> </w:t>
      </w:r>
      <w:r>
        <w:t xml:space="preserve">on renewable technologies (or raw materials needed for their production) is</w:t>
      </w:r>
      <w:r>
        <w:t xml:space="preserve"> </w:t>
      </w:r>
      <w:r>
        <w:t xml:space="preserve">fundamentally different from a price shock on fossil fuels.</w:t>
      </w:r>
      <w:r>
        <w:t xml:space="preserve"> </w:t>
      </w:r>
      <w:r>
        <w:t xml:space="preserve">Net-zero technologies are at the centre of strong geostrategic interests and at the core of</w:t>
      </w:r>
      <w:r>
        <w:t xml:space="preserve"> </w:t>
      </w:r>
      <w:r>
        <w:t xml:space="preserve">the global technological race, as exemplified by the United States’ Inflation Reduction</w:t>
      </w:r>
      <w:r>
        <w:t xml:space="preserve"> </w:t>
      </w:r>
      <w:r>
        <w:t xml:space="preserve">Act and China’s dominance in manufacturing of some cleantech. In this context, the Net-</w:t>
      </w:r>
      <w:r>
        <w:t xml:space="preserve"> </w:t>
      </w:r>
      <w:r>
        <w:t xml:space="preserve">Zero Industry Act is part of the actions announced in the Green Deal Industrial Plan of</w:t>
      </w:r>
      <w:r>
        <w:t xml:space="preserve"> </w:t>
      </w:r>
      <w:r>
        <w:t xml:space="preserve">February 2023, aiming at simplifying the regulatory framework and improving the</w:t>
      </w:r>
      <w:r>
        <w:t xml:space="preserve"> </w:t>
      </w:r>
      <w:r>
        <w:t xml:space="preserve">investment environment for the Union’s manufacturing capacity of technologies that are</w:t>
      </w:r>
      <w:r>
        <w:t xml:space="preserve"> </w:t>
      </w:r>
      <w:r>
        <w:t xml:space="preserve">key to meet the Union’s climate neutrality goals and energy targets. The investments</w:t>
      </w:r>
      <w:r>
        <w:t xml:space="preserve"> </w:t>
      </w:r>
      <w:r>
        <w:t xml:space="preserve">needed to build EU-based manufacturing capacity for five key net-zero technologies</w:t>
      </w:r>
      <w:r>
        <w:t xml:space="preserve"> </w:t>
      </w:r>
      <w:r>
        <w:t xml:space="preserve">(wind, solar PV, electrolysers, batteries and heat pumps) are estimated at approximately</w:t>
      </w:r>
      <w:r>
        <w:t xml:space="preserve"> </w:t>
      </w:r>
      <w:r>
        <w:t xml:space="preserve">billion EUR 23 for the decade 2031-2040. Two thirds of total investments are for battery</w:t>
      </w:r>
      <w:r>
        <w:t xml:space="preserve"> </w:t>
      </w:r>
      <w:r>
        <w:t xml:space="preserve">manufacturing, one fifth to one quarter are for manufacturing of wind technologies, and</w:t>
      </w:r>
      <w:r>
        <w:t xml:space="preserve"> </w:t>
      </w:r>
      <w:r>
        <w:t xml:space="preserve">electrolysers, solar PV and heat pumps each represent between 2 and 6% of the total.</w:t>
      </w:r>
      <w:r>
        <w:t xml:space="preserve"> </w:t>
      </w:r>
      <w:r>
        <w:t xml:space="preserve">This level of investment needs takes into account that investments in manufacturing</w:t>
      </w:r>
      <w:r>
        <w:t xml:space="preserve"> </w:t>
      </w:r>
      <w:r>
        <w:t xml:space="preserve">capacity already take place by 2030.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6.4.3 Energy system costs and other mitigation costs</w:t>
      </w:r>
      <w:r>
        <w:t xml:space="preserve"> </w:t>
      </w:r>
      <w:r>
        <w:t xml:space="preserve">Energy system costs (80) are one of the important factors driving the competitiveness of</w:t>
      </w:r>
      <w:r>
        <w:t xml:space="preserve"> </w:t>
      </w:r>
      <w:r>
        <w:t xml:space="preserve">EU businesses. This Impact Assessment is based on model results, reflecting adopted</w:t>
      </w:r>
      <w:r>
        <w:t xml:space="preserve"> </w:t>
      </w:r>
      <w:r>
        <w:t xml:space="preserve">legislation under the FF55 package (see Section 1.4.1), existing National Energy and</w:t>
      </w:r>
      <w:r>
        <w:t xml:space="preserve"> </w:t>
      </w:r>
      <w:r>
        <w:t xml:space="preserve">Climate Plans (81) and understanding of the possible evolution of technologies and costs.</w:t>
      </w:r>
      <w:r>
        <w:br/>
      </w:r>
      <w:r>
        <w:t xml:space="preserve">6.4.3.1 Energy system costs for the whole economy</w:t>
      </w:r>
      <w:r>
        <w:t xml:space="preserve"> </w:t>
      </w:r>
      <w:r>
        <w:t xml:space="preserve">The total energy system–costs - including capital costs and energy purchase costs for</w:t>
      </w:r>
      <w:r>
        <w:t xml:space="preserve"> </w:t>
      </w:r>
      <w:r>
        <w:t xml:space="preserve">both the supply and demand sectors –82)(83) - that result from the modelling are projected</w:t>
      </w:r>
      <w:r>
        <w:t xml:space="preserve"> </w:t>
      </w:r>
      <w:r>
        <w:t xml:space="preserve">to be only slightly higher for the more ambitious scenarios in 2031-2040. System costs</w:t>
      </w:r>
      <w:r>
        <w:t xml:space="preserve"> </w:t>
      </w:r>
      <w:r>
        <w:t xml:space="preserve">are 1.5% higher under S3 than under S2, while they are only 2.1% lower under S1 than</w:t>
      </w:r>
      <w:r>
        <w:t xml:space="preserve"> </w:t>
      </w:r>
      <w:r>
        <w:t xml:space="preserve">under S2. The moderate increase in system costs that parallels increases in mitigation</w:t>
      </w:r>
      <w:r>
        <w:t xml:space="preserve"> </w:t>
      </w:r>
      <w:r>
        <w:t xml:space="preserve">targets in 2040 are driven by higher investment needs in 2031-2040, which translate into</w:t>
      </w:r>
      <w:r>
        <w:t xml:space="preserve"> </w:t>
      </w:r>
      <w:r>
        <w:t xml:space="preserve">higher annual capital costs. A higher cost of energy purchases under S3 than under S2</w:t>
      </w:r>
      <w:r>
        <w:t xml:space="preserve"> </w:t>
      </w:r>
      <w:r>
        <w:t xml:space="preserve">also contributes to the increase in overall energy system costs.</w:t>
      </w:r>
      <w:r>
        <w:br/>
      </w:r>
      <w:r>
        <w:t xml:space="preserve">When contrasted with the situation in 2011-2020, however, the shift in the composition</w:t>
      </w:r>
      <w:r>
        <w:t xml:space="preserve"> </w:t>
      </w:r>
      <w:r>
        <w:t xml:space="preserve">of total energy system costs from energy purchases to capital costs is very clear under all</w:t>
      </w:r>
      <w:r>
        <w:t xml:space="preserve"> </w:t>
      </w:r>
      <w:r>
        <w:t xml:space="preserve">three scenarios. Total energy system costs (including carbon revenues) in 2031-2040</w:t>
      </w:r>
      <w:r>
        <w:t xml:space="preserve"> </w:t>
      </w:r>
      <w:r>
        <w:t xml:space="preserve">range from 12.4% of GDP under S1 to 12.9% under S3. This is around the 2021-2030</w:t>
      </w:r>
      <w:r>
        <w:t xml:space="preserve"> </w:t>
      </w:r>
      <w:r>
        <w:t xml:space="preserve">average and represents a moderate increase from an average of 11.9% of GDP in 2011-</w:t>
      </w:r>
      <w:r>
        <w:t xml:space="preserve"> </w:t>
      </w:r>
      <w:r>
        <w:t xml:space="preserve">2020. While energy purchases represented 9.2% of GDP in 2011-2020, they are projected</w:t>
      </w:r>
      <w:r>
        <w:t xml:space="preserve"> </w:t>
      </w:r>
      <w:r>
        <w:t xml:space="preserve">to amount to 7.8% of GDP in 2031-2040 under S2. In contrast, capital costs are projected</w:t>
      </w:r>
      <w:r>
        <w:t xml:space="preserve"> </w:t>
      </w:r>
      <w:r>
        <w:t xml:space="preserve">to increase from 2.7% of GDP in 2011-2020 to 4.9% in 2031-2040 (Table 18). The</w:t>
      </w:r>
      <w:r>
        <w:t xml:space="preserve"> </w:t>
      </w:r>
      <w:r>
        <w:t xml:space="preserve">benefits of higher investment levels in terms of lower energy purchase are therefore very</w:t>
      </w:r>
      <w:r>
        <w:t xml:space="preserve"> </w:t>
      </w:r>
      <w:r>
        <w:t xml:space="preserve">clear.</w:t>
      </w:r>
    </w:p>
    <w:p>
      <w:pPr>
        <w:pStyle w:val="Compact"/>
        <w:numPr>
          <w:ilvl w:val="0"/>
          <w:numId w:val="1033"/>
        </w:numPr>
      </w:pPr>
      <w:r>
        <w:t xml:space="preserve">While energy system modelling captures the energy system costs well, the costs associated with the</w:t>
      </w:r>
      <w:r>
        <w:t xml:space="preserve"> </w:t>
      </w:r>
      <w:r>
        <w:t xml:space="preserve">transition are broader. Rapid structural change will lead to the devaluation of equipment and other assets in</w:t>
      </w:r>
      <w:r>
        <w:t xml:space="preserve"> </w:t>
      </w:r>
      <w:r>
        <w:t xml:space="preserve">several industrial sectors, notably in fossil fuels extraction and processing.</w:t>
      </w:r>
    </w:p>
    <w:p>
      <w:pPr>
        <w:pStyle w:val="Compact"/>
        <w:numPr>
          <w:ilvl w:val="0"/>
          <w:numId w:val="1033"/>
        </w:numPr>
      </w:pPr>
      <w:r>
        <w:t xml:space="preserve">“Current” at the time of publication, i.e. the NECPs submitted in 2020. Future climate and energy</w:t>
      </w:r>
      <w:r>
        <w:t xml:space="preserve"> </w:t>
      </w:r>
      <w:r>
        <w:t xml:space="preserve">assessments will take into account the final NECPs updates (2024), including for nuclear capacity.</w:t>
      </w:r>
    </w:p>
    <w:p>
      <w:pPr>
        <w:pStyle w:val="Compact"/>
        <w:numPr>
          <w:ilvl w:val="0"/>
          <w:numId w:val="1033"/>
        </w:numPr>
      </w:pPr>
      <w:r>
        <w:t xml:space="preserve">The total energy system costs considered here includes capital costs (for energy supply installations</w:t>
      </w:r>
      <w:r>
        <w:t xml:space="preserve"> </w:t>
      </w:r>
      <w:r>
        <w:t xml:space="preserve">such as power plants and energy infrastructure, as well as investment in buildings for energy efficiency</w:t>
      </w:r>
      <w:r>
        <w:t xml:space="preserve"> </w:t>
      </w:r>
      <w:r>
        <w:t xml:space="preserve">related renovation, purchase of end-use equipment and appliances as well as energy related equipment for</w:t>
      </w:r>
      <w:r>
        <w:t xml:space="preserve"> </w:t>
      </w:r>
      <w:r>
        <w:t xml:space="preserve">transport) and energy purchase costs. For transport, the “capital cost” covers only additional capital costs</w:t>
      </w:r>
      <w:r>
        <w:t xml:space="preserve"> </w:t>
      </w:r>
      <w:r>
        <w:t xml:space="preserve">for improving energy efficiency or for using alternative fuels, including alternative fuels infrastructure.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Capital cost is computed as the annualisation of overnight investment considering a weighted average</w:t>
      </w:r>
      <w:r>
        <w:t xml:space="preserve"> </w:t>
      </w:r>
      <w:r>
        <w:t xml:space="preserve">cost of capital of 10%, which reflects both financing and opportunity cost.</w:t>
      </w:r>
    </w:p>
    <w:p>
      <w:pPr>
        <w:pStyle w:val="FirstParagraph"/>
      </w:pPr>
      <w:r>
        <w:t xml:space="preserve">60</w:t>
      </w:r>
    </w:p>
    <w:p>
      <w:pPr>
        <w:pStyle w:val="BodyText"/>
      </w:pPr>
      <w:r>
        <w:t xml:space="preserve">Table 18: Energy system costs profiles across options (2031-2040, annual average)</w:t>
      </w:r>
    </w:p>
    <w:p>
      <w:pPr>
        <w:pStyle w:val="BodyText"/>
      </w:pPr>
      <w:r>
        <w:t xml:space="preserve">Billion EUR 2023</w:t>
      </w:r>
      <w:r>
        <w:t xml:space="preserve"> </w:t>
      </w:r>
      <w:r>
        <w:t xml:space="preserve">% change vs. S2</w:t>
      </w:r>
      <w:r>
        <w:t xml:space="preserve"> </w:t>
      </w:r>
      <w:r>
        <w:t xml:space="preserve">% GDP</w:t>
      </w:r>
      <w:r>
        <w:t xml:space="preserve"> </w:t>
      </w:r>
      <w:r>
        <w:t xml:space="preserve">Deviation vs. S2 (%</w:t>
      </w:r>
      <w:r>
        <w:t xml:space="preserve"> </w:t>
      </w:r>
      <w:r>
        <w:t xml:space="preserve">GDP)</w:t>
      </w:r>
    </w:p>
    <w:p>
      <w:pPr>
        <w:pStyle w:val="BodyText"/>
      </w:pPr>
      <w:r>
        <w:t xml:space="preserve">2011-</w:t>
      </w:r>
      <w:r>
        <w:t xml:space="preserve"> </w:t>
      </w:r>
      <w:r>
        <w:t xml:space="preserve">2020</w:t>
      </w:r>
      <w:r>
        <w:t xml:space="preserve"> </w:t>
      </w:r>
      <w:r>
        <w:t xml:space="preserve">S2</w:t>
      </w:r>
      <w:r>
        <w:t xml:space="preserve"> </w:t>
      </w:r>
      <w:r>
        <w:t xml:space="preserve">S1</w:t>
      </w:r>
      <w:r>
        <w:t xml:space="preserve"> </w:t>
      </w:r>
      <w:r>
        <w:t xml:space="preserve">S3</w:t>
      </w:r>
      <w:r>
        <w:t xml:space="preserve"> </w:t>
      </w:r>
      <w:r>
        <w:t xml:space="preserve">2011-</w:t>
      </w:r>
      <w:r>
        <w:t xml:space="preserve"> </w:t>
      </w:r>
      <w:r>
        <w:t xml:space="preserve">2020</w:t>
      </w:r>
      <w:r>
        <w:t xml:space="preserve"> </w:t>
      </w:r>
      <w:r>
        <w:t xml:space="preserve">S2</w:t>
      </w:r>
      <w:r>
        <w:t xml:space="preserve"> </w:t>
      </w:r>
      <w:r>
        <w:t xml:space="preserve">S1</w:t>
      </w:r>
      <w:r>
        <w:t xml:space="preserve"> </w:t>
      </w:r>
      <w:r>
        <w:t xml:space="preserve">S3</w:t>
      </w:r>
      <w:r>
        <w:t xml:space="preserve"> </w:t>
      </w:r>
      <w:r>
        <w:t xml:space="preserve">Total energy system costs</w:t>
      </w:r>
      <w:r>
        <w:t xml:space="preserve"> </w:t>
      </w:r>
      <w:r>
        <w:t xml:space="preserve">1766</w:t>
      </w:r>
      <w:r>
        <w:t xml:space="preserve"> </w:t>
      </w:r>
      <w:r>
        <w:t xml:space="preserve">2472</w:t>
      </w:r>
      <w:r>
        <w:t xml:space="preserve"> </w:t>
      </w:r>
      <w:r>
        <w:t xml:space="preserve">-2.1%</w:t>
      </w:r>
      <w:r>
        <w:t xml:space="preserve"> </w:t>
      </w:r>
      <w:r>
        <w:t xml:space="preserve">+1.5%</w:t>
      </w:r>
      <w:r>
        <w:t xml:space="preserve"> </w:t>
      </w:r>
      <w:r>
        <w:t xml:space="preserve">11.9%</w:t>
      </w:r>
      <w:r>
        <w:t xml:space="preserve"> </w:t>
      </w:r>
      <w:r>
        <w:t xml:space="preserve">12.7%</w:t>
      </w:r>
      <w:r>
        <w:t xml:space="preserve"> </w:t>
      </w:r>
      <w:r>
        <w:t xml:space="preserve">-0.27%</w:t>
      </w:r>
      <w:r>
        <w:t xml:space="preserve"> </w:t>
      </w:r>
      <w:r>
        <w:t xml:space="preserve">+0.19%</w:t>
      </w:r>
      <w:r>
        <w:t xml:space="preserve"> </w:t>
      </w:r>
      <w:r>
        <w:t xml:space="preserve">Industry*</w:t>
      </w:r>
      <w:r>
        <w:t xml:space="preserve"> </w:t>
      </w:r>
      <w:r>
        <w:t xml:space="preserve">270</w:t>
      </w:r>
      <w:r>
        <w:t xml:space="preserve"> </w:t>
      </w:r>
      <w:r>
        <w:t xml:space="preserve">410</w:t>
      </w:r>
      <w:r>
        <w:t xml:space="preserve"> </w:t>
      </w:r>
      <w:r>
        <w:t xml:space="preserve">-3.4%</w:t>
      </w:r>
      <w:r>
        <w:t xml:space="preserve"> </w:t>
      </w:r>
      <w:r>
        <w:t xml:space="preserve">+2.3%</w:t>
      </w:r>
      <w:r>
        <w:t xml:space="preserve"> </w:t>
      </w:r>
      <w:r>
        <w:t xml:space="preserve">1.8%</w:t>
      </w:r>
      <w:r>
        <w:t xml:space="preserve"> </w:t>
      </w:r>
      <w:r>
        <w:t xml:space="preserve">2.1%</w:t>
      </w:r>
      <w:r>
        <w:t xml:space="preserve"> </w:t>
      </w:r>
      <w:r>
        <w:t xml:space="preserve">-0.07%</w:t>
      </w:r>
      <w:r>
        <w:t xml:space="preserve"> </w:t>
      </w:r>
      <w:r>
        <w:t xml:space="preserve">+0.05%</w:t>
      </w:r>
      <w:r>
        <w:t xml:space="preserve"> </w:t>
      </w:r>
      <w:r>
        <w:t xml:space="preserve">Tertiary**</w:t>
      </w:r>
      <w:r>
        <w:t xml:space="preserve"> </w:t>
      </w:r>
      <w:r>
        <w:t xml:space="preserve">312</w:t>
      </w:r>
      <w:r>
        <w:t xml:space="preserve"> </w:t>
      </w:r>
      <w:r>
        <w:t xml:space="preserve">397</w:t>
      </w:r>
      <w:r>
        <w:t xml:space="preserve"> </w:t>
      </w:r>
      <w:r>
        <w:t xml:space="preserve">-0.5%</w:t>
      </w:r>
      <w:r>
        <w:t xml:space="preserve"> </w:t>
      </w:r>
      <w:r>
        <w:t xml:space="preserve">+0.5%</w:t>
      </w:r>
      <w:r>
        <w:t xml:space="preserve"> </w:t>
      </w:r>
      <w:r>
        <w:t xml:space="preserve">2.1%</w:t>
      </w:r>
      <w:r>
        <w:t xml:space="preserve"> </w:t>
      </w:r>
      <w:r>
        <w:t xml:space="preserve">2.0%</w:t>
      </w:r>
      <w:r>
        <w:t xml:space="preserve"> </w:t>
      </w:r>
      <w:r>
        <w:t xml:space="preserve">-0.01%</w:t>
      </w:r>
      <w:r>
        <w:t xml:space="preserve"> </w:t>
      </w:r>
      <w:r>
        <w:t xml:space="preserve">+0.01%</w:t>
      </w:r>
      <w:r>
        <w:t xml:space="preserve"> </w:t>
      </w:r>
      <w:r>
        <w:t xml:space="preserve">Residential</w:t>
      </w:r>
      <w:r>
        <w:t xml:space="preserve"> </w:t>
      </w:r>
      <w:r>
        <w:t xml:space="preserve">620</w:t>
      </w:r>
      <w:r>
        <w:t xml:space="preserve"> </w:t>
      </w:r>
      <w:r>
        <w:t xml:space="preserve">850</w:t>
      </w:r>
      <w:r>
        <w:t xml:space="preserve"> </w:t>
      </w:r>
      <w:r>
        <w:t xml:space="preserve">-1.4%</w:t>
      </w:r>
      <w:r>
        <w:t xml:space="preserve"> </w:t>
      </w:r>
      <w:r>
        <w:t xml:space="preserve">+1.0%</w:t>
      </w:r>
      <w:r>
        <w:t xml:space="preserve"> </w:t>
      </w:r>
      <w:r>
        <w:t xml:space="preserve">4.2%</w:t>
      </w:r>
      <w:r>
        <w:t xml:space="preserve"> </w:t>
      </w:r>
      <w:r>
        <w:t xml:space="preserve">4.4%</w:t>
      </w:r>
      <w:r>
        <w:t xml:space="preserve"> </w:t>
      </w:r>
      <w:r>
        <w:t xml:space="preserve">-0.06%</w:t>
      </w:r>
      <w:r>
        <w:t xml:space="preserve"> </w:t>
      </w:r>
      <w:r>
        <w:t xml:space="preserve">+0.04%</w:t>
      </w:r>
      <w:r>
        <w:t xml:space="preserve"> </w:t>
      </w:r>
      <w:r>
        <w:t xml:space="preserve">Low-income households</w:t>
      </w:r>
      <w:r>
        <w:t xml:space="preserve"> </w:t>
      </w:r>
      <w:r>
        <w:t xml:space="preserve">221</w:t>
      </w:r>
      <w:r>
        <w:t xml:space="preserve"> </w:t>
      </w:r>
      <w:r>
        <w:t xml:space="preserve">316</w:t>
      </w:r>
      <w:r>
        <w:t xml:space="preserve"> </w:t>
      </w:r>
      <w:r>
        <w:t xml:space="preserve">-1.5%</w:t>
      </w:r>
      <w:r>
        <w:t xml:space="preserve"> </w:t>
      </w:r>
      <w:r>
        <w:t xml:space="preserve">+1.0%</w:t>
      </w:r>
      <w:r>
        <w:t xml:space="preserve"> </w:t>
      </w:r>
      <w:r>
        <w:t xml:space="preserve">1.5%</w:t>
      </w:r>
      <w:r>
        <w:t xml:space="preserve"> </w:t>
      </w:r>
      <w:r>
        <w:t xml:space="preserve">1.6%</w:t>
      </w:r>
      <w:r>
        <w:t xml:space="preserve"> </w:t>
      </w:r>
      <w:r>
        <w:t xml:space="preserve">-0.02%</w:t>
      </w:r>
      <w:r>
        <w:t xml:space="preserve"> </w:t>
      </w:r>
      <w:r>
        <w:t xml:space="preserve">+0.02%</w:t>
      </w:r>
      <w:r>
        <w:t xml:space="preserve"> </w:t>
      </w:r>
      <w:r>
        <w:t xml:space="preserve">Transport</w:t>
      </w:r>
      <w:r>
        <w:t xml:space="preserve"> </w:t>
      </w:r>
      <w:r>
        <w:t xml:space="preserve">564</w:t>
      </w:r>
      <w:r>
        <w:t xml:space="preserve"> </w:t>
      </w:r>
      <w:r>
        <w:t xml:space="preserve">815</w:t>
      </w:r>
      <w:r>
        <w:t xml:space="preserve"> </w:t>
      </w:r>
      <w:r>
        <w:t xml:space="preserve">-3.1%</w:t>
      </w:r>
      <w:r>
        <w:t xml:space="preserve"> </w:t>
      </w:r>
      <w:r>
        <w:t xml:space="preserve">+2.0%</w:t>
      </w:r>
      <w:r>
        <w:t xml:space="preserve"> </w:t>
      </w:r>
      <w:r>
        <w:t xml:space="preserve">3.8%</w:t>
      </w:r>
      <w:r>
        <w:t xml:space="preserve"> </w:t>
      </w:r>
      <w:r>
        <w:t xml:space="preserve">4.2%</w:t>
      </w:r>
      <w:r>
        <w:t xml:space="preserve"> </w:t>
      </w:r>
      <w:r>
        <w:t xml:space="preserve">-0.13%</w:t>
      </w:r>
      <w:r>
        <w:t xml:space="preserve"> </w:t>
      </w:r>
      <w:r>
        <w:t xml:space="preserve">+0.08%</w:t>
      </w:r>
      <w:r>
        <w:t xml:space="preserve"> </w:t>
      </w:r>
      <w:r>
        <w:t xml:space="preserve">Road transport</w:t>
      </w:r>
      <w:r>
        <w:br/>
      </w:r>
      <w:r>
        <w:t xml:space="preserve">467</w:t>
      </w:r>
      <w:r>
        <w:t xml:space="preserve"> </w:t>
      </w:r>
      <w:r>
        <w:t xml:space="preserve">485</w:t>
      </w:r>
      <w:r>
        <w:t xml:space="preserve"> </w:t>
      </w:r>
      <w:r>
        <w:t xml:space="preserve">-1.5%</w:t>
      </w:r>
      <w:r>
        <w:t xml:space="preserve"> </w:t>
      </w:r>
      <w:r>
        <w:t xml:space="preserve">+1.9%</w:t>
      </w:r>
      <w:r>
        <w:t xml:space="preserve"> </w:t>
      </w:r>
      <w:r>
        <w:t xml:space="preserve">3.2%</w:t>
      </w:r>
      <w:r>
        <w:t xml:space="preserve"> </w:t>
      </w:r>
      <w:r>
        <w:t xml:space="preserve">2.5%</w:t>
      </w:r>
      <w:r>
        <w:t xml:space="preserve"> </w:t>
      </w:r>
      <w:r>
        <w:t xml:space="preserve">-0.04%</w:t>
      </w:r>
      <w:r>
        <w:t xml:space="preserve"> </w:t>
      </w:r>
      <w:r>
        <w:t xml:space="preserve">+0.05%</w:t>
      </w:r>
      <w:r>
        <w:t xml:space="preserve"> </w:t>
      </w:r>
      <w:r>
        <w:t xml:space="preserve">Capital costs</w:t>
      </w:r>
      <w:r>
        <w:t xml:space="preserve"> </w:t>
      </w:r>
      <w:r>
        <w:t xml:space="preserve">407</w:t>
      </w:r>
      <w:r>
        <w:t xml:space="preserve"> </w:t>
      </w:r>
      <w:r>
        <w:t xml:space="preserve">956</w:t>
      </w:r>
      <w:r>
        <w:t xml:space="preserve"> </w:t>
      </w:r>
      <w:r>
        <w:t xml:space="preserve">-1.8%</w:t>
      </w:r>
      <w:r>
        <w:t xml:space="preserve"> </w:t>
      </w:r>
      <w:r>
        <w:t xml:space="preserve">+1.7%</w:t>
      </w:r>
      <w:r>
        <w:t xml:space="preserve"> </w:t>
      </w:r>
      <w:r>
        <w:t xml:space="preserve">2.7%</w:t>
      </w:r>
      <w:r>
        <w:t xml:space="preserve"> </w:t>
      </w:r>
      <w:r>
        <w:t xml:space="preserve">4.9%</w:t>
      </w:r>
      <w:r>
        <w:t xml:space="preserve"> </w:t>
      </w:r>
      <w:r>
        <w:t xml:space="preserve">-0.09%</w:t>
      </w:r>
      <w:r>
        <w:t xml:space="preserve"> </w:t>
      </w:r>
      <w:r>
        <w:t xml:space="preserve">+0.08%</w:t>
      </w:r>
      <w:r>
        <w:t xml:space="preserve"> </w:t>
      </w:r>
      <w:r>
        <w:t xml:space="preserve">Industry*</w:t>
      </w:r>
      <w:r>
        <w:t xml:space="preserve"> </w:t>
      </w:r>
      <w:r>
        <w:t xml:space="preserve">17</w:t>
      </w:r>
      <w:r>
        <w:t xml:space="preserve"> </w:t>
      </w:r>
      <w:r>
        <w:t xml:space="preserve">85</w:t>
      </w:r>
      <w:r>
        <w:t xml:space="preserve"> </w:t>
      </w:r>
      <w:r>
        <w:t xml:space="preserve">-3.2%</w:t>
      </w:r>
      <w:r>
        <w:t xml:space="preserve"> </w:t>
      </w:r>
      <w:r>
        <w:t xml:space="preserve">+1.6%</w:t>
      </w:r>
      <w:r>
        <w:t xml:space="preserve"> </w:t>
      </w:r>
      <w:r>
        <w:t xml:space="preserve">0.1%</w:t>
      </w:r>
      <w:r>
        <w:t xml:space="preserve"> </w:t>
      </w:r>
      <w:r>
        <w:t xml:space="preserve">0.4%</w:t>
      </w:r>
      <w:r>
        <w:t xml:space="preserve"> </w:t>
      </w:r>
      <w:r>
        <w:t xml:space="preserve">-0.01%</w:t>
      </w:r>
      <w:r>
        <w:t xml:space="preserve"> </w:t>
      </w:r>
      <w:r>
        <w:t xml:space="preserve">+0.01%</w:t>
      </w:r>
      <w:r>
        <w:t xml:space="preserve"> </w:t>
      </w:r>
      <w:r>
        <w:t xml:space="preserve">Tertiary**</w:t>
      </w:r>
      <w:r>
        <w:t xml:space="preserve"> </w:t>
      </w:r>
      <w:r>
        <w:t xml:space="preserve">51</w:t>
      </w:r>
      <w:r>
        <w:t xml:space="preserve"> </w:t>
      </w:r>
      <w:r>
        <w:t xml:space="preserve">137</w:t>
      </w:r>
      <w:r>
        <w:t xml:space="preserve"> </w:t>
      </w:r>
      <w:r>
        <w:t xml:space="preserve">-2.1%</w:t>
      </w:r>
      <w:r>
        <w:t xml:space="preserve"> </w:t>
      </w:r>
      <w:r>
        <w:t xml:space="preserve">+2.4%</w:t>
      </w:r>
      <w:r>
        <w:t xml:space="preserve"> </w:t>
      </w:r>
      <w:r>
        <w:t xml:space="preserve">0.3%</w:t>
      </w:r>
      <w:r>
        <w:t xml:space="preserve"> </w:t>
      </w:r>
      <w:r>
        <w:t xml:space="preserve">0.7%</w:t>
      </w:r>
      <w:r>
        <w:t xml:space="preserve"> </w:t>
      </w:r>
      <w:r>
        <w:t xml:space="preserve">-0.02%</w:t>
      </w:r>
      <w:r>
        <w:t xml:space="preserve"> </w:t>
      </w:r>
      <w:r>
        <w:t xml:space="preserve">+0.02%</w:t>
      </w:r>
      <w:r>
        <w:t xml:space="preserve"> </w:t>
      </w:r>
      <w:r>
        <w:t xml:space="preserve">Residential</w:t>
      </w:r>
      <w:r>
        <w:t xml:space="preserve"> </w:t>
      </w:r>
      <w:r>
        <w:t xml:space="preserve">251</w:t>
      </w:r>
      <w:r>
        <w:t xml:space="preserve"> </w:t>
      </w:r>
      <w:r>
        <w:t xml:space="preserve">490</w:t>
      </w:r>
      <w:r>
        <w:t xml:space="preserve"> </w:t>
      </w:r>
      <w:r>
        <w:t xml:space="preserve">-1.9%</w:t>
      </w:r>
      <w:r>
        <w:t xml:space="preserve"> </w:t>
      </w:r>
      <w:r>
        <w:t xml:space="preserve">+1.6%</w:t>
      </w:r>
      <w:r>
        <w:t xml:space="preserve"> </w:t>
      </w:r>
      <w:r>
        <w:t xml:space="preserve">1.7%</w:t>
      </w:r>
      <w:r>
        <w:t xml:space="preserve"> </w:t>
      </w:r>
      <w:r>
        <w:t xml:space="preserve">2.5%</w:t>
      </w:r>
      <w:r>
        <w:t xml:space="preserve"> </w:t>
      </w:r>
      <w:r>
        <w:t xml:space="preserve">-0.05%</w:t>
      </w:r>
      <w:r>
        <w:t xml:space="preserve"> </w:t>
      </w:r>
      <w:r>
        <w:t xml:space="preserve">+0.04%</w:t>
      </w:r>
      <w:r>
        <w:t xml:space="preserve"> </w:t>
      </w:r>
      <w:r>
        <w:t xml:space="preserve">Low-income households</w:t>
      </w:r>
      <w:r>
        <w:t xml:space="preserve"> </w:t>
      </w:r>
      <w:r>
        <w:t xml:space="preserve">78</w:t>
      </w:r>
      <w:r>
        <w:t xml:space="preserve"> </w:t>
      </w:r>
      <w:r>
        <w:t xml:space="preserve">176</w:t>
      </w:r>
      <w:r>
        <w:t xml:space="preserve"> </w:t>
      </w:r>
      <w:r>
        <w:t xml:space="preserve">-2.2%</w:t>
      </w:r>
      <w:r>
        <w:t xml:space="preserve"> </w:t>
      </w:r>
      <w:r>
        <w:t xml:space="preserve">+1.7%</w:t>
      </w:r>
      <w:r>
        <w:t xml:space="preserve"> </w:t>
      </w:r>
      <w:r>
        <w:t xml:space="preserve">0.5%</w:t>
      </w:r>
      <w:r>
        <w:t xml:space="preserve"> </w:t>
      </w:r>
      <w:r>
        <w:t xml:space="preserve">0.9%</w:t>
      </w:r>
      <w:r>
        <w:t xml:space="preserve"> </w:t>
      </w:r>
      <w:r>
        <w:t xml:space="preserve">-0.02%</w:t>
      </w:r>
      <w:r>
        <w:t xml:space="preserve"> </w:t>
      </w:r>
      <w:r>
        <w:t xml:space="preserve">+0.02%</w:t>
      </w:r>
      <w:r>
        <w:t xml:space="preserve"> </w:t>
      </w:r>
      <w:r>
        <w:t xml:space="preserve">Transport</w:t>
      </w:r>
      <w:r>
        <w:t xml:space="preserve"> </w:t>
      </w:r>
      <w:r>
        <w:t xml:space="preserve">87</w:t>
      </w:r>
      <w:r>
        <w:t xml:space="preserve"> </w:t>
      </w:r>
      <w:r>
        <w:t xml:space="preserve">243</w:t>
      </w:r>
      <w:r>
        <w:t xml:space="preserve"> </w:t>
      </w:r>
      <w:r>
        <w:t xml:space="preserve">-1.1%</w:t>
      </w:r>
      <w:r>
        <w:t xml:space="preserve"> </w:t>
      </w:r>
      <w:r>
        <w:t xml:space="preserve">+1.6%</w:t>
      </w:r>
      <w:r>
        <w:t xml:space="preserve"> </w:t>
      </w:r>
      <w:r>
        <w:t xml:space="preserve">0.6%</w:t>
      </w:r>
      <w:r>
        <w:t xml:space="preserve"> </w:t>
      </w:r>
      <w:r>
        <w:t xml:space="preserve">1.3%</w:t>
      </w:r>
      <w:r>
        <w:t xml:space="preserve"> </w:t>
      </w:r>
      <w:r>
        <w:t xml:space="preserve">-0.01%</w:t>
      </w:r>
      <w:r>
        <w:t xml:space="preserve"> </w:t>
      </w:r>
      <w:r>
        <w:t xml:space="preserve">+0.02%</w:t>
      </w:r>
      <w:r>
        <w:t xml:space="preserve"> </w:t>
      </w:r>
      <w:r>
        <w:t xml:space="preserve">Road transport</w:t>
      </w:r>
      <w:r>
        <w:br/>
      </w:r>
      <w:r>
        <w:t xml:space="preserve">56</w:t>
      </w:r>
      <w:r>
        <w:t xml:space="preserve"> </w:t>
      </w:r>
      <w:r>
        <w:t xml:space="preserve">152</w:t>
      </w:r>
      <w:r>
        <w:t xml:space="preserve"> </w:t>
      </w:r>
      <w:r>
        <w:t xml:space="preserve">+0.9%</w:t>
      </w:r>
      <w:r>
        <w:t xml:space="preserve"> </w:t>
      </w:r>
      <w:r>
        <w:t xml:space="preserve">-1.3%</w:t>
      </w:r>
      <w:r>
        <w:t xml:space="preserve"> </w:t>
      </w:r>
      <w:r>
        <w:t xml:space="preserve">0.4%</w:t>
      </w:r>
      <w:r>
        <w:t xml:space="preserve"> </w:t>
      </w:r>
      <w:r>
        <w:t xml:space="preserve">0.8%</w:t>
      </w:r>
      <w:r>
        <w:t xml:space="preserve"> </w:t>
      </w:r>
      <w:r>
        <w:t xml:space="preserve">+0.01%</w:t>
      </w:r>
      <w:r>
        <w:t xml:space="preserve"> </w:t>
      </w:r>
      <w:r>
        <w:t xml:space="preserve">-0.01%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1359</w:t>
      </w:r>
      <w:r>
        <w:t xml:space="preserve"> </w:t>
      </w:r>
      <w:r>
        <w:t xml:space="preserve">1516</w:t>
      </w:r>
      <w:r>
        <w:t xml:space="preserve"> </w:t>
      </w:r>
      <w:r>
        <w:t xml:space="preserve">-2.3%</w:t>
      </w:r>
      <w:r>
        <w:t xml:space="preserve"> </w:t>
      </w:r>
      <w:r>
        <w:t xml:space="preserve">+1.3%</w:t>
      </w:r>
      <w:r>
        <w:t xml:space="preserve"> </w:t>
      </w:r>
      <w:r>
        <w:t xml:space="preserve">9.2%</w:t>
      </w:r>
      <w:r>
        <w:t xml:space="preserve"> </w:t>
      </w:r>
      <w:r>
        <w:t xml:space="preserve">7.8%</w:t>
      </w:r>
      <w:r>
        <w:t xml:space="preserve"> </w:t>
      </w:r>
      <w:r>
        <w:t xml:space="preserve">-0.18%</w:t>
      </w:r>
      <w:r>
        <w:t xml:space="preserve"> </w:t>
      </w:r>
      <w:r>
        <w:t xml:space="preserve">+0.10%</w:t>
      </w:r>
      <w:r>
        <w:t xml:space="preserve"> </w:t>
      </w:r>
      <w:r>
        <w:t xml:space="preserve">Industry</w:t>
      </w:r>
      <w:r>
        <w:t xml:space="preserve"> </w:t>
      </w:r>
      <w:r>
        <w:t xml:space="preserve">253</w:t>
      </w:r>
      <w:r>
        <w:t xml:space="preserve"> </w:t>
      </w:r>
      <w:r>
        <w:t xml:space="preserve">325</w:t>
      </w:r>
      <w:r>
        <w:t xml:space="preserve"> </w:t>
      </w:r>
      <w:r>
        <w:t xml:space="preserve">-3.4%</w:t>
      </w:r>
      <w:r>
        <w:t xml:space="preserve"> </w:t>
      </w:r>
      <w:r>
        <w:t xml:space="preserve">+2.5%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-0.06%</w:t>
      </w:r>
      <w:r>
        <w:t xml:space="preserve"> </w:t>
      </w:r>
      <w:r>
        <w:t xml:space="preserve">+0.04%</w:t>
      </w:r>
      <w:r>
        <w:t xml:space="preserve"> </w:t>
      </w:r>
      <w:r>
        <w:t xml:space="preserve">Tertiary**</w:t>
      </w:r>
      <w:r>
        <w:t xml:space="preserve"> </w:t>
      </w:r>
      <w:r>
        <w:t xml:space="preserve">261</w:t>
      </w:r>
      <w:r>
        <w:t xml:space="preserve"> </w:t>
      </w:r>
      <w:r>
        <w:t xml:space="preserve">259</w:t>
      </w:r>
      <w:r>
        <w:t xml:space="preserve"> </w:t>
      </w:r>
      <w:r>
        <w:t xml:space="preserve">+0.3%</w:t>
      </w:r>
      <w:r>
        <w:t xml:space="preserve"> </w:t>
      </w:r>
      <w:r>
        <w:t xml:space="preserve">-0.5%</w:t>
      </w:r>
      <w:r>
        <w:t xml:space="preserve"> </w:t>
      </w:r>
      <w:r>
        <w:t xml:space="preserve">1.8%</w:t>
      </w:r>
      <w:r>
        <w:t xml:space="preserve"> </w:t>
      </w:r>
      <w:r>
        <w:t xml:space="preserve">1.3%</w:t>
      </w:r>
      <w:r>
        <w:t xml:space="preserve"> </w:t>
      </w:r>
      <w:r>
        <w:t xml:space="preserve">0.00%</w:t>
      </w:r>
      <w:r>
        <w:t xml:space="preserve"> </w:t>
      </w:r>
      <w:r>
        <w:t xml:space="preserve">-0.01%</w:t>
      </w:r>
      <w:r>
        <w:t xml:space="preserve"> </w:t>
      </w:r>
      <w:r>
        <w:t xml:space="preserve">Residential</w:t>
      </w:r>
      <w:r>
        <w:t xml:space="preserve"> </w:t>
      </w:r>
      <w:r>
        <w:t xml:space="preserve">369</w:t>
      </w:r>
      <w:r>
        <w:t xml:space="preserve"> </w:t>
      </w:r>
      <w:r>
        <w:t xml:space="preserve">360</w:t>
      </w:r>
      <w:r>
        <w:t xml:space="preserve"> </w:t>
      </w:r>
      <w:r>
        <w:t xml:space="preserve">-0.7%</w:t>
      </w:r>
      <w:r>
        <w:t xml:space="preserve"> </w:t>
      </w:r>
      <w:r>
        <w:t xml:space="preserve">+0.3%</w:t>
      </w:r>
      <w:r>
        <w:t xml:space="preserve"> </w:t>
      </w:r>
      <w:r>
        <w:t xml:space="preserve">2.5%</w:t>
      </w:r>
      <w:r>
        <w:t xml:space="preserve"> </w:t>
      </w:r>
      <w:r>
        <w:t xml:space="preserve">1.8%</w:t>
      </w:r>
      <w:r>
        <w:t xml:space="preserve"> </w:t>
      </w:r>
      <w:r>
        <w:t xml:space="preserve">-0.01%</w:t>
      </w:r>
      <w:r>
        <w:t xml:space="preserve"> </w:t>
      </w:r>
      <w:r>
        <w:t xml:space="preserve">+0.01%</w:t>
      </w:r>
      <w:r>
        <w:t xml:space="preserve"> </w:t>
      </w:r>
      <w:r>
        <w:t xml:space="preserve">Low-income households</w:t>
      </w:r>
      <w:r>
        <w:t xml:space="preserve"> </w:t>
      </w:r>
      <w:r>
        <w:t xml:space="preserve">143</w:t>
      </w:r>
      <w:r>
        <w:t xml:space="preserve"> </w:t>
      </w:r>
      <w:r>
        <w:t xml:space="preserve">140</w:t>
      </w:r>
      <w:r>
        <w:t xml:space="preserve"> </w:t>
      </w:r>
      <w:r>
        <w:t xml:space="preserve">-0.6%</w:t>
      </w:r>
      <w:r>
        <w:t xml:space="preserve"> </w:t>
      </w:r>
      <w:r>
        <w:t xml:space="preserve">+0.2%</w:t>
      </w:r>
      <w:r>
        <w:t xml:space="preserve"> </w:t>
      </w:r>
      <w:r>
        <w:t xml:space="preserve">1.0%</w:t>
      </w:r>
      <w:r>
        <w:t xml:space="preserve"> </w:t>
      </w:r>
      <w:r>
        <w:t xml:space="preserve">0.7%</w:t>
      </w:r>
      <w:r>
        <w:t xml:space="preserve"> </w:t>
      </w:r>
      <w:r>
        <w:t xml:space="preserve">-0.00%</w:t>
      </w:r>
      <w:r>
        <w:t xml:space="preserve"> </w:t>
      </w:r>
      <w:r>
        <w:t xml:space="preserve">+0.00%</w:t>
      </w:r>
      <w:r>
        <w:t xml:space="preserve"> </w:t>
      </w:r>
      <w:r>
        <w:t xml:space="preserve">Transport</w:t>
      </w:r>
      <w:r>
        <w:t xml:space="preserve"> </w:t>
      </w:r>
      <w:r>
        <w:t xml:space="preserve">476</w:t>
      </w:r>
      <w:r>
        <w:t xml:space="preserve"> </w:t>
      </w:r>
      <w:r>
        <w:t xml:space="preserve">572</w:t>
      </w:r>
      <w:r>
        <w:t xml:space="preserve"> </w:t>
      </w:r>
      <w:r>
        <w:t xml:space="preserve">-3.9%</w:t>
      </w:r>
      <w:r>
        <w:t xml:space="preserve"> </w:t>
      </w:r>
      <w:r>
        <w:t xml:space="preserve">+2.1%</w:t>
      </w:r>
      <w:r>
        <w:t xml:space="preserve"> </w:t>
      </w:r>
      <w:r>
        <w:t xml:space="preserve">3.2%</w:t>
      </w:r>
      <w:r>
        <w:t xml:space="preserve"> </w:t>
      </w:r>
      <w:r>
        <w:t xml:space="preserve">2.9%</w:t>
      </w:r>
      <w:r>
        <w:t xml:space="preserve"> </w:t>
      </w:r>
      <w:r>
        <w:t xml:space="preserve">-0.11%</w:t>
      </w:r>
      <w:r>
        <w:t xml:space="preserve"> </w:t>
      </w:r>
      <w:r>
        <w:t xml:space="preserve">+0.06%</w:t>
      </w:r>
      <w:r>
        <w:t xml:space="preserve"> </w:t>
      </w:r>
      <w:r>
        <w:t xml:space="preserve">Road transport</w:t>
      </w:r>
      <w:r>
        <w:br/>
      </w:r>
      <w:r>
        <w:t xml:space="preserve">412</w:t>
      </w:r>
      <w:r>
        <w:t xml:space="preserve"> </w:t>
      </w:r>
      <w:r>
        <w:t xml:space="preserve">334</w:t>
      </w:r>
      <w:r>
        <w:t xml:space="preserve"> </w:t>
      </w:r>
      <w:r>
        <w:t xml:space="preserve">-2.5%</w:t>
      </w:r>
      <w:r>
        <w:t xml:space="preserve"> </w:t>
      </w:r>
      <w:r>
        <w:t xml:space="preserve">+3.4%</w:t>
      </w:r>
      <w:r>
        <w:t xml:space="preserve"> </w:t>
      </w:r>
      <w:r>
        <w:t xml:space="preserve">2.8%</w:t>
      </w:r>
      <w:r>
        <w:t xml:space="preserve"> </w:t>
      </w:r>
      <w:r>
        <w:t xml:space="preserve">1.7%</w:t>
      </w:r>
      <w:r>
        <w:t xml:space="preserve"> </w:t>
      </w:r>
      <w:r>
        <w:t xml:space="preserve">-0.04%</w:t>
      </w:r>
      <w:r>
        <w:t xml:space="preserve"> </w:t>
      </w:r>
      <w:r>
        <w:t xml:space="preserve">+0.06%</w:t>
      </w:r>
      <w:r>
        <w:t xml:space="preserve"> </w:t>
      </w:r>
      <w:r>
        <w:t xml:space="preserve">Note: *includes cost to abate industrial process CO2 emissions. ** includes energy related costs in services and in</w:t>
      </w:r>
      <w:r>
        <w:t xml:space="preserve"> </w:t>
      </w:r>
      <w:r>
        <w:t xml:space="preserve">agriculture.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Total energy system costs as a share of GDP are projected to gradually decreases under</w:t>
      </w:r>
      <w:r>
        <w:t xml:space="preserve"> </w:t>
      </w:r>
      <w:r>
        <w:t xml:space="preserve">all three scenarios after 2040 as energy purchases continue to decline in relative terms,</w:t>
      </w:r>
      <w:r>
        <w:t xml:space="preserve"> </w:t>
      </w:r>
      <w:r>
        <w:t xml:space="preserve">while capital costs remain broadly constant at around 4.8% of GDP. Total energy system</w:t>
      </w:r>
      <w:r>
        <w:t xml:space="preserve"> </w:t>
      </w:r>
      <w:r>
        <w:t xml:space="preserve">costs are projected at around 11.3% of GDP in 2041-2050 under all three scenarios,</w:t>
      </w:r>
      <w:r>
        <w:t xml:space="preserve"> </w:t>
      </w:r>
      <w:r>
        <w:t xml:space="preserve">lower than the level in 2011-2020. The LIFE setting shows that circular economy actions</w:t>
      </w:r>
      <w:r>
        <w:t xml:space="preserve"> </w:t>
      </w:r>
      <w:r>
        <w:t xml:space="preserve">and more sustainable lifestyles can limit the costs associated with investments and fuel</w:t>
      </w:r>
      <w:r>
        <w:t xml:space="preserve"> </w:t>
      </w:r>
      <w:r>
        <w:t xml:space="preserve">use by up to 0.2 percentage points in 2031-2040, and 0.5 percentage points in 2041-2050.</w:t>
      </w:r>
      <w:r>
        <w:t xml:space="preserve"> </w:t>
      </w:r>
      <w:r>
        <w:t xml:space="preserve">An important driver is the cost of net fossil fuels imports, which represented about 2.2%</w:t>
      </w:r>
      <w:r>
        <w:t xml:space="preserve"> </w:t>
      </w:r>
      <w:r>
        <w:t xml:space="preserve">of GDP in 2010-2021 and 4.1% during the energy crisis in 202284. The EU’s climate and</w:t>
      </w:r>
      <w:r>
        <w:t xml:space="preserve"> </w:t>
      </w:r>
      <w:r>
        <w:t xml:space="preserve">energy policies by 2030 and the pathways to climate neutrality considerably reduce the</w:t>
      </w:r>
      <w:r>
        <w:t xml:space="preserve"> </w:t>
      </w:r>
      <w:r>
        <w:t xml:space="preserve">exposure of the energy system to fossil fuel price shocks. As the energy system</w:t>
      </w:r>
      <w:r>
        <w:t xml:space="preserve"> </w:t>
      </w:r>
      <w:r>
        <w:t xml:space="preserve">decarbonises, fossil fuel imports decrease over time (85) to 1.4% of GDP over 2031-2040</w:t>
      </w:r>
      <w:r>
        <w:t xml:space="preserve"> </w:t>
      </w:r>
      <w:r>
        <w:t xml:space="preserve">and down to 0.6% in 2041-2050, contributing directly to limiting the energy system cost</w:t>
      </w:r>
    </w:p>
    <w:p>
      <w:pPr>
        <w:pStyle w:val="Compact"/>
        <w:numPr>
          <w:ilvl w:val="0"/>
          <w:numId w:val="1034"/>
        </w:numPr>
      </w:pPr>
      <w:r>
        <w:t xml:space="preserve">Based on Eurostat’s trade data for CN code 27, with the exclusion of codes 2712, 2714, 2715 and 2716.</w:t>
      </w:r>
    </w:p>
    <w:p>
      <w:pPr>
        <w:pStyle w:val="Compact"/>
        <w:numPr>
          <w:ilvl w:val="0"/>
          <w:numId w:val="1034"/>
        </w:numPr>
      </w:pPr>
      <w:r>
        <w:t xml:space="preserve">Despite assuming growing international fossil fuel prices over time – see Annex 6.</w:t>
      </w:r>
    </w:p>
    <w:p>
      <w:pPr>
        <w:pStyle w:val="FirstParagraph"/>
      </w:pPr>
      <w:r>
        <w:t xml:space="preserve">61</w:t>
      </w:r>
    </w:p>
    <w:p>
      <w:pPr>
        <w:pStyle w:val="BodyText"/>
      </w:pPr>
      <w:r>
        <w:t xml:space="preserve">(Table 19). On the other hand, it increases the EU demand for raw materials and,</w:t>
      </w:r>
      <w:r>
        <w:t xml:space="preserve"> </w:t>
      </w:r>
      <w:r>
        <w:t xml:space="preserve">possibly, the EU dependence on imports from other countries for low-carbon</w:t>
      </w:r>
      <w:r>
        <w:t xml:space="preserve"> </w:t>
      </w:r>
      <w:r>
        <w:t xml:space="preserve">technologies.</w:t>
      </w:r>
      <w:r>
        <w:t xml:space="preserve"> </w:t>
      </w:r>
      <w:r>
        <w:t xml:space="preserve">Table 19: Average annual economy-wide energy system costs (billion EUR)</w:t>
      </w:r>
    </w:p>
    <w:p>
      <w:pPr>
        <w:pStyle w:val="BodyText"/>
      </w:pPr>
      <w:r>
        <w:t xml:space="preserve">2011-</w:t>
      </w:r>
      <w:r>
        <w:t xml:space="preserve"> </w:t>
      </w:r>
      <w:r>
        <w:t xml:space="preserve">2020</w:t>
      </w:r>
      <w:r>
        <w:t xml:space="preserve"> </w:t>
      </w:r>
      <w:r>
        <w:t xml:space="preserve">2021-</w:t>
      </w:r>
      <w:r>
        <w:t xml:space="preserve"> </w:t>
      </w:r>
      <w:r>
        <w:t xml:space="preserve">2030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Total energy system costs</w:t>
      </w:r>
    </w:p>
    <w:p>
      <w:pPr>
        <w:pStyle w:val="BodyText"/>
      </w:pPr>
      <w:r>
        <w:t xml:space="preserve">Billion EUR</w:t>
      </w:r>
      <w:r>
        <w:t xml:space="preserve"> </w:t>
      </w:r>
      <w:r>
        <w:t xml:space="preserve">1766</w:t>
      </w:r>
      <w:r>
        <w:t xml:space="preserve"> </w:t>
      </w:r>
      <w:r>
        <w:t xml:space="preserve">2130</w:t>
      </w:r>
      <w:r>
        <w:t xml:space="preserve"> </w:t>
      </w:r>
      <w:r>
        <w:t xml:space="preserve">2419</w:t>
      </w:r>
      <w:r>
        <w:t xml:space="preserve"> </w:t>
      </w:r>
      <w:r>
        <w:t xml:space="preserve">2472</w:t>
      </w:r>
      <w:r>
        <w:t xml:space="preserve"> </w:t>
      </w:r>
      <w:r>
        <w:t xml:space="preserve">2508</w:t>
      </w:r>
      <w:r>
        <w:t xml:space="preserve"> </w:t>
      </w:r>
      <w:r>
        <w:t xml:space="preserve">2508</w:t>
      </w:r>
      <w:r>
        <w:t xml:space="preserve"> </w:t>
      </w:r>
      <w:r>
        <w:t xml:space="preserve">2527</w:t>
      </w:r>
      <w:r>
        <w:t xml:space="preserve"> </w:t>
      </w:r>
      <w:r>
        <w:t xml:space="preserve">2530</w:t>
      </w:r>
      <w:r>
        <w:t xml:space="preserve"> </w:t>
      </w:r>
      <w:r>
        <w:t xml:space="preserve">% GDP</w:t>
      </w:r>
      <w:r>
        <w:t xml:space="preserve"> </w:t>
      </w:r>
      <w:r>
        <w:t xml:space="preserve">11.9%</w:t>
      </w:r>
      <w:r>
        <w:t xml:space="preserve"> </w:t>
      </w:r>
      <w:r>
        <w:t xml:space="preserve">12.5%</w:t>
      </w:r>
      <w:r>
        <w:t xml:space="preserve"> </w:t>
      </w:r>
      <w:r>
        <w:t xml:space="preserve">12.4%</w:t>
      </w:r>
      <w:r>
        <w:t xml:space="preserve"> </w:t>
      </w:r>
      <w:r>
        <w:t xml:space="preserve">12.7%</w:t>
      </w:r>
      <w:r>
        <w:t xml:space="preserve"> </w:t>
      </w:r>
      <w:r>
        <w:t xml:space="preserve">12.9%</w:t>
      </w:r>
      <w:r>
        <w:t xml:space="preserve"> </w:t>
      </w:r>
      <w:r>
        <w:t xml:space="preserve">11.2%</w:t>
      </w:r>
      <w:r>
        <w:t xml:space="preserve"> </w:t>
      </w:r>
      <w:r>
        <w:t xml:space="preserve">11.3%</w:t>
      </w:r>
      <w:r>
        <w:t xml:space="preserve"> </w:t>
      </w:r>
      <w:r>
        <w:t xml:space="preserve">11.3%</w:t>
      </w:r>
      <w:r>
        <w:t xml:space="preserve"> </w:t>
      </w:r>
      <w:r>
        <w:t xml:space="preserve">Fossil fuel imports</w:t>
      </w:r>
    </w:p>
    <w:p>
      <w:pPr>
        <w:pStyle w:val="BodyText"/>
      </w:pPr>
      <w:r>
        <w:t xml:space="preserve">Billion EUR</w:t>
      </w:r>
      <w:r>
        <w:t xml:space="preserve"> </w:t>
      </w:r>
      <w:r>
        <w:t xml:space="preserve">336</w:t>
      </w:r>
      <w:r>
        <w:t xml:space="preserve"> </w:t>
      </w:r>
      <w:r>
        <w:t xml:space="preserve">427</w:t>
      </w:r>
      <w:r>
        <w:t xml:space="preserve"> </w:t>
      </w:r>
      <w:r>
        <w:t xml:space="preserve">293</w:t>
      </w:r>
      <w:r>
        <w:t xml:space="preserve"> </w:t>
      </w:r>
      <w:r>
        <w:t xml:space="preserve">277</w:t>
      </w:r>
      <w:r>
        <w:t xml:space="preserve"> </w:t>
      </w:r>
      <w:r>
        <w:t xml:space="preserve">265</w:t>
      </w:r>
      <w:r>
        <w:t xml:space="preserve"> </w:t>
      </w:r>
      <w:r>
        <w:t xml:space="preserve">150</w:t>
      </w:r>
      <w:r>
        <w:t xml:space="preserve"> </w:t>
      </w:r>
      <w:r>
        <w:t xml:space="preserve">142</w:t>
      </w:r>
      <w:r>
        <w:t xml:space="preserve"> </w:t>
      </w:r>
      <w:r>
        <w:t xml:space="preserve">133</w:t>
      </w:r>
      <w:r>
        <w:t xml:space="preserve"> </w:t>
      </w:r>
      <w:r>
        <w:t xml:space="preserve">% GDP</w:t>
      </w:r>
      <w:r>
        <w:t xml:space="preserve"> </w:t>
      </w:r>
      <w:r>
        <w:t xml:space="preserve">2.3%</w:t>
      </w:r>
      <w:r>
        <w:t xml:space="preserve"> </w:t>
      </w:r>
      <w:r>
        <w:t xml:space="preserve">2.5%</w:t>
      </w:r>
      <w:r>
        <w:t xml:space="preserve"> </w:t>
      </w:r>
      <w:r>
        <w:t xml:space="preserve">1.51%</w:t>
      </w:r>
      <w:r>
        <w:t xml:space="preserve"> </w:t>
      </w:r>
      <w:r>
        <w:t xml:space="preserve">1.42%</w:t>
      </w:r>
      <w:r>
        <w:t xml:space="preserve"> </w:t>
      </w:r>
      <w:r>
        <w:t xml:space="preserve">1.36%</w:t>
      </w:r>
      <w:r>
        <w:t xml:space="preserve"> </w:t>
      </w:r>
      <w:r>
        <w:t xml:space="preserve">0.67%</w:t>
      </w:r>
      <w:r>
        <w:t xml:space="preserve"> </w:t>
      </w:r>
      <w:r>
        <w:t xml:space="preserve">0.63%</w:t>
      </w:r>
      <w:r>
        <w:t xml:space="preserve"> </w:t>
      </w:r>
      <w:r>
        <w:t xml:space="preserve">0.59%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The EU’s future energy system will be characterised by a growing use of electricity,</w:t>
      </w:r>
      <w:r>
        <w:t xml:space="preserve"> </w:t>
      </w:r>
      <w:r>
        <w:t xml:space="preserve">largely based on renewables. Electricity production costs are expected to be comparable</w:t>
      </w:r>
      <w:r>
        <w:t xml:space="preserve"> </w:t>
      </w:r>
      <w:r>
        <w:t xml:space="preserve">across all scenarios in 2040. The cost structure will evolve towards a capital-based</w:t>
      </w:r>
      <w:r>
        <w:t xml:space="preserve"> </w:t>
      </w:r>
      <w:r>
        <w:t xml:space="preserve">system, albeit at a different pace depending on the scenario: the share of fuels (fossil</w:t>
      </w:r>
      <w:r>
        <w:t xml:space="preserve"> </w:t>
      </w:r>
      <w:r>
        <w:t xml:space="preserve">fuels, biomass, nuclear fuel) in total costs decreases to 22-13% depending on the level of</w:t>
      </w:r>
      <w:r>
        <w:t xml:space="preserve"> </w:t>
      </w:r>
      <w:r>
        <w:t xml:space="preserve">decarbonisation and of associated remaining fossil fuels in 2040.</w:t>
      </w:r>
      <w:r>
        <w:br/>
      </w:r>
      <w:r>
        <w:t xml:space="preserve">Table 20: Average electricity production cost</w:t>
      </w:r>
    </w:p>
    <w:p>
      <w:pPr>
        <w:pStyle w:val="BodyText"/>
      </w:pP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EUR23/MWh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 LIFE</w:t>
      </w:r>
      <w:r>
        <w:t xml:space="preserve"> </w:t>
      </w:r>
      <w:r>
        <w:t xml:space="preserve">(S3)</w:t>
      </w:r>
      <w:r>
        <w:t xml:space="preserve"> </w:t>
      </w:r>
      <w:r>
        <w:t xml:space="preserve">Average production cost, of which</w:t>
      </w:r>
      <w:r>
        <w:t xml:space="preserve"> </w:t>
      </w:r>
      <w:r>
        <w:t xml:space="preserve">97</w:t>
      </w:r>
      <w:r>
        <w:t xml:space="preserve"> </w:t>
      </w:r>
      <w:r>
        <w:t xml:space="preserve">96</w:t>
      </w:r>
      <w:r>
        <w:t xml:space="preserve"> </w:t>
      </w:r>
      <w:r>
        <w:t xml:space="preserve">94</w:t>
      </w:r>
      <w:r>
        <w:t xml:space="preserve"> </w:t>
      </w:r>
      <w:r>
        <w:t xml:space="preserve">-0.7%</w:t>
      </w:r>
      <w:r>
        <w:t xml:space="preserve"> </w:t>
      </w:r>
      <w:r>
        <w:t xml:space="preserve">87</w:t>
      </w:r>
      <w:r>
        <w:t xml:space="preserve"> </w:t>
      </w:r>
      <w:r>
        <w:t xml:space="preserve">Fuels (incl. taxes and ETS payments)</w:t>
      </w:r>
      <w:r>
        <w:t xml:space="preserve"> </w:t>
      </w:r>
      <w:r>
        <w:t xml:space="preserve">22%</w:t>
      </w:r>
      <w:r>
        <w:t xml:space="preserve"> </w:t>
      </w:r>
      <w:r>
        <w:t xml:space="preserve">16%</w:t>
      </w:r>
      <w:r>
        <w:t xml:space="preserve"> </w:t>
      </w:r>
      <w:r>
        <w:t xml:space="preserve">13%</w:t>
      </w:r>
      <w:r>
        <w:t xml:space="preserve"> </w:t>
      </w:r>
      <w:r>
        <w:t xml:space="preserve">-0.6%</w:t>
      </w:r>
      <w:r>
        <w:t xml:space="preserve"> </w:t>
      </w:r>
      <w:r>
        <w:t xml:space="preserve">13%</w:t>
      </w:r>
      <w:r>
        <w:t xml:space="preserve"> </w:t>
      </w:r>
      <w:r>
        <w:t xml:space="preserve">Capital cost</w:t>
      </w:r>
      <w:r>
        <w:t xml:space="preserve"> </w:t>
      </w:r>
      <w:r>
        <w:t xml:space="preserve">47%</w:t>
      </w:r>
      <w:r>
        <w:t xml:space="preserve"> </w:t>
      </w:r>
      <w:r>
        <w:t xml:space="preserve">51%</w:t>
      </w:r>
      <w:r>
        <w:t xml:space="preserve"> </w:t>
      </w:r>
      <w:r>
        <w:t xml:space="preserve">54%</w:t>
      </w:r>
      <w:r>
        <w:t xml:space="preserve"> </w:t>
      </w:r>
      <w:r>
        <w:t xml:space="preserve">+0.5%</w:t>
      </w:r>
      <w:r>
        <w:t xml:space="preserve"> </w:t>
      </w:r>
      <w:r>
        <w:t xml:space="preserve">53%</w:t>
      </w:r>
      <w:r>
        <w:t xml:space="preserve"> </w:t>
      </w:r>
      <w:r>
        <w:t xml:space="preserve">O&amp;M cost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32%</w:t>
      </w:r>
      <w:r>
        <w:t xml:space="preserve"> </w:t>
      </w:r>
      <w:r>
        <w:t xml:space="preserve">+0.1%</w:t>
      </w:r>
      <w:r>
        <w:t xml:space="preserve"> </w:t>
      </w:r>
      <w:r>
        <w:t xml:space="preserve">34%</w:t>
      </w:r>
      <w:r>
        <w:br/>
      </w:r>
      <w:r>
        <w:t xml:space="preserve">Source: PRIMES</w:t>
      </w:r>
    </w:p>
    <w:p>
      <w:pPr>
        <w:pStyle w:val="BodyText"/>
      </w:pPr>
      <w:r>
        <w:t xml:space="preserve">6.4.3.2 Energy costs and prices for businesses</w:t>
      </w:r>
      <w:r>
        <w:t xml:space="preserve"> </w:t>
      </w:r>
      <w:r>
        <w:t xml:space="preserve">Energy system costs for the demand sectors (sectors others than those of energy or</w:t>
      </w:r>
      <w:r>
        <w:t xml:space="preserve"> </w:t>
      </w:r>
      <w:r>
        <w:t xml:space="preserve">electricity production) are similar across scenarios for industry and tertiary sectors. As a</w:t>
      </w:r>
      <w:r>
        <w:t xml:space="preserve"> </w:t>
      </w:r>
      <w:r>
        <w:t xml:space="preserve">share of gross value added and in comparison, with the level of the current decade, these</w:t>
      </w:r>
      <w:r>
        <w:t xml:space="preserve"> </w:t>
      </w:r>
      <w:r>
        <w:t xml:space="preserve">costs are projected to decline over time for tertiary sectors, on account of lower energy</w:t>
      </w:r>
      <w:r>
        <w:t xml:space="preserve"> </w:t>
      </w:r>
      <w:r>
        <w:t xml:space="preserve">purchases in relative terms.</w:t>
      </w:r>
      <w:r>
        <w:t xml:space="preserve"> </w:t>
      </w:r>
      <w:r>
        <w:t xml:space="preserve">As far as industry is concerned, the implementation of low-carbon processes, particularly</w:t>
      </w:r>
      <w:r>
        <w:t xml:space="preserve"> </w:t>
      </w:r>
      <w:r>
        <w:t xml:space="preserve">carbon capture and storage, leads to higher capital-related costs for the scenarios with</w:t>
      </w:r>
      <w:r>
        <w:t xml:space="preserve"> </w:t>
      </w:r>
      <w:r>
        <w:t xml:space="preserve">higher ambition. Capital-related costs under S3 are 1.6% higher than under S2 in 2031-</w:t>
      </w:r>
      <w:r>
        <w:t xml:space="preserve"> </w:t>
      </w:r>
      <w:r>
        <w:t xml:space="preserve">2040 while energy purchases increase by 2.5%, in line with the level of decarbonisation</w:t>
      </w:r>
      <w:r>
        <w:t xml:space="preserve"> </w:t>
      </w:r>
      <w:r>
        <w:t xml:space="preserve">and the role of e-fuels to substitute remaining fossil fuels. In turn, the lower ambition</w:t>
      </w:r>
      <w:r>
        <w:t xml:space="preserve"> </w:t>
      </w:r>
      <w:r>
        <w:t xml:space="preserve">under S1 than S2 enables a reduction in capital costs and energy purchases of only about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3%. Overall, the limited increase in energy purchases across scenarios leads to a</w:t>
      </w:r>
      <w:r>
        <w:t xml:space="preserve"> </w:t>
      </w:r>
      <w:r>
        <w:t xml:space="preserve">moderate increase in energy system costs as a share of gross value added in 2031-2040</w:t>
      </w:r>
      <w:r>
        <w:t xml:space="preserve"> </w:t>
      </w:r>
      <w:r>
        <w:t xml:space="preserve">compared to earlier periods, before a stabilisation thereafter.</w:t>
      </w:r>
      <w:r>
        <w:br/>
      </w:r>
      <w:r>
        <w:t xml:space="preserve">In the tertiary sector, the increase in total energy system costs resulting from higher</w:t>
      </w:r>
      <w:r>
        <w:t xml:space="preserve"> </w:t>
      </w:r>
      <w:r>
        <w:t xml:space="preserve">climate ambition is more limited (+0.5% in S3 compared to S2 and -0.5% in S1</w:t>
      </w:r>
      <w:r>
        <w:t xml:space="preserve"> </w:t>
      </w:r>
      <w:r>
        <w:t xml:space="preserve">compared to S2, for 2031-2040). Higher levels of investment in energy-efficient</w:t>
      </w:r>
      <w:r>
        <w:t xml:space="preserve"> </w:t>
      </w:r>
      <w:r>
        <w:t xml:space="preserve">equipment and to renovate buildings result in lower energy purchases under S3 than</w:t>
      </w:r>
      <w:r>
        <w:t xml:space="preserve"> </w:t>
      </w:r>
      <w:r>
        <w:t xml:space="preserve">under both S2 and S1. Capital-related costs in 2031-2040 are 2.4% higher under S3 than</w:t>
      </w:r>
      <w:r>
        <w:t xml:space="preserve"> </w:t>
      </w:r>
      <w:r>
        <w:t xml:space="preserve">S2, but this is partly compensated by a reduction of 0.5% in energy purchases. Given that</w:t>
      </w:r>
      <w:r>
        <w:t xml:space="preserve"> </w:t>
      </w:r>
      <w:r>
        <w:t xml:space="preserve">the largest part of companies in the tertiary sector are SMEs (62% of the gross value</w:t>
      </w:r>
      <w:r>
        <w:t xml:space="preserve"> </w:t>
      </w:r>
      <w:r>
        <w:t xml:space="preserve">added of the sector, nearly 70% of employment by the sector) and that 65% of SMEs are</w:t>
      </w:r>
      <w:r>
        <w:t xml:space="preserve"> </w:t>
      </w:r>
      <w:r>
        <w:t xml:space="preserve">in services, the effects on this sector are well representative of the impact on SMEs.</w:t>
      </w:r>
      <w:r>
        <w:t xml:space="preserve"> </w:t>
      </w:r>
      <w:r>
        <w:t xml:space="preserve">Table 21: Average annual energy system costs for businesses (billion EUR)</w:t>
      </w:r>
    </w:p>
    <w:p>
      <w:pPr>
        <w:pStyle w:val="BodyText"/>
      </w:pPr>
      <w:r>
        <w:t xml:space="preserve">2031-2040</w:t>
      </w:r>
      <w:r>
        <w:t xml:space="preserve"> </w:t>
      </w:r>
      <w:r>
        <w:t xml:space="preserve">2041-2050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 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 LIFE</w:t>
      </w:r>
      <w:r>
        <w:t xml:space="preserve"> </w:t>
      </w:r>
      <w:r>
        <w:t xml:space="preserve">Industry &amp; Tertiary</w:t>
      </w:r>
      <w:r>
        <w:t xml:space="preserve"> </w:t>
      </w:r>
      <w:r>
        <w:t xml:space="preserve">791</w:t>
      </w:r>
      <w:r>
        <w:t xml:space="preserve"> </w:t>
      </w:r>
      <w:r>
        <w:t xml:space="preserve">807</w:t>
      </w:r>
      <w:r>
        <w:t xml:space="preserve"> </w:t>
      </w:r>
      <w:r>
        <w:t xml:space="preserve">819</w:t>
      </w:r>
      <w:r>
        <w:t xml:space="preserve"> </w:t>
      </w:r>
      <w:r>
        <w:t xml:space="preserve">-20</w:t>
      </w:r>
      <w:r>
        <w:t xml:space="preserve"> </w:t>
      </w:r>
      <w:r>
        <w:t xml:space="preserve">881</w:t>
      </w:r>
      <w:r>
        <w:t xml:space="preserve"> </w:t>
      </w:r>
      <w:r>
        <w:t xml:space="preserve">885</w:t>
      </w:r>
      <w:r>
        <w:t xml:space="preserve"> </w:t>
      </w:r>
      <w:r>
        <w:t xml:space="preserve">886</w:t>
      </w:r>
      <w:r>
        <w:t xml:space="preserve"> </w:t>
      </w:r>
      <w:r>
        <w:t xml:space="preserve">-52</w:t>
      </w:r>
      <w:r>
        <w:t xml:space="preserve"> </w:t>
      </w:r>
      <w:r>
        <w:t xml:space="preserve">Capital-related cost*</w:t>
      </w:r>
      <w:r>
        <w:t xml:space="preserve"> </w:t>
      </w:r>
      <w:r>
        <w:t xml:space="preserve">224</w:t>
      </w:r>
      <w:r>
        <w:t xml:space="preserve"> </w:t>
      </w:r>
      <w:r>
        <w:t xml:space="preserve">234</w:t>
      </w:r>
      <w:r>
        <w:t xml:space="preserve"> </w:t>
      </w:r>
      <w:r>
        <w:t xml:space="preserve">241</w:t>
      </w:r>
      <w:r>
        <w:t xml:space="preserve"> </w:t>
      </w:r>
      <w:r>
        <w:t xml:space="preserve">-7</w:t>
      </w:r>
      <w:r>
        <w:t xml:space="preserve"> </w:t>
      </w:r>
      <w:r>
        <w:t xml:space="preserve">277</w:t>
      </w:r>
      <w:r>
        <w:t xml:space="preserve"> </w:t>
      </w:r>
      <w:r>
        <w:t xml:space="preserve">281</w:t>
      </w:r>
      <w:r>
        <w:t xml:space="preserve"> </w:t>
      </w:r>
      <w:r>
        <w:t xml:space="preserve">285</w:t>
      </w:r>
      <w:r>
        <w:t xml:space="preserve"> </w:t>
      </w:r>
      <w:r>
        <w:t xml:space="preserve">-14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567</w:t>
      </w:r>
      <w:r>
        <w:t xml:space="preserve"> </w:t>
      </w:r>
      <w:r>
        <w:t xml:space="preserve">574</w:t>
      </w:r>
      <w:r>
        <w:t xml:space="preserve"> </w:t>
      </w:r>
      <w:r>
        <w:t xml:space="preserve">578</w:t>
      </w:r>
      <w:r>
        <w:t xml:space="preserve"> </w:t>
      </w:r>
      <w:r>
        <w:t xml:space="preserve">-14</w:t>
      </w:r>
      <w:r>
        <w:t xml:space="preserve"> </w:t>
      </w:r>
      <w:r>
        <w:t xml:space="preserve">604</w:t>
      </w:r>
      <w:r>
        <w:t xml:space="preserve"> </w:t>
      </w:r>
      <w:r>
        <w:t xml:space="preserve">603</w:t>
      </w:r>
      <w:r>
        <w:t xml:space="preserve"> </w:t>
      </w:r>
      <w:r>
        <w:t xml:space="preserve">601</w:t>
      </w:r>
      <w:r>
        <w:t xml:space="preserve"> </w:t>
      </w:r>
      <w:r>
        <w:t xml:space="preserve">-38</w:t>
      </w:r>
      <w:r>
        <w:t xml:space="preserve"> </w:t>
      </w:r>
      <w:r>
        <w:t xml:space="preserve">Industry</w:t>
      </w:r>
      <w:r>
        <w:t xml:space="preserve"> </w:t>
      </w:r>
      <w:r>
        <w:t xml:space="preserve">397</w:t>
      </w:r>
      <w:r>
        <w:t xml:space="preserve"> </w:t>
      </w:r>
      <w:r>
        <w:t xml:space="preserve">410</w:t>
      </w:r>
      <w:r>
        <w:t xml:space="preserve"> </w:t>
      </w:r>
      <w:r>
        <w:t xml:space="preserve">420</w:t>
      </w:r>
      <w:r>
        <w:t xml:space="preserve"> </w:t>
      </w:r>
      <w:r>
        <w:t xml:space="preserve">-16</w:t>
      </w:r>
      <w:r>
        <w:t xml:space="preserve"> </w:t>
      </w:r>
      <w:r>
        <w:t xml:space="preserve">462</w:t>
      </w:r>
      <w:r>
        <w:t xml:space="preserve"> </w:t>
      </w:r>
      <w:r>
        <w:t xml:space="preserve">467</w:t>
      </w:r>
      <w:r>
        <w:t xml:space="preserve"> </w:t>
      </w:r>
      <w:r>
        <w:t xml:space="preserve">470</w:t>
      </w:r>
      <w:r>
        <w:t xml:space="preserve"> </w:t>
      </w:r>
      <w:r>
        <w:t xml:space="preserve">-41</w:t>
      </w:r>
      <w:r>
        <w:t xml:space="preserve"> </w:t>
      </w:r>
      <w:r>
        <w:t xml:space="preserve">Capital-related cost</w:t>
      </w:r>
      <w:r>
        <w:t xml:space="preserve"> </w:t>
      </w:r>
      <w:r>
        <w:t xml:space="preserve">83</w:t>
      </w:r>
      <w:r>
        <w:t xml:space="preserve"> </w:t>
      </w:r>
      <w:r>
        <w:t xml:space="preserve">85</w:t>
      </w:r>
      <w:r>
        <w:t xml:space="preserve"> </w:t>
      </w:r>
      <w:r>
        <w:t xml:space="preserve">87</w:t>
      </w:r>
      <w:r>
        <w:t xml:space="preserve"> </w:t>
      </w:r>
      <w:r>
        <w:t xml:space="preserve">-3</w:t>
      </w:r>
      <w:r>
        <w:t xml:space="preserve"> </w:t>
      </w:r>
      <w:r>
        <w:t xml:space="preserve">114</w:t>
      </w:r>
      <w:r>
        <w:t xml:space="preserve"> </w:t>
      </w:r>
      <w:r>
        <w:t xml:space="preserve">116</w:t>
      </w:r>
      <w:r>
        <w:t xml:space="preserve"> </w:t>
      </w:r>
      <w:r>
        <w:t xml:space="preserve">117</w:t>
      </w:r>
      <w:r>
        <w:t xml:space="preserve"> </w:t>
      </w:r>
      <w:r>
        <w:t xml:space="preserve">-9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314</w:t>
      </w:r>
      <w:r>
        <w:t xml:space="preserve"> </w:t>
      </w:r>
      <w:r>
        <w:t xml:space="preserve">325</w:t>
      </w:r>
      <w:r>
        <w:t xml:space="preserve"> </w:t>
      </w:r>
      <w:r>
        <w:t xml:space="preserve">333</w:t>
      </w:r>
      <w:r>
        <w:t xml:space="preserve"> </w:t>
      </w:r>
      <w:r>
        <w:t xml:space="preserve">-13</w:t>
      </w:r>
      <w:r>
        <w:t xml:space="preserve"> </w:t>
      </w:r>
      <w:r>
        <w:t xml:space="preserve">348</w:t>
      </w:r>
      <w:r>
        <w:t xml:space="preserve"> </w:t>
      </w:r>
      <w:r>
        <w:t xml:space="preserve">350</w:t>
      </w:r>
      <w:r>
        <w:t xml:space="preserve"> </w:t>
      </w:r>
      <w:r>
        <w:t xml:space="preserve">352</w:t>
      </w:r>
      <w:r>
        <w:t xml:space="preserve"> </w:t>
      </w:r>
      <w:r>
        <w:t xml:space="preserve">-31</w:t>
      </w:r>
      <w:r>
        <w:t xml:space="preserve"> </w:t>
      </w:r>
      <w:r>
        <w:t xml:space="preserve">Tertiary**</w:t>
      </w:r>
      <w:r>
        <w:t xml:space="preserve"> </w:t>
      </w:r>
      <w:r>
        <w:t xml:space="preserve">394</w:t>
      </w:r>
      <w:r>
        <w:t xml:space="preserve"> </w:t>
      </w:r>
      <w:r>
        <w:t xml:space="preserve">397</w:t>
      </w:r>
      <w:r>
        <w:t xml:space="preserve"> </w:t>
      </w:r>
      <w:r>
        <w:t xml:space="preserve">399</w:t>
      </w:r>
      <w:r>
        <w:t xml:space="preserve"> </w:t>
      </w:r>
      <w:r>
        <w:t xml:space="preserve">-4</w:t>
      </w:r>
      <w:r>
        <w:t xml:space="preserve"> </w:t>
      </w:r>
      <w:r>
        <w:t xml:space="preserve">419</w:t>
      </w:r>
      <w:r>
        <w:t xml:space="preserve"> </w:t>
      </w:r>
      <w:r>
        <w:t xml:space="preserve">418</w:t>
      </w:r>
      <w:r>
        <w:t xml:space="preserve"> </w:t>
      </w:r>
      <w:r>
        <w:t xml:space="preserve">417</w:t>
      </w:r>
      <w:r>
        <w:t xml:space="preserve"> </w:t>
      </w:r>
      <w:r>
        <w:t xml:space="preserve">-11</w:t>
      </w:r>
      <w:r>
        <w:t xml:space="preserve"> </w:t>
      </w:r>
      <w:r>
        <w:t xml:space="preserve">Capital-related cost*</w:t>
      </w:r>
      <w:r>
        <w:t xml:space="preserve"> </w:t>
      </w:r>
      <w:r>
        <w:t xml:space="preserve">134</w:t>
      </w:r>
      <w:r>
        <w:t xml:space="preserve"> </w:t>
      </w:r>
      <w:r>
        <w:t xml:space="preserve">137</w:t>
      </w:r>
      <w:r>
        <w:t xml:space="preserve"> </w:t>
      </w:r>
      <w:r>
        <w:t xml:space="preserve">141</w:t>
      </w:r>
      <w:r>
        <w:t xml:space="preserve"> </w:t>
      </w:r>
      <w:r>
        <w:t xml:space="preserve">-3</w:t>
      </w:r>
      <w:r>
        <w:t xml:space="preserve"> </w:t>
      </w:r>
      <w:r>
        <w:t xml:space="preserve">150</w:t>
      </w:r>
      <w:r>
        <w:t xml:space="preserve"> </w:t>
      </w:r>
      <w:r>
        <w:t xml:space="preserve">151</w:t>
      </w:r>
      <w:r>
        <w:t xml:space="preserve"> </w:t>
      </w:r>
      <w:r>
        <w:t xml:space="preserve">153</w:t>
      </w:r>
      <w:r>
        <w:t xml:space="preserve"> </w:t>
      </w:r>
      <w:r>
        <w:t xml:space="preserve">-3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260</w:t>
      </w:r>
      <w:r>
        <w:t xml:space="preserve"> </w:t>
      </w:r>
      <w:r>
        <w:t xml:space="preserve">259</w:t>
      </w:r>
      <w:r>
        <w:t xml:space="preserve"> </w:t>
      </w:r>
      <w:r>
        <w:t xml:space="preserve">258</w:t>
      </w:r>
      <w:r>
        <w:t xml:space="preserve"> </w:t>
      </w:r>
      <w:r>
        <w:t xml:space="preserve">-2</w:t>
      </w:r>
      <w:r>
        <w:t xml:space="preserve"> </w:t>
      </w:r>
      <w:r>
        <w:t xml:space="preserve">269</w:t>
      </w:r>
      <w:r>
        <w:t xml:space="preserve"> </w:t>
      </w:r>
      <w:r>
        <w:t xml:space="preserve">267</w:t>
      </w:r>
      <w:r>
        <w:t xml:space="preserve"> </w:t>
      </w:r>
      <w:r>
        <w:t xml:space="preserve">264</w:t>
      </w:r>
      <w:r>
        <w:t xml:space="preserve"> </w:t>
      </w:r>
      <w:r>
        <w:t xml:space="preserve">-8</w:t>
      </w:r>
      <w:r>
        <w:t xml:space="preserve"> </w:t>
      </w:r>
      <w:r>
        <w:t xml:space="preserve">Note: * includes investment in energy efficient renovation of services buildings. ** includes energy-related cost in “services”</w:t>
      </w:r>
      <w:r>
        <w:t xml:space="preserve"> </w:t>
      </w:r>
      <w:r>
        <w:t xml:space="preserve">and in agriculture. “LIFE” compares the cost of the LIFE scenario to the S3 scenario, which both meet the same overall</w:t>
      </w:r>
      <w:r>
        <w:t xml:space="preserve"> </w:t>
      </w:r>
      <w:r>
        <w:t xml:space="preserve">net GHG reductions by 2040.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Table 22 shows the average electricity prices for industry and services in 2040 and 2050.</w:t>
      </w:r>
      <w:r>
        <w:t xml:space="preserve"> </w:t>
      </w:r>
      <w:r>
        <w:t xml:space="preserve">They remain fairly stable in the long run with very similar patterns across scenarios,</w:t>
      </w:r>
      <w:r>
        <w:t xml:space="preserve"> </w:t>
      </w:r>
      <w:r>
        <w:t xml:space="preserve">reflecting electricity production system costs shifting to lower operating costs and higher</w:t>
      </w:r>
      <w:r>
        <w:t xml:space="preserve"> </w:t>
      </w:r>
      <w:r>
        <w:t xml:space="preserve">capital-related costs. Low carbon capacity progressively substitutes CO2-emitting assets</w:t>
      </w:r>
      <w:r>
        <w:t xml:space="preserve"> </w:t>
      </w:r>
      <w:r>
        <w:t xml:space="preserve">driving the system to a more capital-based structure which is less exposed to fossil fuel</w:t>
      </w:r>
      <w:r>
        <w:t xml:space="preserve"> </w:t>
      </w:r>
      <w:r>
        <w:t xml:space="preserve">prices.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Table 22: Average final price of electricity for businesses</w:t>
      </w:r>
      <w:r>
        <w:t xml:space="preserve"> </w:t>
      </w:r>
      <w:r>
        <w:t xml:space="preserve">EUR23/MWh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Industry</w:t>
      </w:r>
      <w:r>
        <w:t xml:space="preserve"> </w:t>
      </w:r>
      <w:r>
        <w:t xml:space="preserve">130-131</w:t>
      </w:r>
      <w:r>
        <w:t xml:space="preserve"> </w:t>
      </w:r>
      <w:r>
        <w:t xml:space="preserve">131-133</w:t>
      </w:r>
      <w:r>
        <w:t xml:space="preserve"> </w:t>
      </w:r>
      <w:r>
        <w:t xml:space="preserve">Services</w:t>
      </w:r>
      <w:r>
        <w:t xml:space="preserve"> </w:t>
      </w:r>
      <w:r>
        <w:t xml:space="preserve">249</w:t>
      </w:r>
      <w:r>
        <w:t xml:space="preserve"> </w:t>
      </w:r>
      <w:r>
        <w:t xml:space="preserve">255</w:t>
      </w:r>
      <w:r>
        <w:t xml:space="preserve"> </w:t>
      </w:r>
      <w:r>
        <w:t xml:space="preserve">Note: The electricity prices shown here reflect the evolution of the average electricity production costs to supply</w:t>
      </w:r>
      <w:r>
        <w:t xml:space="preserve"> </w:t>
      </w:r>
      <w:r>
        <w:t xml:space="preserve">these sectors (i.e., considering their load profile) as well as the taxes applied to the sectors.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Table 23 shows the share of energy related costs in total production costs for the different</w:t>
      </w:r>
      <w:r>
        <w:t xml:space="preserve"> </w:t>
      </w:r>
      <w:r>
        <w:t xml:space="preserve">scenarios for all industries and differentiated between energy intensive and non-energy</w:t>
      </w:r>
      <w:r>
        <w:t xml:space="preserve"> </w:t>
      </w:r>
      <w:r>
        <w:t xml:space="preserve">intensive industries (EIIs and non-EII) (86). For the industrial sector as a whole, the</w:t>
      </w:r>
      <w:r>
        <w:t xml:space="preserve"> </w:t>
      </w:r>
      <w:r>
        <w:t xml:space="preserve">difference across scenarios in 2031-2040 is limited, with higher climate ambition</w:t>
      </w:r>
      <w:r>
        <w:t xml:space="preserve"> </w:t>
      </w:r>
      <w:r>
        <w:t xml:space="preserve">translating into only mildly higher energy related costs.</w:t>
      </w:r>
      <w:r>
        <w:br/>
      </w:r>
      <w:r>
        <w:t xml:space="preserve">Table 23: Share of energy-related costs in total production costs in industry</w:t>
      </w:r>
    </w:p>
    <w:p>
      <w:pPr>
        <w:pStyle w:val="BodyText"/>
      </w:pPr>
      <w:r>
        <w:t xml:space="preserve">2031-2040</w:t>
      </w:r>
      <w:r>
        <w:t xml:space="preserve"> </w:t>
      </w:r>
      <w:r>
        <w:t xml:space="preserve">2041-2050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All</w:t>
      </w:r>
      <w:r>
        <w:br/>
      </w:r>
      <w:r>
        <w:t xml:space="preserve">Energy related cost</w:t>
      </w:r>
      <w:r>
        <w:t xml:space="preserve"> </w:t>
      </w:r>
      <w:r>
        <w:t xml:space="preserve">3.8%</w:t>
      </w:r>
      <w:r>
        <w:t xml:space="preserve"> </w:t>
      </w:r>
      <w:r>
        <w:t xml:space="preserve">3.9%</w:t>
      </w:r>
      <w:r>
        <w:t xml:space="preserve"> </w:t>
      </w:r>
      <w:r>
        <w:t xml:space="preserve">4.0%</w:t>
      </w:r>
      <w:r>
        <w:t xml:space="preserve"> </w:t>
      </w:r>
      <w:r>
        <w:t xml:space="preserve">-0.15pp</w:t>
      </w:r>
      <w:r>
        <w:t xml:space="preserve"> </w:t>
      </w:r>
      <w:r>
        <w:t xml:space="preserve">4.0%</w:t>
      </w:r>
      <w:r>
        <w:t xml:space="preserve"> </w:t>
      </w:r>
      <w:r>
        <w:t xml:space="preserve">-0.34pp</w:t>
      </w:r>
      <w:r>
        <w:t xml:space="preserve"> </w:t>
      </w:r>
      <w:r>
        <w:t xml:space="preserve">fuel expenses</w:t>
      </w:r>
      <w:r>
        <w:t xml:space="preserve"> </w:t>
      </w:r>
      <w:r>
        <w:t xml:space="preserve">3.0%</w:t>
      </w:r>
      <w:r>
        <w:t xml:space="preserve"> </w:t>
      </w:r>
      <w:r>
        <w:t xml:space="preserve">3.1%</w:t>
      </w:r>
      <w:r>
        <w:t xml:space="preserve"> </w:t>
      </w:r>
      <w:r>
        <w:t xml:space="preserve">3.2%</w:t>
      </w:r>
      <w:r>
        <w:t xml:space="preserve"> </w:t>
      </w:r>
      <w:r>
        <w:t xml:space="preserve">-0.12pp</w:t>
      </w:r>
      <w:r>
        <w:t xml:space="preserve"> </w:t>
      </w:r>
      <w:r>
        <w:t xml:space="preserve">3.0%</w:t>
      </w:r>
      <w:r>
        <w:t xml:space="preserve"> </w:t>
      </w:r>
      <w:r>
        <w:t xml:space="preserve">-0.26pp</w:t>
      </w:r>
      <w:r>
        <w:t xml:space="preserve"> </w:t>
      </w:r>
      <w:r>
        <w:t xml:space="preserve">capital and other costs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-0.03pp</w:t>
      </w:r>
      <w:r>
        <w:t xml:space="preserve"> </w:t>
      </w:r>
      <w:r>
        <w:t xml:space="preserve">0.9%</w:t>
      </w:r>
      <w:r>
        <w:t xml:space="preserve"> </w:t>
      </w:r>
      <w:r>
        <w:t xml:space="preserve">-0.08pp</w:t>
      </w:r>
    </w:p>
    <w:p>
      <w:pPr>
        <w:pStyle w:val="BodyText"/>
      </w:pPr>
      <w:r>
        <w:t xml:space="preserve">EIIs</w:t>
      </w:r>
      <w:r>
        <w:t xml:space="preserve"> </w:t>
      </w:r>
      <w:r>
        <w:t xml:space="preserve">Energy related cost</w:t>
      </w:r>
      <w:r>
        <w:t xml:space="preserve"> </w:t>
      </w:r>
      <w:r>
        <w:t xml:space="preserve">10.2%</w:t>
      </w:r>
      <w:r>
        <w:t xml:space="preserve"> </w:t>
      </w:r>
      <w:r>
        <w:t xml:space="preserve">10.7%</w:t>
      </w:r>
      <w:r>
        <w:t xml:space="preserve"> </w:t>
      </w:r>
      <w:r>
        <w:t xml:space="preserve">11.0%</w:t>
      </w:r>
      <w:r>
        <w:t xml:space="preserve"> </w:t>
      </w:r>
      <w:r>
        <w:t xml:space="preserve">-0.55pp</w:t>
      </w:r>
      <w:r>
        <w:t xml:space="preserve"> </w:t>
      </w:r>
      <w:r>
        <w:t xml:space="preserve">11.5%</w:t>
      </w:r>
      <w:r>
        <w:t xml:space="preserve"> </w:t>
      </w:r>
      <w:r>
        <w:t xml:space="preserve">-1.31pp</w:t>
      </w:r>
      <w:r>
        <w:t xml:space="preserve"> </w:t>
      </w:r>
      <w:r>
        <w:t xml:space="preserve">fuel expenses</w:t>
      </w:r>
      <w:r>
        <w:t xml:space="preserve"> </w:t>
      </w:r>
      <w:r>
        <w:t xml:space="preserve">7.9%</w:t>
      </w:r>
      <w:r>
        <w:t xml:space="preserve"> </w:t>
      </w:r>
      <w:r>
        <w:t xml:space="preserve">8.3%</w:t>
      </w:r>
      <w:r>
        <w:t xml:space="preserve"> </w:t>
      </w:r>
      <w:r>
        <w:t xml:space="preserve">8.5%</w:t>
      </w:r>
      <w:r>
        <w:t xml:space="preserve"> </w:t>
      </w:r>
      <w:r>
        <w:t xml:space="preserve">-0.44pp</w:t>
      </w:r>
      <w:r>
        <w:t xml:space="preserve"> </w:t>
      </w:r>
      <w:r>
        <w:t xml:space="preserve">8.6%</w:t>
      </w:r>
      <w:r>
        <w:t xml:space="preserve"> </w:t>
      </w:r>
      <w:r>
        <w:t xml:space="preserve">-1.01pp</w:t>
      </w:r>
      <w:r>
        <w:t xml:space="preserve"> </w:t>
      </w:r>
      <w:r>
        <w:t xml:space="preserve">capital and other costs</w:t>
      </w:r>
      <w:r>
        <w:t xml:space="preserve"> </w:t>
      </w:r>
      <w:r>
        <w:t xml:space="preserve">2.3%</w:t>
      </w:r>
      <w:r>
        <w:t xml:space="preserve"> </w:t>
      </w:r>
      <w:r>
        <w:t xml:space="preserve">2.4%</w:t>
      </w:r>
      <w:r>
        <w:t xml:space="preserve"> </w:t>
      </w:r>
      <w:r>
        <w:t xml:space="preserve">2.5%</w:t>
      </w:r>
      <w:r>
        <w:t xml:space="preserve"> </w:t>
      </w:r>
      <w:r>
        <w:t xml:space="preserve">-0.11pp</w:t>
      </w:r>
      <w:r>
        <w:t xml:space="preserve"> </w:t>
      </w:r>
      <w:r>
        <w:t xml:space="preserve">2.9%</w:t>
      </w:r>
      <w:r>
        <w:t xml:space="preserve"> </w:t>
      </w:r>
      <w:r>
        <w:t xml:space="preserve">-0.30pp</w:t>
      </w:r>
    </w:p>
    <w:p>
      <w:pPr>
        <w:pStyle w:val="BodyText"/>
      </w:pPr>
      <w:r>
        <w:t xml:space="preserve">non-</w:t>
      </w:r>
      <w:r>
        <w:t xml:space="preserve"> </w:t>
      </w:r>
      <w:r>
        <w:t xml:space="preserve">EIIs</w:t>
      </w:r>
      <w:r>
        <w:t xml:space="preserve"> </w:t>
      </w:r>
      <w:r>
        <w:t xml:space="preserve">Energy related cost</w:t>
      </w:r>
      <w:r>
        <w:t xml:space="preserve"> </w:t>
      </w:r>
      <w:r>
        <w:t xml:space="preserve">1.63%</w:t>
      </w:r>
      <w:r>
        <w:t xml:space="preserve"> </w:t>
      </w:r>
      <w:r>
        <w:t xml:space="preserve">1.62%</w:t>
      </w:r>
      <w:r>
        <w:t xml:space="preserve"> </w:t>
      </w:r>
      <w:r>
        <w:t xml:space="preserve">1.63%</w:t>
      </w:r>
      <w:r>
        <w:t xml:space="preserve"> </w:t>
      </w:r>
      <w:r>
        <w:t xml:space="preserve">-0.02pp</w:t>
      </w:r>
      <w:r>
        <w:t xml:space="preserve"> </w:t>
      </w:r>
      <w:r>
        <w:t xml:space="preserve">1.48%</w:t>
      </w:r>
      <w:r>
        <w:t xml:space="preserve"> </w:t>
      </w:r>
      <w:r>
        <w:t xml:space="preserve">0.02pp</w:t>
      </w:r>
      <w:r>
        <w:t xml:space="preserve"> </w:t>
      </w:r>
      <w:r>
        <w:t xml:space="preserve">fuel expenses</w:t>
      </w:r>
      <w:r>
        <w:t xml:space="preserve"> </w:t>
      </w:r>
      <w:r>
        <w:t xml:space="preserve">1.36%</w:t>
      </w:r>
      <w:r>
        <w:t xml:space="preserve"> </w:t>
      </w:r>
      <w:r>
        <w:t xml:space="preserve">1.35%</w:t>
      </w:r>
      <w:r>
        <w:t xml:space="preserve"> </w:t>
      </w:r>
      <w:r>
        <w:t xml:space="preserve">1.36%</w:t>
      </w:r>
      <w:r>
        <w:t xml:space="preserve"> </w:t>
      </w:r>
      <w:r>
        <w:t xml:space="preserve">-0.02pp</w:t>
      </w:r>
      <w:r>
        <w:t xml:space="preserve"> </w:t>
      </w:r>
      <w:r>
        <w:t xml:space="preserve">1.13%</w:t>
      </w:r>
      <w:r>
        <w:t xml:space="preserve"> </w:t>
      </w:r>
      <w:r>
        <w:t xml:space="preserve">-0.02pp</w:t>
      </w:r>
      <w:r>
        <w:t xml:space="preserve"> </w:t>
      </w:r>
      <w:r>
        <w:t xml:space="preserve">capital and other costs</w:t>
      </w:r>
      <w:r>
        <w:t xml:space="preserve"> </w:t>
      </w:r>
      <w:r>
        <w:t xml:space="preserve">0.27%</w:t>
      </w:r>
      <w:r>
        <w:t xml:space="preserve"> </w:t>
      </w:r>
      <w:r>
        <w:t xml:space="preserve">0.27%</w:t>
      </w:r>
      <w:r>
        <w:t xml:space="preserve"> </w:t>
      </w:r>
      <w:r>
        <w:t xml:space="preserve">0.27%</w:t>
      </w:r>
      <w:r>
        <w:t xml:space="preserve"> </w:t>
      </w:r>
      <w:r>
        <w:t xml:space="preserve">0.00pp</w:t>
      </w:r>
      <w:r>
        <w:t xml:space="preserve"> </w:t>
      </w:r>
      <w:r>
        <w:t xml:space="preserve">0.35%</w:t>
      </w:r>
      <w:r>
        <w:t xml:space="preserve"> </w:t>
      </w:r>
      <w:r>
        <w:t xml:space="preserve">-0.01pp</w:t>
      </w:r>
      <w:r>
        <w:t xml:space="preserve"> </w:t>
      </w:r>
      <w:r>
        <w:t xml:space="preserve">Note: “LIFE” compares the cost of the LIFE scenario to the S3 scenario, which both meet the same overall net GHG</w:t>
      </w:r>
      <w:r>
        <w:t xml:space="preserve"> </w:t>
      </w:r>
      <w:r>
        <w:t xml:space="preserve">reductions by 2040.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There is a more marked difference across scenarios for EIIs. For these industries, which</w:t>
      </w:r>
      <w:r>
        <w:t xml:space="preserve"> </w:t>
      </w:r>
      <w:r>
        <w:t xml:space="preserve">account for about 25% of total manufacturing value-added (87), the share of energy-</w:t>
      </w:r>
      <w:r>
        <w:t xml:space="preserve"> </w:t>
      </w:r>
      <w:r>
        <w:t xml:space="preserve">related costs in total production costs is 0.3 percentage points higher (corresponding to a</w:t>
      </w:r>
      <w:r>
        <w:t xml:space="preserve"> </w:t>
      </w:r>
      <w:r>
        <w:t xml:space="preserve">3% increase in energy system costs) in 2031-2040 in S3 than in S2. A lower level of</w:t>
      </w:r>
      <w:r>
        <w:t xml:space="preserve"> </w:t>
      </w:r>
      <w:r>
        <w:t xml:space="preserve">ambition under S1 generates leads to a moderately lower energy system cost by</w:t>
      </w:r>
      <w:r>
        <w:t xml:space="preserve"> </w:t>
      </w:r>
      <w:r>
        <w:t xml:space="preserve">0.5 percentage points of total production costs compared to S2 (corresponding to a 4.4%</w:t>
      </w:r>
      <w:r>
        <w:t xml:space="preserve"> </w:t>
      </w:r>
      <w:r>
        <w:t xml:space="preserve">decrease). The bulk of the difference comes from fuel expenses, while capital costs</w:t>
      </w:r>
      <w:r>
        <w:t xml:space="preserve"> </w:t>
      </w:r>
      <w:r>
        <w:t xml:space="preserve">remain fairly similar across scenarios. Novel low-carbon technologies replace</w:t>
      </w:r>
      <w:r>
        <w:t xml:space="preserve"> </w:t>
      </w:r>
      <w:r>
        <w:t xml:space="preserve">conventional processes, allowing a reduction in the purchase of fossil fuels, while, at the</w:t>
      </w:r>
    </w:p>
    <w:p>
      <w:pPr>
        <w:pStyle w:val="Compact"/>
        <w:numPr>
          <w:ilvl w:val="0"/>
          <w:numId w:val="1035"/>
        </w:numPr>
      </w:pPr>
      <w:r>
        <w:t xml:space="preserve">“EIIs” covers iron &amp; steel, non-ferrous metals, chemicals, non-metallic minerals, paper &amp; pulp.</w:t>
      </w:r>
    </w:p>
    <w:p>
      <w:pPr>
        <w:pStyle w:val="Compact"/>
        <w:numPr>
          <w:ilvl w:val="0"/>
          <w:numId w:val="1035"/>
        </w:numPr>
      </w:pPr>
      <w:r>
        <w:t xml:space="preserve">Estimate based on a wide definition of the EII ecosystem, economy-wide gross value added and gross</w:t>
      </w:r>
      <w:r>
        <w:t xml:space="preserve"> </w:t>
      </w:r>
      <w:r>
        <w:t xml:space="preserve">valued added in the manufacturing sector (NACE 2 code C)</w:t>
      </w:r>
    </w:p>
    <w:p>
      <w:pPr>
        <w:pStyle w:val="FirstParagraph"/>
      </w:pPr>
      <w:r>
        <w:t xml:space="preserve">64</w:t>
      </w:r>
    </w:p>
    <w:p>
      <w:pPr>
        <w:pStyle w:val="BodyText"/>
      </w:pPr>
      <w:r>
        <w:t xml:space="preserve">same time, in scenarios with higher emission reductions by 2040, larger quantities of e-</w:t>
      </w:r>
      <w:r>
        <w:t xml:space="preserve"> </w:t>
      </w:r>
      <w:r>
        <w:t xml:space="preserve">fuels are used. The EU put in place the Carbon Border Adjustment Mechanism</w:t>
      </w:r>
      <w:r>
        <w:t xml:space="preserve"> </w:t>
      </w:r>
      <w:r>
        <w:t xml:space="preserve">(CBAM)(88) to avoid carbon leakage by ensuring that the carbon price of imports in key</w:t>
      </w:r>
      <w:r>
        <w:t xml:space="preserve"> </w:t>
      </w:r>
      <w:r>
        <w:t xml:space="preserve">EIIs is equivalent to that paid by producers in the EU.</w:t>
      </w:r>
      <w:r>
        <w:br/>
      </w:r>
      <w:r>
        <w:t xml:space="preserve">In non-EIIs, which represent the majority of total manufacturing value-added and include</w:t>
      </w:r>
      <w:r>
        <w:t xml:space="preserve"> </w:t>
      </w:r>
      <w:r>
        <w:t xml:space="preserve">many SMEs (see the SME test Annex), the share of energy-related costs in total</w:t>
      </w:r>
      <w:r>
        <w:t xml:space="preserve"> </w:t>
      </w:r>
      <w:r>
        <w:t xml:space="preserve">production costs is much smaller and scenario S3 shows virtually no difference compared</w:t>
      </w:r>
      <w:r>
        <w:t xml:space="preserve"> </w:t>
      </w:r>
      <w:r>
        <w:t xml:space="preserve">with S2 in 2031-2040, even though there is a 1% increase in energy system costs in</w:t>
      </w:r>
      <w:r>
        <w:t xml:space="preserve"> </w:t>
      </w:r>
      <w:r>
        <w:t xml:space="preserve">absolute terms.</w:t>
      </w:r>
      <w:r>
        <w:br/>
      </w:r>
      <w:r>
        <w:t xml:space="preserve">The LIFE setting shows how circular economy, material and energy efficiency actions</w:t>
      </w:r>
      <w:r>
        <w:t xml:space="preserve"> </w:t>
      </w:r>
      <w:r>
        <w:t xml:space="preserve">contribute to limiting the share of energy related costs in EIIs. Among others, decrease of</w:t>
      </w:r>
      <w:r>
        <w:t xml:space="preserve"> </w:t>
      </w:r>
      <w:r>
        <w:t xml:space="preserve">scrap export and increased recycling allows for a larger secondary production share, and</w:t>
      </w:r>
      <w:r>
        <w:t xml:space="preserve"> </w:t>
      </w:r>
      <w:r>
        <w:t xml:space="preserve">significant savings in the more expensive e-fuels necessary for the decarbonisation of</w:t>
      </w:r>
      <w:r>
        <w:t xml:space="preserve"> </w:t>
      </w:r>
      <w:r>
        <w:t xml:space="preserve">primary processes.</w:t>
      </w:r>
      <w:r>
        <w:br/>
      </w:r>
      <w:r>
        <w:t xml:space="preserve">6.4.3.3 Costs related to mitigation of GHG emissions in the LULUCF sector and non-</w:t>
      </w:r>
      <w:r>
        <w:t xml:space="preserve"> </w:t>
      </w:r>
      <w:r>
        <w:t xml:space="preserve">CO2 GHG emissions</w:t>
      </w:r>
      <w:r>
        <w:br/>
      </w:r>
      <w:r>
        <w:t xml:space="preserve">Table 24 provides an overview of the average annual costs in the LULUCF sector and for</w:t>
      </w:r>
      <w:r>
        <w:t xml:space="preserve"> </w:t>
      </w:r>
      <w:r>
        <w:t xml:space="preserve">non-CO2 emissions in the different scenarios. The costs are related to the implementation</w:t>
      </w:r>
      <w:r>
        <w:t xml:space="preserve"> </w:t>
      </w:r>
      <w:r>
        <w:t xml:space="preserve">of abatement technologies or nature-based removal solutions. The technical available</w:t>
      </w:r>
      <w:r>
        <w:t xml:space="preserve"> </w:t>
      </w:r>
      <w:r>
        <w:t xml:space="preserve">potential for nature-based removals and mitigation measures differs between the two</w:t>
      </w:r>
      <w:r>
        <w:t xml:space="preserve"> </w:t>
      </w:r>
      <w:r>
        <w:t xml:space="preserve">decades, leading to varying annual costs across decades, as the entire potential up to the</w:t>
      </w:r>
      <w:r>
        <w:t xml:space="preserve"> </w:t>
      </w:r>
      <w:r>
        <w:t xml:space="preserve">respective maximum carbon value is implemented.</w:t>
      </w:r>
      <w:r>
        <w:br/>
      </w:r>
      <w:r>
        <w:t xml:space="preserve">Table 24: Costs related to mitigation of GHG emissions in the LULUCF sector and non-</w:t>
      </w:r>
      <w:r>
        <w:t xml:space="preserve"> </w:t>
      </w:r>
      <w:r>
        <w:t xml:space="preserve">CO2 GHG emissions by decades</w:t>
      </w:r>
      <w:r>
        <w:t xml:space="preserve"> </w:t>
      </w:r>
      <w:r>
        <w:t xml:space="preserve">Average annual costs</w:t>
      </w:r>
      <w:r>
        <w:br/>
      </w:r>
      <w:r>
        <w:t xml:space="preserve">[EUR 2023 billion/year]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Mitigation of LULUCF GHG</w:t>
      </w:r>
      <w:r>
        <w:t xml:space="preserve"> </w:t>
      </w:r>
      <w:r>
        <w:t xml:space="preserve">emissions</w:t>
      </w:r>
      <w:r>
        <w:t xml:space="preserve"> </w:t>
      </w:r>
      <w:r>
        <w:t xml:space="preserve">1.1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1.6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1.3</w:t>
      </w:r>
      <w:r>
        <w:t xml:space="preserve"> </w:t>
      </w:r>
      <w:r>
        <w:t xml:space="preserve">2.7</w:t>
      </w:r>
      <w:r>
        <w:t xml:space="preserve"> </w:t>
      </w:r>
      <w:r>
        <w:t xml:space="preserve">2.7</w:t>
      </w:r>
      <w:r>
        <w:t xml:space="preserve"> </w:t>
      </w:r>
      <w:r>
        <w:t xml:space="preserve">Mitigation of non-CO2 GHG</w:t>
      </w:r>
      <w:r>
        <w:t xml:space="preserve"> </w:t>
      </w:r>
      <w:r>
        <w:t xml:space="preserve">emissions</w:t>
      </w:r>
      <w:r>
        <w:t xml:space="preserve"> </w:t>
      </w:r>
      <w:r>
        <w:t xml:space="preserve">0.0</w:t>
      </w:r>
      <w:r>
        <w:t xml:space="preserve"> </w:t>
      </w:r>
      <w:r>
        <w:t xml:space="preserve">0.7</w:t>
      </w:r>
      <w:r>
        <w:t xml:space="preserve"> </w:t>
      </w:r>
      <w:r>
        <w:t xml:space="preserve">3.4</w:t>
      </w:r>
      <w:r>
        <w:t xml:space="preserve"> </w:t>
      </w:r>
      <w:r>
        <w:t xml:space="preserve">3.9</w:t>
      </w:r>
      <w:r>
        <w:t xml:space="preserve"> </w:t>
      </w:r>
      <w:r>
        <w:t xml:space="preserve">4.1</w:t>
      </w:r>
      <w:r>
        <w:t xml:space="preserve"> </w:t>
      </w:r>
      <w:r>
        <w:t xml:space="preserve">5.0</w:t>
      </w:r>
      <w:r>
        <w:t xml:space="preserve"> </w:t>
      </w:r>
      <w:r>
        <w:t xml:space="preserve">2.0</w:t>
      </w:r>
      <w:r>
        <w:t xml:space="preserve"> </w:t>
      </w:r>
      <w:r>
        <w:t xml:space="preserve">2.4</w:t>
      </w:r>
      <w:r>
        <w:t xml:space="preserve"> </w:t>
      </w:r>
      <w:r>
        <w:t xml:space="preserve">4.2</w:t>
      </w:r>
      <w:r>
        <w:t xml:space="preserve"> </w:t>
      </w:r>
      <w:r>
        <w:t xml:space="preserve">- of which in the agriculture</w:t>
      </w:r>
      <w:r>
        <w:t xml:space="preserve"> </w:t>
      </w:r>
      <w:r>
        <w:t xml:space="preserve">sector</w:t>
      </w:r>
      <w:r>
        <w:t xml:space="preserve"> </w:t>
      </w:r>
      <w:r>
        <w:t xml:space="preserve">0.0</w:t>
      </w:r>
      <w:r>
        <w:t xml:space="preserve"> </w:t>
      </w:r>
      <w:r>
        <w:t xml:space="preserve">0.4</w:t>
      </w:r>
      <w:r>
        <w:t xml:space="preserve"> </w:t>
      </w:r>
      <w:r>
        <w:t xml:space="preserve">3.2</w:t>
      </w:r>
      <w:r>
        <w:t xml:space="preserve"> </w:t>
      </w:r>
      <w:r>
        <w:t xml:space="preserve">3.8</w:t>
      </w:r>
      <w:r>
        <w:t xml:space="preserve"> </w:t>
      </w:r>
      <w:r>
        <w:t xml:space="preserve">3.9</w:t>
      </w:r>
      <w:r>
        <w:t xml:space="preserve"> </w:t>
      </w:r>
      <w:r>
        <w:t xml:space="preserve">4.8</w:t>
      </w:r>
      <w:r>
        <w:t xml:space="preserve"> </w:t>
      </w:r>
      <w:r>
        <w:t xml:space="preserve">1.9</w:t>
      </w:r>
      <w:r>
        <w:t xml:space="preserve"> </w:t>
      </w:r>
      <w:r>
        <w:t xml:space="preserve">2.2</w:t>
      </w:r>
      <w:r>
        <w:t xml:space="preserve"> </w:t>
      </w:r>
      <w:r>
        <w:t xml:space="preserve">4.0</w:t>
      </w:r>
      <w:r>
        <w:t xml:space="preserve"> </w:t>
      </w:r>
      <w:r>
        <w:t xml:space="preserve">Source: GLOBIOM, GAINS.</w:t>
      </w:r>
      <w:r>
        <w:t xml:space="preserve"> </w:t>
      </w:r>
      <w:r>
        <w:t xml:space="preserve">S1 does not assume specific LULUCF and non-CO2 policies in 2040, showing smaller</w:t>
      </w:r>
      <w:r>
        <w:t xml:space="preserve"> </w:t>
      </w:r>
      <w:r>
        <w:t xml:space="preserve">mitigation costs for the 2031-2040 period. Both sectors have to contribute to meeting</w:t>
      </w:r>
      <w:r>
        <w:t xml:space="preserve"> </w:t>
      </w:r>
      <w:r>
        <w:t xml:space="preserve">climate neutrality in 2050 also in that scenario, which entails some mitigation action and</w:t>
      </w:r>
      <w:r>
        <w:t xml:space="preserve"> </w:t>
      </w:r>
      <w:r>
        <w:t xml:space="preserve">associated costs in the last decade 2041-2050.</w:t>
      </w:r>
    </w:p>
    <w:p>
      <w:pPr>
        <w:pStyle w:val="Compact"/>
        <w:numPr>
          <w:ilvl w:val="0"/>
          <w:numId w:val="1036"/>
        </w:numPr>
      </w:pPr>
      <w:r>
        <w:t xml:space="preserve">CBAM covers cement, iron and steel, aluminium, fertilisers, as well as electricity and hydrogen.</w:t>
      </w:r>
    </w:p>
    <w:p>
      <w:pPr>
        <w:pStyle w:val="FirstParagraph"/>
      </w:pPr>
      <w:r>
        <w:t xml:space="preserve">65</w:t>
      </w:r>
    </w:p>
    <w:p>
      <w:pPr>
        <w:pStyle w:val="BodyText"/>
      </w:pPr>
      <w:r>
        <w:t xml:space="preserve">For LULUCF, additional nature-based removals such as improved forest management,</w:t>
      </w:r>
      <w:r>
        <w:t xml:space="preserve"> </w:t>
      </w:r>
      <w:r>
        <w:t xml:space="preserve">afforestation or rewetting are applied in S2 and S3 by 2040. The associated average</w:t>
      </w:r>
      <w:r>
        <w:t xml:space="preserve"> </w:t>
      </w:r>
      <w:r>
        <w:t xml:space="preserve">annual cost in these scenarios amount to EUR 2.5 billion in 2031-2040 and EUR 2.8</w:t>
      </w:r>
      <w:r>
        <w:t xml:space="preserve"> </w:t>
      </w:r>
      <w:r>
        <w:t xml:space="preserve">billion in 2041-2050.</w:t>
      </w:r>
      <w:r>
        <w:br/>
      </w:r>
      <w:r>
        <w:t xml:space="preserve">The average annual costs associated to mitigation of non-CO2 emissions over the 2031-</w:t>
      </w:r>
      <w:r>
        <w:t xml:space="preserve"> </w:t>
      </w:r>
      <w:r>
        <w:t xml:space="preserve">2040 period are around EUR 0.7 billion per year in S2 and around EUR 3.4 billion per</w:t>
      </w:r>
      <w:r>
        <w:t xml:space="preserve"> </w:t>
      </w:r>
      <w:r>
        <w:t xml:space="preserve">year in S3. Over the 2041-2050 period, the average annual costs are higher than in the</w:t>
      </w:r>
      <w:r>
        <w:t xml:space="preserve"> </w:t>
      </w:r>
      <w:r>
        <w:t xml:space="preserve">previous decade: EUR 3.9 billion in S1, EUR 4.1 billion in S2, and EUR 5 billion in S3.</w:t>
      </w:r>
      <w:r>
        <w:t xml:space="preserve"> </w:t>
      </w:r>
      <w:r>
        <w:t xml:space="preserve">Most of the annual mitigation costs take place in the agriculture sector, which represents</w:t>
      </w:r>
      <w:r>
        <w:t xml:space="preserve"> </w:t>
      </w:r>
      <w:r>
        <w:t xml:space="preserve">the bulk of the unabated non-CO2 GHG emissions post-2030. The sectoral mitigation</w:t>
      </w:r>
      <w:r>
        <w:t xml:space="preserve"> </w:t>
      </w:r>
      <w:r>
        <w:t xml:space="preserve">costs of the sector are reflected in the macro-economic analysis presented in section</w:t>
      </w:r>
      <w:r>
        <w:t xml:space="preserve"> </w:t>
      </w:r>
      <w:r>
        <w:t xml:space="preserve">6.4.1.</w:t>
      </w:r>
      <w:r>
        <w:t xml:space="preserve"> </w:t>
      </w:r>
      <w:r>
        <w:t xml:space="preserve">6.4.4 Social impacts and just transition</w:t>
      </w:r>
      <w:r>
        <w:t xml:space="preserve"> </w:t>
      </w:r>
      <w:r>
        <w:t xml:space="preserve">6.4.4.1 Fuel expenses, energy and transport poverty</w:t>
      </w:r>
      <w:r>
        <w:t xml:space="preserve"> </w:t>
      </w:r>
      <w:r>
        <w:t xml:space="preserve">Energy-related expenses represent a significant share of total expenditure for a large</w:t>
      </w:r>
      <w:r>
        <w:t xml:space="preserve"> </w:t>
      </w:r>
      <w:r>
        <w:t xml:space="preserve">proportion of EU households, in particular middle- and low-income households. The</w:t>
      </w:r>
      <w:r>
        <w:t xml:space="preserve"> </w:t>
      </w:r>
      <w:r>
        <w:t xml:space="preserve">recent increase in energy prices has had strong negative social impacts and increased the</w:t>
      </w:r>
      <w:r>
        <w:t xml:space="preserve"> </w:t>
      </w:r>
      <w:r>
        <w:t xml:space="preserve">rates of energy (and transport) poverty. Assessing the implications of this initiative on</w:t>
      </w:r>
      <w:r>
        <w:t xml:space="preserve"> </w:t>
      </w:r>
      <w:r>
        <w:t xml:space="preserve">energy system costs for households is therefore of critical importance.</w:t>
      </w:r>
      <w:r>
        <w:t xml:space="preserve"> </w:t>
      </w:r>
      <w:r>
        <w:t xml:space="preserve">The following assessment is based on modelling results, reflecting the current legislation,</w:t>
      </w:r>
      <w:r>
        <w:t xml:space="preserve"> </w:t>
      </w:r>
      <w:r>
        <w:t xml:space="preserve">and understanding of the possible evolution of technologies and costs. This assessment</w:t>
      </w:r>
      <w:r>
        <w:t xml:space="preserve"> </w:t>
      </w:r>
      <w:r>
        <w:t xml:space="preserve">will feed into the development of the future policy framework and support measures in</w:t>
      </w:r>
      <w:r>
        <w:t xml:space="preserve"> </w:t>
      </w:r>
      <w:r>
        <w:t xml:space="preserve">the coming years to meet the 2040 target, which will determine the actual costs and how</w:t>
      </w:r>
      <w:r>
        <w:t xml:space="preserve"> </w:t>
      </w:r>
      <w:r>
        <w:t xml:space="preserve">they impact individuals, regions, and society.</w:t>
      </w:r>
      <w:r>
        <w:t xml:space="preserve"> </w:t>
      </w:r>
      <w:r>
        <w:t xml:space="preserve">The cost structure is characterised by an increase of capital-related costs due to the</w:t>
      </w:r>
      <w:r>
        <w:t xml:space="preserve"> </w:t>
      </w:r>
      <w:r>
        <w:t xml:space="preserve">purchase of more efficient appliances and the investment for enhancing the insulation of</w:t>
      </w:r>
      <w:r>
        <w:t xml:space="preserve"> </w:t>
      </w:r>
      <w:r>
        <w:t xml:space="preserve">dwellings. This allows avoiding an increase in energy purchases despite the assumed</w:t>
      </w:r>
      <w:r>
        <w:t xml:space="preserve"> </w:t>
      </w:r>
      <w:r>
        <w:t xml:space="preserve">increase in international fossil fuels prices over time, the impact of carbon pricing and the</w:t>
      </w:r>
      <w:r>
        <w:t xml:space="preserve"> </w:t>
      </w:r>
      <w:r>
        <w:t xml:space="preserve">diffusion of new non-fossil fuels.</w:t>
      </w:r>
      <w:r>
        <w:br/>
      </w:r>
      <w:r>
        <w:t xml:space="preserve">The relative importance of energy-related costs for households in private consumption is</w:t>
      </w:r>
      <w:r>
        <w:t xml:space="preserve"> </w:t>
      </w:r>
      <w:r>
        <w:t xml:space="preserve">projected to decline in 2031-2040 compared to 2021-2030, due to the decreasing</w:t>
      </w:r>
      <w:r>
        <w:t xml:space="preserve"> </w:t>
      </w:r>
      <w:r>
        <w:t xml:space="preserve">importance of fuel purchases in all scenarios. Early action in S3, driven by larger direct</w:t>
      </w:r>
      <w:r>
        <w:t xml:space="preserve"> </w:t>
      </w:r>
      <w:r>
        <w:t xml:space="preserve">efficiency investments (see Section 6.4.2), also translates into a slightly higher share of</w:t>
      </w:r>
      <w:r>
        <w:t xml:space="preserve"> </w:t>
      </w:r>
      <w:r>
        <w:t xml:space="preserve">energy-related costs in S3. It then represents 8.2% of private consumption as opposed to</w:t>
      </w:r>
      <w:r>
        <w:t xml:space="preserve"> </w:t>
      </w:r>
      <w:r>
        <w:t xml:space="preserve">8.0% in S1 and 8.1% in S2 (see Table 25). Energy purchases and electricity price are</w:t>
      </w:r>
      <w:r>
        <w:t xml:space="preserve"> </w:t>
      </w:r>
      <w:r>
        <w:t xml:space="preserve">projected to be very similar across scenarios.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Table 25: Average annual energy system costs as % of private consumption and average</w:t>
      </w:r>
      <w:r>
        <w:t xml:space="preserve"> </w:t>
      </w:r>
      <w:r>
        <w:t xml:space="preserve">final price of electricity for households in the residential sector</w:t>
      </w:r>
      <w:r>
        <w:t xml:space="preserve"> </w:t>
      </w:r>
      <w:r>
        <w:t xml:space="preserve">Average Annual Energy System Cost</w:t>
      </w:r>
      <w:r>
        <w:t xml:space="preserve"> </w:t>
      </w:r>
      <w:r>
        <w:t xml:space="preserve">EU27 - Average across all</w:t>
      </w:r>
      <w:r>
        <w:t xml:space="preserve"> </w:t>
      </w:r>
      <w:r>
        <w:t xml:space="preserve">income categories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Total (% of private consumption)</w:t>
      </w:r>
      <w:r>
        <w:t xml:space="preserve"> </w:t>
      </w:r>
      <w:r>
        <w:t xml:space="preserve">8.0%</w:t>
      </w:r>
      <w:r>
        <w:t xml:space="preserve"> </w:t>
      </w:r>
      <w:r>
        <w:t xml:space="preserve">8.1%</w:t>
      </w:r>
      <w:r>
        <w:t xml:space="preserve"> </w:t>
      </w:r>
      <w:r>
        <w:t xml:space="preserve">8.2%</w:t>
      </w:r>
      <w:r>
        <w:t xml:space="preserve"> </w:t>
      </w:r>
      <w:r>
        <w:t xml:space="preserve">-0.12pp</w:t>
      </w:r>
      <w:r>
        <w:t xml:space="preserve"> </w:t>
      </w:r>
      <w:r>
        <w:t xml:space="preserve">7.1%</w:t>
      </w:r>
      <w:r>
        <w:t xml:space="preserve"> </w:t>
      </w:r>
      <w:r>
        <w:t xml:space="preserve">7.1%</w:t>
      </w:r>
      <w:r>
        <w:t xml:space="preserve"> </w:t>
      </w:r>
      <w:r>
        <w:t xml:space="preserve">7.1%</w:t>
      </w:r>
      <w:r>
        <w:t xml:space="preserve"> </w:t>
      </w:r>
      <w:r>
        <w:t xml:space="preserve">-0.14pp</w:t>
      </w:r>
      <w:r>
        <w:t xml:space="preserve"> </w:t>
      </w:r>
      <w:r>
        <w:t xml:space="preserve">Capital related costs*</w:t>
      </w:r>
      <w:r>
        <w:t xml:space="preserve"> </w:t>
      </w:r>
      <w:r>
        <w:t xml:space="preserve">4.5%</w:t>
      </w:r>
      <w:r>
        <w:t xml:space="preserve"> </w:t>
      </w:r>
      <w:r>
        <w:t xml:space="preserve">4.6%</w:t>
      </w:r>
      <w:r>
        <w:t xml:space="preserve"> </w:t>
      </w:r>
      <w:r>
        <w:t xml:space="preserve">4.7%</w:t>
      </w:r>
      <w:r>
        <w:t xml:space="preserve"> </w:t>
      </w:r>
      <w:r>
        <w:t xml:space="preserve">-0.08pp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-0.01pp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3.4%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-0.04pp</w:t>
      </w:r>
      <w:r>
        <w:t xml:space="preserve"> </w:t>
      </w:r>
      <w:r>
        <w:t xml:space="preserve">3.0%</w:t>
      </w:r>
      <w:r>
        <w:t xml:space="preserve"> </w:t>
      </w:r>
      <w:r>
        <w:t xml:space="preserve">3.0%</w:t>
      </w:r>
      <w:r>
        <w:t xml:space="preserve"> </w:t>
      </w:r>
      <w:r>
        <w:t xml:space="preserve">3.0%</w:t>
      </w:r>
      <w:r>
        <w:t xml:space="preserve"> </w:t>
      </w:r>
      <w:r>
        <w:t xml:space="preserve">-0.13pp</w:t>
      </w:r>
      <w:r>
        <w:t xml:space="preserve"> </w:t>
      </w:r>
      <w:r>
        <w:t xml:space="preserve">EU27 - Low Income</w:t>
      </w:r>
      <w:r>
        <w:t xml:space="preserve"> </w:t>
      </w:r>
      <w:r>
        <w:t xml:space="preserve">Categories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Total (% of private consumption)</w:t>
      </w:r>
      <w:r>
        <w:t xml:space="preserve"> </w:t>
      </w:r>
      <w:r>
        <w:t xml:space="preserve">14.0%</w:t>
      </w:r>
      <w:r>
        <w:t xml:space="preserve"> </w:t>
      </w:r>
      <w:r>
        <w:t xml:space="preserve">14.3%</w:t>
      </w:r>
      <w:r>
        <w:t xml:space="preserve"> </w:t>
      </w:r>
      <w:r>
        <w:t xml:space="preserve">14.4%</w:t>
      </w:r>
      <w:r>
        <w:t xml:space="preserve"> </w:t>
      </w:r>
      <w:r>
        <w:t xml:space="preserve">-0.20pp</w:t>
      </w:r>
      <w:r>
        <w:t xml:space="preserve"> </w:t>
      </w:r>
      <w:r>
        <w:t xml:space="preserve">12.0%</w:t>
      </w:r>
      <w:r>
        <w:t xml:space="preserve"> </w:t>
      </w:r>
      <w:r>
        <w:t xml:space="preserve">12.0%</w:t>
      </w:r>
      <w:r>
        <w:t xml:space="preserve"> </w:t>
      </w:r>
      <w:r>
        <w:t xml:space="preserve">12.1%</w:t>
      </w:r>
      <w:r>
        <w:t xml:space="preserve"> </w:t>
      </w:r>
      <w:r>
        <w:t xml:space="preserve">-0.25pp</w:t>
      </w:r>
      <w:r>
        <w:t xml:space="preserve"> </w:t>
      </w:r>
      <w:r>
        <w:t xml:space="preserve">Capital related costs</w:t>
      </w:r>
      <w:r>
        <w:t xml:space="preserve"> </w:t>
      </w:r>
      <w:r>
        <w:t xml:space="preserve">7.8%</w:t>
      </w:r>
      <w:r>
        <w:t xml:space="preserve"> </w:t>
      </w:r>
      <w:r>
        <w:t xml:space="preserve">7.9%</w:t>
      </w:r>
      <w:r>
        <w:t xml:space="preserve"> </w:t>
      </w:r>
      <w:r>
        <w:t xml:space="preserve">8.1%</w:t>
      </w:r>
      <w:r>
        <w:t xml:space="preserve"> </w:t>
      </w:r>
      <w:r>
        <w:t xml:space="preserve">-0.13pp</w:t>
      </w:r>
      <w:r>
        <w:t xml:space="preserve"> </w:t>
      </w:r>
      <w:r>
        <w:t xml:space="preserve">6.5%</w:t>
      </w:r>
      <w:r>
        <w:t xml:space="preserve"> </w:t>
      </w:r>
      <w:r>
        <w:t xml:space="preserve">6.5%</w:t>
      </w:r>
      <w:r>
        <w:t xml:space="preserve"> </w:t>
      </w:r>
      <w:r>
        <w:t xml:space="preserve">6.6%</w:t>
      </w:r>
      <w:r>
        <w:t xml:space="preserve"> </w:t>
      </w:r>
      <w:r>
        <w:t xml:space="preserve">-0.01pp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6.3%</w:t>
      </w:r>
      <w:r>
        <w:t xml:space="preserve"> </w:t>
      </w:r>
      <w:r>
        <w:t xml:space="preserve">6.3%</w:t>
      </w:r>
      <w:r>
        <w:t xml:space="preserve"> </w:t>
      </w:r>
      <w:r>
        <w:t xml:space="preserve">6.3%</w:t>
      </w:r>
      <w:r>
        <w:t xml:space="preserve"> </w:t>
      </w:r>
      <w:r>
        <w:t xml:space="preserve">-0.07pp</w:t>
      </w:r>
      <w:r>
        <w:t xml:space="preserve"> </w:t>
      </w:r>
      <w:r>
        <w:t xml:space="preserve">5.5%</w:t>
      </w:r>
      <w:r>
        <w:t xml:space="preserve"> </w:t>
      </w:r>
      <w:r>
        <w:t xml:space="preserve">5.5%</w:t>
      </w:r>
      <w:r>
        <w:t xml:space="preserve"> </w:t>
      </w:r>
      <w:r>
        <w:t xml:space="preserve">5.4%</w:t>
      </w:r>
      <w:r>
        <w:t xml:space="preserve"> </w:t>
      </w:r>
      <w:r>
        <w:t xml:space="preserve">-0.25pp</w:t>
      </w:r>
      <w:r>
        <w:t xml:space="preserve"> </w:t>
      </w:r>
      <w:r>
        <w:t xml:space="preserve">Electricity Price (EUR/MWh)**</w:t>
      </w:r>
      <w:r>
        <w:t xml:space="preserve"> </w:t>
      </w:r>
      <w:r>
        <w:t xml:space="preserve">Residential</w:t>
      </w:r>
      <w:r>
        <w:t xml:space="preserve"> </w:t>
      </w:r>
      <w:r>
        <w:t xml:space="preserve">288</w:t>
      </w:r>
      <w:r>
        <w:t xml:space="preserve"> </w:t>
      </w:r>
      <w:r>
        <w:t xml:space="preserve">288</w:t>
      </w:r>
      <w:r>
        <w:t xml:space="preserve"> </w:t>
      </w:r>
      <w:r>
        <w:t xml:space="preserve">288</w:t>
      </w:r>
      <w:r>
        <w:t xml:space="preserve"> </w:t>
      </w:r>
      <w:r>
        <w:t xml:space="preserve">-0</w:t>
      </w:r>
      <w:r>
        <w:t xml:space="preserve"> </w:t>
      </w:r>
      <w:r>
        <w:t xml:space="preserve">289</w:t>
      </w:r>
      <w:r>
        <w:t xml:space="preserve"> </w:t>
      </w:r>
      <w:r>
        <w:t xml:space="preserve">290</w:t>
      </w:r>
      <w:r>
        <w:t xml:space="preserve"> </w:t>
      </w:r>
      <w:r>
        <w:t xml:space="preserve">290</w:t>
      </w:r>
      <w:r>
        <w:t xml:space="preserve"> </w:t>
      </w:r>
      <w:r>
        <w:t xml:space="preserve">-0</w:t>
      </w:r>
      <w:r>
        <w:t xml:space="preserve"> </w:t>
      </w:r>
      <w:r>
        <w:t xml:space="preserve">Note: * includes purchase of appliances and cost of renovation. “LIFE” compares the cost of the LIFE scenario</w:t>
      </w:r>
      <w:r>
        <w:t xml:space="preserve"> </w:t>
      </w:r>
      <w:r>
        <w:t xml:space="preserve">to the S3 scenario, which both meet the same overall net GHG reductions by 2040. ** Average final price of</w:t>
      </w:r>
      <w:r>
        <w:t xml:space="preserve"> </w:t>
      </w:r>
      <w:r>
        <w:t xml:space="preserve">electricity. The electricity price shown here reflects the evolution of the average electricity production cost to</w:t>
      </w:r>
      <w:r>
        <w:t xml:space="preserve"> </w:t>
      </w:r>
      <w:r>
        <w:t xml:space="preserve">supply the sector (i.e., considering its load profile) as well as the taxes applied to the sector.</w:t>
      </w:r>
    </w:p>
    <w:p>
      <w:pPr>
        <w:pStyle w:val="BodyText"/>
      </w:pPr>
      <w:r>
        <w:t xml:space="preserve">Source: PRIMES.</w:t>
      </w:r>
      <w:r>
        <w:t xml:space="preserve"> </w:t>
      </w:r>
      <w:r>
        <w:t xml:space="preserve">Modelling projections also show that capital related cost (including the purchase of</w:t>
      </w:r>
      <w:r>
        <w:t xml:space="preserve"> </w:t>
      </w:r>
      <w:r>
        <w:t xml:space="preserve">appliances and cost of renovation) as a share of private consumption are higher for low-</w:t>
      </w:r>
      <w:r>
        <w:t xml:space="preserve"> </w:t>
      </w:r>
      <w:r>
        <w:t xml:space="preserve">income households than for the average household (8.1% in low-income households</w:t>
      </w:r>
      <w:r>
        <w:t xml:space="preserve"> </w:t>
      </w:r>
      <w:r>
        <w:t xml:space="preserve">compared to 4.7% on average over 2031-2040 in scenario S3, which is a relative increase</w:t>
      </w:r>
      <w:r>
        <w:t xml:space="preserve"> </w:t>
      </w:r>
      <w:r>
        <w:t xml:space="preserve">with respect to S2 of 0.13 percentage points in low-income households and</w:t>
      </w:r>
      <w:r>
        <w:t xml:space="preserve"> </w:t>
      </w:r>
      <w:r>
        <w:t xml:space="preserve">0.07 percentage points on average). Low-income categories often live in relatively less</w:t>
      </w:r>
      <w:r>
        <w:t xml:space="preserve"> </w:t>
      </w:r>
      <w:r>
        <w:t xml:space="preserve">well insulated homes, in most need of renovation. For low-income households, the</w:t>
      </w:r>
      <w:r>
        <w:t xml:space="preserve"> </w:t>
      </w:r>
      <w:r>
        <w:t xml:space="preserve">capital-related costs as a share of private consumption are 0.2 percentage point higher in</w:t>
      </w:r>
      <w:r>
        <w:t xml:space="preserve"> </w:t>
      </w:r>
      <w:r>
        <w:t xml:space="preserve">S3 than in S2 for 2031-2040. Specific social measures are needed to ensure a just and fair</w:t>
      </w:r>
      <w:r>
        <w:t xml:space="preserve"> </w:t>
      </w:r>
      <w:r>
        <w:t xml:space="preserve">transition (see Annex 9).</w:t>
      </w:r>
      <w:r>
        <w:br/>
      </w:r>
      <w:r>
        <w:t xml:space="preserve">Table 26: Average annual energy system costs of road transport (% of total private</w:t>
      </w:r>
      <w:r>
        <w:t xml:space="preserve"> </w:t>
      </w:r>
      <w:r>
        <w:t xml:space="preserve">consumption), and average final price of electricity in private transport</w:t>
      </w:r>
      <w:r>
        <w:br/>
      </w:r>
      <w:r>
        <w:t xml:space="preserve">Average Annual Energy System Cost</w:t>
      </w:r>
      <w:r>
        <w:t xml:space="preserve"> </w:t>
      </w:r>
      <w:r>
        <w:t xml:space="preserve">EU27 - Average across all income</w:t>
      </w:r>
      <w:r>
        <w:t xml:space="preserve"> </w:t>
      </w:r>
      <w:r>
        <w:t xml:space="preserve">categories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ΔLIFE</w:t>
      </w:r>
      <w:r>
        <w:t xml:space="preserve"> </w:t>
      </w:r>
      <w:r>
        <w:t xml:space="preserve">Total</w:t>
      </w:r>
      <w:r>
        <w:t xml:space="preserve"> </w:t>
      </w:r>
      <w:r>
        <w:t xml:space="preserve">3.7%</w:t>
      </w:r>
      <w:r>
        <w:t xml:space="preserve"> </w:t>
      </w:r>
      <w:r>
        <w:t xml:space="preserve">3.8%</w:t>
      </w:r>
      <w:r>
        <w:t xml:space="preserve"> </w:t>
      </w:r>
      <w:r>
        <w:t xml:space="preserve">3.8%</w:t>
      </w:r>
      <w:r>
        <w:t xml:space="preserve"> </w:t>
      </w:r>
      <w:r>
        <w:t xml:space="preserve">-0.19pp</w:t>
      </w:r>
      <w:r>
        <w:t xml:space="preserve"> </w:t>
      </w:r>
      <w:r>
        <w:t xml:space="preserve">2.3%</w:t>
      </w:r>
      <w:r>
        <w:t xml:space="preserve"> </w:t>
      </w:r>
      <w:r>
        <w:t xml:space="preserve">2.3%</w:t>
      </w:r>
      <w:r>
        <w:t xml:space="preserve"> </w:t>
      </w:r>
      <w:r>
        <w:t xml:space="preserve">2.3%</w:t>
      </w:r>
      <w:r>
        <w:t xml:space="preserve"> </w:t>
      </w:r>
      <w:r>
        <w:t xml:space="preserve">-0.23pp</w:t>
      </w:r>
      <w:r>
        <w:t xml:space="preserve"> </w:t>
      </w:r>
      <w:r>
        <w:t xml:space="preserve">Capital related costs*</w:t>
      </w:r>
      <w:r>
        <w:t xml:space="preserve"> </w:t>
      </w:r>
      <w:r>
        <w:t xml:space="preserve">1.3%</w:t>
      </w:r>
      <w:r>
        <w:t xml:space="preserve"> </w:t>
      </w:r>
      <w:r>
        <w:t xml:space="preserve">1.2%</w:t>
      </w:r>
      <w:r>
        <w:t xml:space="preserve"> </w:t>
      </w:r>
      <w:r>
        <w:t xml:space="preserve">1.2%</w:t>
      </w:r>
      <w:r>
        <w:t xml:space="preserve"> </w:t>
      </w:r>
      <w:r>
        <w:t xml:space="preserve">-0.04pp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-0.10pp</w:t>
      </w:r>
      <w:r>
        <w:t xml:space="preserve"> </w:t>
      </w:r>
      <w:r>
        <w:t xml:space="preserve">Energy purchases</w:t>
      </w:r>
      <w:r>
        <w:t xml:space="preserve"> </w:t>
      </w:r>
      <w:r>
        <w:t xml:space="preserve">2.4%</w:t>
      </w:r>
      <w:r>
        <w:t xml:space="preserve"> </w:t>
      </w:r>
      <w:r>
        <w:t xml:space="preserve">2.5%</w:t>
      </w:r>
      <w:r>
        <w:t xml:space="preserve"> </w:t>
      </w:r>
      <w:r>
        <w:t xml:space="preserve">2.6%</w:t>
      </w:r>
      <w:r>
        <w:t xml:space="preserve"> </w:t>
      </w:r>
      <w:r>
        <w:t xml:space="preserve">-0.15pp</w:t>
      </w:r>
      <w:r>
        <w:t xml:space="preserve"> </w:t>
      </w:r>
      <w:r>
        <w:t xml:space="preserve">1.2%</w:t>
      </w:r>
      <w:r>
        <w:t xml:space="preserve"> </w:t>
      </w:r>
      <w:r>
        <w:t xml:space="preserve">1.2%</w:t>
      </w:r>
      <w:r>
        <w:t xml:space="preserve"> </w:t>
      </w:r>
      <w:r>
        <w:t xml:space="preserve">1.2%</w:t>
      </w:r>
      <w:r>
        <w:t xml:space="preserve"> </w:t>
      </w:r>
      <w:r>
        <w:t xml:space="preserve">-0.13pp</w:t>
      </w:r>
      <w:r>
        <w:t xml:space="preserve"> </w:t>
      </w:r>
      <w:r>
        <w:t xml:space="preserve">Electricity Price (EUR/MWh)**</w:t>
      </w:r>
      <w:r>
        <w:t xml:space="preserve"> </w:t>
      </w:r>
      <w:r>
        <w:t xml:space="preserve">Private transport</w:t>
      </w:r>
      <w:r>
        <w:t xml:space="preserve"> </w:t>
      </w:r>
      <w:r>
        <w:t xml:space="preserve">223</w:t>
      </w:r>
      <w:r>
        <w:t xml:space="preserve"> </w:t>
      </w:r>
      <w:r>
        <w:t xml:space="preserve">223</w:t>
      </w:r>
      <w:r>
        <w:t xml:space="preserve"> </w:t>
      </w:r>
      <w:r>
        <w:t xml:space="preserve">Note: “LIFE” compares the cost of the LIFE scenario to the S3 scenario, which both meet the same overall net</w:t>
      </w:r>
      <w:r>
        <w:t xml:space="preserve"> </w:t>
      </w:r>
      <w:r>
        <w:t xml:space="preserve">GHG reductions by 2040. * This covers only the additional capital costs for improving energy efficiency or for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using alternative fuels. ** Average final price of electricity. The electricity price shown here reflects the evolution</w:t>
      </w:r>
      <w:r>
        <w:t xml:space="preserve"> </w:t>
      </w:r>
      <w:r>
        <w:t xml:space="preserve">of the average electricity production cost to supply the sector (i.e., considering its load profile) as well as the</w:t>
      </w:r>
      <w:r>
        <w:t xml:space="preserve"> </w:t>
      </w:r>
      <w:r>
        <w:t xml:space="preserve">taxes applied to the sector.</w:t>
      </w:r>
      <w:r>
        <w:br/>
      </w:r>
      <w:r>
        <w:t xml:space="preserve">Source: PRIMES.</w:t>
      </w:r>
      <w:r>
        <w:t xml:space="preserve"> </w:t>
      </w:r>
      <w:r>
        <w:t xml:space="preserve">Similarly, a higher degree of mitigation ambition is also linked to slightly higher total</w:t>
      </w:r>
      <w:r>
        <w:t xml:space="preserve"> </w:t>
      </w:r>
      <w:r>
        <w:t xml:space="preserve">energy system costs in road transport89, which represent 3.7%, 3.8% and 3.8% of private</w:t>
      </w:r>
      <w:r>
        <w:t xml:space="preserve"> </w:t>
      </w:r>
      <w:r>
        <w:t xml:space="preserve">consumption respectively in S1, S2 and S3 (see Table 26) and correspond to a relative</w:t>
      </w:r>
      <w:r>
        <w:t xml:space="preserve"> </w:t>
      </w:r>
      <w:r>
        <w:t xml:space="preserve">increase of 0.07 percentage points in S3 compared to S2 and a 0.10 percentage point</w:t>
      </w:r>
      <w:r>
        <w:t xml:space="preserve"> </w:t>
      </w:r>
      <w:r>
        <w:t xml:space="preserve">decrease in S1. A limited decrease of capital costs from S1 to S3 is observed, and a</w:t>
      </w:r>
      <w:r>
        <w:t xml:space="preserve"> </w:t>
      </w:r>
      <w:r>
        <w:t xml:space="preserve">moderate increase of energy purchase linked to a larger consumption of e-fuels in S3.</w:t>
      </w:r>
      <w:r>
        <w:t xml:space="preserve"> </w:t>
      </w:r>
      <w:r>
        <w:t xml:space="preserve">The LIFE analysis shows that a more sustainable mobility can reduce energy purchases,</w:t>
      </w:r>
      <w:r>
        <w:t xml:space="preserve"> </w:t>
      </w:r>
      <w:r>
        <w:t xml:space="preserve">by an order of magnitude of about 0.2 percentage points of private consumption in 2031-</w:t>
      </w:r>
      <w:r>
        <w:t xml:space="preserve"> </w:t>
      </w:r>
      <w:r>
        <w:t xml:space="preserve">2041 and in 2041-2050.</w:t>
      </w:r>
      <w:r>
        <w:br/>
      </w:r>
      <w:r>
        <w:t xml:space="preserve">The more ambitious the scenario, the quicker the dependence to fossil fuels is reduced,</w:t>
      </w:r>
      <w:r>
        <w:t xml:space="preserve"> </w:t>
      </w:r>
      <w:r>
        <w:t xml:space="preserve">allowing households in Europe to be better protected from future fossil fuel price shocks.</w:t>
      </w:r>
      <w:r>
        <w:br/>
      </w:r>
      <w:r>
        <w:t xml:space="preserve">6.4.4.2 Distribution</w:t>
      </w:r>
      <w:r>
        <w:t xml:space="preserve"> </w:t>
      </w:r>
      <w:r>
        <w:t xml:space="preserve">Section 6.4.4.1 assesses the impact of changes in energy and transport related expenses</w:t>
      </w:r>
      <w:r>
        <w:t xml:space="preserve"> </w:t>
      </w:r>
      <w:r>
        <w:t xml:space="preserve">on households. Beyond this, impacts on relative prices throughout the economy are</w:t>
      </w:r>
      <w:r>
        <w:t xml:space="preserve"> </w:t>
      </w:r>
      <w:r>
        <w:t xml:space="preserve">susceptible to affect households in differentiated manners. The JRC-GEM-E3 model and</w:t>
      </w:r>
      <w:r>
        <w:t xml:space="preserve"> </w:t>
      </w:r>
      <w:r>
        <w:t xml:space="preserve">micro-data from the household budget survey were used to assess the potential impacts.90</w:t>
      </w:r>
      <w:r>
        <w:t xml:space="preserve"> </w:t>
      </w:r>
      <w:r>
        <w:t xml:space="preserve">(A macro-economic model is better suited to capture the full effects and interactions</w:t>
      </w:r>
      <w:r>
        <w:t xml:space="preserve"> </w:t>
      </w:r>
      <w:r>
        <w:t xml:space="preserve">across sectors that affect relative prices). Changes in relative prices are projected to differ</w:t>
      </w:r>
      <w:r>
        <w:t xml:space="preserve"> </w:t>
      </w:r>
      <w:r>
        <w:t xml:space="preserve">relatively little across scenarios, though the relative price of housing is likely to be higher</w:t>
      </w:r>
      <w:r>
        <w:t xml:space="preserve"> </w:t>
      </w:r>
      <w:r>
        <w:t xml:space="preserve">under S2 and S3 than under S1, as higher levels of renovation increase costs for</w:t>
      </w:r>
      <w:r>
        <w:t xml:space="preserve"> </w:t>
      </w:r>
      <w:r>
        <w:t xml:space="preserve">homeowners and renters alike (see Annex 8 for details). Similarly, energy purchases for</w:t>
      </w:r>
      <w:r>
        <w:t xml:space="preserve"> </w:t>
      </w:r>
      <w:r>
        <w:t xml:space="preserve">transport by households are projected to increase with a higher level of mitigation in</w:t>
      </w:r>
      <w:r>
        <w:t xml:space="preserve"> </w:t>
      </w:r>
      <w:r>
        <w:t xml:space="preserve">2040.</w:t>
      </w:r>
      <w:r>
        <w:t xml:space="preserve"> </w:t>
      </w:r>
      <w:r>
        <w:t xml:space="preserve">Linking these estimated changes in relative prices to micro-data from the household</w:t>
      </w:r>
      <w:r>
        <w:t xml:space="preserve"> </w:t>
      </w:r>
      <w:r>
        <w:t xml:space="preserve">budget survey, the JRC estimated distributional impacts per expenditure and income</w:t>
      </w:r>
      <w:r>
        <w:t xml:space="preserve"> </w:t>
      </w:r>
      <w:r>
        <w:t xml:space="preserve">decile. This shows that lower income households will be more affected than higher</w:t>
      </w:r>
      <w:r>
        <w:t xml:space="preserve"> </w:t>
      </w:r>
      <w:r>
        <w:t xml:space="preserve">income households, as measured in terms of compensating variation, i.e. the monetary</w:t>
      </w:r>
      <w:r>
        <w:t xml:space="preserve"> </w:t>
      </w:r>
      <w:r>
        <w:t xml:space="preserve">transfer that would be necessary to maintain the same level of utility as under the past set</w:t>
      </w:r>
      <w:r>
        <w:t xml:space="preserve"> </w:t>
      </w:r>
      <w:r>
        <w:t xml:space="preserve">of relative prices. Assuming that none of the additional revenues from ETS are</w:t>
      </w:r>
      <w:r>
        <w:t xml:space="preserve"> </w:t>
      </w:r>
      <w:r>
        <w:t xml:space="preserve">redistributed to households to temper impacts, the welfare impact of S2 would amount to</w:t>
      </w:r>
      <w:r>
        <w:t xml:space="preserve"> </w:t>
      </w:r>
      <w:r>
        <w:t xml:space="preserve">less than -0.5% (% of total expenditure) for the lowest expenditure deciles, and about -</w:t>
      </w:r>
    </w:p>
    <w:p>
      <w:pPr>
        <w:pStyle w:val="BodyText"/>
      </w:pPr>
      <w:r>
        <w:t xml:space="preserve">89 The details of the total transport expenditures of households (including total capital costs) are provided in</w:t>
      </w:r>
      <w:r>
        <w:t xml:space="preserve"> </w:t>
      </w:r>
      <w:r>
        <w:t xml:space="preserve">Annex 8.</w:t>
      </w:r>
      <w:r>
        <w:t xml:space="preserve"> </w:t>
      </w:r>
      <w:r>
        <w:t xml:space="preserve">90 The analysis benefited from inputs from two joint projects between Directorate-General Employment,</w:t>
      </w:r>
      <w:r>
        <w:t xml:space="preserve"> </w:t>
      </w:r>
      <w:r>
        <w:t xml:space="preserve">Social Affairs and Inclusion (DG EMPL) and the Joint Research Centre (JRC) of the European</w:t>
      </w:r>
      <w:r>
        <w:t xml:space="preserve"> </w:t>
      </w:r>
      <w:r>
        <w:t xml:space="preserve">Commission: “Assessing and monitoring employment and distributional impacts of the Green Deal (GD-</w:t>
      </w:r>
      <w:r>
        <w:t xml:space="preserve"> </w:t>
      </w:r>
      <w:r>
        <w:t xml:space="preserve">AMEDI)” and “Assessing distributional impacts of geopolitical developments and their direct and indirect</w:t>
      </w:r>
      <w:r>
        <w:t xml:space="preserve"> </w:t>
      </w:r>
      <w:r>
        <w:t xml:space="preserve">socio-economic implications, and socio-economic stress tests for future energy price scenarios</w:t>
      </w:r>
      <w:r>
        <w:t xml:space="preserve"> </w:t>
      </w:r>
      <w:r>
        <w:t xml:space="preserve">(AMEDI+)”. See https://ec.europa.eu/social/main.jsp?langId=en&amp;catId=1588.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0.3% for the highest expenditure decile. The effects would be larger under S3 at about -</w:t>
      </w:r>
      <w:r>
        <w:t xml:space="preserve"> </w:t>
      </w:r>
      <w:r>
        <w:t xml:space="preserve">1.2% and -0.8%, respectively. Redistributing some of the additional carbon revenues at</w:t>
      </w:r>
      <w:r>
        <w:t xml:space="preserve"> </w:t>
      </w:r>
      <w:r>
        <w:t xml:space="preserve">national or EU level would sharply reduce this negative impact on the lower expenditure</w:t>
      </w:r>
      <w:r>
        <w:t xml:space="preserve"> </w:t>
      </w:r>
      <w:r>
        <w:t xml:space="preserve">deciles.</w:t>
      </w:r>
      <w:r>
        <w:t xml:space="preserve"> </w:t>
      </w:r>
      <w:r>
        <w:t xml:space="preserve">6.4.4.3 Employment</w:t>
      </w:r>
      <w:r>
        <w:br/>
      </w:r>
      <w:r>
        <w:t xml:space="preserve">The aggregate employment impacts of S2 and S3 differ only slightly from S1, which</w:t>
      </w:r>
      <w:r>
        <w:t xml:space="preserve"> </w:t>
      </w:r>
      <w:r>
        <w:t xml:space="preserve">already factors in the transformation of the EU economy to climate neutrality by 2050,</w:t>
      </w:r>
      <w:r>
        <w:t xml:space="preserve"> </w:t>
      </w:r>
      <w:r>
        <w:t xml:space="preserve">with a lower 2040 target. The labour market and social implications of the transition</w:t>
      </w:r>
      <w:r>
        <w:t xml:space="preserve"> </w:t>
      </w:r>
      <w:r>
        <w:t xml:space="preserve">itself, however, will be concentrated in some specific sectors. It will entail opportunities</w:t>
      </w:r>
      <w:r>
        <w:t xml:space="preserve"> </w:t>
      </w:r>
      <w:r>
        <w:t xml:space="preserve">but also challenges, particularly in terms of skills availability and reallocation of the</w:t>
      </w:r>
      <w:r>
        <w:t xml:space="preserve"> </w:t>
      </w:r>
      <w:r>
        <w:t xml:space="preserve">labour force across sectors and occupations. This analysis focuses on the implications of</w:t>
      </w:r>
      <w:r>
        <w:t xml:space="preserve"> </w:t>
      </w:r>
      <w:r>
        <w:t xml:space="preserve">the transition for the most affected sectors more than on the comparison of impacts</w:t>
      </w:r>
      <w:r>
        <w:t xml:space="preserve"> </w:t>
      </w:r>
      <w:r>
        <w:t xml:space="preserve">across scenarios. In parallel to decarbonisation, other factors will also impact the labour</w:t>
      </w:r>
      <w:r>
        <w:t xml:space="preserve"> </w:t>
      </w:r>
      <w:r>
        <w:t xml:space="preserve">market: ageing of the population, decline in the working age population and other trends</w:t>
      </w:r>
      <w:r>
        <w:t xml:space="preserve"> </w:t>
      </w:r>
      <w:r>
        <w:t xml:space="preserve">fully independent from climate policy, including technological changes and the uptake of</w:t>
      </w:r>
      <w:r>
        <w:t xml:space="preserve"> </w:t>
      </w:r>
      <w:r>
        <w:t xml:space="preserve">artificial intelligence.</w:t>
      </w:r>
      <w:r>
        <w:t xml:space="preserve"> </w:t>
      </w:r>
      <w:r>
        <w:t xml:space="preserve">Modelling under JRC-GEM-E3 projects that recent trends in sectoral employment</w:t>
      </w:r>
      <w:r>
        <w:t xml:space="preserve"> </w:t>
      </w:r>
      <w:r>
        <w:t xml:space="preserve">(increase in the share of services in employment and decrease in the share of industry and</w:t>
      </w:r>
      <w:r>
        <w:t xml:space="preserve"> </w:t>
      </w:r>
      <w:r>
        <w:t xml:space="preserve">manufacturing), are set to continue across the different scenarios, which display very</w:t>
      </w:r>
      <w:r>
        <w:t xml:space="preserve"> </w:t>
      </w:r>
      <w:r>
        <w:t xml:space="preserve">similar patterns by 2040 (Table 27). The flipside of the increase in the share of service</w:t>
      </w:r>
      <w:r>
        <w:t xml:space="preserve"> </w:t>
      </w:r>
      <w:r>
        <w:t xml:space="preserve">sector jobs is a gradual decrease in the share of employment in energy intensive</w:t>
      </w:r>
      <w:r>
        <w:t xml:space="preserve"> </w:t>
      </w:r>
      <w:r>
        <w:t xml:space="preserve">industries, consumer goods industries and transport equipment. The share of employment</w:t>
      </w:r>
      <w:r>
        <w:t xml:space="preserve"> </w:t>
      </w:r>
      <w:r>
        <w:t xml:space="preserve">in other equipment goods, however, is projected to remain stable as the transition should</w:t>
      </w:r>
      <w:r>
        <w:t xml:space="preserve"> </w:t>
      </w:r>
      <w:r>
        <w:t xml:space="preserve">increase EU and global demand for the type of equipment needed for decarbonisation.</w:t>
      </w:r>
      <w:r>
        <w:t xml:space="preserve"> </w:t>
      </w:r>
      <w:r>
        <w:t xml:space="preserve">While output in energy intensive industries, consumer goods industries and transport</w:t>
      </w:r>
      <w:r>
        <w:t xml:space="preserve"> </w:t>
      </w:r>
      <w:r>
        <w:t xml:space="preserve">equipment are projected to grow significantly between 2015 and 2040, they will be</w:t>
      </w:r>
      <w:r>
        <w:t xml:space="preserve"> </w:t>
      </w:r>
      <w:r>
        <w:t xml:space="preserve">outpaced by overall GDP growth. However, in the context of a declining aggregate level</w:t>
      </w:r>
      <w:r>
        <w:t xml:space="preserve"> </w:t>
      </w:r>
      <w:r>
        <w:t xml:space="preserve">of employment, driven by a shrinking labour force, these sectors’ share of employment</w:t>
      </w:r>
      <w:r>
        <w:t xml:space="preserve"> </w:t>
      </w:r>
      <w:r>
        <w:t xml:space="preserve">(and absolute employment) are projected to decline over the coming decades.</w:t>
      </w:r>
      <w:r>
        <w:t xml:space="preserve"> </w:t>
      </w:r>
      <w:r>
        <w:t xml:space="preserve">Employment in fossil fuel industries is expected to be at negligible levels in 2040 and</w:t>
      </w:r>
      <w:r>
        <w:t xml:space="preserve"> </w:t>
      </w:r>
      <w:r>
        <w:t xml:space="preserve">2050. In contrast, market and non-market services together represent more than 60% of</w:t>
      </w:r>
      <w:r>
        <w:t xml:space="preserve"> </w:t>
      </w:r>
      <w:r>
        <w:t xml:space="preserve">total employment. Given the downward trend in employment in sectors where men are</w:t>
      </w:r>
      <w:r>
        <w:t xml:space="preserve"> </w:t>
      </w:r>
      <w:r>
        <w:t xml:space="preserve">more represented alongside an upward trend in services, the transition is expected to have</w:t>
      </w:r>
      <w:r>
        <w:t xml:space="preserve"> </w:t>
      </w:r>
      <w:r>
        <w:t xml:space="preserve">a limited or positive impact on women’s employment. Annex 8 further assesses the</w:t>
      </w:r>
      <w:r>
        <w:t xml:space="preserve"> </w:t>
      </w:r>
      <w:r>
        <w:t xml:space="preserve">implications of the transition for the labour market and skills requirements by</w:t>
      </w:r>
      <w:r>
        <w:t xml:space="preserve"> </w:t>
      </w:r>
      <w:r>
        <w:t xml:space="preserve">considering the potential opportunities arising from investment needs. Employment</w:t>
      </w:r>
      <w:r>
        <w:t xml:space="preserve"> </w:t>
      </w:r>
      <w:r>
        <w:t xml:space="preserve">opportunities should be particularly significant in areas related to the renovation of the</w:t>
      </w:r>
      <w:r>
        <w:t xml:space="preserve"> </w:t>
      </w:r>
      <w:r>
        <w:t xml:space="preserve">building stock, the transition to decarbonised sources of heating and cooling (heat</w:t>
      </w:r>
      <w:r>
        <w:t xml:space="preserve"> </w:t>
      </w:r>
      <w:r>
        <w:t xml:space="preserve">pumps) and the electrification of the economy, including the large-scale installation of</w:t>
      </w:r>
      <w:r>
        <w:t xml:space="preserve"> </w:t>
      </w:r>
      <w:r>
        <w:t xml:space="preserve">renewable sources of electricity.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Table 27: Sectoral employment, share in total employment (%)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S3</w:t>
      </w:r>
      <w:r>
        <w:t xml:space="preserve"> </w:t>
      </w:r>
      <w:r>
        <w:t xml:space="preserve">Fossil fuel industries</w:t>
      </w:r>
      <w:r>
        <w:t xml:space="preserve"> </w:t>
      </w:r>
      <w:r>
        <w:t xml:space="preserve">0.13%</w:t>
      </w:r>
      <w:r>
        <w:t xml:space="preserve"> </w:t>
      </w:r>
      <w:r>
        <w:t xml:space="preserve">0.11%</w:t>
      </w:r>
      <w:r>
        <w:t xml:space="preserve"> </w:t>
      </w:r>
      <w:r>
        <w:t xml:space="preserve">0.07%</w:t>
      </w:r>
      <w:r>
        <w:t xml:space="preserve"> </w:t>
      </w:r>
      <w:r>
        <w:t xml:space="preserve">0.06%</w:t>
      </w:r>
      <w:r>
        <w:t xml:space="preserve"> </w:t>
      </w:r>
      <w:r>
        <w:t xml:space="preserve">0.05%</w:t>
      </w:r>
      <w:r>
        <w:t xml:space="preserve"> </w:t>
      </w:r>
      <w:r>
        <w:t xml:space="preserve">0.05%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6.7%</w:t>
      </w:r>
      <w:r>
        <w:t xml:space="preserve"> </w:t>
      </w:r>
      <w:r>
        <w:t xml:space="preserve">6.5%</w:t>
      </w:r>
      <w:r>
        <w:t xml:space="preserve"> </w:t>
      </w:r>
      <w:r>
        <w:t xml:space="preserve">6.2%</w:t>
      </w:r>
      <w:r>
        <w:t xml:space="preserve"> </w:t>
      </w:r>
      <w:r>
        <w:t xml:space="preserve">6.1%</w:t>
      </w:r>
      <w:r>
        <w:t xml:space="preserve"> </w:t>
      </w:r>
      <w:r>
        <w:t xml:space="preserve">6.2%</w:t>
      </w:r>
      <w:r>
        <w:t xml:space="preserve"> </w:t>
      </w:r>
      <w:r>
        <w:t xml:space="preserve">5.9%</w:t>
      </w:r>
      <w:r>
        <w:t xml:space="preserve"> </w:t>
      </w:r>
      <w:r>
        <w:t xml:space="preserve">Transport equipment</w:t>
      </w:r>
      <w:r>
        <w:t xml:space="preserve"> </w:t>
      </w:r>
      <w:r>
        <w:t xml:space="preserve">2.1%</w:t>
      </w:r>
      <w:r>
        <w:t xml:space="preserve"> </w:t>
      </w:r>
      <w:r>
        <w:t xml:space="preserve">2.0%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1.8%</w:t>
      </w:r>
      <w:r>
        <w:t xml:space="preserve"> </w:t>
      </w:r>
      <w:r>
        <w:t xml:space="preserve">Other equipment goods</w:t>
      </w:r>
      <w:r>
        <w:t xml:space="preserve"> </w:t>
      </w:r>
      <w:r>
        <w:t xml:space="preserve">6.3%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Consumer goods industries</w:t>
      </w:r>
      <w:r>
        <w:t xml:space="preserve"> </w:t>
      </w:r>
      <w:r>
        <w:t xml:space="preserve">4.4%</w:t>
      </w:r>
      <w:r>
        <w:t xml:space="preserve"> </w:t>
      </w:r>
      <w:r>
        <w:t xml:space="preserve">4.2%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4.0%</w:t>
      </w:r>
      <w:r>
        <w:t xml:space="preserve"> </w:t>
      </w:r>
      <w:r>
        <w:t xml:space="preserve">3.9%</w:t>
      </w:r>
      <w:r>
        <w:t xml:space="preserve"> </w:t>
      </w:r>
      <w:r>
        <w:t xml:space="preserve">Transport</w:t>
      </w:r>
      <w:r>
        <w:t xml:space="preserve"> </w:t>
      </w:r>
      <w:r>
        <w:t xml:space="preserve">3.6%</w:t>
      </w:r>
      <w:r>
        <w:t xml:space="preserve"> </w:t>
      </w:r>
      <w:r>
        <w:t xml:space="preserve">3.9%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Construction</w:t>
      </w:r>
      <w:r>
        <w:t xml:space="preserve"> </w:t>
      </w:r>
      <w:r>
        <w:t xml:space="preserve">7.8%</w:t>
      </w:r>
      <w:r>
        <w:t xml:space="preserve"> </w:t>
      </w:r>
      <w:r>
        <w:t xml:space="preserve">7.6%</w:t>
      </w:r>
      <w:r>
        <w:t xml:space="preserve"> </w:t>
      </w:r>
      <w:r>
        <w:t xml:space="preserve">7.6%</w:t>
      </w:r>
      <w:r>
        <w:t xml:space="preserve"> </w:t>
      </w:r>
      <w:r>
        <w:t xml:space="preserve">7.7%</w:t>
      </w:r>
      <w:r>
        <w:t xml:space="preserve"> </w:t>
      </w:r>
      <w:r>
        <w:t xml:space="preserve">7.7%</w:t>
      </w:r>
      <w:r>
        <w:t xml:space="preserve"> </w:t>
      </w:r>
      <w:r>
        <w:t xml:space="preserve">7.7%</w:t>
      </w:r>
      <w:r>
        <w:t xml:space="preserve"> </w:t>
      </w:r>
      <w:r>
        <w:t xml:space="preserve">Market services</w:t>
      </w:r>
      <w:r>
        <w:t xml:space="preserve"> </w:t>
      </w:r>
      <w:r>
        <w:t xml:space="preserve">34.0%</w:t>
      </w:r>
      <w:r>
        <w:t xml:space="preserve"> </w:t>
      </w:r>
      <w:r>
        <w:t xml:space="preserve">34.6%</w:t>
      </w:r>
      <w:r>
        <w:t xml:space="preserve"> </w:t>
      </w:r>
      <w:r>
        <w:t xml:space="preserve">35.0%</w:t>
      </w:r>
      <w:r>
        <w:t xml:space="preserve"> </w:t>
      </w:r>
      <w:r>
        <w:t xml:space="preserve">34.9%</w:t>
      </w:r>
      <w:r>
        <w:t xml:space="preserve"> </w:t>
      </w:r>
      <w:r>
        <w:t xml:space="preserve">34.9%</w:t>
      </w:r>
      <w:r>
        <w:t xml:space="preserve"> </w:t>
      </w:r>
      <w:r>
        <w:t xml:space="preserve">35.3%</w:t>
      </w:r>
      <w:r>
        <w:t xml:space="preserve"> </w:t>
      </w:r>
      <w:r>
        <w:t xml:space="preserve">Non-market services</w:t>
      </w:r>
      <w:r>
        <w:t xml:space="preserve"> </w:t>
      </w:r>
      <w:r>
        <w:t xml:space="preserve">26.6%</w:t>
      </w:r>
      <w:r>
        <w:t xml:space="preserve"> </w:t>
      </w:r>
      <w:r>
        <w:t xml:space="preserve">27.1%</w:t>
      </w:r>
      <w:r>
        <w:t xml:space="preserve"> </w:t>
      </w:r>
      <w:r>
        <w:t xml:space="preserve">27.3%</w:t>
      </w:r>
      <w:r>
        <w:t xml:space="preserve"> </w:t>
      </w:r>
      <w:r>
        <w:t xml:space="preserve">27.3%</w:t>
      </w:r>
      <w:r>
        <w:t xml:space="preserve"> </w:t>
      </w:r>
      <w:r>
        <w:t xml:space="preserve">27.3%</w:t>
      </w:r>
      <w:r>
        <w:t xml:space="preserve"> </w:t>
      </w:r>
      <w:r>
        <w:t xml:space="preserve">27.5%</w:t>
      </w:r>
      <w:r>
        <w:t xml:space="preserve"> </w:t>
      </w:r>
      <w:r>
        <w:t xml:space="preserve">Agriculture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2.8%</w:t>
      </w:r>
      <w:r>
        <w:t xml:space="preserve"> </w:t>
      </w:r>
      <w:r>
        <w:t xml:space="preserve">Forestry</w:t>
      </w:r>
      <w:r>
        <w:t xml:space="preserve"> </w:t>
      </w:r>
      <w:r>
        <w:t xml:space="preserve">0.4%</w:t>
      </w:r>
      <w:r>
        <w:t xml:space="preserve"> </w:t>
      </w:r>
      <w:r>
        <w:t xml:space="preserve">0.3%</w:t>
      </w:r>
      <w:r>
        <w:t xml:space="preserve"> </w:t>
      </w:r>
      <w:r>
        <w:t xml:space="preserve">0.4%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0.4%</w:t>
      </w:r>
      <w:r>
        <w:t xml:space="preserve"> </w:t>
      </w:r>
      <w:r>
        <w:t xml:space="preserve">Other</w:t>
      </w:r>
      <w:r>
        <w:t xml:space="preserve"> </w:t>
      </w:r>
      <w:r>
        <w:t xml:space="preserve">4.4%</w:t>
      </w:r>
      <w:r>
        <w:t xml:space="preserve"> </w:t>
      </w:r>
      <w:r>
        <w:t xml:space="preserve">4.3%</w:t>
      </w:r>
      <w:r>
        <w:t xml:space="preserve"> </w:t>
      </w:r>
      <w:r>
        <w:t xml:space="preserve">4.5%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5.0%</w:t>
      </w:r>
      <w:r>
        <w:t xml:space="preserve"> </w:t>
      </w:r>
      <w:r>
        <w:t xml:space="preserve">Note: In this table, “transport” does not include storage.</w:t>
      </w:r>
      <w:r>
        <w:br/>
      </w:r>
      <w:r>
        <w:t xml:space="preserve">Source: JRC-GEM-E3 model.</w:t>
      </w:r>
      <w:r>
        <w:t xml:space="preserve"> </w:t>
      </w:r>
      <w:r>
        <w:t xml:space="preserve">Further, major opportunities for employment creation should arise from the development</w:t>
      </w:r>
      <w:r>
        <w:t xml:space="preserve"> </w:t>
      </w:r>
      <w:r>
        <w:t xml:space="preserve">of manufacturing capacity for green technologies, mainly solar photovoltaic and solar</w:t>
      </w:r>
      <w:r>
        <w:t xml:space="preserve"> </w:t>
      </w:r>
      <w:r>
        <w:t xml:space="preserve">thermal, wind power generation, battery and storage facilities, heat pumps, electrolysers</w:t>
      </w:r>
      <w:r>
        <w:t xml:space="preserve"> </w:t>
      </w:r>
      <w:r>
        <w:t xml:space="preserve">and fuel cells, sustainable biogas and biomethane, carbon capture and storage and grid</w:t>
      </w:r>
      <w:r>
        <w:t xml:space="preserve"> </w:t>
      </w:r>
      <w:r>
        <w:t xml:space="preserve">technologies. Boosting the EU manufacturing capacity in these sectors is at the core of</w:t>
      </w:r>
      <w:r>
        <w:t xml:space="preserve"> </w:t>
      </w:r>
      <w:r>
        <w:t xml:space="preserve">the Net Zero Industry Act proposal, and it will necessitate corresponding efforts to ensure</w:t>
      </w:r>
      <w:r>
        <w:t xml:space="preserve"> </w:t>
      </w:r>
      <w:r>
        <w:t xml:space="preserve">that the skills needs are developed among the EU’s labour force. The transition will</w:t>
      </w:r>
      <w:r>
        <w:t xml:space="preserve"> </w:t>
      </w:r>
      <w:r>
        <w:t xml:space="preserve">require accompanying policies at the regional and sectoral levels to ensure that reskilling</w:t>
      </w:r>
      <w:r>
        <w:t xml:space="preserve"> </w:t>
      </w:r>
      <w:r>
        <w:t xml:space="preserve">and retraining opportunities are available for workers who need them.</w:t>
      </w:r>
      <w:r>
        <w:t xml:space="preserve"> </w:t>
      </w:r>
      <w:r>
        <w:t xml:space="preserve">6.4.4.4 Regional impacts</w:t>
      </w:r>
      <w:r>
        <w:t xml:space="preserve"> </w:t>
      </w:r>
      <w:r>
        <w:t xml:space="preserve">The transition to a low-carbon economy will have heterogenous impacts on regions within</w:t>
      </w:r>
      <w:r>
        <w:t xml:space="preserve"> </w:t>
      </w:r>
      <w:r>
        <w:t xml:space="preserve">the EU. The decarbonisation of production capacities, the transformation of the energy</w:t>
      </w:r>
      <w:r>
        <w:t xml:space="preserve"> </w:t>
      </w:r>
      <w:r>
        <w:t xml:space="preserve">system, the need to develop an industrial carbon management system and the evolution</w:t>
      </w:r>
      <w:r>
        <w:t xml:space="preserve"> </w:t>
      </w:r>
      <w:r>
        <w:t xml:space="preserve">of the land sector will all affect regions differently.</w:t>
      </w:r>
      <w:r>
        <w:t xml:space="preserve"> </w:t>
      </w:r>
      <w:r>
        <w:t xml:space="preserve">Regions with a relatively high share of employment in sectors most impacted by the</w:t>
      </w:r>
      <w:r>
        <w:t xml:space="preserve"> </w:t>
      </w:r>
      <w:r>
        <w:t xml:space="preserve">transition are more exposed to the transition (see details in Annex 8). This includes the</w:t>
      </w:r>
      <w:r>
        <w:t xml:space="preserve"> </w:t>
      </w:r>
      <w:r>
        <w:t xml:space="preserve">regions with a high share of employment in sectors that are being phased out in several</w:t>
      </w:r>
      <w:r>
        <w:t xml:space="preserve"> </w:t>
      </w:r>
      <w:r>
        <w:t xml:space="preserve">countries (mining of coal, lignite and oil shale; extraction of crude petroleum, natural gas</w:t>
      </w:r>
      <w:r>
        <w:t xml:space="preserve"> </w:t>
      </w:r>
      <w:r>
        <w:t xml:space="preserve">and peat; refining of petroleum products), in energy intensive sectors, as these will have</w:t>
      </w:r>
      <w:r>
        <w:t xml:space="preserve"> </w:t>
      </w:r>
      <w:r>
        <w:t xml:space="preserve">to produce the same goods differently (manufacturing of chemicals and chemical</w:t>
      </w:r>
      <w:r>
        <w:t xml:space="preserve"> </w:t>
      </w:r>
      <w:r>
        <w:t xml:space="preserve">products, manufacturing of other non-metallic mineral products, manufacturing of basic</w:t>
      </w:r>
      <w:r>
        <w:t xml:space="preserve"> </w:t>
      </w:r>
      <w:r>
        <w:t xml:space="preserve">metals), and in sectors that will have to produce different goods (manufacturing of motor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vehicles, trailers and semi-trailers) (91). In 2020, only two EU regions (NUTS-2 level)</w:t>
      </w:r>
      <w:r>
        <w:t xml:space="preserve"> </w:t>
      </w:r>
      <w:r>
        <w:t xml:space="preserve">had employment shares of more than 1% of direct employment in coal and lignite</w:t>
      </w:r>
      <w:r>
        <w:t xml:space="preserve"> </w:t>
      </w:r>
      <w:r>
        <w:t xml:space="preserve">mining, crude petroleum, and natural gas extraction, with potential wider local impacts</w:t>
      </w:r>
      <w:r>
        <w:t xml:space="preserve"> </w:t>
      </w:r>
      <w:r>
        <w:t xml:space="preserve">due to indirect employment The employment and social consequences of the decline in</w:t>
      </w:r>
      <w:r>
        <w:t xml:space="preserve"> </w:t>
      </w:r>
      <w:r>
        <w:t xml:space="preserve">extraction activities needs to be mitigated, in line with the European Green Deal’s</w:t>
      </w:r>
      <w:r>
        <w:t xml:space="preserve"> </w:t>
      </w:r>
      <w:r>
        <w:t xml:space="preserve">objective of leaving no region behind (see Annex 9). When considering energy intensive</w:t>
      </w:r>
      <w:r>
        <w:t xml:space="preserve"> </w:t>
      </w:r>
      <w:r>
        <w:t xml:space="preserve">industries or industries that will have to produce different goods (e.g. automobile sector),</w:t>
      </w:r>
      <w:r>
        <w:t xml:space="preserve"> </w:t>
      </w:r>
      <w:r>
        <w:t xml:space="preserve">more regions will be affected. In these regions and territories, the employees from these</w:t>
      </w:r>
      <w:r>
        <w:t xml:space="preserve"> </w:t>
      </w:r>
      <w:r>
        <w:t xml:space="preserve">sectors will have specific reskilling needs. In regions where the automobile sector</w:t>
      </w:r>
      <w:r>
        <w:t xml:space="preserve"> </w:t>
      </w:r>
      <w:r>
        <w:t xml:space="preserve">represents a high share of the economic activity, the move to the manufacturing of</w:t>
      </w:r>
      <w:r>
        <w:t xml:space="preserve"> </w:t>
      </w:r>
      <w:r>
        <w:t xml:space="preserve">electricity vehicles requires companies in the supply chain to adjust their business</w:t>
      </w:r>
      <w:r>
        <w:t xml:space="preserve"> </w:t>
      </w:r>
      <w:r>
        <w:t xml:space="preserve">models. The transition will be faster in S3 than in S2 and faster in S2 than in S1. Regions</w:t>
      </w:r>
      <w:r>
        <w:t xml:space="preserve"> </w:t>
      </w:r>
      <w:r>
        <w:t xml:space="preserve">that are particularly impacted by the transition need to be accompanied and supported</w:t>
      </w:r>
      <w:r>
        <w:t xml:space="preserve"> </w:t>
      </w:r>
      <w:r>
        <w:t xml:space="preserve">(see examples of EU and national measures and programmes in Annex 9).</w:t>
      </w:r>
      <w:r>
        <w:t xml:space="preserve"> </w:t>
      </w:r>
      <w:r>
        <w:t xml:space="preserve">All scenarios require a decrease of fossil fuels and a strong growth of renewable energy</w:t>
      </w:r>
      <w:r>
        <w:t xml:space="preserve"> </w:t>
      </w:r>
      <w:r>
        <w:t xml:space="preserve">for electricity production. This will entail different opportunities and challenges for</w:t>
      </w:r>
      <w:r>
        <w:t xml:space="preserve"> </w:t>
      </w:r>
      <w:r>
        <w:t xml:space="preserve">regions: reconversion of fossil fuel producing regions, opportunities to develop local</w:t>
      </w:r>
      <w:r>
        <w:t xml:space="preserve"> </w:t>
      </w:r>
      <w:r>
        <w:t xml:space="preserve">resources and create jobs where the renewable energy potential is the largest, and</w:t>
      </w:r>
      <w:r>
        <w:t xml:space="preserve"> </w:t>
      </w:r>
      <w:r>
        <w:t xml:space="preserve">infrastructure development challenges to connect electricity producing centres with</w:t>
      </w:r>
      <w:r>
        <w:t xml:space="preserve"> </w:t>
      </w:r>
      <w:r>
        <w:t xml:space="preserve">consuming centres. These opportunities and challenges will be more acute in S3, which</w:t>
      </w:r>
      <w:r>
        <w:t xml:space="preserve"> </w:t>
      </w:r>
      <w:r>
        <w:t xml:space="preserve">has the largest increase of electricity production needs, 6% higher than in S2, while S1 is</w:t>
      </w:r>
      <w:r>
        <w:t xml:space="preserve"> </w:t>
      </w:r>
      <w:r>
        <w:t xml:space="preserve">7% lower than S2. The development of an industrial carbon management system will</w:t>
      </w:r>
      <w:r>
        <w:t xml:space="preserve"> </w:t>
      </w:r>
      <w:r>
        <w:t xml:space="preserve">require the development of a full supply chain and of the necessary infrastructure to link</w:t>
      </w:r>
      <w:r>
        <w:t xml:space="preserve"> </w:t>
      </w:r>
      <w:r>
        <w:t xml:space="preserve">CO2 emitting energy supply and industrial sites to carbon storage or usage sites (notably</w:t>
      </w:r>
      <w:r>
        <w:t xml:space="preserve"> </w:t>
      </w:r>
      <w:r>
        <w:t xml:space="preserve">to produce e-fuels). The territories with strong presence of energy intensive industries</w:t>
      </w:r>
      <w:r>
        <w:t xml:space="preserve"> </w:t>
      </w:r>
      <w:r>
        <w:t xml:space="preserve">(e.g., cement production, chemicals industries, etc) will have to anticipate and develop</w:t>
      </w:r>
      <w:r>
        <w:t xml:space="preserve"> </w:t>
      </w:r>
      <w:r>
        <w:t xml:space="preserve">the corresponding capacities. The scenarios show a very different picture in 2040: while</w:t>
      </w:r>
      <w:r>
        <w:t xml:space="preserve"> </w:t>
      </w:r>
      <w:r>
        <w:t xml:space="preserve">projections for S1 are around 80 MtCO2 of capture, S2 exceeds 200 MtCO2 and S3 gets</w:t>
      </w:r>
      <w:r>
        <w:t xml:space="preserve"> </w:t>
      </w:r>
      <w:r>
        <w:t xml:space="preserve">close to 350 MtCO2, where virtually all regions hosting CO2 emitting industrial process</w:t>
      </w:r>
      <w:r>
        <w:t xml:space="preserve"> </w:t>
      </w:r>
      <w:r>
        <w:t xml:space="preserve">sites would be concerned.</w:t>
      </w:r>
      <w:r>
        <w:br/>
      </w:r>
      <w:r>
        <w:t xml:space="preserve">The need to maintain and enhance LULUCF net removals and to curb GHG emissions</w:t>
      </w:r>
      <w:r>
        <w:t xml:space="preserve"> </w:t>
      </w:r>
      <w:r>
        <w:t xml:space="preserve">from the agriculture sector will mostly affect rural regions. Territories where agriculture</w:t>
      </w:r>
      <w:r>
        <w:t xml:space="preserve"> </w:t>
      </w:r>
      <w:r>
        <w:t xml:space="preserve">plays a major role and where associated emissions are currently the highest will have to</w:t>
      </w:r>
      <w:r>
        <w:t xml:space="preserve"> </w:t>
      </w:r>
      <w:r>
        <w:t xml:space="preserve">achieve a larger deployment of technologies and practices to reduce GHG emissions in</w:t>
      </w:r>
      <w:r>
        <w:t xml:space="preserve"> </w:t>
      </w:r>
      <w:r>
        <w:t xml:space="preserve">S2 or S3 than in S1. A shift in society towards a healthier and more sustainable food</w:t>
      </w:r>
      <w:r>
        <w:t xml:space="preserve"> </w:t>
      </w:r>
      <w:r>
        <w:t xml:space="preserve">system, as in LIFE, means a higher uptake of more extensive farming practices with</w:t>
      </w:r>
      <w:r>
        <w:t xml:space="preserve"> </w:t>
      </w:r>
      <w:r>
        <w:t xml:space="preserve">opportunities to generate revenues from nature-based removals activities.</w:t>
      </w:r>
      <w:r>
        <w:t xml:space="preserve"> </w:t>
      </w:r>
      <w:r>
        <w:t xml:space="preserve">Innovation capacity, the level of instruction and the quality of infrastructure contribute to</w:t>
      </w:r>
      <w:r>
        <w:t xml:space="preserve"> </w:t>
      </w:r>
      <w:r>
        <w:t xml:space="preserve">the preparedness of regions for the transition. Annex 9 provides examples of EU and</w:t>
      </w:r>
      <w:r>
        <w:t xml:space="preserve"> </w:t>
      </w:r>
      <w:r>
        <w:t xml:space="preserve">national measures and programmes that can support regions for the transition. The EU’s</w:t>
      </w:r>
      <w:r>
        <w:t xml:space="preserve"> </w:t>
      </w:r>
      <w:r>
        <w:t xml:space="preserve">cohesion policy plays an important role.</w:t>
      </w:r>
    </w:p>
    <w:p>
      <w:pPr>
        <w:pStyle w:val="Compact"/>
        <w:numPr>
          <w:ilvl w:val="0"/>
          <w:numId w:val="1037"/>
        </w:numPr>
      </w:pPr>
      <w:r>
        <w:t xml:space="preserve">See also OECD (2023), Regional Industrial Transitions to Climate Neutrality, OECD Regional</w:t>
      </w:r>
      <w:r>
        <w:t xml:space="preserve"> </w:t>
      </w:r>
      <w:r>
        <w:t xml:space="preserve">Development Studies, OECD Publishing, Paris.</w:t>
      </w:r>
    </w:p>
    <w:p>
      <w:pPr>
        <w:pStyle w:val="FirstParagraph"/>
      </w:pPr>
      <w:r>
        <w:t xml:space="preserve">71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HOW DO THE TARGET OPTIONS COMPARE?</w:t>
      </w:r>
      <w:r>
        <w:br/>
      </w:r>
      <w:r>
        <w:t xml:space="preserve">The different target options are compared based on the results of the analysis of the</w:t>
      </w:r>
      <w:r>
        <w:t xml:space="preserve"> </w:t>
      </w:r>
      <w:r>
        <w:t xml:space="preserve">different representative scenarios shown in section 6. The target Option 2 serves as the</w:t>
      </w:r>
      <w:r>
        <w:t xml:space="preserve"> </w:t>
      </w:r>
      <w:r>
        <w:t xml:space="preserve">“baseline” target level (see section 5.1).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7.1.1 Specific objectives</w:t>
      </w:r>
      <w:r>
        <w:t xml:space="preserve"> </w:t>
      </w:r>
      <w:r>
        <w:t xml:space="preserve">The effectiveness of the different target options is assessed against the different specific</w:t>
      </w:r>
      <w:r>
        <w:t xml:space="preserve"> </w:t>
      </w:r>
      <w:r>
        <w:t xml:space="preserve">objectives defined in section 4.</w:t>
      </w:r>
      <w:r>
        <w:br/>
      </w:r>
      <w:r>
        <w:t xml:space="preserve">The capacity to secure the delivery of climate neutrality by 2050 (specific objective SO1)</w:t>
      </w:r>
      <w:r>
        <w:t xml:space="preserve"> </w:t>
      </w:r>
      <w:r>
        <w:t xml:space="preserve">is measured in terms of overall and sectoral progress of required GHG reductions</w:t>
      </w:r>
      <w:r>
        <w:t xml:space="preserve"> </w:t>
      </w:r>
      <w:r>
        <w:t xml:space="preserve">between 2030 and 2050 achieved by 2040 for the different target options. Option 1</w:t>
      </w:r>
      <w:r>
        <w:t xml:space="preserve"> </w:t>
      </w:r>
      <w:r>
        <w:t xml:space="preserve">covers only half the necessary overall reductions throughout the period, with sectoral</w:t>
      </w:r>
      <w:r>
        <w:t xml:space="preserve"> </w:t>
      </w:r>
      <w:r>
        <w:t xml:space="preserve">progress ranging from 9% to 68% only. Compared to the baseline Option 2, Option 1</w:t>
      </w:r>
      <w:r>
        <w:t xml:space="preserve"> </w:t>
      </w:r>
      <w:r>
        <w:t xml:space="preserve">delays to the last decade significant sectoral reductions, including in the hard-to-abate</w:t>
      </w:r>
      <w:r>
        <w:t xml:space="preserve"> </w:t>
      </w:r>
      <w:r>
        <w:t xml:space="preserve">sectors, and the development of carbon removals (see sections 6.1.1 and 6.1.2), putting at</w:t>
      </w:r>
      <w:r>
        <w:t xml:space="preserve"> </w:t>
      </w:r>
      <w:r>
        <w:t xml:space="preserve">risk the achievement of climate neutrality by 2050. Conversely, Option 3 anticipates the</w:t>
      </w:r>
      <w:r>
        <w:t xml:space="preserve"> </w:t>
      </w:r>
      <w:r>
        <w:t xml:space="preserve">importance to implement reductions in all sectors and to deploy carbon removals, with</w:t>
      </w:r>
      <w:r>
        <w:t xml:space="preserve"> </w:t>
      </w:r>
      <w:r>
        <w:t xml:space="preserve">77% of the overall needed reductions over 2030-2050 achieved by 2040, ranging from</w:t>
      </w:r>
      <w:r>
        <w:t xml:space="preserve"> </w:t>
      </w:r>
      <w:r>
        <w:t xml:space="preserve">58% to 93% across sectors, thus securing a higher capacity to deliver climate neutrality</w:t>
      </w:r>
      <w:r>
        <w:t xml:space="preserve"> </w:t>
      </w:r>
      <w:r>
        <w:t xml:space="preserve">by 2050 than Option 2.</w:t>
      </w:r>
      <w:r>
        <w:br/>
      </w:r>
      <w:r>
        <w:t xml:space="preserve">In terms of climate performance and importance to minimise the GHG budget (SO2) to</w:t>
      </w:r>
      <w:r>
        <w:t xml:space="preserve"> </w:t>
      </w:r>
      <w:r>
        <w:t xml:space="preserve">contribute to the global Paris Agreement temperature goals, Option 3 leads to a lower</w:t>
      </w:r>
      <w:r>
        <w:t xml:space="preserve"> </w:t>
      </w:r>
      <w:r>
        <w:t xml:space="preserve">GHG budget over 2030-2050 of at most 16 GtCO2-eq (11% lower than option 2), against</w:t>
      </w:r>
      <w:r>
        <w:t xml:space="preserve"> </w:t>
      </w:r>
      <w:r>
        <w:t xml:space="preserve">18 GtCO2-eq for option 2, and 21 GtCO2-eq for option 1 (17% higher than option 2).</w:t>
      </w:r>
      <w:r>
        <w:br/>
      </w:r>
      <w:r>
        <w:t xml:space="preserve">Table 28: Effectiveness: Delivering climate neutrality and GHG budget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SO1</w:t>
      </w:r>
      <w:r>
        <w:t xml:space="preserve"> </w:t>
      </w:r>
      <w:r>
        <w:t xml:space="preserve">Delivering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</w:t>
      </w:r>
      <w:r>
        <w:t xml:space="preserve"> </w:t>
      </w:r>
      <w:r>
        <w:t xml:space="preserve">GHGs reductions</w:t>
      </w:r>
      <w:r>
        <w:t xml:space="preserve"> </w:t>
      </w:r>
      <w:r>
        <w:t xml:space="preserve">achieved in 2040 as a %</w:t>
      </w:r>
      <w:r>
        <w:t xml:space="preserve"> </w:t>
      </w:r>
      <w:r>
        <w:t xml:space="preserve">of needed over 2031-</w:t>
      </w:r>
      <w:r>
        <w:t xml:space="preserve"> </w:t>
      </w:r>
      <w:r>
        <w:t xml:space="preserve">2050</w:t>
      </w:r>
      <w:r>
        <w:t xml:space="preserve"> </w:t>
      </w:r>
      <w:r>
        <w:t xml:space="preserve">Total net GHGs</w:t>
      </w:r>
      <w:r>
        <w:t xml:space="preserve"> </w:t>
      </w:r>
      <w:r>
        <w:t xml:space="preserve">50%</w:t>
      </w:r>
      <w:r>
        <w:t xml:space="preserve"> </w:t>
      </w:r>
      <w:r>
        <w:t xml:space="preserve">(-15 pp vs</w:t>
      </w:r>
      <w:r>
        <w:t xml:space="preserve"> </w:t>
      </w:r>
      <w:r>
        <w:t xml:space="preserve">Option 2)</w:t>
      </w:r>
      <w:r>
        <w:t xml:space="preserve"> </w:t>
      </w:r>
      <w:r>
        <w:t xml:space="preserve">65%</w:t>
      </w:r>
      <w:r>
        <w:t xml:space="preserve"> </w:t>
      </w:r>
      <w:r>
        <w:t xml:space="preserve">77% (+ 12</w:t>
      </w:r>
      <w:r>
        <w:t xml:space="preserve"> </w:t>
      </w:r>
      <w:r>
        <w:t xml:space="preserve">pp vs Option</w:t>
      </w:r>
      <w:r>
        <w:t xml:space="preserve"> </w:t>
      </w:r>
      <w:r>
        <w:t xml:space="preserve">2)</w:t>
      </w:r>
      <w:r>
        <w:t xml:space="preserve"> </w:t>
      </w:r>
      <w:r>
        <w:t xml:space="preserve">Sectors* (min /</w:t>
      </w:r>
      <w:r>
        <w:t xml:space="preserve"> </w:t>
      </w:r>
      <w:r>
        <w:t xml:space="preserve">max)</w:t>
      </w:r>
      <w:r>
        <w:t xml:space="preserve"> </w:t>
      </w:r>
      <w:r>
        <w:t xml:space="preserve">9% / 68%</w:t>
      </w:r>
      <w:r>
        <w:t xml:space="preserve"> </w:t>
      </w:r>
      <w:r>
        <w:t xml:space="preserve">55% / 88%</w:t>
      </w:r>
      <w:r>
        <w:t xml:space="preserve"> </w:t>
      </w:r>
      <w:r>
        <w:t xml:space="preserve">58% / 93%</w:t>
      </w:r>
    </w:p>
    <w:p>
      <w:pPr>
        <w:pStyle w:val="BodyText"/>
      </w:pPr>
      <w:r>
        <w:t xml:space="preserve">SO2</w:t>
      </w:r>
      <w:r>
        <w:t xml:space="preserve"> </w:t>
      </w:r>
      <w:r>
        <w:t xml:space="preserve">Minimising</w:t>
      </w:r>
      <w:r>
        <w:t xml:space="preserve"> </w:t>
      </w:r>
      <w:r>
        <w:t xml:space="preserve">GHG budget</w:t>
      </w:r>
      <w:r>
        <w:t xml:space="preserve"> </w:t>
      </w:r>
      <w:r>
        <w:t xml:space="preserve">Cumulative GHG emissions over 2030-2050</w:t>
      </w:r>
      <w:r>
        <w:t xml:space="preserve"> </w:t>
      </w:r>
      <w:r>
        <w:t xml:space="preserve">(GtCO2-eq)</w:t>
      </w:r>
      <w:r>
        <w:t xml:space="preserve"> </w:t>
      </w:r>
      <w:r>
        <w:t xml:space="preserve">21 (+17% vs</w:t>
      </w:r>
      <w:r>
        <w:t xml:space="preserve"> </w:t>
      </w:r>
      <w:r>
        <w:t xml:space="preserve">Option 2)</w:t>
      </w:r>
      <w:r>
        <w:t xml:space="preserve"> </w:t>
      </w:r>
      <w:r>
        <w:t xml:space="preserve">18</w:t>
      </w:r>
      <w:r>
        <w:t xml:space="preserve"> </w:t>
      </w:r>
      <w:r>
        <w:t xml:space="preserve">16 (-11% vs</w:t>
      </w:r>
      <w:r>
        <w:t xml:space="preserve"> </w:t>
      </w:r>
      <w:r>
        <w:t xml:space="preserve">Option 2)</w:t>
      </w:r>
      <w:r>
        <w:t xml:space="preserve"> </w:t>
      </w:r>
      <w:r>
        <w:t xml:space="preserve">Note: *Sectors described in section 6.1.1. **Assuming net zero being reached in 2050 and linear interpolation of net GHGs</w:t>
      </w:r>
      <w:r>
        <w:t xml:space="preserve"> </w:t>
      </w:r>
      <w:r>
        <w:t xml:space="preserve">between 2030 and 2040 and between 2040 and 2050.</w:t>
      </w:r>
    </w:p>
    <w:p>
      <w:pPr>
        <w:pStyle w:val="BodyText"/>
      </w:pPr>
      <w:r>
        <w:t xml:space="preserve">In terms of just transition (SO3), the difference in energy costs for households is limited</w:t>
      </w:r>
      <w:r>
        <w:t xml:space="preserve"> </w:t>
      </w:r>
      <w:r>
        <w:t xml:space="preserve">compared to Option 2. Option 1 is lower by 1.4% in the residential sector (1.5% for low-</w:t>
      </w:r>
      <w:r>
        <w:t xml:space="preserve"> </w:t>
      </w:r>
      <w:r>
        <w:t xml:space="preserve">income households) and by 1.5% in road transport. Energy costs for households under</w:t>
      </w:r>
      <w:r>
        <w:t xml:space="preserve"> </w:t>
      </w:r>
      <w:r>
        <w:t xml:space="preserve">Option 3 are 1% higher in the residential sector (also for low-income households) and</w:t>
      </w:r>
      <w:r>
        <w:t xml:space="preserve"> </w:t>
      </w:r>
      <w:r>
        <w:t xml:space="preserve">1.9% higher in road transport.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The effect of competitiveness (SO4) is measured by the overall energy system cost, the</w:t>
      </w:r>
      <w:r>
        <w:t xml:space="preserve"> </w:t>
      </w:r>
      <w:r>
        <w:t xml:space="preserve">economic output (total GDP and Energy intensive industries) and by the shares on global</w:t>
      </w:r>
      <w:r>
        <w:t xml:space="preserve"> </w:t>
      </w:r>
      <w:r>
        <w:t xml:space="preserve">trade. Overall, the difference between options is limited on all these criteria, and even</w:t>
      </w:r>
      <w:r>
        <w:t xml:space="preserve"> </w:t>
      </w:r>
      <w:r>
        <w:t xml:space="preserve">more so between option 3 and the baseline target option 2.</w:t>
      </w:r>
      <w:r>
        <w:t xml:space="preserve"> </w:t>
      </w:r>
      <w:r>
        <w:t xml:space="preserve">The overall energy system cost over 2031-2040 is 1.5% higher in option 3 than in option</w:t>
      </w:r>
      <w:r>
        <w:t xml:space="preserve"> </w:t>
      </w:r>
      <w:r>
        <w:t xml:space="preserve">2, while it is 2.1% lower in option 1 (Table 29).</w:t>
      </w:r>
      <w:r>
        <w:t xml:space="preserve"> </w:t>
      </w:r>
      <w:r>
        <w:t xml:space="preserve">For industry, total energy system costs in 2031-2040 are 2.3% higher in option 3 than in</w:t>
      </w:r>
      <w:r>
        <w:t xml:space="preserve"> </w:t>
      </w:r>
      <w:r>
        <w:t xml:space="preserve">option 2, and 3.4% lower in option 1 (see Annex 8). For the tertiary sector, they are 0.5%</w:t>
      </w:r>
      <w:r>
        <w:t xml:space="preserve"> </w:t>
      </w:r>
      <w:r>
        <w:t xml:space="preserve">higher in option 3 and 0.5% lower in option 1. For the time period 2041-2050, these</w:t>
      </w:r>
      <w:r>
        <w:t xml:space="preserve"> </w:t>
      </w:r>
      <w:r>
        <w:t xml:space="preserve">differences are smaller and even reverse: for industry, total energy system costs are then</w:t>
      </w:r>
      <w:r>
        <w:t xml:space="preserve"> </w:t>
      </w:r>
      <w:r>
        <w:t xml:space="preserve">0.6% higher in option 3 than in option 2, and 1.1% lower in option 1. For the tertiary</w:t>
      </w:r>
      <w:r>
        <w:t xml:space="preserve"> </w:t>
      </w:r>
      <w:r>
        <w:t xml:space="preserve">sector, they are 0.3% lower in option 3 and 0.2 higher in option 1. For energy intensive</w:t>
      </w:r>
      <w:r>
        <w:t xml:space="preserve"> </w:t>
      </w:r>
      <w:r>
        <w:t xml:space="preserve">industries, the share of energy-related costs in total production costs vary between 10.2%</w:t>
      </w:r>
      <w:r>
        <w:t xml:space="preserve"> </w:t>
      </w:r>
      <w:r>
        <w:t xml:space="preserve">in option 1 and 11% in option 3 for the time period 2031-2040.</w:t>
      </w:r>
      <w:r>
        <w:t xml:space="preserve"> </w:t>
      </w:r>
      <w:r>
        <w:t xml:space="preserve">This translates into very limited difference in terms of overall macro-economic impact,</w:t>
      </w:r>
      <w:r>
        <w:t xml:space="preserve"> </w:t>
      </w:r>
      <w:r>
        <w:t xml:space="preserve">with option 3 showing a very minor negative deviation in GDP of -0.2% compared with</w:t>
      </w:r>
      <w:r>
        <w:t xml:space="preserve"> </w:t>
      </w:r>
      <w:r>
        <w:t xml:space="preserve">option 2, and option 1 showing a slight positive deviation of 0.5% compared to option 2.</w:t>
      </w:r>
      <w:r>
        <w:t xml:space="preserve"> </w:t>
      </w:r>
      <w:r>
        <w:t xml:space="preserve">By 2050, there is no difference in GDP levels across scenarios as the impacts are</w:t>
      </w:r>
      <w:r>
        <w:t xml:space="preserve"> </w:t>
      </w:r>
      <w:r>
        <w:t xml:space="preserve">transitory.</w:t>
      </w:r>
      <w:r>
        <w:t xml:space="preserve"> </w:t>
      </w:r>
      <w:r>
        <w:t xml:space="preserve">The options also differ little in terms of economic output of key EU sectors. For example,</w:t>
      </w:r>
      <w:r>
        <w:t xml:space="preserve"> </w:t>
      </w:r>
      <w:r>
        <w:t xml:space="preserve">for energy intensive industries, it is projected to be 0.2% lower under option 3 than</w:t>
      </w:r>
      <w:r>
        <w:t xml:space="preserve"> </w:t>
      </w:r>
      <w:r>
        <w:t xml:space="preserve">option 2, and 1.4% higher under option 1. As also highlighted by certain stakeholders,</w:t>
      </w:r>
      <w:r>
        <w:t xml:space="preserve"> </w:t>
      </w:r>
      <w:r>
        <w:t xml:space="preserve">what matters more for these industries and other export-oriented sectors than the EU</w:t>
      </w:r>
      <w:r>
        <w:t xml:space="preserve"> </w:t>
      </w:r>
      <w:r>
        <w:t xml:space="preserve">target per se, is the extent to which the industrial sector decarbonises in the rest of the</w:t>
      </w:r>
      <w:r>
        <w:t xml:space="preserve"> </w:t>
      </w:r>
      <w:r>
        <w:t xml:space="preserve">world, both in terms of processes and power supply. In the context of higher mitigation</w:t>
      </w:r>
      <w:r>
        <w:t xml:space="preserve"> </w:t>
      </w:r>
      <w:r>
        <w:t xml:space="preserve">ambition in the rest of the world, output under option 1 is 2.3% lower than under option</w:t>
      </w:r>
      <w:r>
        <w:t xml:space="preserve"> </w:t>
      </w:r>
      <w:r>
        <w:t xml:space="preserve">2. In option 3, it is almost at the same level as in option 2. This is due to first-mover</w:t>
      </w:r>
      <w:r>
        <w:t xml:space="preserve"> </w:t>
      </w:r>
      <w:r>
        <w:t xml:space="preserve">advantages that benefit EU industries.</w:t>
      </w:r>
      <w:r>
        <w:br/>
      </w:r>
      <w:r>
        <w:t xml:space="preserve">Finally, the EU share in global exports varies little across options, with long-term trends</w:t>
      </w:r>
      <w:r>
        <w:t xml:space="preserve"> </w:t>
      </w:r>
      <w:r>
        <w:t xml:space="preserve">dominated by other factors such as regional trade dynamics and trade agreements, or the</w:t>
      </w:r>
      <w:r>
        <w:t xml:space="preserve"> </w:t>
      </w:r>
      <w:r>
        <w:t xml:space="preserve">declining relative share of the EU’s population and GDP globally. Higher ambition under</w:t>
      </w:r>
      <w:r>
        <w:t xml:space="preserve"> </w:t>
      </w:r>
      <w:r>
        <w:t xml:space="preserve">Option 3 generates a marginal 0.1 percentage point decrease in the EU’s share in global</w:t>
      </w:r>
      <w:r>
        <w:t xml:space="preserve"> </w:t>
      </w:r>
      <w:r>
        <w:t xml:space="preserve">exports compared to Option 2, with Option 1 yielding only a 0.2 percentage point</w:t>
      </w:r>
      <w:r>
        <w:t xml:space="preserve"> </w:t>
      </w:r>
      <w:r>
        <w:t xml:space="preserve">increase.</w:t>
      </w:r>
      <w:r>
        <w:t xml:space="preserve"> </w:t>
      </w:r>
      <w:r>
        <w:t xml:space="preserve">Section 7.1.2 discusses the financial feasibility for the different actors.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Table 29: Just transition and Competitiveness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Option 1 vs 2</w:t>
      </w:r>
      <w:r>
        <w:t xml:space="preserve"> </w:t>
      </w:r>
      <w:r>
        <w:t xml:space="preserve">Option 3 vs 2</w:t>
      </w:r>
      <w:r>
        <w:t xml:space="preserve"> </w:t>
      </w:r>
      <w:r>
        <w:t xml:space="preserve">SO3</w:t>
      </w:r>
      <w:r>
        <w:t xml:space="preserve"> </w:t>
      </w:r>
      <w:r>
        <w:t xml:space="preserve">Just transition</w:t>
      </w:r>
      <w:r>
        <w:t xml:space="preserve"> </w:t>
      </w:r>
      <w:r>
        <w:t xml:space="preserve">Cost for</w:t>
      </w:r>
      <w:r>
        <w:t xml:space="preserve"> </w:t>
      </w:r>
      <w:r>
        <w:t xml:space="preserve">households</w:t>
      </w:r>
      <w:r>
        <w:t xml:space="preserve"> </w:t>
      </w:r>
      <w:r>
        <w:t xml:space="preserve">(2031-2040)</w:t>
      </w:r>
      <w:r>
        <w:t xml:space="preserve"> </w:t>
      </w:r>
      <w:r>
        <w:t xml:space="preserve">Residential</w:t>
      </w:r>
      <w:r>
        <w:t xml:space="preserve"> </w:t>
      </w:r>
      <w:r>
        <w:t xml:space="preserve">Average</w:t>
      </w:r>
      <w:r>
        <w:t xml:space="preserve"> </w:t>
      </w:r>
      <w:r>
        <w:t xml:space="preserve">-1.4%</w:t>
      </w:r>
      <w:r>
        <w:t xml:space="preserve"> </w:t>
      </w:r>
      <w:r>
        <w:t xml:space="preserve">+1.0%</w:t>
      </w:r>
      <w:r>
        <w:t xml:space="preserve"> </w:t>
      </w:r>
      <w:r>
        <w:t xml:space="preserve">Low income</w:t>
      </w:r>
      <w:r>
        <w:t xml:space="preserve"> </w:t>
      </w:r>
      <w:r>
        <w:t xml:space="preserve">-1.5%</w:t>
      </w:r>
      <w:r>
        <w:t xml:space="preserve"> </w:t>
      </w:r>
      <w:r>
        <w:t xml:space="preserve">+1.0%</w:t>
      </w:r>
      <w:r>
        <w:t xml:space="preserve"> </w:t>
      </w:r>
      <w:r>
        <w:t xml:space="preserve">Road transport</w:t>
      </w:r>
      <w:r>
        <w:t xml:space="preserve"> </w:t>
      </w:r>
      <w:r>
        <w:t xml:space="preserve">Average</w:t>
      </w:r>
      <w:r>
        <w:t xml:space="preserve"> </w:t>
      </w:r>
      <w:r>
        <w:t xml:space="preserve">-1.5%</w:t>
      </w:r>
      <w:r>
        <w:t xml:space="preserve"> </w:t>
      </w:r>
      <w:r>
        <w:t xml:space="preserve">+1.9%</w:t>
      </w:r>
    </w:p>
    <w:p>
      <w:pPr>
        <w:pStyle w:val="BodyText"/>
      </w:pPr>
      <w:r>
        <w:t xml:space="preserve">SO4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Total system cost (annual average 2031-2040)</w:t>
      </w:r>
      <w:r>
        <w:t xml:space="preserve"> </w:t>
      </w:r>
      <w:r>
        <w:t xml:space="preserve">-2.1%</w:t>
      </w:r>
      <w:r>
        <w:t xml:space="preserve"> </w:t>
      </w:r>
      <w:r>
        <w:t xml:space="preserve">+1.5%</w:t>
      </w:r>
      <w:r>
        <w:t xml:space="preserve"> </w:t>
      </w:r>
      <w:r>
        <w:t xml:space="preserve">Economic</w:t>
      </w:r>
      <w:r>
        <w:t xml:space="preserve"> </w:t>
      </w:r>
      <w:r>
        <w:t xml:space="preserve">output* (2040)</w:t>
      </w:r>
      <w:r>
        <w:t xml:space="preserve"> </w:t>
      </w:r>
      <w:r>
        <w:t xml:space="preserve">GDP</w:t>
      </w:r>
      <w:r>
        <w:t xml:space="preserve"> </w:t>
      </w:r>
      <w:r>
        <w:t xml:space="preserve">+0.5%</w:t>
      </w:r>
      <w:r>
        <w:t xml:space="preserve"> </w:t>
      </w:r>
      <w:r>
        <w:t xml:space="preserve">-0.2%</w:t>
      </w:r>
      <w:r>
        <w:t xml:space="preserve"> </w:t>
      </w:r>
      <w:r>
        <w:t xml:space="preserve">EIIs</w:t>
      </w:r>
    </w:p>
    <w:p>
      <w:pPr>
        <w:pStyle w:val="BodyText"/>
      </w:pPr>
      <w:r>
        <w:t xml:space="preserve">+1.4%</w:t>
      </w:r>
      <w:r>
        <w:t xml:space="preserve"> </w:t>
      </w:r>
      <w:r>
        <w:t xml:space="preserve">-0.2%</w:t>
      </w:r>
      <w:r>
        <w:t xml:space="preserve"> </w:t>
      </w:r>
      <w:r>
        <w:t xml:space="preserve">EU shares in global exports (% of world trade, 2040)</w:t>
      </w:r>
    </w:p>
    <w:p>
      <w:pPr>
        <w:pStyle w:val="BodyText"/>
      </w:pPr>
      <w:r>
        <w:t xml:space="preserve">+0.2 pp</w:t>
      </w:r>
      <w:r>
        <w:t xml:space="preserve"> </w:t>
      </w:r>
      <w:r>
        <w:t xml:space="preserve">-0.1 pp</w:t>
      </w:r>
      <w:r>
        <w:t xml:space="preserve"> </w:t>
      </w:r>
      <w:r>
        <w:t xml:space="preserve">Note: *Considering fragmented climate action in the rest of the world.</w:t>
      </w:r>
      <w:r>
        <w:t xml:space="preserve"> </w:t>
      </w:r>
      <w:r>
        <w:t xml:space="preserve">In terms of deployment of technologies (SO5), option 3 already deploys more than half</w:t>
      </w:r>
      <w:r>
        <w:t xml:space="preserve"> </w:t>
      </w:r>
      <w:r>
        <w:t xml:space="preserve">(54%) of the investment needs to get to climate neutrality by 2050 by 2040, against 48%</w:t>
      </w:r>
      <w:r>
        <w:t xml:space="preserve"> </w:t>
      </w:r>
      <w:r>
        <w:t xml:space="preserve">in Option 2. With only 43% of the investment needs by 2040, Option 1 delays the</w:t>
      </w:r>
      <w:r>
        <w:t xml:space="preserve"> </w:t>
      </w:r>
      <w:r>
        <w:t xml:space="preserve">technological effort towards the last decade (Table 30).</w:t>
      </w:r>
      <w:r>
        <w:br/>
      </w:r>
      <w:r>
        <w:t xml:space="preserve">Option 3 leads to the deployment by 2040 of almost two thirds of the renewable</w:t>
      </w:r>
      <w:r>
        <w:t xml:space="preserve"> </w:t>
      </w:r>
      <w:r>
        <w:t xml:space="preserve">electricity capacity compatible with climate neutrality by 2050 (against 56% for option</w:t>
      </w:r>
      <w:r>
        <w:t xml:space="preserve"> </w:t>
      </w:r>
      <w:r>
        <w:t xml:space="preserve">2), more than half the needed renewable hydrogen production capacity (41% for option</w:t>
      </w:r>
      <w:r>
        <w:t xml:space="preserve"> </w:t>
      </w:r>
      <w:r>
        <w:t xml:space="preserve">2) and almost three-fourths of the needed carbon capture capacity (against about half for</w:t>
      </w:r>
      <w:r>
        <w:t xml:space="preserve"> </w:t>
      </w:r>
      <w:r>
        <w:t xml:space="preserve">option 2). Conversely, Option 1 delays the deployment of these key technologies to the</w:t>
      </w:r>
      <w:r>
        <w:t xml:space="preserve"> </w:t>
      </w:r>
      <w:r>
        <w:t xml:space="preserve">last decade 2041-2050 (less than half of the renewable capacity installation needs, only</w:t>
      </w:r>
      <w:r>
        <w:t xml:space="preserve"> </w:t>
      </w:r>
      <w:r>
        <w:t xml:space="preserve">about a third of the needed hydrogen production capacity and less than 20% of the carbon</w:t>
      </w:r>
      <w:r>
        <w:t xml:space="preserve"> </w:t>
      </w:r>
      <w:r>
        <w:t xml:space="preserve">capture capacity by 2050 are installed by 2040), thus putting the achievement of climate</w:t>
      </w:r>
      <w:r>
        <w:t xml:space="preserve"> </w:t>
      </w:r>
      <w:r>
        <w:t xml:space="preserve">neutrality by 2050 at risk.</w:t>
      </w:r>
      <w:r>
        <w:br/>
      </w:r>
      <w:r>
        <w:t xml:space="preserve">Section 7.1.2 discusses the technological feasibility for the different actors.</w:t>
      </w:r>
      <w:r>
        <w:br/>
      </w:r>
      <w:r>
        <w:t xml:space="preserve">In terms of security of energy supply (SO6), in 2040 Option 3 has a lower dependence on</w:t>
      </w:r>
      <w:r>
        <w:t xml:space="preserve"> </w:t>
      </w:r>
      <w:r>
        <w:t xml:space="preserve">fossil fuel imports than Option 2 (26% versus 29%). Option 1 still has a dependence on</w:t>
      </w:r>
      <w:r>
        <w:t xml:space="preserve"> </w:t>
      </w:r>
      <w:r>
        <w:t xml:space="preserve">fossil fuels of 34%. This translates into lower fossil fuel import costs for the EU of about</w:t>
      </w:r>
      <w:r>
        <w:t xml:space="preserve"> </w:t>
      </w:r>
      <w:r>
        <w:t xml:space="preserve">EUR 12 billion (annual average over 2031-2040) in Option 3 compared to Option 2,</w:t>
      </w:r>
      <w:r>
        <w:t xml:space="preserve"> </w:t>
      </w:r>
      <w:r>
        <w:t xml:space="preserve">while Option 1 shows about EUR 16 billion higher costs.</w:t>
      </w:r>
      <w:r>
        <w:br/>
      </w:r>
      <w:r>
        <w:t xml:space="preserve">Option 3 shows higher deployment of new technologies, which will lead to a higher</w:t>
      </w:r>
      <w:r>
        <w:t xml:space="preserve"> </w:t>
      </w:r>
      <w:r>
        <w:t xml:space="preserve">consumption of rare and raw materials. However, the nature of these materials allows to</w:t>
      </w:r>
      <w:r>
        <w:t xml:space="preserve"> </w:t>
      </w:r>
      <w:r>
        <w:t xml:space="preserve">a stock to be built up, making the system more resilient than with the combustion of</w:t>
      </w:r>
      <w:r>
        <w:t xml:space="preserve"> </w:t>
      </w:r>
      <w:r>
        <w:t xml:space="preserve">fossil fuel. Moreover, it creates a resource base that can be recycled and reused, which is</w:t>
      </w:r>
      <w:r>
        <w:t xml:space="preserve"> </w:t>
      </w:r>
      <w:r>
        <w:t xml:space="preserve">not possible for fossil fuels. The coherence section (7.3) discusses the interplay with the</w:t>
      </w:r>
      <w:r>
        <w:t xml:space="preserve"> </w:t>
      </w:r>
      <w:r>
        <w:t xml:space="preserve">security of raw materials supply.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Table 30: Effectiveness: Deployment of technologies and security of energy supply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Option 1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</w:t>
      </w:r>
      <w:r>
        <w:t xml:space="preserve"> </w:t>
      </w:r>
      <w:r>
        <w:t xml:space="preserve">SO5</w:t>
      </w:r>
      <w:r>
        <w:t xml:space="preserve"> </w:t>
      </w:r>
      <w:r>
        <w:t xml:space="preserve">Deployment of</w:t>
      </w:r>
      <w:r>
        <w:t xml:space="preserve"> </w:t>
      </w:r>
      <w:r>
        <w:t xml:space="preserve">technologies</w:t>
      </w:r>
      <w:r>
        <w:t xml:space="preserve"> </w:t>
      </w:r>
      <w:r>
        <w:t xml:space="preserve">Investment</w:t>
      </w:r>
      <w:r>
        <w:t xml:space="preserve"> </w:t>
      </w:r>
      <w:r>
        <w:t xml:space="preserve">Progress achieved in 2040 (%</w:t>
      </w:r>
      <w:r>
        <w:t xml:space="preserve"> </w:t>
      </w:r>
      <w:r>
        <w:t xml:space="preserve">2031-2050)</w:t>
      </w:r>
      <w:r>
        <w:t xml:space="preserve"> </w:t>
      </w:r>
      <w:r>
        <w:t xml:space="preserve">43%</w:t>
      </w:r>
      <w:r>
        <w:t xml:space="preserve"> </w:t>
      </w:r>
      <w:r>
        <w:t xml:space="preserve">48%</w:t>
      </w:r>
      <w:r>
        <w:t xml:space="preserve"> </w:t>
      </w:r>
      <w:r>
        <w:t xml:space="preserve">54%</w:t>
      </w:r>
      <w:r>
        <w:t xml:space="preserve"> </w:t>
      </w:r>
      <w:r>
        <w:t xml:space="preserve">RES deployment</w:t>
      </w:r>
      <w:r>
        <w:t xml:space="preserve"> </w:t>
      </w:r>
      <w:r>
        <w:t xml:space="preserve">Progress achieved in 2040 (%</w:t>
      </w:r>
      <w:r>
        <w:t xml:space="preserve"> </w:t>
      </w:r>
      <w:r>
        <w:t xml:space="preserve">2031-2050)</w:t>
      </w:r>
      <w:r>
        <w:t xml:space="preserve"> </w:t>
      </w:r>
      <w:r>
        <w:t xml:space="preserve">47%</w:t>
      </w:r>
      <w:r>
        <w:t xml:space="preserve"> </w:t>
      </w:r>
      <w:r>
        <w:t xml:space="preserve">56%</w:t>
      </w:r>
      <w:r>
        <w:t xml:space="preserve"> </w:t>
      </w:r>
      <w:r>
        <w:t xml:space="preserve">64%</w:t>
      </w:r>
      <w:r>
        <w:t xml:space="preserve"> </w:t>
      </w:r>
      <w:r>
        <w:t xml:space="preserve">H2 production</w:t>
      </w:r>
      <w:r>
        <w:t xml:space="preserve"> </w:t>
      </w:r>
      <w:r>
        <w:t xml:space="preserve">Progress achieved in 2040 (%</w:t>
      </w:r>
      <w:r>
        <w:t xml:space="preserve"> </w:t>
      </w:r>
      <w:r>
        <w:t xml:space="preserve">2050)</w:t>
      </w:r>
      <w:r>
        <w:t xml:space="preserve"> </w:t>
      </w:r>
      <w:r>
        <w:t xml:space="preserve">32%</w:t>
      </w:r>
      <w:r>
        <w:t xml:space="preserve"> </w:t>
      </w:r>
      <w:r>
        <w:t xml:space="preserve">41%</w:t>
      </w:r>
      <w:r>
        <w:t xml:space="preserve"> </w:t>
      </w:r>
      <w:r>
        <w:t xml:space="preserve">54%</w:t>
      </w:r>
      <w:r>
        <w:t xml:space="preserve"> </w:t>
      </w:r>
      <w:r>
        <w:t xml:space="preserve">Carbon capture</w:t>
      </w:r>
      <w:r>
        <w:t xml:space="preserve"> </w:t>
      </w:r>
      <w:r>
        <w:t xml:space="preserve">Progress achieved in 2040 (%</w:t>
      </w:r>
      <w:r>
        <w:t xml:space="preserve"> </w:t>
      </w:r>
      <w:r>
        <w:t xml:space="preserve">2050)</w:t>
      </w:r>
      <w:r>
        <w:t xml:space="preserve"> </w:t>
      </w:r>
      <w:r>
        <w:t xml:space="preserve">19%</w:t>
      </w:r>
      <w:r>
        <w:t xml:space="preserve"> </w:t>
      </w:r>
      <w:r>
        <w:t xml:space="preserve">49%</w:t>
      </w:r>
      <w:r>
        <w:t xml:space="preserve"> </w:t>
      </w:r>
      <w:r>
        <w:t xml:space="preserve">76%</w:t>
      </w:r>
    </w:p>
    <w:p>
      <w:pPr>
        <w:pStyle w:val="BodyText"/>
      </w:pP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Option 1 vs 2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 vs 2</w:t>
      </w:r>
      <w:r>
        <w:t xml:space="preserve"> </w:t>
      </w:r>
      <w:r>
        <w:t xml:space="preserve">SO6</w:t>
      </w:r>
      <w:r>
        <w:t xml:space="preserve"> </w:t>
      </w:r>
      <w:r>
        <w:t xml:space="preserve">Security of</w:t>
      </w:r>
      <w:r>
        <w:t xml:space="preserve"> </w:t>
      </w:r>
      <w:r>
        <w:t xml:space="preserve">energy supply</w:t>
      </w:r>
      <w:r>
        <w:t xml:space="preserve"> </w:t>
      </w:r>
      <w:r>
        <w:t xml:space="preserve">Energy dependence (2040) (Fossil fuels imports / GAE)</w:t>
      </w:r>
      <w:r>
        <w:t xml:space="preserve"> </w:t>
      </w:r>
      <w:r>
        <w:t xml:space="preserve">+5pp</w:t>
      </w:r>
      <w:r>
        <w:t xml:space="preserve"> </w:t>
      </w:r>
      <w:r>
        <w:t xml:space="preserve">29%</w:t>
      </w:r>
      <w:r>
        <w:t xml:space="preserve"> </w:t>
      </w:r>
      <w:r>
        <w:t xml:space="preserve">-3pp</w:t>
      </w:r>
      <w:r>
        <w:t xml:space="preserve"> </w:t>
      </w:r>
      <w:r>
        <w:t xml:space="preserve">Fossil fuel imports costs (2040) (bn EUR 2023)</w:t>
      </w:r>
      <w:r>
        <w:t xml:space="preserve"> </w:t>
      </w:r>
      <w:r>
        <w:t xml:space="preserve">+6%</w:t>
      </w:r>
      <w:r>
        <w:t xml:space="preserve"> </w:t>
      </w:r>
      <w:r>
        <w:t xml:space="preserve">277</w:t>
      </w:r>
      <w:r>
        <w:t xml:space="preserve"> </w:t>
      </w:r>
      <w:r>
        <w:t xml:space="preserve">-4%</w:t>
      </w:r>
    </w:p>
    <w:p>
      <w:pPr>
        <w:pStyle w:val="BodyText"/>
      </w:pPr>
      <w:r>
        <w:t xml:space="preserve">Regarding environmental effectiveness (SO7), Option 3 is very similar to Option 2 on all</w:t>
      </w:r>
      <w:r>
        <w:t xml:space="preserve"> </w:t>
      </w:r>
      <w:r>
        <w:t xml:space="preserve">accounts, while Option 1 shows a slightly lower use of bioenergy by 2040 compared to</w:t>
      </w:r>
      <w:r>
        <w:t xml:space="preserve"> </w:t>
      </w:r>
      <w:r>
        <w:t xml:space="preserve">Option 2. The differences in terms of biodiversity impact are expected to remain very</w:t>
      </w:r>
      <w:r>
        <w:t xml:space="preserve"> </w:t>
      </w:r>
      <w:r>
        <w:t xml:space="preserve">limited across all target options (see sections 6.3.3) - the coherence section (7.3)</w:t>
      </w:r>
      <w:r>
        <w:t xml:space="preserve"> </w:t>
      </w:r>
      <w:r>
        <w:t xml:space="preserve">discusses the risks of trade-offs associated to bioenergy use. Finally, the three target</w:t>
      </w:r>
      <w:r>
        <w:t xml:space="preserve"> </w:t>
      </w:r>
      <w:r>
        <w:t xml:space="preserve">options also yield strong and very similar benefits in terms of improved air quality for</w:t>
      </w:r>
      <w:r>
        <w:t xml:space="preserve"> </w:t>
      </w:r>
      <w:r>
        <w:t xml:space="preserve">ecosystems and health (see sections 6.3.3 and 6.3.2).</w:t>
      </w:r>
      <w:r>
        <w:t xml:space="preserve"> </w:t>
      </w:r>
      <w:r>
        <w:t xml:space="preserve">Table 31: Environmental effectiveness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Option 1 vs 2</w:t>
      </w:r>
      <w:r>
        <w:t xml:space="preserve"> </w:t>
      </w:r>
      <w:r>
        <w:t xml:space="preserve">Option 2</w:t>
      </w:r>
      <w:r>
        <w:t xml:space="preserve"> </w:t>
      </w:r>
      <w:r>
        <w:t xml:space="preserve">Option 3 vs 2</w:t>
      </w:r>
      <w:r>
        <w:t xml:space="preserve"> </w:t>
      </w:r>
      <w:r>
        <w:t xml:space="preserve">SO7</w:t>
      </w:r>
      <w:r>
        <w:t xml:space="preserve"> </w:t>
      </w:r>
      <w:r>
        <w:t xml:space="preserve">Environmental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Gross available energy</w:t>
      </w:r>
      <w:r>
        <w:t xml:space="preserve"> </w:t>
      </w:r>
      <w:r>
        <w:t xml:space="preserve">from biomass (EJ)</w:t>
      </w:r>
      <w:r>
        <w:t xml:space="preserve"> </w:t>
      </w:r>
      <w:r>
        <w:t xml:space="preserve">-1.0</w:t>
      </w:r>
      <w:r>
        <w:t xml:space="preserve"> </w:t>
      </w:r>
      <w:r>
        <w:t xml:space="preserve">8.8</w:t>
      </w:r>
      <w:r>
        <w:t xml:space="preserve"> </w:t>
      </w:r>
      <w:r>
        <w:t xml:space="preserve">+0</w:t>
      </w:r>
      <w:r>
        <w:t xml:space="preserve"> </w:t>
      </w:r>
      <w:r>
        <w:t xml:space="preserve">Biodiversity</w:t>
      </w:r>
      <w:r>
        <w:t xml:space="preserve"> </w:t>
      </w:r>
      <w:r>
        <w:t xml:space="preserve">Differences smaller than 0.2% on biodiversity indicators</w:t>
      </w:r>
      <w:r>
        <w:t xml:space="preserve"> </w:t>
      </w:r>
      <w:r>
        <w:t xml:space="preserve">Air quality</w:t>
      </w:r>
      <w:r>
        <w:t xml:space="preserve"> </w:t>
      </w:r>
      <w:r>
        <w:t xml:space="preserve">Very limited differences across target options, which all show</w:t>
      </w:r>
      <w:r>
        <w:t xml:space="preserve"> </w:t>
      </w:r>
      <w:r>
        <w:t xml:space="preserve">benefits for ecosystems and health compared to current</w:t>
      </w:r>
    </w:p>
    <w:p>
      <w:pPr>
        <w:pStyle w:val="BodyText"/>
      </w:pPr>
      <w:r>
        <w:t xml:space="preserve">7.1.2 Financial and technological feasibility</w:t>
      </w:r>
      <w:r>
        <w:t xml:space="preserve"> </w:t>
      </w:r>
      <w:r>
        <w:t xml:space="preserve">Financial feasibility</w:t>
      </w:r>
      <w:r>
        <w:t xml:space="preserve"> </w:t>
      </w:r>
      <w:r>
        <w:t xml:space="preserve">The up-front investment needs and the associated capital costs are the two key indicators</w:t>
      </w:r>
      <w:r>
        <w:t xml:space="preserve"> </w:t>
      </w:r>
      <w:r>
        <w:t xml:space="preserve">of financial feasibility. Most of the early push in investment in 2031-2040 under S3</w:t>
      </w:r>
      <w:r>
        <w:t xml:space="preserve"> </w:t>
      </w:r>
      <w:r>
        <w:t xml:space="preserve">compared to S2 or S1 that lower the risk of missing 2050 climate objective takes place on</w:t>
      </w:r>
      <w:r>
        <w:t xml:space="preserve"> </w:t>
      </w:r>
      <w:r>
        <w:t xml:space="preserve">the energy supply side, where investors are mainly large private and/or public utilities</w:t>
      </w:r>
      <w:r>
        <w:t xml:space="preserve"> </w:t>
      </w:r>
      <w:r>
        <w:t xml:space="preserve">with good access to finance due to secure and relatively predictable revenue streams. The</w:t>
      </w:r>
      <w:r>
        <w:t xml:space="preserve"> </w:t>
      </w:r>
      <w:r>
        <w:t xml:space="preserve">increase compared to historical investments and the difference across options is much</w:t>
      </w:r>
      <w:r>
        <w:t xml:space="preserve"> </w:t>
      </w:r>
      <w:r>
        <w:t xml:space="preserve">less significant in industry, and takes place in sectors where large companies dominate</w:t>
      </w:r>
      <w:r>
        <w:t xml:space="preserve"> </w:t>
      </w:r>
      <w:r>
        <w:t xml:space="preserve">and where access to long-term finance is likely to be good as well, especially considering</w:t>
      </w:r>
      <w:r>
        <w:t xml:space="preserve"> </w:t>
      </w:r>
      <w:r>
        <w:t xml:space="preserve">a context where industrial policy might be strengthened to maintain a globally</w:t>
      </w:r>
      <w:r>
        <w:t xml:space="preserve"> </w:t>
      </w:r>
      <w:r>
        <w:t xml:space="preserve">competitive industrial base in EU. For buildings the level of investment differs little</w:t>
      </w:r>
      <w:r>
        <w:t xml:space="preserve"> </w:t>
      </w:r>
      <w:r>
        <w:t xml:space="preserve">across options, though the push for gains in energy efficiency will require an increase in</w:t>
      </w:r>
      <w:r>
        <w:t xml:space="preserve"> </w:t>
      </w:r>
      <w:r>
        <w:t xml:space="preserve">the investment to GDP ratio of about 0.4 percentage points in 2031-2040 compared to the</w:t>
      </w:r>
      <w:r>
        <w:t xml:space="preserve"> </w:t>
      </w:r>
      <w:r>
        <w:t xml:space="preserve">level in 2011-2020. A wide range of actors, from individual homeowners to real-estate</w:t>
      </w:r>
      <w:r>
        <w:t xml:space="preserve"> </w:t>
      </w:r>
      <w:r>
        <w:t xml:space="preserve">investors or public authorities (social housing), will be responsible for these investments,</w:t>
      </w:r>
      <w:r>
        <w:t xml:space="preserve"> </w:t>
      </w:r>
      <w:r>
        <w:t xml:space="preserve">with different abilities to access low-cost finance.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Table 32 shows that the annual energy system investment needs (excluding transport) are</w:t>
      </w:r>
      <w:r>
        <w:t xml:space="preserve"> </w:t>
      </w:r>
      <w:r>
        <w:t xml:space="preserve">projected to increase under S2 to 3.3% of GDP in 2031-2040, compared to 1.7% in 2011-</w:t>
      </w:r>
      <w:r>
        <w:t xml:space="preserve"> </w:t>
      </w:r>
      <w:r>
        <w:t xml:space="preserve">2020 (Table 32). Average energy system investment in 2011-2020 was historically low,</w:t>
      </w:r>
      <w:r>
        <w:t xml:space="preserve"> </w:t>
      </w:r>
      <w:r>
        <w:t xml:space="preserve">however, and the increase in the investment to GDP ratio is well within the variability</w:t>
      </w:r>
      <w:r>
        <w:t xml:space="preserve"> </w:t>
      </w:r>
      <w:r>
        <w:t xml:space="preserve">experienced over the past decades. A higher level of climate ambition under S3 in 2040</w:t>
      </w:r>
      <w:r>
        <w:t xml:space="preserve"> </w:t>
      </w:r>
      <w:r>
        <w:t xml:space="preserve">leads to non-negligible, though macro-economically limited, increases in investment</w:t>
      </w:r>
      <w:r>
        <w:t xml:space="preserve"> </w:t>
      </w:r>
      <w:r>
        <w:t xml:space="preserve">needs (excl. transport) during the first decade, i.e., an increase of 0.4 percentage points</w:t>
      </w:r>
      <w:r>
        <w:t xml:space="preserve"> </w:t>
      </w:r>
      <w:r>
        <w:t xml:space="preserve">compared to S2, while S1 leads to a similar decrease of 0.4 percentage points compared</w:t>
      </w:r>
      <w:r>
        <w:t xml:space="preserve"> </w:t>
      </w:r>
      <w:r>
        <w:t xml:space="preserve">to S2. Over the whole period 2031-2050, the three scenarios require a similar level of</w:t>
      </w:r>
      <w:r>
        <w:t xml:space="preserve"> </w:t>
      </w:r>
      <w:r>
        <w:t xml:space="preserve">investment (excluding transport) of 3.2% of GDP.</w:t>
      </w:r>
      <w:r>
        <w:t xml:space="preserve"> </w:t>
      </w:r>
      <w:r>
        <w:t xml:space="preserve">Table 32: Average annual investment needs in 2031-2040 (% of GDP and deviation vs. S2)</w:t>
      </w:r>
    </w:p>
    <w:p>
      <w:pPr>
        <w:pStyle w:val="BodyText"/>
      </w:pPr>
      <w:r>
        <w:t xml:space="preserve">% GDP</w:t>
      </w:r>
      <w:r>
        <w:t xml:space="preserve"> </w:t>
      </w:r>
      <w:r>
        <w:t xml:space="preserve">Deviation vs. S2 (% GDP)</w:t>
      </w:r>
    </w:p>
    <w:p>
      <w:pPr>
        <w:pStyle w:val="BodyText"/>
      </w:pPr>
      <w:r>
        <w:t xml:space="preserve">2011-2020</w:t>
      </w:r>
      <w:r>
        <w:t xml:space="preserve"> </w:t>
      </w:r>
      <w:r>
        <w:t xml:space="preserve">S2</w:t>
      </w:r>
      <w:r>
        <w:t xml:space="preserve"> </w:t>
      </w:r>
      <w:r>
        <w:t xml:space="preserve">S1</w:t>
      </w:r>
      <w:r>
        <w:t xml:space="preserve"> </w:t>
      </w:r>
      <w:r>
        <w:t xml:space="preserve">S3</w:t>
      </w:r>
      <w:r>
        <w:t xml:space="preserve"> </w:t>
      </w:r>
      <w:r>
        <w:t xml:space="preserve">Investment needs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5.8%</w:t>
      </w:r>
      <w:r>
        <w:t xml:space="preserve"> </w:t>
      </w:r>
      <w:r>
        <w:t xml:space="preserve">7.7%</w:t>
      </w:r>
      <w:r>
        <w:t xml:space="preserve"> </w:t>
      </w:r>
      <w:r>
        <w:t xml:space="preserve">-0.37%</w:t>
      </w:r>
      <w:r>
        <w:t xml:space="preserve"> </w:t>
      </w:r>
      <w:r>
        <w:t xml:space="preserve">0.33%</w:t>
      </w:r>
      <w:r>
        <w:t xml:space="preserve"> </w:t>
      </w:r>
      <w:r>
        <w:t xml:space="preserve">Total excluding transport</w:t>
      </w:r>
      <w:r>
        <w:t xml:space="preserve"> </w:t>
      </w:r>
      <w:r>
        <w:t xml:space="preserve">1.7%</w:t>
      </w:r>
      <w:r>
        <w:t xml:space="preserve"> </w:t>
      </w:r>
      <w:r>
        <w:t xml:space="preserve">3.3%</w:t>
      </w:r>
      <w:r>
        <w:t xml:space="preserve"> </w:t>
      </w:r>
      <w:r>
        <w:t xml:space="preserve">-0.39%</w:t>
      </w:r>
      <w:r>
        <w:t xml:space="preserve"> </w:t>
      </w:r>
      <w:r>
        <w:t xml:space="preserve">0.36%</w:t>
      </w:r>
      <w:r>
        <w:t xml:space="preserve"> </w:t>
      </w:r>
      <w:r>
        <w:t xml:space="preserve">Supply</w:t>
      </w:r>
      <w:r>
        <w:t xml:space="preserve"> </w:t>
      </w:r>
      <w:r>
        <w:t xml:space="preserve">0.5%</w:t>
      </w:r>
      <w:r>
        <w:t xml:space="preserve"> </w:t>
      </w:r>
      <w:r>
        <w:t xml:space="preserve">1.5%</w:t>
      </w:r>
      <w:r>
        <w:t xml:space="preserve"> </w:t>
      </w:r>
      <w:r>
        <w:t xml:space="preserve">-0.27%</w:t>
      </w:r>
      <w:r>
        <w:t xml:space="preserve"> </w:t>
      </w:r>
      <w:r>
        <w:t xml:space="preserve">0.27%</w:t>
      </w:r>
      <w:r>
        <w:t xml:space="preserve"> </w:t>
      </w:r>
      <w:r>
        <w:t xml:space="preserve">Industry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-0.04%</w:t>
      </w:r>
      <w:r>
        <w:t xml:space="preserve"> </w:t>
      </w:r>
      <w:r>
        <w:t xml:space="preserve">0.01%</w:t>
      </w:r>
      <w:r>
        <w:t xml:space="preserve"> </w:t>
      </w:r>
      <w:r>
        <w:t xml:space="preserve">Residential</w:t>
      </w:r>
      <w:r>
        <w:t xml:space="preserve"> </w:t>
      </w:r>
      <w:r>
        <w:t xml:space="preserve">0.8%</w:t>
      </w:r>
      <w:r>
        <w:t xml:space="preserve"> </w:t>
      </w:r>
      <w:r>
        <w:t xml:space="preserve">1.2%</w:t>
      </w:r>
      <w:r>
        <w:t xml:space="preserve"> </w:t>
      </w:r>
      <w:r>
        <w:t xml:space="preserve">-0.06%</w:t>
      </w:r>
      <w:r>
        <w:t xml:space="preserve"> </w:t>
      </w:r>
      <w:r>
        <w:t xml:space="preserve">0.06%</w:t>
      </w:r>
      <w:r>
        <w:t xml:space="preserve"> </w:t>
      </w:r>
      <w:r>
        <w:t xml:space="preserve">Services</w:t>
      </w:r>
      <w:r>
        <w:t xml:space="preserve"> </w:t>
      </w:r>
      <w:r>
        <w:t xml:space="preserve">0.2%</w:t>
      </w:r>
      <w:r>
        <w:t xml:space="preserve"> </w:t>
      </w:r>
      <w:r>
        <w:t xml:space="preserve">0.3%</w:t>
      </w:r>
      <w:r>
        <w:t xml:space="preserve"> </w:t>
      </w:r>
      <w:r>
        <w:t xml:space="preserve">-0.02%</w:t>
      </w:r>
      <w:r>
        <w:t xml:space="preserve"> </w:t>
      </w:r>
      <w:r>
        <w:t xml:space="preserve">0.02%</w:t>
      </w:r>
      <w:r>
        <w:t xml:space="preserve"> </w:t>
      </w:r>
      <w:r>
        <w:t xml:space="preserve">Agriculture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0.00%</w:t>
      </w:r>
      <w:r>
        <w:t xml:space="preserve"> </w:t>
      </w:r>
      <w:r>
        <w:t xml:space="preserve">0.00%</w:t>
      </w:r>
      <w:r>
        <w:t xml:space="preserve"> </w:t>
      </w:r>
      <w:r>
        <w:t xml:space="preserve">Transport</w:t>
      </w:r>
      <w:r>
        <w:t xml:space="preserve"> </w:t>
      </w:r>
      <w:r>
        <w:t xml:space="preserve">4.2%</w:t>
      </w:r>
      <w:r>
        <w:t xml:space="preserve"> </w:t>
      </w:r>
      <w:r>
        <w:t xml:space="preserve">4.4%</w:t>
      </w:r>
      <w:r>
        <w:t xml:space="preserve"> </w:t>
      </w:r>
      <w:r>
        <w:t xml:space="preserve">0.02%</w:t>
      </w:r>
      <w:r>
        <w:t xml:space="preserve"> </w:t>
      </w:r>
      <w:r>
        <w:t xml:space="preserve">-0.02%</w:t>
      </w:r>
      <w:r>
        <w:t xml:space="preserve"> </w:t>
      </w:r>
      <w:r>
        <w:t xml:space="preserve">Source: PRIMES.</w:t>
      </w:r>
      <w:r>
        <w:t xml:space="preserve"> </w:t>
      </w:r>
      <w:r>
        <w:t xml:space="preserve">The supply side accounts for the largest differences between the scenarios (+/-</w:t>
      </w:r>
      <w:r>
        <w:t xml:space="preserve"> </w:t>
      </w:r>
      <w:r>
        <w:t xml:space="preserve">0.27 percentage point of GDP lower or higher than S2 for S1 and S3, respectively).</w:t>
      </w:r>
      <w:r>
        <w:t xml:space="preserve"> </w:t>
      </w:r>
      <w:r>
        <w:t xml:space="preserve">While SMEs and households will play a role in the deployment of renewables, the vast</w:t>
      </w:r>
      <w:r>
        <w:t xml:space="preserve"> </w:t>
      </w:r>
      <w:r>
        <w:t xml:space="preserve">majority of investment on the supply side will be carried out by large private and/or</w:t>
      </w:r>
      <w:r>
        <w:t xml:space="preserve"> </w:t>
      </w:r>
      <w:r>
        <w:t xml:space="preserve">public utilities. The latter have good access to finance on favourable terms, including</w:t>
      </w:r>
      <w:r>
        <w:t xml:space="preserve"> </w:t>
      </w:r>
      <w:r>
        <w:t xml:space="preserve">because their financial flows are relatively secure and predictable, which makes them</w:t>
      </w:r>
      <w:r>
        <w:t xml:space="preserve"> </w:t>
      </w:r>
      <w:r>
        <w:t xml:space="preserve">good candidates to access long-term finance from players like insurance companies or</w:t>
      </w:r>
      <w:r>
        <w:t xml:space="preserve"> </w:t>
      </w:r>
      <w:r>
        <w:t xml:space="preserve">pension funds. The development of green finance instruments will nevertheless be</w:t>
      </w:r>
      <w:r>
        <w:t xml:space="preserve"> </w:t>
      </w:r>
      <w:r>
        <w:t xml:space="preserve">important to ensure that funding is indeed available. In industry, large businesses will</w:t>
      </w:r>
      <w:r>
        <w:t xml:space="preserve"> </w:t>
      </w:r>
      <w:r>
        <w:t xml:space="preserve">bear a significant share of the increase in investment needs. They are likely to have good</w:t>
      </w:r>
      <w:r>
        <w:t xml:space="preserve"> </w:t>
      </w:r>
      <w:r>
        <w:t xml:space="preserve">access to long-term finance and other supports to enhance their competitiveness, and the</w:t>
      </w:r>
      <w:r>
        <w:t xml:space="preserve"> </w:t>
      </w:r>
      <w:r>
        <w:t xml:space="preserve">difference in investment needs across options is quite limited, at +0.05 percentage points</w:t>
      </w:r>
      <w:r>
        <w:t xml:space="preserve"> </w:t>
      </w:r>
      <w:r>
        <w:t xml:space="preserve">of GDP between S1 and S3.</w:t>
      </w:r>
      <w:r>
        <w:br/>
      </w:r>
      <w:r>
        <w:t xml:space="preserve">After energy supply, the residential sector is the sector where investment needs increase</w:t>
      </w:r>
      <w:r>
        <w:t xml:space="preserve"> </w:t>
      </w:r>
      <w:r>
        <w:t xml:space="preserve">the most across options (+/- 0.06 percentage point of GDP lower or higher for S1 and S3,</w:t>
      </w:r>
      <w:r>
        <w:t xml:space="preserve"> </w:t>
      </w:r>
      <w:r>
        <w:t xml:space="preserve">respectively). While the range between S1 and S3 is relatively limited at 0.12 percentage</w:t>
      </w:r>
      <w:r>
        <w:t xml:space="preserve"> </w:t>
      </w:r>
      <w:r>
        <w:t xml:space="preserve">points of GDP, it comes on top of a 0.4 percentage point increase between the average</w:t>
      </w:r>
      <w:r>
        <w:t xml:space="preserve"> </w:t>
      </w:r>
      <w:r>
        <w:t xml:space="preserve">for 2011-2020 and the average under scenario 2 for 2031-2040. The feasibility of the</w:t>
      </w:r>
      <w:r>
        <w:t xml:space="preserve"> </w:t>
      </w:r>
      <w:r>
        <w:t xml:space="preserve">increase in renovation investments will hinge upon a range of factors that go well beyond</w:t>
      </w:r>
      <w:r>
        <w:t xml:space="preserve"> </w:t>
      </w:r>
      <w:r>
        <w:t xml:space="preserve">financial issues, some of which are independent from the level of climate ambition, for</w:t>
      </w:r>
      <w:r>
        <w:t xml:space="preserve"> </w:t>
      </w:r>
      <w:r>
        <w:t xml:space="preserve">example, the level of awareness or information on renovation options among households,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knowledge about and confidence in contractors. In terms of financial feasibility, the</w:t>
      </w:r>
      <w:r>
        <w:t xml:space="preserve"> </w:t>
      </w:r>
      <w:r>
        <w:t xml:space="preserve">situation will also differ widely according to household type and income level, and</w:t>
      </w:r>
      <w:r>
        <w:t xml:space="preserve"> </w:t>
      </w:r>
      <w:r>
        <w:t xml:space="preserve">whether renovations are driven by individual homeowners or larger companies or public</w:t>
      </w:r>
      <w:r>
        <w:t xml:space="preserve"> </w:t>
      </w:r>
      <w:r>
        <w:t xml:space="preserve">authorities owning real estate assets. In any case, a strong enabling framework will be</w:t>
      </w:r>
      <w:r>
        <w:t xml:space="preserve"> </w:t>
      </w:r>
      <w:r>
        <w:t xml:space="preserve">needed to ensure access to finance at affordable costs for homeowners, or direct support</w:t>
      </w:r>
      <w:r>
        <w:t xml:space="preserve"> </w:t>
      </w:r>
      <w:r>
        <w:t xml:space="preserve">from public budgets.</w:t>
      </w:r>
      <w:r>
        <w:t xml:space="preserve"> </w:t>
      </w:r>
      <w:r>
        <w:t xml:space="preserve">Table 33: Average annual investment needs (excluding transport) and capital costs (billion</w:t>
      </w:r>
      <w:r>
        <w:t xml:space="preserve"> </w:t>
      </w:r>
      <w:r>
        <w:t xml:space="preserve">EUR 2023 and deviation from S2)</w:t>
      </w:r>
    </w:p>
    <w:p>
      <w:pPr>
        <w:pStyle w:val="BodyText"/>
      </w:pPr>
      <w:r>
        <w:t xml:space="preserve">S2</w:t>
      </w:r>
      <w:r>
        <w:t xml:space="preserve"> </w:t>
      </w:r>
      <w:r>
        <w:t xml:space="preserve">S1 vs. S2 (bn EUR)</w:t>
      </w:r>
      <w:r>
        <w:t xml:space="preserve"> </w:t>
      </w:r>
      <w:r>
        <w:t xml:space="preserve">S3 vs. S2 (bn EUR)</w:t>
      </w:r>
    </w:p>
    <w:p>
      <w:pPr>
        <w:pStyle w:val="BodyText"/>
      </w:pP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Up-front</w:t>
      </w:r>
      <w:r>
        <w:t xml:space="preserve"> </w:t>
      </w:r>
      <w:r>
        <w:t xml:space="preserve">investment</w:t>
      </w:r>
    </w:p>
    <w:p>
      <w:pPr>
        <w:pStyle w:val="BodyText"/>
      </w:pPr>
      <w:r>
        <w:t xml:space="preserve">Supply</w:t>
      </w:r>
      <w:r>
        <w:t xml:space="preserve"> </w:t>
      </w:r>
      <w:r>
        <w:t xml:space="preserve">289</w:t>
      </w:r>
      <w:r>
        <w:t xml:space="preserve"> </w:t>
      </w:r>
      <w:r>
        <w:t xml:space="preserve">328</w:t>
      </w:r>
      <w:r>
        <w:t xml:space="preserve"> </w:t>
      </w:r>
      <w:r>
        <w:t xml:space="preserve">308</w:t>
      </w:r>
      <w:r>
        <w:t xml:space="preserve"> </w:t>
      </w:r>
      <w:r>
        <w:t xml:space="preserve">-53</w:t>
      </w:r>
      <w:r>
        <w:t xml:space="preserve"> </w:t>
      </w:r>
      <w:r>
        <w:t xml:space="preserve">+49</w:t>
      </w:r>
      <w:r>
        <w:t xml:space="preserve"> </w:t>
      </w:r>
      <w:r>
        <w:t xml:space="preserve">-2</w:t>
      </w:r>
      <w:r>
        <w:t xml:space="preserve"> </w:t>
      </w:r>
      <w:r>
        <w:t xml:space="preserve">+52</w:t>
      </w:r>
      <w:r>
        <w:t xml:space="preserve"> </w:t>
      </w:r>
      <w:r>
        <w:t xml:space="preserve">-46</w:t>
      </w:r>
      <w:r>
        <w:t xml:space="preserve"> </w:t>
      </w:r>
      <w:r>
        <w:t xml:space="preserve">+3</w:t>
      </w:r>
      <w:r>
        <w:t xml:space="preserve"> </w:t>
      </w:r>
      <w:r>
        <w:t xml:space="preserve">Demand</w:t>
      </w:r>
      <w:r>
        <w:br/>
      </w:r>
      <w:r>
        <w:t xml:space="preserve">355</w:t>
      </w:r>
      <w:r>
        <w:t xml:space="preserve"> </w:t>
      </w:r>
      <w:r>
        <w:t xml:space="preserve">357</w:t>
      </w:r>
      <w:r>
        <w:t xml:space="preserve"> </w:t>
      </w:r>
      <w:r>
        <w:t xml:space="preserve">356</w:t>
      </w:r>
      <w:r>
        <w:t xml:space="preserve"> </w:t>
      </w:r>
      <w:r>
        <w:t xml:space="preserve">-23</w:t>
      </w:r>
      <w:r>
        <w:t xml:space="preserve"> </w:t>
      </w:r>
      <w:r>
        <w:t xml:space="preserve">+20</w:t>
      </w:r>
      <w:r>
        <w:t xml:space="preserve"> </w:t>
      </w:r>
      <w:r>
        <w:t xml:space="preserve">-2</w:t>
      </w:r>
      <w:r>
        <w:t xml:space="preserve"> </w:t>
      </w:r>
      <w:r>
        <w:t xml:space="preserve">+18</w:t>
      </w:r>
      <w:r>
        <w:t xml:space="preserve"> </w:t>
      </w:r>
      <w:r>
        <w:t xml:space="preserve">-19</w:t>
      </w:r>
      <w:r>
        <w:t xml:space="preserve"> </w:t>
      </w:r>
      <w:r>
        <w:t xml:space="preserve">-1</w:t>
      </w:r>
      <w:r>
        <w:t xml:space="preserve"> </w:t>
      </w:r>
      <w:r>
        <w:t xml:space="preserve">Industry</w:t>
      </w:r>
      <w:r>
        <w:t xml:space="preserve"> </w:t>
      </w:r>
      <w:r>
        <w:t xml:space="preserve">46</w:t>
      </w:r>
      <w:r>
        <w:t xml:space="preserve"> </w:t>
      </w:r>
      <w:r>
        <w:t xml:space="preserve">24</w:t>
      </w:r>
      <w:r>
        <w:t xml:space="preserve"> </w:t>
      </w:r>
      <w:r>
        <w:t xml:space="preserve">35</w:t>
      </w:r>
      <w:r>
        <w:t xml:space="preserve"> </w:t>
      </w:r>
      <w:r>
        <w:t xml:space="preserve">-7</w:t>
      </w:r>
      <w:r>
        <w:t xml:space="preserve"> </w:t>
      </w:r>
      <w:r>
        <w:t xml:space="preserve">+7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-2</w:t>
      </w:r>
      <w:r>
        <w:t xml:space="preserve"> </w:t>
      </w:r>
      <w:r>
        <w:t xml:space="preserve">0</w:t>
      </w:r>
      <w:r>
        <w:t xml:space="preserve"> </w:t>
      </w:r>
      <w:r>
        <w:t xml:space="preserve">Residential</w:t>
      </w:r>
      <w:r>
        <w:t xml:space="preserve"> </w:t>
      </w:r>
      <w:r>
        <w:t xml:space="preserve">237</w:t>
      </w:r>
      <w:r>
        <w:t xml:space="preserve"> </w:t>
      </w:r>
      <w:r>
        <w:t xml:space="preserve">242</w:t>
      </w:r>
      <w:r>
        <w:t xml:space="preserve"> </w:t>
      </w:r>
      <w:r>
        <w:t xml:space="preserve">239</w:t>
      </w:r>
      <w:r>
        <w:t xml:space="preserve"> </w:t>
      </w:r>
      <w:r>
        <w:t xml:space="preserve">-12</w:t>
      </w:r>
      <w:r>
        <w:t xml:space="preserve"> </w:t>
      </w:r>
      <w:r>
        <w:t xml:space="preserve">+8</w:t>
      </w:r>
      <w:r>
        <w:t xml:space="preserve"> </w:t>
      </w:r>
      <w:r>
        <w:t xml:space="preserve">-2</w:t>
      </w:r>
      <w:r>
        <w:t xml:space="preserve"> </w:t>
      </w:r>
      <w:r>
        <w:t xml:space="preserve">+11</w:t>
      </w:r>
      <w:r>
        <w:t xml:space="preserve"> </w:t>
      </w:r>
      <w:r>
        <w:t xml:space="preserve">-12</w:t>
      </w:r>
      <w:r>
        <w:t xml:space="preserve"> </w:t>
      </w:r>
      <w:r>
        <w:t xml:space="preserve">0</w:t>
      </w:r>
      <w:r>
        <w:t xml:space="preserve"> </w:t>
      </w:r>
      <w:r>
        <w:t xml:space="preserve">Services</w:t>
      </w:r>
      <w:r>
        <w:t xml:space="preserve"> </w:t>
      </w:r>
      <w:r>
        <w:t xml:space="preserve">53</w:t>
      </w:r>
      <w:r>
        <w:t xml:space="preserve"> </w:t>
      </w:r>
      <w:r>
        <w:t xml:space="preserve">73</w:t>
      </w:r>
      <w:r>
        <w:t xml:space="preserve"> </w:t>
      </w:r>
      <w:r>
        <w:t xml:space="preserve">63</w:t>
      </w:r>
      <w:r>
        <w:t xml:space="preserve"> </w:t>
      </w:r>
      <w:r>
        <w:t xml:space="preserve">-4</w:t>
      </w:r>
      <w:r>
        <w:t xml:space="preserve"> </w:t>
      </w:r>
      <w:r>
        <w:t xml:space="preserve">+5</w:t>
      </w:r>
      <w:r>
        <w:t xml:space="preserve"> </w:t>
      </w:r>
      <w:r>
        <w:t xml:space="preserve">+1</w:t>
      </w:r>
      <w:r>
        <w:t xml:space="preserve"> </w:t>
      </w:r>
      <w:r>
        <w:t xml:space="preserve">+4</w:t>
      </w:r>
      <w:r>
        <w:t xml:space="preserve"> </w:t>
      </w:r>
      <w:r>
        <w:t xml:space="preserve">-6</w:t>
      </w:r>
      <w:r>
        <w:t xml:space="preserve"> </w:t>
      </w:r>
      <w:r>
        <w:t xml:space="preserve">-1</w:t>
      </w:r>
      <w:r>
        <w:t xml:space="preserve"> </w:t>
      </w:r>
      <w:r>
        <w:t xml:space="preserve">Agriculture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</w:t>
      </w:r>
      <w:r>
        <w:br/>
      </w:r>
      <w:r>
        <w:t xml:space="preserve">644</w:t>
      </w:r>
      <w:r>
        <w:t xml:space="preserve"> </w:t>
      </w:r>
      <w:r>
        <w:t xml:space="preserve">685</w:t>
      </w:r>
      <w:r>
        <w:t xml:space="preserve"> </w:t>
      </w:r>
      <w:r>
        <w:t xml:space="preserve">664</w:t>
      </w:r>
      <w:r>
        <w:t xml:space="preserve"> </w:t>
      </w:r>
      <w:r>
        <w:t xml:space="preserve">-76</w:t>
      </w:r>
      <w:r>
        <w:t xml:space="preserve"> </w:t>
      </w:r>
      <w:r>
        <w:t xml:space="preserve">+69</w:t>
      </w:r>
      <w:r>
        <w:t xml:space="preserve"> </w:t>
      </w:r>
      <w:r>
        <w:t xml:space="preserve">-4</w:t>
      </w:r>
      <w:r>
        <w:t xml:space="preserve"> </w:t>
      </w:r>
      <w:r>
        <w:t xml:space="preserve">+69</w:t>
      </w:r>
      <w:r>
        <w:t xml:space="preserve"> </w:t>
      </w:r>
      <w:r>
        <w:t xml:space="preserve">-66</w:t>
      </w:r>
      <w:r>
        <w:t xml:space="preserve"> </w:t>
      </w:r>
      <w:r>
        <w:t xml:space="preserve">+2</w:t>
      </w:r>
      <w:r>
        <w:t xml:space="preserve"> </w:t>
      </w:r>
      <w:r>
        <w:t xml:space="preserve">Annual</w:t>
      </w:r>
      <w:r>
        <w:t xml:space="preserve"> </w:t>
      </w:r>
      <w:r>
        <w:t xml:space="preserve">capital</w:t>
      </w:r>
      <w:r>
        <w:t xml:space="preserve"> </w:t>
      </w:r>
      <w:r>
        <w:t xml:space="preserve">costs *</w:t>
      </w:r>
    </w:p>
    <w:p>
      <w:pPr>
        <w:pStyle w:val="BodyText"/>
      </w:pPr>
      <w:r>
        <w:t xml:space="preserve">Industry</w:t>
      </w:r>
      <w:r>
        <w:t xml:space="preserve"> </w:t>
      </w:r>
      <w:r>
        <w:t xml:space="preserve">85</w:t>
      </w:r>
      <w:r>
        <w:t xml:space="preserve"> </w:t>
      </w:r>
      <w:r>
        <w:t xml:space="preserve">116</w:t>
      </w:r>
      <w:r>
        <w:t xml:space="preserve"> </w:t>
      </w:r>
      <w:r>
        <w:t xml:space="preserve">101</w:t>
      </w:r>
      <w:r>
        <w:t xml:space="preserve"> </w:t>
      </w:r>
      <w:r>
        <w:t xml:space="preserve">-3</w:t>
      </w:r>
      <w:r>
        <w:t xml:space="preserve"> </w:t>
      </w:r>
      <w:r>
        <w:t xml:space="preserve">-2</w:t>
      </w:r>
      <w:r>
        <w:t xml:space="preserve"> </w:t>
      </w:r>
      <w:r>
        <w:t xml:space="preserve">-2</w:t>
      </w:r>
      <w:r>
        <w:t xml:space="preserve"> </w:t>
      </w:r>
      <w:r>
        <w:t xml:space="preserve">+1</w:t>
      </w:r>
      <w:r>
        <w:t xml:space="preserve"> </w:t>
      </w:r>
      <w:r>
        <w:t xml:space="preserve">+1</w:t>
      </w:r>
      <w:r>
        <w:t xml:space="preserve"> </w:t>
      </w:r>
      <w:r>
        <w:t xml:space="preserve">+1</w:t>
      </w:r>
      <w:r>
        <w:t xml:space="preserve"> </w:t>
      </w:r>
      <w:r>
        <w:t xml:space="preserve">Residential</w:t>
      </w:r>
      <w:r>
        <w:t xml:space="preserve"> </w:t>
      </w:r>
      <w:r>
        <w:t xml:space="preserve">137</w:t>
      </w:r>
      <w:r>
        <w:t xml:space="preserve"> </w:t>
      </w:r>
      <w:r>
        <w:t xml:space="preserve">151</w:t>
      </w:r>
      <w:r>
        <w:t xml:space="preserve"> </w:t>
      </w:r>
      <w:r>
        <w:t xml:space="preserve">144</w:t>
      </w:r>
      <w:r>
        <w:t xml:space="preserve"> </w:t>
      </w:r>
      <w:r>
        <w:t xml:space="preserve">-3</w:t>
      </w:r>
      <w:r>
        <w:t xml:space="preserve"> </w:t>
      </w:r>
      <w:r>
        <w:t xml:space="preserve">-1</w:t>
      </w:r>
      <w:r>
        <w:t xml:space="preserve"> </w:t>
      </w:r>
      <w:r>
        <w:t xml:space="preserve">-2</w:t>
      </w:r>
      <w:r>
        <w:t xml:space="preserve"> </w:t>
      </w:r>
      <w:r>
        <w:t xml:space="preserve">+3</w:t>
      </w:r>
      <w:r>
        <w:t xml:space="preserve"> </w:t>
      </w:r>
      <w:r>
        <w:t xml:space="preserve">+2</w:t>
      </w:r>
      <w:r>
        <w:t xml:space="preserve"> </w:t>
      </w:r>
      <w:r>
        <w:t xml:space="preserve">+2</w:t>
      </w:r>
      <w:r>
        <w:t xml:space="preserve"> </w:t>
      </w:r>
      <w:r>
        <w:t xml:space="preserve">Tertiary</w:t>
      </w:r>
      <w:r>
        <w:t xml:space="preserve"> </w:t>
      </w:r>
      <w:r>
        <w:t xml:space="preserve">490</w:t>
      </w:r>
      <w:r>
        <w:t xml:space="preserve"> </w:t>
      </w:r>
      <w:r>
        <w:t xml:space="preserve">507</w:t>
      </w:r>
      <w:r>
        <w:t xml:space="preserve"> </w:t>
      </w:r>
      <w:r>
        <w:t xml:space="preserve">499</w:t>
      </w:r>
      <w:r>
        <w:t xml:space="preserve"> </w:t>
      </w:r>
      <w:r>
        <w:t xml:space="preserve">-9</w:t>
      </w:r>
      <w:r>
        <w:t xml:space="preserve"> </w:t>
      </w:r>
      <w:r>
        <w:t xml:space="preserve">-5</w:t>
      </w:r>
      <w:r>
        <w:t xml:space="preserve"> </w:t>
      </w:r>
      <w:r>
        <w:t xml:space="preserve">-7</w:t>
      </w:r>
      <w:r>
        <w:t xml:space="preserve"> </w:t>
      </w:r>
      <w:r>
        <w:t xml:space="preserve">+8</w:t>
      </w:r>
      <w:r>
        <w:t xml:space="preserve"> </w:t>
      </w:r>
      <w:r>
        <w:t xml:space="preserve">+4</w:t>
      </w:r>
      <w:r>
        <w:t xml:space="preserve"> </w:t>
      </w:r>
      <w:r>
        <w:t xml:space="preserve">+6</w:t>
      </w:r>
    </w:p>
    <w:p>
      <w:pPr>
        <w:pStyle w:val="BodyText"/>
      </w:pPr>
      <w:r>
        <w:t xml:space="preserve">S2</w:t>
      </w:r>
      <w:r>
        <w:t xml:space="preserve"> </w:t>
      </w:r>
      <w:r>
        <w:t xml:space="preserve">S1 vs. S2 (%)</w:t>
      </w:r>
      <w:r>
        <w:t xml:space="preserve"> </w:t>
      </w:r>
      <w:r>
        <w:t xml:space="preserve">S3 vs. S2 (%)</w:t>
      </w:r>
    </w:p>
    <w:p>
      <w:pPr>
        <w:pStyle w:val="BodyText"/>
      </w:pP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2040</w:t>
      </w:r>
      <w:r>
        <w:t xml:space="preserve"> </w:t>
      </w:r>
      <w:r>
        <w:t xml:space="preserve">2041-</w:t>
      </w:r>
      <w:r>
        <w:t xml:space="preserve"> </w:t>
      </w:r>
      <w:r>
        <w:t xml:space="preserve">2050</w:t>
      </w:r>
      <w:r>
        <w:t xml:space="preserve"> </w:t>
      </w:r>
      <w:r>
        <w:t xml:space="preserve">2031-</w:t>
      </w:r>
      <w:r>
        <w:t xml:space="preserve"> </w:t>
      </w:r>
      <w:r>
        <w:t xml:space="preserve">2050</w:t>
      </w:r>
      <w:r>
        <w:t xml:space="preserve"> </w:t>
      </w:r>
      <w:r>
        <w:t xml:space="preserve">Up-front</w:t>
      </w:r>
      <w:r>
        <w:t xml:space="preserve"> </w:t>
      </w:r>
      <w:r>
        <w:t xml:space="preserve">investment</w:t>
      </w:r>
    </w:p>
    <w:p>
      <w:pPr>
        <w:pStyle w:val="BodyText"/>
      </w:pPr>
      <w:r>
        <w:t xml:space="preserve">Supply</w:t>
      </w:r>
      <w:r>
        <w:t xml:space="preserve"> </w:t>
      </w:r>
      <w:r>
        <w:t xml:space="preserve">289</w:t>
      </w:r>
      <w:r>
        <w:t xml:space="preserve"> </w:t>
      </w:r>
      <w:r>
        <w:t xml:space="preserve">328</w:t>
      </w:r>
      <w:r>
        <w:t xml:space="preserve"> </w:t>
      </w:r>
      <w:r>
        <w:t xml:space="preserve">308</w:t>
      </w:r>
      <w:r>
        <w:t xml:space="preserve"> </w:t>
      </w:r>
      <w:r>
        <w:t xml:space="preserve">-18%</w:t>
      </w:r>
      <w:r>
        <w:t xml:space="preserve"> </w:t>
      </w:r>
      <w:r>
        <w:t xml:space="preserve">+15%</w:t>
      </w:r>
      <w:r>
        <w:t xml:space="preserve"> </w:t>
      </w:r>
      <w:r>
        <w:t xml:space="preserve">-1%</w:t>
      </w:r>
      <w:r>
        <w:t xml:space="preserve"> </w:t>
      </w:r>
      <w:r>
        <w:t xml:space="preserve">+18%</w:t>
      </w:r>
      <w:r>
        <w:t xml:space="preserve"> </w:t>
      </w:r>
      <w:r>
        <w:t xml:space="preserve">-14%</w:t>
      </w:r>
      <w:r>
        <w:t xml:space="preserve"> </w:t>
      </w:r>
      <w:r>
        <w:t xml:space="preserve">+1%</w:t>
      </w:r>
      <w:r>
        <w:t xml:space="preserve"> </w:t>
      </w:r>
      <w:r>
        <w:t xml:space="preserve">Demand</w:t>
      </w:r>
      <w:r>
        <w:br/>
      </w:r>
      <w:r>
        <w:t xml:space="preserve">355</w:t>
      </w:r>
      <w:r>
        <w:t xml:space="preserve"> </w:t>
      </w:r>
      <w:r>
        <w:t xml:space="preserve">357</w:t>
      </w:r>
      <w:r>
        <w:t xml:space="preserve"> </w:t>
      </w:r>
      <w:r>
        <w:t xml:space="preserve">356</w:t>
      </w:r>
      <w:r>
        <w:t xml:space="preserve"> </w:t>
      </w:r>
      <w:r>
        <w:t xml:space="preserve">-7%</w:t>
      </w:r>
      <w:r>
        <w:t xml:space="preserve"> </w:t>
      </w:r>
      <w:r>
        <w:t xml:space="preserve">+6%</w:t>
      </w:r>
      <w:r>
        <w:t xml:space="preserve"> </w:t>
      </w:r>
      <w:r>
        <w:t xml:space="preserve">0%</w:t>
      </w:r>
      <w:r>
        <w:t xml:space="preserve"> </w:t>
      </w:r>
      <w:r>
        <w:t xml:space="preserve">+5%</w:t>
      </w:r>
      <w:r>
        <w:t xml:space="preserve"> </w:t>
      </w:r>
      <w:r>
        <w:t xml:space="preserve">-5%</w:t>
      </w:r>
      <w:r>
        <w:t xml:space="preserve"> </w:t>
      </w:r>
      <w:r>
        <w:t xml:space="preserve">0%</w:t>
      </w:r>
      <w:r>
        <w:t xml:space="preserve"> </w:t>
      </w:r>
      <w:r>
        <w:t xml:space="preserve">Industry</w:t>
      </w:r>
      <w:r>
        <w:t xml:space="preserve"> </w:t>
      </w:r>
      <w:r>
        <w:t xml:space="preserve">46</w:t>
      </w:r>
      <w:r>
        <w:t xml:space="preserve"> </w:t>
      </w:r>
      <w:r>
        <w:t xml:space="preserve">24</w:t>
      </w:r>
      <w:r>
        <w:t xml:space="preserve"> </w:t>
      </w:r>
      <w:r>
        <w:t xml:space="preserve">35</w:t>
      </w:r>
      <w:r>
        <w:t xml:space="preserve"> </w:t>
      </w:r>
      <w:r>
        <w:t xml:space="preserve">-16%</w:t>
      </w:r>
      <w:r>
        <w:t xml:space="preserve"> </w:t>
      </w:r>
      <w:r>
        <w:t xml:space="preserve">+28%</w:t>
      </w:r>
      <w:r>
        <w:t xml:space="preserve"> </w:t>
      </w:r>
      <w:r>
        <w:t xml:space="preserve">0%</w:t>
      </w:r>
      <w:r>
        <w:t xml:space="preserve"> </w:t>
      </w:r>
      <w:r>
        <w:t xml:space="preserve">+4%</w:t>
      </w:r>
      <w:r>
        <w:t xml:space="preserve"> </w:t>
      </w:r>
      <w:r>
        <w:t xml:space="preserve">-7%</w:t>
      </w:r>
      <w:r>
        <w:t xml:space="preserve"> </w:t>
      </w:r>
      <w:r>
        <w:t xml:space="preserve">+1%</w:t>
      </w:r>
      <w:r>
        <w:t xml:space="preserve"> </w:t>
      </w:r>
      <w:r>
        <w:t xml:space="preserve">Residential</w:t>
      </w:r>
      <w:r>
        <w:t xml:space="preserve"> </w:t>
      </w:r>
      <w:r>
        <w:t xml:space="preserve">237</w:t>
      </w:r>
      <w:r>
        <w:t xml:space="preserve"> </w:t>
      </w:r>
      <w:r>
        <w:t xml:space="preserve">242</w:t>
      </w:r>
      <w:r>
        <w:t xml:space="preserve"> </w:t>
      </w:r>
      <w:r>
        <w:t xml:space="preserve">239</w:t>
      </w:r>
      <w:r>
        <w:t xml:space="preserve"> </w:t>
      </w:r>
      <w:r>
        <w:t xml:space="preserve">-5%</w:t>
      </w:r>
      <w:r>
        <w:t xml:space="preserve"> </w:t>
      </w:r>
      <w:r>
        <w:t xml:space="preserve">+3%</w:t>
      </w:r>
      <w:r>
        <w:t xml:space="preserve"> </w:t>
      </w:r>
      <w:r>
        <w:t xml:space="preserve">-1%</w:t>
      </w:r>
      <w:r>
        <w:t xml:space="preserve"> </w:t>
      </w:r>
      <w:r>
        <w:t xml:space="preserve">+5%</w:t>
      </w:r>
      <w:r>
        <w:t xml:space="preserve"> </w:t>
      </w:r>
      <w:r>
        <w:t xml:space="preserve">-5%</w:t>
      </w:r>
      <w:r>
        <w:t xml:space="preserve"> </w:t>
      </w:r>
      <w:r>
        <w:t xml:space="preserve">0%</w:t>
      </w:r>
      <w:r>
        <w:t xml:space="preserve"> </w:t>
      </w:r>
      <w:r>
        <w:t xml:space="preserve">Services</w:t>
      </w:r>
      <w:r>
        <w:t xml:space="preserve"> </w:t>
      </w:r>
      <w:r>
        <w:t xml:space="preserve">53</w:t>
      </w:r>
      <w:r>
        <w:t xml:space="preserve"> </w:t>
      </w:r>
      <w:r>
        <w:t xml:space="preserve">73</w:t>
      </w:r>
      <w:r>
        <w:t xml:space="preserve"> </w:t>
      </w:r>
      <w:r>
        <w:t xml:space="preserve">63</w:t>
      </w:r>
      <w:r>
        <w:t xml:space="preserve"> </w:t>
      </w:r>
      <w:r>
        <w:t xml:space="preserve">-7%</w:t>
      </w:r>
      <w:r>
        <w:t xml:space="preserve"> </w:t>
      </w:r>
      <w:r>
        <w:t xml:space="preserve">+6%</w:t>
      </w:r>
      <w:r>
        <w:t xml:space="preserve"> </w:t>
      </w:r>
      <w:r>
        <w:t xml:space="preserve">+1%</w:t>
      </w:r>
      <w:r>
        <w:t xml:space="preserve"> </w:t>
      </w:r>
      <w:r>
        <w:t xml:space="preserve">+8%</w:t>
      </w:r>
      <w:r>
        <w:t xml:space="preserve"> </w:t>
      </w:r>
      <w:r>
        <w:t xml:space="preserve">-8%</w:t>
      </w:r>
      <w:r>
        <w:t xml:space="preserve"> </w:t>
      </w:r>
      <w:r>
        <w:t xml:space="preserve">-1%</w:t>
      </w:r>
      <w:r>
        <w:t xml:space="preserve"> </w:t>
      </w:r>
      <w:r>
        <w:t xml:space="preserve">Agriculture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-1%</w:t>
      </w:r>
      <w:r>
        <w:t xml:space="preserve"> </w:t>
      </w:r>
      <w:r>
        <w:t xml:space="preserve">+2%</w:t>
      </w:r>
      <w:r>
        <w:t xml:space="preserve"> </w:t>
      </w:r>
      <w:r>
        <w:t xml:space="preserve">+1%</w:t>
      </w:r>
      <w:r>
        <w:t xml:space="preserve"> </w:t>
      </w:r>
      <w:r>
        <w:t xml:space="preserve">0%</w:t>
      </w:r>
      <w:r>
        <w:t xml:space="preserve"> </w:t>
      </w:r>
      <w:r>
        <w:t xml:space="preserve">-1%</w:t>
      </w:r>
      <w:r>
        <w:t xml:space="preserve"> </w:t>
      </w:r>
      <w:r>
        <w:t xml:space="preserve">0%</w:t>
      </w:r>
      <w:r>
        <w:t xml:space="preserve"> </w:t>
      </w:r>
      <w:r>
        <w:t xml:space="preserve">Total</w:t>
      </w:r>
      <w:r>
        <w:br/>
      </w:r>
      <w:r>
        <w:t xml:space="preserve">644</w:t>
      </w:r>
      <w:r>
        <w:t xml:space="preserve"> </w:t>
      </w:r>
      <w:r>
        <w:t xml:space="preserve">685</w:t>
      </w:r>
      <w:r>
        <w:t xml:space="preserve"> </w:t>
      </w:r>
      <w:r>
        <w:t xml:space="preserve">664</w:t>
      </w:r>
      <w:r>
        <w:t xml:space="preserve"> </w:t>
      </w:r>
      <w:r>
        <w:t xml:space="preserve">-12%</w:t>
      </w:r>
      <w:r>
        <w:t xml:space="preserve"> </w:t>
      </w:r>
      <w:r>
        <w:t xml:space="preserve">+10%</w:t>
      </w:r>
      <w:r>
        <w:t xml:space="preserve"> </w:t>
      </w:r>
      <w:r>
        <w:t xml:space="preserve">-1%</w:t>
      </w:r>
      <w:r>
        <w:t xml:space="preserve"> </w:t>
      </w:r>
      <w:r>
        <w:t xml:space="preserve">+11%</w:t>
      </w:r>
      <w:r>
        <w:t xml:space="preserve"> </w:t>
      </w:r>
      <w:r>
        <w:t xml:space="preserve">-10%</w:t>
      </w:r>
      <w:r>
        <w:t xml:space="preserve"> </w:t>
      </w:r>
      <w:r>
        <w:t xml:space="preserve">0%</w:t>
      </w:r>
      <w:r>
        <w:t xml:space="preserve"> </w:t>
      </w:r>
      <w:r>
        <w:t xml:space="preserve">Annual</w:t>
      </w:r>
      <w:r>
        <w:t xml:space="preserve"> </w:t>
      </w:r>
      <w:r>
        <w:t xml:space="preserve">capital</w:t>
      </w:r>
      <w:r>
        <w:t xml:space="preserve"> </w:t>
      </w:r>
      <w:r>
        <w:t xml:space="preserve">costs *</w:t>
      </w:r>
    </w:p>
    <w:p>
      <w:pPr>
        <w:pStyle w:val="BodyText"/>
      </w:pPr>
      <w:r>
        <w:t xml:space="preserve">Industry</w:t>
      </w:r>
      <w:r>
        <w:t xml:space="preserve"> </w:t>
      </w:r>
      <w:r>
        <w:t xml:space="preserve">85</w:t>
      </w:r>
      <w:r>
        <w:t xml:space="preserve"> </w:t>
      </w:r>
      <w:r>
        <w:t xml:space="preserve">116</w:t>
      </w:r>
      <w:r>
        <w:t xml:space="preserve"> </w:t>
      </w:r>
      <w:r>
        <w:t xml:space="preserve">101</w:t>
      </w:r>
      <w:r>
        <w:t xml:space="preserve"> </w:t>
      </w:r>
      <w:r>
        <w:t xml:space="preserve">-3%</w:t>
      </w:r>
      <w:r>
        <w:t xml:space="preserve"> </w:t>
      </w:r>
      <w:r>
        <w:t xml:space="preserve">-2%</w:t>
      </w:r>
      <w:r>
        <w:t xml:space="preserve"> </w:t>
      </w:r>
      <w:r>
        <w:t xml:space="preserve">-2%</w:t>
      </w:r>
      <w:r>
        <w:t xml:space="preserve"> </w:t>
      </w:r>
      <w:r>
        <w:t xml:space="preserve">+2%</w:t>
      </w:r>
      <w:r>
        <w:t xml:space="preserve"> </w:t>
      </w:r>
      <w:r>
        <w:t xml:space="preserve">+1%</w:t>
      </w:r>
      <w:r>
        <w:t xml:space="preserve"> </w:t>
      </w:r>
      <w:r>
        <w:t xml:space="preserve">+1%</w:t>
      </w:r>
      <w:r>
        <w:t xml:space="preserve"> </w:t>
      </w:r>
      <w:r>
        <w:t xml:space="preserve">Residential</w:t>
      </w:r>
      <w:r>
        <w:t xml:space="preserve"> </w:t>
      </w:r>
      <w:r>
        <w:t xml:space="preserve">137</w:t>
      </w:r>
      <w:r>
        <w:t xml:space="preserve"> </w:t>
      </w:r>
      <w:r>
        <w:t xml:space="preserve">151</w:t>
      </w:r>
      <w:r>
        <w:t xml:space="preserve"> </w:t>
      </w:r>
      <w:r>
        <w:t xml:space="preserve">144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+2%</w:t>
      </w:r>
      <w:r>
        <w:t xml:space="preserve"> </w:t>
      </w:r>
      <w:r>
        <w:t xml:space="preserve">+1%</w:t>
      </w:r>
      <w:r>
        <w:t xml:space="preserve"> </w:t>
      </w:r>
      <w:r>
        <w:t xml:space="preserve">+2%</w:t>
      </w:r>
      <w:r>
        <w:t xml:space="preserve"> </w:t>
      </w:r>
      <w:r>
        <w:t xml:space="preserve">Tertiary</w:t>
      </w:r>
      <w:r>
        <w:t xml:space="preserve"> </w:t>
      </w:r>
      <w:r>
        <w:t xml:space="preserve">490</w:t>
      </w:r>
      <w:r>
        <w:t xml:space="preserve"> </w:t>
      </w:r>
      <w:r>
        <w:t xml:space="preserve">507</w:t>
      </w:r>
      <w:r>
        <w:t xml:space="preserve"> </w:t>
      </w:r>
      <w:r>
        <w:t xml:space="preserve">499</w:t>
      </w:r>
      <w:r>
        <w:t xml:space="preserve"> </w:t>
      </w:r>
      <w:r>
        <w:t xml:space="preserve">-2%</w:t>
      </w:r>
      <w:r>
        <w:t xml:space="preserve"> </w:t>
      </w:r>
      <w:r>
        <w:t xml:space="preserve">-1%</w:t>
      </w:r>
      <w:r>
        <w:t xml:space="preserve"> </w:t>
      </w:r>
      <w:r>
        <w:t xml:space="preserve">-1%</w:t>
      </w:r>
      <w:r>
        <w:t xml:space="preserve"> </w:t>
      </w:r>
      <w:r>
        <w:t xml:space="preserve">+2%</w:t>
      </w:r>
      <w:r>
        <w:t xml:space="preserve"> </w:t>
      </w:r>
      <w:r>
        <w:t xml:space="preserve">+1%</w:t>
      </w:r>
      <w:r>
        <w:t xml:space="preserve"> </w:t>
      </w:r>
      <w:r>
        <w:t xml:space="preserve">+1%</w:t>
      </w:r>
      <w:r>
        <w:t xml:space="preserve"> </w:t>
      </w:r>
      <w:r>
        <w:t xml:space="preserve">* includes financing and opportunity costs.</w:t>
      </w:r>
      <w:r>
        <w:t xml:space="preserve"> </w:t>
      </w:r>
      <w:r>
        <w:t xml:space="preserve">Source: PRIMES.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This impact assessment considers a target at EU level only and therefore does not assess</w:t>
      </w:r>
      <w:r>
        <w:t xml:space="preserve"> </w:t>
      </w:r>
      <w:r>
        <w:t xml:space="preserve">specific aspects at the level of Member States. National budgets will nevertheless need to</w:t>
      </w:r>
      <w:r>
        <w:t xml:space="preserve"> </w:t>
      </w:r>
      <w:r>
        <w:t xml:space="preserve">contribute to the investment needs either via direct public sector investment, or via</w:t>
      </w:r>
      <w:r>
        <w:t xml:space="preserve"> </w:t>
      </w:r>
      <w:r>
        <w:t xml:space="preserve">support for private investment, subject to the State aid rules where applicable, e.g., to</w:t>
      </w:r>
      <w:r>
        <w:t xml:space="preserve"> </w:t>
      </w:r>
      <w:r>
        <w:t xml:space="preserve">support renovation in the residential sector as described above or to support industrial</w:t>
      </w:r>
      <w:r>
        <w:t xml:space="preserve"> </w:t>
      </w:r>
      <w:r>
        <w:t xml:space="preserve">decarbonisation. The extent to which the public sector will support the transition will</w:t>
      </w:r>
      <w:r>
        <w:t xml:space="preserve"> </w:t>
      </w:r>
      <w:r>
        <w:t xml:space="preserve">vary widely across Member States, depending on national policy choices. The extent to</w:t>
      </w:r>
      <w:r>
        <w:t xml:space="preserve"> </w:t>
      </w:r>
      <w:r>
        <w:t xml:space="preserve">which Member States have fiscal space to fund the transition also varies significantly,</w:t>
      </w:r>
      <w:r>
        <w:t xml:space="preserve"> </w:t>
      </w:r>
      <w:r>
        <w:t xml:space="preserve">depending on their current level of indebtedness and the level of indebtedness that they</w:t>
      </w:r>
      <w:r>
        <w:t xml:space="preserve"> </w:t>
      </w:r>
      <w:r>
        <w:t xml:space="preserve">will have by the start of the next decade. Such factors will impact, among others, their</w:t>
      </w:r>
      <w:r>
        <w:t xml:space="preserve"> </w:t>
      </w:r>
      <w:r>
        <w:t xml:space="preserve">room for manoeuvre under the EU fiscal rules that will prevail at the time and their</w:t>
      </w:r>
      <w:r>
        <w:t xml:space="preserve"> </w:t>
      </w:r>
      <w:r>
        <w:t xml:space="preserve">financing costs on the financial markets. None of this can be predicted at this stage, and</w:t>
      </w:r>
      <w:r>
        <w:t xml:space="preserve"> </w:t>
      </w:r>
      <w:r>
        <w:t xml:space="preserve">this goes well beyond the scope of this impact assessment.</w:t>
      </w:r>
      <w:r>
        <w:t xml:space="preserve"> </w:t>
      </w:r>
      <w:r>
        <w:t xml:space="preserve">Finally, the difference in investment needs across options in the tertiary sectors and</w:t>
      </w:r>
      <w:r>
        <w:t xml:space="preserve"> </w:t>
      </w:r>
      <w:r>
        <w:t xml:space="preserve">transport sectors are negligible and do not raise issues in terms of the comparison in the</w:t>
      </w:r>
      <w:r>
        <w:t xml:space="preserve"> </w:t>
      </w:r>
      <w:r>
        <w:t xml:space="preserve">financial feasibility across scenarios.</w:t>
      </w:r>
      <w:r>
        <w:t xml:space="preserve"> </w:t>
      </w:r>
      <w:r>
        <w:t xml:space="preserve">Technological feasibility</w:t>
      </w:r>
      <w:r>
        <w:t xml:space="preserve"> </w:t>
      </w:r>
      <w:r>
        <w:t xml:space="preserve">All the target options remain within the technology feasibility indicators thresholds used</w:t>
      </w:r>
      <w:r>
        <w:t xml:space="preserve"> </w:t>
      </w:r>
      <w:r>
        <w:t xml:space="preserve">by the ESABCC: primary energy biomass of 20 EJ/year in 2050, a maximum amount of</w:t>
      </w:r>
      <w:r>
        <w:t xml:space="preserve"> </w:t>
      </w:r>
      <w:r>
        <w:t xml:space="preserve">carbon capture of 500 Mt CO2/year, hydrogen production capacity of 150 GW in 2030</w:t>
      </w:r>
      <w:r>
        <w:t xml:space="preserve"> </w:t>
      </w:r>
      <w:r>
        <w:t xml:space="preserve">and a 20% decline of final energy demand between 2020 and 2030. They also remain</w:t>
      </w:r>
      <w:r>
        <w:t xml:space="preserve"> </w:t>
      </w:r>
      <w:r>
        <w:t xml:space="preserve">lower than the technological deployment challenges identified by the ESABCC for wind</w:t>
      </w:r>
      <w:r>
        <w:t xml:space="preserve"> </w:t>
      </w:r>
      <w:r>
        <w:t xml:space="preserve">and solar installed capacities in 2030, (respectively 900 and 623 GW) (92), which</w:t>
      </w:r>
      <w:r>
        <w:t xml:space="preserve"> </w:t>
      </w:r>
      <w:r>
        <w:t xml:space="preserve">considered the implication of conservative potential estimates.</w:t>
      </w:r>
      <w:r>
        <w:t xml:space="preserve"> </w:t>
      </w:r>
      <w:r>
        <w:t xml:space="preserve">Reducing energy and industry CO2</w:t>
      </w:r>
      <w:r>
        <w:t xml:space="preserve"> </w:t>
      </w:r>
      <w:r>
        <w:t xml:space="preserve">Any of the options considered will require increasing the rate of deployment of mature</w:t>
      </w:r>
      <w:r>
        <w:t xml:space="preserve"> </w:t>
      </w:r>
      <w:r>
        <w:t xml:space="preserve">technologies such as wind and solar power. Already by 2030, the deployment of wind</w:t>
      </w:r>
      <w:r>
        <w:t xml:space="preserve"> </w:t>
      </w:r>
      <w:r>
        <w:t xml:space="preserve">and solar will increase considerably compared to both the historical average and the</w:t>
      </w:r>
      <w:r>
        <w:t xml:space="preserve"> </w:t>
      </w:r>
      <w:r>
        <w:t xml:space="preserve">highest historical level of deployment reached in 2022 (see Section 1.2.2 of Annex 8).</w:t>
      </w:r>
      <w:r>
        <w:t xml:space="preserve"> </w:t>
      </w:r>
      <w:r>
        <w:t xml:space="preserve">Option 1 leads to a lower level of effort between 2031 and 2040 compared to the 2021–</w:t>
      </w:r>
      <w:r>
        <w:t xml:space="preserve"> </w:t>
      </w:r>
      <w:r>
        <w:t xml:space="preserve">2030 decade but, to reach carbon neutrality by 2050, it requires after 2040 by far the</w:t>
      </w:r>
      <w:r>
        <w:t xml:space="preserve"> </w:t>
      </w:r>
      <w:r>
        <w:t xml:space="preserve">highest growth of wind and solar across all options and periods, with an average annual</w:t>
      </w:r>
      <w:r>
        <w:t xml:space="preserve"> </w:t>
      </w:r>
      <w:r>
        <w:t xml:space="preserve">installation rate over the decade 2041-2050 more than twice the level achieved in 2022.</w:t>
      </w:r>
      <w:r>
        <w:t xml:space="preserve"> </w:t>
      </w:r>
      <w:r>
        <w:t xml:space="preserve">This trend (a reduction in ambition followed by a very steep acceleration) appears</w:t>
      </w:r>
      <w:r>
        <w:t xml:space="preserve"> </w:t>
      </w:r>
      <w:r>
        <w:t xml:space="preserve">counterintuitive and might put the climate neutrality target at risk. Option 3 anticipates</w:t>
      </w:r>
      <w:r>
        <w:t xml:space="preserve"> </w:t>
      </w:r>
      <w:r>
        <w:t xml:space="preserve">decarbonisation of the power sector in the years 2031-2040 with lower effort required up</w:t>
      </w:r>
      <w:r>
        <w:t xml:space="preserve"> </w:t>
      </w:r>
      <w:r>
        <w:t xml:space="preserve">to 2050. The trajectory of Option 3 is safer as it leaves more flexibility in the last years to</w:t>
      </w:r>
      <w:r>
        <w:t xml:space="preserve"> </w:t>
      </w:r>
      <w:r>
        <w:t xml:space="preserve">cope with delays and unexpected developments. Option 2 lies in between Option 1 and</w:t>
      </w:r>
      <w:r>
        <w:t xml:space="preserve"> </w:t>
      </w:r>
      <w:r>
        <w:t xml:space="preserve">Option 3. The growth of wind and solar power is also described in position papers</w:t>
      </w:r>
      <w:r>
        <w:t xml:space="preserve"> </w:t>
      </w:r>
      <w:r>
        <w:t xml:space="preserve">collected during the public consultation, where the deployment rate for these two</w:t>
      </w:r>
    </w:p>
    <w:p>
      <w:pPr>
        <w:pStyle w:val="Compact"/>
        <w:numPr>
          <w:ilvl w:val="0"/>
          <w:numId w:val="1038"/>
        </w:numPr>
      </w:pPr>
      <w:r>
        <w:t xml:space="preserve">ESABCC report Table 5 and Table 6.</w:t>
      </w:r>
    </w:p>
    <w:p>
      <w:pPr>
        <w:pStyle w:val="FirstParagraph"/>
      </w:pPr>
      <w:r>
        <w:t xml:space="preserve">78</w:t>
      </w:r>
    </w:p>
    <w:p>
      <w:pPr>
        <w:pStyle w:val="BodyText"/>
      </w:pPr>
      <w:r>
        <w:t xml:space="preserve">technologies is projected to increase several times in the 2020-2040 period. Each of the</w:t>
      </w:r>
      <w:r>
        <w:t xml:space="preserve"> </w:t>
      </w:r>
      <w:r>
        <w:t xml:space="preserve">options considered will increase the need for critical raw materials. In the 2031–2040-</w:t>
      </w:r>
      <w:r>
        <w:t xml:space="preserve"> </w:t>
      </w:r>
      <w:r>
        <w:t xml:space="preserve">decade, Option 3 will require more raw materials than the other options considered.</w:t>
      </w:r>
      <w:r>
        <w:t xml:space="preserve"> </w:t>
      </w:r>
      <w:r>
        <w:t xml:space="preserve">However, the increase in global supply for raw materials such as Cobalt, Copper and</w:t>
      </w:r>
      <w:r>
        <w:t xml:space="preserve"> </w:t>
      </w:r>
      <w:r>
        <w:t xml:space="preserve">Lithium is expected to be considerably larger than the amount needed for the energy</w:t>
      </w:r>
      <w:r>
        <w:t xml:space="preserve"> </w:t>
      </w:r>
      <w:r>
        <w:t xml:space="preserve">transition in the EU (93).</w:t>
      </w:r>
      <w:r>
        <w:br/>
      </w:r>
      <w:r>
        <w:t xml:space="preserve">A clear distinctive feature of the target options is the importance of novel technologies to</w:t>
      </w:r>
      <w:r>
        <w:t xml:space="preserve"> </w:t>
      </w:r>
      <w:r>
        <w:t xml:space="preserve">reduce CO2 emissions in energy, transport and industry such as CCS, BECCS, DACC,</w:t>
      </w:r>
      <w:r>
        <w:t xml:space="preserve"> </w:t>
      </w:r>
      <w:r>
        <w:t xml:space="preserve">production of hydrogen by electrolysis and e-fuels and low-carbon processes for energy-</w:t>
      </w:r>
      <w:r>
        <w:t xml:space="preserve"> </w:t>
      </w:r>
      <w:r>
        <w:t xml:space="preserve">intensive industries. The maturity of technologies is an important driver of the projected</w:t>
      </w:r>
      <w:r>
        <w:t xml:space="preserve"> </w:t>
      </w:r>
      <w:r>
        <w:t xml:space="preserve">portfolio of net-zero technologies. In recent years, innovation resulted in significant</w:t>
      </w:r>
      <w:r>
        <w:t xml:space="preserve"> </w:t>
      </w:r>
      <w:r>
        <w:t xml:space="preserve">improvements of the technology readiness. For the main bulk of net-zero technologies</w:t>
      </w:r>
      <w:r>
        <w:t xml:space="preserve"> </w:t>
      </w:r>
      <w:r>
        <w:t xml:space="preserve">needed to reach the 2040 targets, the Technology Readiness Level (TRL) is already at</w:t>
      </w:r>
      <w:r>
        <w:t xml:space="preserve"> </w:t>
      </w:r>
      <w:r>
        <w:t xml:space="preserve">least 8 (out of 9) which means that they are in an advanced deployment stage (94). DACC</w:t>
      </w:r>
      <w:r>
        <w:t xml:space="preserve"> </w:t>
      </w:r>
      <w:r>
        <w:t xml:space="preserve">(TRL of 7) and BECCS (TRL of 5.5) are less mature today, and need to be further</w:t>
      </w:r>
      <w:r>
        <w:t xml:space="preserve"> </w:t>
      </w:r>
      <w:r>
        <w:t xml:space="preserve">developed over the coming years, as highlighted by stakeholders during the public</w:t>
      </w:r>
      <w:r>
        <w:t xml:space="preserve"> </w:t>
      </w:r>
      <w:r>
        <w:t xml:space="preserve">consultation. Subsequently. these two technologies will come into play only between</w:t>
      </w:r>
      <w:r>
        <w:t xml:space="preserve"> </w:t>
      </w:r>
      <w:r>
        <w:t xml:space="preserve">2030 and 2040.</w:t>
      </w:r>
      <w:r>
        <w:br/>
      </w:r>
      <w:r>
        <w:t xml:space="preserve">Target Option 3 goes in hand with a stronger deployment of these technologies over</w:t>
      </w:r>
      <w:r>
        <w:t xml:space="preserve"> </w:t>
      </w:r>
      <w:r>
        <w:t xml:space="preserve">2031-2040 compared to Target Option 2, while Option 1 largely delays these</w:t>
      </w:r>
      <w:r>
        <w:t xml:space="preserve"> </w:t>
      </w:r>
      <w:r>
        <w:t xml:space="preserve">developments to the last decade 2041-2050. For example, carbon capture is projected to</w:t>
      </w:r>
      <w:r>
        <w:t xml:space="preserve"> </w:t>
      </w:r>
      <w:r>
        <w:t xml:space="preserve">amount in 2040 to close to 350 MtCO2 (including 155 MtCO2 for DACC and BECCS)</w:t>
      </w:r>
      <w:r>
        <w:t xml:space="preserve"> </w:t>
      </w:r>
      <w:r>
        <w:t xml:space="preserve">in Option 3, against only 86 MtCO2 (16 MtCO2 for DACC and BECCS) in Option 1,</w:t>
      </w:r>
      <w:r>
        <w:t xml:space="preserve"> </w:t>
      </w:r>
      <w:r>
        <w:t xml:space="preserve">while a total of about 450 MtCO2 is projected to be needed to reach climate neutrality in</w:t>
      </w:r>
      <w:r>
        <w:t xml:space="preserve"> </w:t>
      </w:r>
      <w:r>
        <w:t xml:space="preserve">2050. More details on the deployment of carbon capture technologies and their</w:t>
      </w:r>
      <w:r>
        <w:t xml:space="preserve"> </w:t>
      </w:r>
      <w:r>
        <w:t xml:space="preserve">implication can be found on the Industrial Carbon Management Communication.</w:t>
      </w:r>
      <w:r>
        <w:t xml:space="preserve"> </w:t>
      </w:r>
      <w:r>
        <w:t xml:space="preserve">The use of these novel technologies will affect total electricity production needs and</w:t>
      </w:r>
      <w:r>
        <w:t xml:space="preserve"> </w:t>
      </w:r>
      <w:r>
        <w:t xml:space="preserve">entail the development of hydrogen and carbon removal infrastructure. The implications</w:t>
      </w:r>
      <w:r>
        <w:t xml:space="preserve"> </w:t>
      </w:r>
      <w:r>
        <w:t xml:space="preserve">across the energy system thus go beyond what is captured by cost estimates alone,</w:t>
      </w:r>
      <w:r>
        <w:t xml:space="preserve"> </w:t>
      </w:r>
      <w:r>
        <w:t xml:space="preserve">including on availability of these technologies for large-scale industrial projects, public</w:t>
      </w:r>
      <w:r>
        <w:t xml:space="preserve"> </w:t>
      </w:r>
      <w:r>
        <w:t xml:space="preserve">acceptance of CCS or large amounts of renewables, availability of raw materials or</w:t>
      </w:r>
      <w:r>
        <w:t xml:space="preserve"> </w:t>
      </w:r>
      <w:r>
        <w:t xml:space="preserve">geological storage sites. Finally, a slower deployment of novel technologies would</w:t>
      </w:r>
      <w:r>
        <w:t xml:space="preserve"> </w:t>
      </w:r>
      <w:r>
        <w:t xml:space="preserve">increase the recourse to other (mature) technologies, including for instance biomass (see</w:t>
      </w:r>
      <w:r>
        <w:t xml:space="preserve"> </w:t>
      </w:r>
      <w:r>
        <w:t xml:space="preserve">section 7.3). These different aspects are more relevant for Option 3 by 2040, which will</w:t>
      </w:r>
      <w:r>
        <w:t xml:space="preserve"> </w:t>
      </w:r>
      <w:r>
        <w:t xml:space="preserve">require an adequate policy framework to secure the needed technological uptake while</w:t>
      </w:r>
      <w:r>
        <w:t xml:space="preserve"> </w:t>
      </w:r>
      <w:r>
        <w:t xml:space="preserve">limiting trade-offs and addressing public acceptance. Conversely, delaying these</w:t>
      </w:r>
      <w:r>
        <w:t xml:space="preserve"> </w:t>
      </w:r>
      <w:r>
        <w:t xml:space="preserve">deployments to the last decade, Option 1 also delays the design and implementation of</w:t>
      </w:r>
      <w:r>
        <w:t xml:space="preserve"> </w:t>
      </w:r>
      <w:r>
        <w:t xml:space="preserve">the action and measures and thus risks missing the climate neutrality objective.</w:t>
      </w:r>
    </w:p>
    <w:p>
      <w:pPr>
        <w:pStyle w:val="Compact"/>
        <w:numPr>
          <w:ilvl w:val="0"/>
          <w:numId w:val="1039"/>
        </w:numPr>
      </w:pPr>
      <w:r>
        <w:t xml:space="preserve">See for instance the expectations on future supply in: IEA (2023), Net Zero Roadmap: A Global</w:t>
      </w:r>
      <w:r>
        <w:t xml:space="preserve"> </w:t>
      </w:r>
      <w:r>
        <w:t xml:space="preserve">Pathway to Keep the 1.5 °C Goal in Reach, IEA, Paris https://www.iea.org/reports/net-zero-roadmap-a-</w:t>
      </w:r>
      <w:r>
        <w:t xml:space="preserve"> </w:t>
      </w:r>
      <w:r>
        <w:t xml:space="preserve">global-pathway-to-keep-the-15-0c-goal-in-reach</w:t>
      </w:r>
    </w:p>
    <w:p>
      <w:pPr>
        <w:pStyle w:val="Compact"/>
        <w:numPr>
          <w:ilvl w:val="0"/>
          <w:numId w:val="1039"/>
        </w:numPr>
      </w:pPr>
      <w:r>
        <w:t xml:space="preserve">The TRL evaluation is based on the EU’s Clean Energy Technology Observatory (CETO).</w:t>
      </w:r>
    </w:p>
    <w:p>
      <w:pPr>
        <w:pStyle w:val="FirstParagraph"/>
      </w:pPr>
      <w:r>
        <w:t xml:space="preserve">79</w:t>
      </w:r>
    </w:p>
    <w:p>
      <w:pPr>
        <w:pStyle w:val="BodyText"/>
      </w:pPr>
      <w:r>
        <w:t xml:space="preserve">Non-CO2 and LULUCF</w:t>
      </w:r>
      <w:r>
        <w:t xml:space="preserve"> </w:t>
      </w:r>
      <w:r>
        <w:t xml:space="preserve">All technologies to mitigate non-CO2 GHG emissions considered in the analysis already</w:t>
      </w:r>
      <w:r>
        <w:t xml:space="preserve"> </w:t>
      </w:r>
      <w:r>
        <w:t xml:space="preserve">exist and they are available for implementation, although in some cases there is ongoing</w:t>
      </w:r>
      <w:r>
        <w:t xml:space="preserve"> </w:t>
      </w:r>
      <w:r>
        <w:t xml:space="preserve">research to improve them. There is, however, some uncertainty regarding the mitigation</w:t>
      </w:r>
      <w:r>
        <w:t xml:space="preserve"> </w:t>
      </w:r>
      <w:r>
        <w:t xml:space="preserve">effectiveness and costs of some technologies that have not yet been applied on a large</w:t>
      </w:r>
      <w:r>
        <w:t xml:space="preserve"> </w:t>
      </w:r>
      <w:r>
        <w:t xml:space="preserve">scale (for instance, feed additives and precision farming). Nature-based solutions that can</w:t>
      </w:r>
      <w:r>
        <w:t xml:space="preserve"> </w:t>
      </w:r>
      <w:r>
        <w:t xml:space="preserve">increase the LULUCF net removals (e.g. forest management, rewetting, afforestation,</w:t>
      </w:r>
      <w:r>
        <w:t xml:space="preserve"> </w:t>
      </w:r>
      <w:r>
        <w:t xml:space="preserve">agroforestry, soil carbon management) are all at a fully developed technological stage</w:t>
      </w:r>
      <w:r>
        <w:t xml:space="preserve"> </w:t>
      </w:r>
      <w:r>
        <w:t xml:space="preserve">Future evolution of the LULUCF net removals bears still some uncertainty due to natural</w:t>
      </w:r>
      <w:r>
        <w:t xml:space="preserve"> </w:t>
      </w:r>
      <w:r>
        <w:t xml:space="preserve">impacts such as droughts, high variation between regions and vegetation, and variation</w:t>
      </w:r>
      <w:r>
        <w:t xml:space="preserve"> </w:t>
      </w:r>
      <w:r>
        <w:t xml:space="preserve">on the implementation level (e.g. forest management or agroforestry).</w:t>
      </w:r>
      <w:r>
        <w:br/>
      </w:r>
      <w:r>
        <w:t xml:space="preserve">7.2</w:t>
      </w:r>
      <w:r>
        <w:t xml:space="preserve"> </w:t>
      </w:r>
      <w:r>
        <w:t xml:space="preserve">Efficiency</w:t>
      </w:r>
      <w:r>
        <w:t xml:space="preserve"> </w:t>
      </w:r>
      <w:r>
        <w:t xml:space="preserve">The assessment of the efficiency of the target options through a comparison of their</w:t>
      </w:r>
      <w:r>
        <w:t xml:space="preserve"> </w:t>
      </w:r>
      <w:r>
        <w:t xml:space="preserve">overall mitigation costs and a monetisation of their environmental benefits, shown in</w:t>
      </w:r>
      <w:r>
        <w:t xml:space="preserve"> </w:t>
      </w:r>
      <w:r>
        <w:t xml:space="preserve">Table 34. This table is computed based on the cost analysis in section 6.4.</w:t>
      </w:r>
      <w:r>
        <w:br/>
      </w:r>
      <w:r>
        <w:t xml:space="preserve">Table 34. Comparison of the monetised costs and benefits across the different target options</w:t>
      </w:r>
      <w:r>
        <w:t xml:space="preserve"> </w:t>
      </w:r>
      <w:r>
        <w:t xml:space="preserve">Average annual cost (bn</w:t>
      </w:r>
      <w:r>
        <w:t xml:space="preserve"> </w:t>
      </w:r>
      <w:r>
        <w:t xml:space="preserve">EUR2023/year)</w:t>
      </w:r>
    </w:p>
    <w:p>
      <w:pPr>
        <w:pStyle w:val="BodyText"/>
      </w:pPr>
      <w:r>
        <w:t xml:space="preserve">Comparison to Target 2</w:t>
      </w:r>
      <w:r>
        <w:t xml:space="preserve"> </w:t>
      </w:r>
      <w:r>
        <w:t xml:space="preserve">2031-2040</w:t>
      </w:r>
      <w:r>
        <w:t xml:space="preserve"> </w:t>
      </w:r>
      <w:r>
        <w:t xml:space="preserve">2041-2050</w:t>
      </w:r>
      <w:r>
        <w:t xml:space="preserve"> </w:t>
      </w:r>
      <w:r>
        <w:t xml:space="preserve">2031-2050</w:t>
      </w:r>
      <w:r>
        <w:t xml:space="preserve"> </w:t>
      </w:r>
      <w:r>
        <w:t xml:space="preserve">Target 1</w:t>
      </w:r>
      <w:r>
        <w:t xml:space="preserve"> </w:t>
      </w:r>
      <w:r>
        <w:t xml:space="preserve">Target 3</w:t>
      </w:r>
      <w:r>
        <w:t xml:space="preserve"> </w:t>
      </w:r>
      <w:r>
        <w:t xml:space="preserve">Target 1</w:t>
      </w:r>
      <w:r>
        <w:t xml:space="preserve"> </w:t>
      </w:r>
      <w:r>
        <w:t xml:space="preserve">Target 3</w:t>
      </w:r>
      <w:r>
        <w:t xml:space="preserve"> </w:t>
      </w:r>
      <w:r>
        <w:t xml:space="preserve">Target 1</w:t>
      </w:r>
      <w:r>
        <w:t xml:space="preserve"> </w:t>
      </w:r>
      <w:r>
        <w:t xml:space="preserve">Target 3</w:t>
      </w:r>
      <w:r>
        <w:t xml:space="preserve"> </w:t>
      </w:r>
      <w:r>
        <w:t xml:space="preserve">MITIGATION COSTS (see Table 19 and Table 23 in section 6.4.3)</w:t>
      </w:r>
      <w:r>
        <w:t xml:space="preserve"> </w:t>
      </w:r>
      <w:r>
        <w:t xml:space="preserve">Energy system cost</w:t>
      </w:r>
      <w:r>
        <w:br/>
      </w:r>
      <w:r>
        <w:t xml:space="preserve">-53</w:t>
      </w:r>
      <w:r>
        <w:t xml:space="preserve"> </w:t>
      </w:r>
      <w:r>
        <w:t xml:space="preserve">+36</w:t>
      </w:r>
      <w:r>
        <w:t xml:space="preserve"> </w:t>
      </w:r>
      <w:r>
        <w:t xml:space="preserve">-19</w:t>
      </w:r>
      <w:r>
        <w:t xml:space="preserve"> </w:t>
      </w:r>
      <w:r>
        <w:t xml:space="preserve">+3</w:t>
      </w:r>
      <w:r>
        <w:t xml:space="preserve"> </w:t>
      </w:r>
      <w:r>
        <w:t xml:space="preserve">-36</w:t>
      </w:r>
      <w:r>
        <w:t xml:space="preserve"> </w:t>
      </w:r>
      <w:r>
        <w:t xml:space="preserve">+20</w:t>
      </w:r>
      <w:r>
        <w:t xml:space="preserve"> </w:t>
      </w:r>
      <w:r>
        <w:t xml:space="preserve">(% of energy system cost)</w:t>
      </w:r>
      <w:r>
        <w:t xml:space="preserve"> </w:t>
      </w:r>
      <w:r>
        <w:t xml:space="preserve">-2.1%</w:t>
      </w:r>
      <w:r>
        <w:t xml:space="preserve"> </w:t>
      </w:r>
      <w:r>
        <w:t xml:space="preserve">+1.5%</w:t>
      </w:r>
      <w:r>
        <w:t xml:space="preserve"> </w:t>
      </w:r>
      <w:r>
        <w:t xml:space="preserve">-0.8%</w:t>
      </w:r>
      <w:r>
        <w:t xml:space="preserve"> </w:t>
      </w:r>
      <w:r>
        <w:t xml:space="preserve">+0.1%</w:t>
      </w:r>
      <w:r>
        <w:t xml:space="preserve"> </w:t>
      </w:r>
      <w:r>
        <w:t xml:space="preserve">-1.5%</w:t>
      </w:r>
      <w:r>
        <w:t xml:space="preserve"> </w:t>
      </w:r>
      <w:r>
        <w:t xml:space="preserve">+0.8%</w:t>
      </w:r>
      <w:r>
        <w:t xml:space="preserve"> </w:t>
      </w:r>
      <w:r>
        <w:t xml:space="preserve">Non-CO2 and LULUCF costs</w:t>
      </w:r>
      <w:r>
        <w:br/>
      </w:r>
      <w:r>
        <w:t xml:space="preserve">-2</w:t>
      </w:r>
      <w:r>
        <w:t xml:space="preserve"> </w:t>
      </w:r>
      <w:r>
        <w:t xml:space="preserve">+3</w:t>
      </w:r>
      <w:r>
        <w:t xml:space="preserve"> </w:t>
      </w:r>
      <w:r>
        <w:t xml:space="preserve">-1</w:t>
      </w:r>
      <w:r>
        <w:t xml:space="preserve"> </w:t>
      </w:r>
      <w:r>
        <w:t xml:space="preserve">+1</w:t>
      </w:r>
      <w:r>
        <w:t xml:space="preserve"> </w:t>
      </w:r>
      <w:r>
        <w:t xml:space="preserve">-2</w:t>
      </w:r>
      <w:r>
        <w:t xml:space="preserve"> </w:t>
      </w:r>
      <w:r>
        <w:t xml:space="preserve">+2</w:t>
      </w:r>
      <w:r>
        <w:t xml:space="preserve"> </w:t>
      </w:r>
      <w:r>
        <w:t xml:space="preserve">Total GHG mitigation cost</w:t>
      </w:r>
      <w:r>
        <w:t xml:space="preserve"> </w:t>
      </w:r>
      <w:r>
        <w:t xml:space="preserve">-55</w:t>
      </w:r>
      <w:r>
        <w:t xml:space="preserve"> </w:t>
      </w:r>
      <w:r>
        <w:t xml:space="preserve">+39</w:t>
      </w:r>
      <w:r>
        <w:t xml:space="preserve"> </w:t>
      </w:r>
      <w:r>
        <w:t xml:space="preserve">-20</w:t>
      </w:r>
      <w:r>
        <w:t xml:space="preserve"> </w:t>
      </w:r>
      <w:r>
        <w:t xml:space="preserve">+4</w:t>
      </w:r>
      <w:r>
        <w:t xml:space="preserve"> </w:t>
      </w:r>
      <w:r>
        <w:t xml:space="preserve">-38</w:t>
      </w:r>
      <w:r>
        <w:t xml:space="preserve"> </w:t>
      </w:r>
      <w:r>
        <w:t xml:space="preserve">+21</w:t>
      </w:r>
      <w:r>
        <w:t xml:space="preserve"> </w:t>
      </w:r>
      <w:r>
        <w:t xml:space="preserve">ENVIRONMENTAL BENEFITS (see Table 11 and Table 12 in section 6.3)</w:t>
      </w:r>
      <w:r>
        <w:t xml:space="preserve"> </w:t>
      </w:r>
      <w:r>
        <w:t xml:space="preserve">Climate change (1)</w:t>
      </w:r>
      <w:r>
        <w:br/>
      </w:r>
      <w:r>
        <w:t xml:space="preserve">Lower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Higher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Air pollution (2)</w:t>
      </w:r>
      <w:r>
        <w:t xml:space="preserve"> </w:t>
      </w:r>
      <w:r>
        <w:t xml:space="preserve">Lower</w:t>
      </w:r>
      <w:r>
        <w:t xml:space="preserve"> </w:t>
      </w:r>
      <w:r>
        <w:t xml:space="preserve">-26</w:t>
      </w:r>
      <w:r>
        <w:t xml:space="preserve"> </w:t>
      </w:r>
      <w:r>
        <w:t xml:space="preserve">+21</w:t>
      </w:r>
      <w:r>
        <w:t xml:space="preserve"> </w:t>
      </w:r>
      <w:r>
        <w:t xml:space="preserve">-31</w:t>
      </w:r>
      <w:r>
        <w:t xml:space="preserve"> </w:t>
      </w:r>
      <w:r>
        <w:t xml:space="preserve">+25</w:t>
      </w:r>
      <w:r>
        <w:t xml:space="preserve"> </w:t>
      </w:r>
      <w:r>
        <w:t xml:space="preserve">-29</w:t>
      </w:r>
      <w:r>
        <w:t xml:space="preserve"> </w:t>
      </w:r>
      <w:r>
        <w:t xml:space="preserve">+23</w:t>
      </w:r>
      <w:r>
        <w:t xml:space="preserve"> </w:t>
      </w:r>
      <w:r>
        <w:t xml:space="preserve">Higher</w:t>
      </w:r>
      <w:r>
        <w:t xml:space="preserve"> </w:t>
      </w:r>
      <w:r>
        <w:t xml:space="preserve">-49</w:t>
      </w:r>
      <w:r>
        <w:t xml:space="preserve"> </w:t>
      </w:r>
      <w:r>
        <w:t xml:space="preserve">+40</w:t>
      </w:r>
      <w:r>
        <w:t xml:space="preserve"> </w:t>
      </w:r>
      <w:r>
        <w:t xml:space="preserve">-58</w:t>
      </w:r>
      <w:r>
        <w:t xml:space="preserve"> </w:t>
      </w:r>
      <w:r>
        <w:t xml:space="preserve">+46</w:t>
      </w:r>
      <w:r>
        <w:t xml:space="preserve"> </w:t>
      </w:r>
      <w:r>
        <w:t xml:space="preserve">-53</w:t>
      </w:r>
      <w:r>
        <w:t xml:space="preserve"> </w:t>
      </w:r>
      <w:r>
        <w:t xml:space="preserve">+43</w:t>
      </w:r>
      <w:r>
        <w:t xml:space="preserve"> </w:t>
      </w:r>
      <w:r>
        <w:t xml:space="preserve">Climate change + Air pollution</w:t>
      </w:r>
      <w:r>
        <w:t xml:space="preserve"> </w:t>
      </w:r>
      <w:r>
        <w:t xml:space="preserve">Lower</w:t>
      </w:r>
      <w:r>
        <w:br/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0</w:t>
      </w:r>
      <w:r>
        <w:t xml:space="preserve"> </w:t>
      </w:r>
      <w:r>
        <w:t xml:space="preserve">+1</w:t>
      </w:r>
      <w:r>
        <w:t xml:space="preserve"> </w:t>
      </w:r>
      <w:r>
        <w:t xml:space="preserve">Higher</w:t>
      </w:r>
      <w:r>
        <w:br/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  <w:r>
        <w:t xml:space="preserve"> </w:t>
      </w:r>
      <w:r>
        <w:t xml:space="preserve">0</w:t>
      </w:r>
      <w:r>
        <w:t xml:space="preserve"> </w:t>
      </w:r>
      <w:r>
        <w:t xml:space="preserve">+2</w:t>
      </w:r>
    </w:p>
    <w:p>
      <w:pPr>
        <w:pStyle w:val="BodyText"/>
      </w:pPr>
      <w:r>
        <w:t xml:space="preserve">NET BENEFITS (Environmental benefits - Mitigation costs)</w:t>
      </w:r>
      <w:r>
        <w:t xml:space="preserve"> </w:t>
      </w:r>
      <w:r>
        <w:t xml:space="preserve">« Lower » valuation of externalities</w:t>
      </w:r>
      <w:r>
        <w:t xml:space="preserve"> </w:t>
      </w:r>
      <w:r>
        <w:t xml:space="preserve">+29</w:t>
      </w:r>
      <w:r>
        <w:t xml:space="preserve"> </w:t>
      </w:r>
      <w:r>
        <w:t xml:space="preserve">-18</w:t>
      </w:r>
      <w:r>
        <w:t xml:space="preserve"> </w:t>
      </w:r>
      <w:r>
        <w:t xml:space="preserve">-11</w:t>
      </w:r>
      <w:r>
        <w:t xml:space="preserve"> </w:t>
      </w:r>
      <w:r>
        <w:t xml:space="preserve">+21</w:t>
      </w:r>
      <w:r>
        <w:t xml:space="preserve"> </w:t>
      </w:r>
      <w:r>
        <w:t xml:space="preserve">+9</w:t>
      </w:r>
      <w:r>
        <w:t xml:space="preserve"> </w:t>
      </w:r>
      <w:r>
        <w:t xml:space="preserve">+3</w:t>
      </w:r>
      <w:r>
        <w:t xml:space="preserve"> </w:t>
      </w:r>
      <w:r>
        <w:t xml:space="preserve">« Higher » valuation of externalities</w:t>
      </w:r>
      <w:r>
        <w:t xml:space="preserve"> </w:t>
      </w:r>
      <w:r>
        <w:t xml:space="preserve">+6</w:t>
      </w:r>
      <w:r>
        <w:t xml:space="preserve"> </w:t>
      </w:r>
      <w:r>
        <w:t xml:space="preserve">+1</w:t>
      </w:r>
      <w:r>
        <w:t xml:space="preserve"> </w:t>
      </w:r>
      <w:r>
        <w:t xml:space="preserve">-38</w:t>
      </w:r>
      <w:r>
        <w:t xml:space="preserve"> </w:t>
      </w:r>
      <w:r>
        <w:t xml:space="preserve">+42</w:t>
      </w:r>
      <w:r>
        <w:t xml:space="preserve"> </w:t>
      </w:r>
      <w:r>
        <w:t xml:space="preserve">-15</w:t>
      </w:r>
      <w:r>
        <w:t xml:space="preserve"> </w:t>
      </w:r>
      <w:r>
        <w:t xml:space="preserve">+22</w:t>
      </w:r>
      <w:r>
        <w:t xml:space="preserve"> </w:t>
      </w:r>
      <w:r>
        <w:t xml:space="preserve">Note: (1) Calculations based on the Handbook on the external costs of transport (Version 2019 – 1.1) following the</w:t>
      </w:r>
      <w:r>
        <w:t xml:space="preserve"> </w:t>
      </w:r>
      <w:r>
        <w:t xml:space="preserve">avoidance cost approach. The cost of carbon is interpolated from values of the Handbook. The “lower valuation” uses the</w:t>
      </w:r>
      <w:r>
        <w:t xml:space="preserve"> </w:t>
      </w:r>
      <w:r>
        <w:t xml:space="preserve">“central” value of the handbook EUR 155 per tonne of CO2 in 2031-2040 and EUR 224 per tonne in 2041-2050. The</w:t>
      </w:r>
      <w:r>
        <w:t xml:space="preserve"> </w:t>
      </w:r>
      <w:r>
        <w:t xml:space="preserve">“higher” valuation uses the “high” value of the handbook of EUR 291 per tonne in 2031-2040 and EUR 416 per tonne in</w:t>
      </w:r>
      <w:r>
        <w:t xml:space="preserve"> </w:t>
      </w:r>
      <w:r>
        <w:t xml:space="preserve">2041-2050 in EUR 2023. (2) The valuation methodology is similar to that used in the Third Clean Air Outlook: the “lower”</w:t>
      </w:r>
      <w:r>
        <w:t xml:space="preserve"> </w:t>
      </w:r>
      <w:r>
        <w:t xml:space="preserve">number uses the Value of a Life Year (VOLY) approach, while the “higher” value uses the Value of Statistical Life (VSL)</w:t>
      </w:r>
      <w:r>
        <w:t xml:space="preserve"> </w:t>
      </w:r>
      <w:r>
        <w:t xml:space="preserve">approach.</w:t>
      </w:r>
      <w:r>
        <w:br/>
      </w:r>
      <w:r>
        <w:t xml:space="preserve">Target Options 1 and 3 show a limited deviation of mitigation cost compared to target 2</w:t>
      </w:r>
      <w:r>
        <w:t xml:space="preserve"> </w:t>
      </w:r>
      <w:r>
        <w:t xml:space="preserve">by 2040, with annual mitigation cost being respectively EUR 56 billion lower and 36</w:t>
      </w:r>
      <w:r>
        <w:t xml:space="preserve"> </w:t>
      </w:r>
      <w:r>
        <w:t xml:space="preserve">billion higher. The difference in mitigation cost is largely dominated by the energy</w:t>
      </w:r>
      <w:r>
        <w:t xml:space="preserve"> </w:t>
      </w:r>
      <w:r>
        <w:t xml:space="preserve">system cost, which is -2.1% lower for Option 1 than for Option 2, and +1.5% higher for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Option 3. Over the entire period 2031-2050, the difference is even smaller (-1.4% and</w:t>
      </w:r>
      <w:r>
        <w:t xml:space="preserve"> </w:t>
      </w:r>
      <w:r>
        <w:t xml:space="preserve">+0.8%, respectively).</w:t>
      </w:r>
      <w:r>
        <w:br/>
      </w:r>
      <w:r>
        <w:t xml:space="preserve">The difference of monetised environmental costs across options are of the same order of</w:t>
      </w:r>
      <w:r>
        <w:t xml:space="preserve"> </w:t>
      </w:r>
      <w:r>
        <w:t xml:space="preserve">magnitude as the difference in mitigation costs. In the 2031–2040 decade, Option 1</w:t>
      </w:r>
      <w:r>
        <w:t xml:space="preserve"> </w:t>
      </w:r>
      <w:r>
        <w:t xml:space="preserve">shows net benefits compared to Option 2, driven by lower mitigation costs. However, in</w:t>
      </w:r>
      <w:r>
        <w:t xml:space="preserve"> </w:t>
      </w:r>
      <w:r>
        <w:t xml:space="preserve">the second decade 2041-2050 target Option 3 clearly outperforms Option 2 and Option 1,</w:t>
      </w:r>
      <w:r>
        <w:t xml:space="preserve"> </w:t>
      </w:r>
      <w:r>
        <w:t xml:space="preserve">leading to net benefits over the entire period 2031-2050 compared to the “baseline”</w:t>
      </w:r>
      <w:r>
        <w:t xml:space="preserve"> </w:t>
      </w:r>
      <w:r>
        <w:t xml:space="preserve">option 2 with the two valuations of climate change externalities. It must be noted that the</w:t>
      </w:r>
      <w:r>
        <w:t xml:space="preserve"> </w:t>
      </w:r>
      <w:r>
        <w:t xml:space="preserve">methodology used for the monetisation of the external costs of climate change is subject</w:t>
      </w:r>
      <w:r>
        <w:t xml:space="preserve"> </w:t>
      </w:r>
      <w:r>
        <w:t xml:space="preserve">to discussions and that there is a high level of uncertainty associated with such estimates</w:t>
      </w:r>
      <w:r>
        <w:t xml:space="preserve"> </w:t>
      </w:r>
      <w:r>
        <w:t xml:space="preserve">and their use. Some studies conclude that the costs used are (significantly)</w:t>
      </w:r>
      <w:r>
        <w:t xml:space="preserve"> </w:t>
      </w:r>
      <w:r>
        <w:t xml:space="preserve">underestimated.</w:t>
      </w:r>
      <w:r>
        <w:br/>
      </w: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The assessment of the target options looks at the coherence and risks of trade-offs in</w:t>
      </w:r>
      <w:r>
        <w:t xml:space="preserve"> </w:t>
      </w:r>
      <w:r>
        <w:t xml:space="preserve">terms of environmental impact, strategic autonomy notably with respect to raw materials</w:t>
      </w:r>
      <w:r>
        <w:t xml:space="preserve"> </w:t>
      </w:r>
      <w:r>
        <w:t xml:space="preserve">and manufacturing needs.</w:t>
      </w:r>
      <w:r>
        <w:t xml:space="preserve"> </w:t>
      </w:r>
      <w:r>
        <w:t xml:space="preserve">Environmental risks</w:t>
      </w:r>
      <w:r>
        <w:br/>
      </w:r>
      <w:r>
        <w:t xml:space="preserve">The analysis shows that all the target options in 2040 remain close or below the</w:t>
      </w:r>
      <w:r>
        <w:t xml:space="preserve"> </w:t>
      </w:r>
      <w:r>
        <w:t xml:space="preserve">environmental risk levels identified in the ESABCC report (95), namely carbon capture</w:t>
      </w:r>
      <w:r>
        <w:t xml:space="preserve"> </w:t>
      </w:r>
      <w:r>
        <w:t xml:space="preserve">(425 Mt CO2 annually), the LULUCF net removals (400 Mt CO2 annually) and “gross</w:t>
      </w:r>
      <w:r>
        <w:t xml:space="preserve"> </w:t>
      </w:r>
      <w:r>
        <w:t xml:space="preserve">available energy” from biomass (9 EJ annually). However, Option 3 relies on a higher</w:t>
      </w:r>
      <w:r>
        <w:t xml:space="preserve"> </w:t>
      </w:r>
      <w:r>
        <w:t xml:space="preserve">level of industrial carbon removals and of e-fuels in 2040 than the other options: a</w:t>
      </w:r>
      <w:r>
        <w:t xml:space="preserve"> </w:t>
      </w:r>
      <w:r>
        <w:t xml:space="preserve">limited deployment of these technologies may be compensated by a higher recourse to</w:t>
      </w:r>
      <w:r>
        <w:t xml:space="preserve"> </w:t>
      </w:r>
      <w:r>
        <w:t xml:space="preserve">biomass-based solutions (BECCS, liquid biofuels). Depending on the size of these</w:t>
      </w:r>
      <w:r>
        <w:t xml:space="preserve"> </w:t>
      </w:r>
      <w:r>
        <w:t xml:space="preserve">additional volumes, this in turn may negatively affect the LULUCF net removals or</w:t>
      </w:r>
      <w:r>
        <w:t xml:space="preserve"> </w:t>
      </w:r>
      <w:r>
        <w:t xml:space="preserve">biodiversity, making this option more at risk of environmental trade-offs. This risk is also</w:t>
      </w:r>
      <w:r>
        <w:t xml:space="preserve"> </w:t>
      </w:r>
      <w:r>
        <w:t xml:space="preserve">highlighted in some position papers published by stakeholders, which support an</w:t>
      </w:r>
      <w:r>
        <w:t xml:space="preserve"> </w:t>
      </w:r>
      <w:r>
        <w:t xml:space="preserve">ambitious climate target together with other environmental priority goals. The adoption</w:t>
      </w:r>
      <w:r>
        <w:t xml:space="preserve"> </w:t>
      </w:r>
      <w:r>
        <w:t xml:space="preserve">of more sustainable lifestyles as in the LIFE analysis limits the environmental risks of</w:t>
      </w:r>
      <w:r>
        <w:t xml:space="preserve"> </w:t>
      </w:r>
      <w:r>
        <w:t xml:space="preserve">higher demand for bioenergy feedstocks observed in Option 3, due to a lower need for</w:t>
      </w:r>
      <w:r>
        <w:t xml:space="preserve"> </w:t>
      </w:r>
      <w:r>
        <w:t xml:space="preserve">industrial carbon removals and e-fuels, while simultaneously delivering strong land-use</w:t>
      </w:r>
      <w:r>
        <w:t xml:space="preserve"> </w:t>
      </w:r>
      <w:r>
        <w:t xml:space="preserve">related environmental co-benefits.</w:t>
      </w:r>
      <w:r>
        <w:br/>
      </w:r>
      <w:r>
        <w:t xml:space="preserve">Strategic autonomy</w:t>
      </w:r>
    </w:p>
    <w:p>
      <w:pPr>
        <w:pStyle w:val="Compact"/>
        <w:numPr>
          <w:ilvl w:val="0"/>
          <w:numId w:val="1040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10.2800/609405, Table 6. Carbon capture use and storage</w:t>
      </w:r>
      <w:r>
        <w:t xml:space="preserve"> </w:t>
      </w:r>
      <w:r>
        <w:t xml:space="preserve">(CCUS) includes fossil fuels, bioenergy, industry or direct air carbon capture (DACC). The level of the</w:t>
      </w:r>
      <w:r>
        <w:t xml:space="preserve"> </w:t>
      </w:r>
      <w:r>
        <w:t xml:space="preserve">LULUCF net removals is currently declining and may further decline due to climate change. Therefore the</w:t>
      </w:r>
      <w:r>
        <w:t xml:space="preserve"> </w:t>
      </w:r>
      <w:r>
        <w:t xml:space="preserve">risk level was set at 400 Mt CO2 annually, meaning that scenarios should not rely on even higher carbon</w:t>
      </w:r>
      <w:r>
        <w:t xml:space="preserve"> </w:t>
      </w:r>
      <w:r>
        <w:t xml:space="preserve">removal levels. Future analyses may assume other supply levels of biomass to stay within the sustainability</w:t>
      </w:r>
      <w:r>
        <w:t xml:space="preserve"> </w:t>
      </w:r>
      <w:r>
        <w:t xml:space="preserve">boundaries, in view of the on-going scientific debate.</w:t>
      </w:r>
    </w:p>
    <w:p>
      <w:pPr>
        <w:pStyle w:val="FirstParagraph"/>
      </w:pPr>
      <w:r>
        <w:t xml:space="preserve">81</w:t>
      </w:r>
    </w:p>
    <w:p>
      <w:pPr>
        <w:pStyle w:val="BodyText"/>
      </w:pPr>
      <w:r>
        <w:t xml:space="preserve">Specific Objective 6 (in Effectiveness) shows that target Option 3 has the highest security</w:t>
      </w:r>
      <w:r>
        <w:t xml:space="preserve"> </w:t>
      </w:r>
      <w:r>
        <w:t xml:space="preserve">of energy supply with the lowest dependence on external supply of fossil fuels, notably</w:t>
      </w:r>
      <w:r>
        <w:t xml:space="preserve"> </w:t>
      </w:r>
      <w:r>
        <w:t xml:space="preserve">oil and natural gas.</w:t>
      </w:r>
      <w:r>
        <w:br/>
      </w:r>
      <w:r>
        <w:t xml:space="preserve">However, the resilience of future energy systems will also be measured notably by a</w:t>
      </w:r>
      <w:r>
        <w:t xml:space="preserve"> </w:t>
      </w:r>
      <w:r>
        <w:t xml:space="preserve">secure access to the technologies that will power those systems. Demand for raw</w:t>
      </w:r>
      <w:r>
        <w:t xml:space="preserve"> </w:t>
      </w:r>
      <w:r>
        <w:t xml:space="preserve">materials (including critical raw materials) and the domestic manufacturing needs (Cfr.</w:t>
      </w:r>
      <w:r>
        <w:t xml:space="preserve"> </w:t>
      </w:r>
      <w:r>
        <w:t xml:space="preserve">NZIA) to build these capacities will be proportional to the deployment of technologies</w:t>
      </w:r>
      <w:r>
        <w:t xml:space="preserve"> </w:t>
      </w:r>
      <w:r>
        <w:t xml:space="preserve">such as renewables and storage, which is lower in Option 1 than in Option 2 in 2040</w:t>
      </w:r>
      <w:r>
        <w:t xml:space="preserve"> </w:t>
      </w:r>
      <w:r>
        <w:t xml:space="preserve">(renewables capacity is 8% lower) and higher in Option 3 (renewables capacity is 6%</w:t>
      </w:r>
      <w:r>
        <w:t xml:space="preserve"> </w:t>
      </w:r>
      <w:r>
        <w:t xml:space="preserve">higher). The three target options all display a similar pattern of growing needs of raw</w:t>
      </w:r>
      <w:r>
        <w:t xml:space="preserve"> </w:t>
      </w:r>
      <w:r>
        <w:t xml:space="preserve">materials in the coming decades in line with global trends (96), which highlights, in line</w:t>
      </w:r>
      <w:r>
        <w:t xml:space="preserve"> </w:t>
      </w:r>
      <w:r>
        <w:t xml:space="preserve">with the opinion of several stakeholders, the importance of securing supply chains and</w:t>
      </w:r>
      <w:r>
        <w:t xml:space="preserve"> </w:t>
      </w:r>
      <w:r>
        <w:t xml:space="preserve">anticipating the creation of a resource base within the EU economy in view of developing</w:t>
      </w:r>
      <w:r>
        <w:t xml:space="preserve"> </w:t>
      </w:r>
      <w:r>
        <w:t xml:space="preserve">secondary supply.</w:t>
      </w:r>
      <w:r>
        <w:t xml:space="preserve"> </w:t>
      </w:r>
      <w:r>
        <w:t xml:space="preserve">A more sustainable economy</w:t>
      </w:r>
      <w:r>
        <w:t xml:space="preserve"> </w:t>
      </w:r>
      <w:r>
        <w:t xml:space="preserve">The analysis done with the LIFE case highlights the important contribution resource</w:t>
      </w:r>
      <w:r>
        <w:t xml:space="preserve"> </w:t>
      </w:r>
      <w:r>
        <w:t xml:space="preserve">efficiency can make to meeting to climate objectives, while reducing the effort required</w:t>
      </w:r>
      <w:r>
        <w:t xml:space="preserve"> </w:t>
      </w:r>
      <w:r>
        <w:t xml:space="preserve">in key sectors. It shows that strong synergies are possible between a more efficient use of</w:t>
      </w:r>
      <w:r>
        <w:t xml:space="preserve"> </w:t>
      </w:r>
      <w:r>
        <w:t xml:space="preserve">resources in the economy and GHG mitigation objectives. The greater the reductions in</w:t>
      </w:r>
      <w:r>
        <w:t xml:space="preserve"> </w:t>
      </w:r>
      <w:r>
        <w:t xml:space="preserve">2040, the more valuable these synergies will be. This view is also shared by stakeholders,</w:t>
      </w:r>
      <w:r>
        <w:t xml:space="preserve"> </w:t>
      </w:r>
      <w:r>
        <w:t xml:space="preserve">which are in favour of better implementation of resource efficiency strategies in climate</w:t>
      </w:r>
      <w:r>
        <w:t xml:space="preserve"> </w:t>
      </w:r>
      <w:r>
        <w:t xml:space="preserve">action.</w:t>
      </w:r>
      <w:r>
        <w:br/>
      </w:r>
      <w:r>
        <w:t xml:space="preserve">LIFE also shows that an increased uptake of demand-side options and more sustainable</w:t>
      </w:r>
      <w:r>
        <w:t xml:space="preserve"> </w:t>
      </w:r>
      <w:r>
        <w:t xml:space="preserve">lifestyles would reduce the need to deploy the most novel abatement technologies such as</w:t>
      </w:r>
      <w:r>
        <w:t xml:space="preserve"> </w:t>
      </w:r>
      <w:r>
        <w:t xml:space="preserve">carbon capture and hydrogen technologies and lower the amount of green electricity</w:t>
      </w:r>
      <w:r>
        <w:t xml:space="preserve"> </w:t>
      </w:r>
      <w:r>
        <w:t xml:space="preserve">required. More generally, LIFE improves energy efficiency and significantly reduces the</w:t>
      </w:r>
      <w:r>
        <w:t xml:space="preserve"> </w:t>
      </w:r>
      <w:r>
        <w:t xml:space="preserve">need for electricity consumption, installed renewable capacity, and storage, while</w:t>
      </w:r>
      <w:r>
        <w:t xml:space="preserve"> </w:t>
      </w:r>
      <w:r>
        <w:t xml:space="preserve">providing opportunities in the land sector. It makes the pathways less dependent on novel</w:t>
      </w:r>
      <w:r>
        <w:t xml:space="preserve"> </w:t>
      </w:r>
      <w:r>
        <w:t xml:space="preserve">technologies, while still reaching the highest target levels and the corresponding net</w:t>
      </w:r>
      <w:r>
        <w:t xml:space="preserve"> </w:t>
      </w:r>
      <w:r>
        <w:t xml:space="preserve">GHG budget.</w:t>
      </w:r>
      <w:r>
        <w:br/>
      </w:r>
      <w:r>
        <w:t xml:space="preserve">7.4</w:t>
      </w:r>
      <w:r>
        <w:t xml:space="preserve"> </w:t>
      </w:r>
      <w:r>
        <w:t xml:space="preserve">Subsidiarity</w:t>
      </w:r>
      <w:r>
        <w:br/>
      </w:r>
      <w:r>
        <w:t xml:space="preserve">Climate change is a trans-boundary problem. For trans-boundary problems, individual</w:t>
      </w:r>
      <w:r>
        <w:t xml:space="preserve"> </w:t>
      </w:r>
      <w:r>
        <w:t xml:space="preserve">action is unlikely to lead to optimal outcomes. Instead, coordinated EU action can</w:t>
      </w:r>
      <w:r>
        <w:t xml:space="preserve"> </w:t>
      </w:r>
      <w:r>
        <w:t xml:space="preserve">effectively supplement and reinforce national and local action. Coordination at the</w:t>
      </w:r>
      <w:r>
        <w:t xml:space="preserve"> </w:t>
      </w:r>
      <w:r>
        <w:t xml:space="preserve">European level enhances the effectiveness of climate action. This is particularly true in</w:t>
      </w:r>
      <w:r>
        <w:t xml:space="preserve"> </w:t>
      </w:r>
      <w:r>
        <w:t xml:space="preserve">view of meeting the EU climate neutrality objective by 2050 and is valid for all 2040</w:t>
      </w:r>
      <w:r>
        <w:t xml:space="preserve"> </w:t>
      </w:r>
      <w:r>
        <w:t xml:space="preserve">climate target options assessed in this impact assessment.</w:t>
      </w:r>
    </w:p>
    <w:p>
      <w:pPr>
        <w:pStyle w:val="Compact"/>
        <w:numPr>
          <w:ilvl w:val="0"/>
          <w:numId w:val="1041"/>
        </w:numPr>
      </w:pPr>
      <w:r>
        <w:t xml:space="preserve">IEA (2023). “Net Zero Roadmap. A Global Pathway to Keep the 1.5°C Goal in Reach”</w:t>
      </w:r>
    </w:p>
    <w:p>
      <w:pPr>
        <w:pStyle w:val="FirstParagraph"/>
      </w:pPr>
      <w:r>
        <w:t xml:space="preserve">82</w:t>
      </w:r>
    </w:p>
    <w:p>
      <w:pPr>
        <w:pStyle w:val="BodyText"/>
      </w:pPr>
      <w:r>
        <w:t xml:space="preserve">7.5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The different target options differ substantially in terms of level of progress to the</w:t>
      </w:r>
      <w:r>
        <w:t xml:space="preserve"> </w:t>
      </w:r>
      <w:r>
        <w:t xml:space="preserve">climate neutrality and in terms of cumulative GHG emissions (the “GHG budget”), with</w:t>
      </w:r>
      <w:r>
        <w:t xml:space="preserve"> </w:t>
      </w:r>
      <w:r>
        <w:t xml:space="preserve">Option 3 outperforming the other two target Options. This option secures best the</w:t>
      </w:r>
      <w:r>
        <w:t xml:space="preserve"> </w:t>
      </w:r>
      <w:r>
        <w:t xml:space="preserve">deployment of the needed technologies to meet climate neutrality by 2050. Its additional</w:t>
      </w:r>
      <w:r>
        <w:t xml:space="preserve"> </w:t>
      </w:r>
      <w:r>
        <w:t xml:space="preserve">mitigation cost to bring the EU towards climate neutrality remains limited compared to</w:t>
      </w:r>
      <w:r>
        <w:t xml:space="preserve"> </w:t>
      </w:r>
      <w:r>
        <w:t xml:space="preserve">the baseline Option 2 (+1.5% over 2031-2040, +0.8% over the entire period 2031-2050).</w:t>
      </w:r>
      <w:r>
        <w:t xml:space="preserve"> </w:t>
      </w:r>
      <w:r>
        <w:t xml:space="preserve">The cost-benefit analysis shows a positive outcome for Option 3 compared to Option 2,</w:t>
      </w:r>
      <w:r>
        <w:t xml:space="preserve"> </w:t>
      </w:r>
      <w:r>
        <w:t xml:space="preserve">including with a conservative valuation of the cost of climate change, while Option 1</w:t>
      </w:r>
      <w:r>
        <w:t xml:space="preserve"> </w:t>
      </w:r>
      <w:r>
        <w:t xml:space="preserve">shows a more uncertain outcome dependent on the valuation.</w:t>
      </w:r>
      <w:r>
        <w:br/>
      </w:r>
      <w:r>
        <w:t xml:space="preserve">Target Option 3 is thus assessed to be the most proportional to the objective of this</w:t>
      </w:r>
      <w:r>
        <w:t xml:space="preserve"> </w:t>
      </w:r>
      <w:r>
        <w:t xml:space="preserve">initiative, namely bringing the EU economy to climate neutrality by 2050 and for the EU</w:t>
      </w:r>
      <w:r>
        <w:t xml:space="preserve"> </w:t>
      </w:r>
      <w:r>
        <w:t xml:space="preserve">to contribute to the global climate action in view of meeting the Paris Agreement</w:t>
      </w:r>
      <w:r>
        <w:t xml:space="preserve"> </w:t>
      </w:r>
      <w:r>
        <w:t xml:space="preserve">temperature goals of limiting the temperature increase to well below 2°C above pre-</w:t>
      </w:r>
      <w:r>
        <w:t xml:space="preserve"> </w:t>
      </w:r>
      <w:r>
        <w:t xml:space="preserve">industrial levels and pursuing efforts to limit the temperature increase to 1.5°C above</w:t>
      </w:r>
      <w:r>
        <w:t xml:space="preserve"> </w:t>
      </w:r>
      <w:r>
        <w:t xml:space="preserve">pre-industrial levels.</w:t>
      </w:r>
      <w:r>
        <w:br/>
      </w:r>
      <w:r>
        <w:t xml:space="preserve">The post-2030 climate, energy and wider policy framework will need to ensure that the</w:t>
      </w:r>
      <w:r>
        <w:t xml:space="preserve"> </w:t>
      </w:r>
      <w:r>
        <w:t xml:space="preserve">social and industrial policies and support required is in place to deliver the clean</w:t>
      </w:r>
      <w:r>
        <w:t xml:space="preserve"> </w:t>
      </w:r>
      <w:r>
        <w:t xml:space="preserve">technologies needed by 2040, including for carbon management.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7.6</w:t>
      </w:r>
      <w:r>
        <w:t xml:space="preserve"> </w:t>
      </w:r>
      <w:r>
        <w:t xml:space="preserve">Summary</w:t>
      </w:r>
      <w:r>
        <w:br/>
      </w:r>
      <w:r>
        <w:t xml:space="preserve">Table 35 presents a summary of the comparison of the different options to the “baseline”</w:t>
      </w:r>
      <w:r>
        <w:t xml:space="preserve"> </w:t>
      </w:r>
      <w:r>
        <w:t xml:space="preserve">Option 2. The assessment is done in the absence of the future policy framework post-</w:t>
      </w:r>
      <w:r>
        <w:t xml:space="preserve"> </w:t>
      </w:r>
      <w:r>
        <w:t xml:space="preserve">2030, which will need to be designed to ensure a just transition and coherence with other</w:t>
      </w:r>
      <w:r>
        <w:t xml:space="preserve"> </w:t>
      </w:r>
      <w:r>
        <w:t xml:space="preserve">policies.</w:t>
      </w:r>
      <w:r>
        <w:br/>
      </w:r>
      <w:r>
        <w:t xml:space="preserve">Table 35: Summary of the comparison of options</w:t>
      </w:r>
    </w:p>
    <w:p>
      <w:pPr>
        <w:pStyle w:val="BodyText"/>
      </w:pPr>
      <w:r>
        <w:t xml:space="preserve">Opt.1</w:t>
      </w:r>
      <w:r>
        <w:t xml:space="preserve"> </w:t>
      </w:r>
      <w:r>
        <w:t xml:space="preserve">vs</w:t>
      </w:r>
      <w:r>
        <w:br/>
      </w:r>
      <w:r>
        <w:t xml:space="preserve">Opt. 2</w:t>
      </w:r>
      <w:r>
        <w:t xml:space="preserve"> </w:t>
      </w:r>
      <w:r>
        <w:t xml:space="preserve">Opt. 3</w:t>
      </w:r>
      <w:r>
        <w:t xml:space="preserve"> </w:t>
      </w:r>
      <w:r>
        <w:t xml:space="preserve">vs</w:t>
      </w:r>
      <w:r>
        <w:t xml:space="preserve"> </w:t>
      </w:r>
      <w:r>
        <w:t xml:space="preserve">Opt. 2</w:t>
      </w:r>
      <w:r>
        <w:t xml:space="preserve"> </w:t>
      </w:r>
      <w:r>
        <w:t xml:space="preserve">Source</w:t>
      </w:r>
      <w:r>
        <w:t xml:space="preserve"> </w:t>
      </w:r>
      <w:r>
        <w:t xml:space="preserve">Scoring methodology</w:t>
      </w:r>
      <w:r>
        <w:t xml:space="preserve"> </w:t>
      </w:r>
      <w:r>
        <w:t xml:space="preserve">Effectiveness</w:t>
      </w:r>
    </w:p>
    <w:p>
      <w:pPr>
        <w:pStyle w:val="BodyText"/>
      </w:pPr>
      <w:r>
        <w:t xml:space="preserve">SO1 Delivering climate</w:t>
      </w:r>
      <w:r>
        <w:t xml:space="preserve"> </w:t>
      </w:r>
      <w:r>
        <w:t xml:space="preserve">neutrality</w:t>
      </w:r>
      <w:r>
        <w:t xml:space="preserve"> </w:t>
      </w:r>
      <w:r>
        <w:t xml:space="preserve">- - -</w:t>
      </w:r>
      <w:r>
        <w:t xml:space="preserve"> </w:t>
      </w:r>
      <w:r>
        <w:t xml:space="preserve">+++</w:t>
      </w:r>
      <w:r>
        <w:t xml:space="preserve"> </w:t>
      </w:r>
      <w:r>
        <w:t xml:space="preserve">Table 27, section 7.1.1.</w:t>
      </w:r>
      <w:r>
        <w:br/>
      </w:r>
      <w:r>
        <w:t xml:space="preserve">Quantitative comparison:</w:t>
      </w:r>
      <w:r>
        <w:t xml:space="preserve"> </w:t>
      </w:r>
      <w:r>
        <w:t xml:space="preserve">“=”</w:t>
      </w:r>
      <w:r>
        <w:t xml:space="preserve"> </w:t>
      </w:r>
      <w:r>
        <w:t xml:space="preserve">means a deviation up to 1%,</w:t>
      </w:r>
      <w:r>
        <w:br/>
      </w:r>
      <w:r>
        <w:t xml:space="preserve">“+” or</w:t>
      </w:r>
      <w:r>
        <w:t xml:space="preserve"> </w:t>
      </w:r>
      <w:r>
        <w:t xml:space="preserve">“-”</w:t>
      </w:r>
      <w:r>
        <w:t xml:space="preserve"> </w:t>
      </w:r>
      <w:r>
        <w:t xml:space="preserve">a deviation up to 3%,</w:t>
      </w:r>
      <w:r>
        <w:br/>
      </w:r>
      <w:r>
        <w:t xml:space="preserve">“++” or</w:t>
      </w:r>
      <w:r>
        <w:t xml:space="preserve"> </w:t>
      </w:r>
      <w:r>
        <w:t xml:space="preserve">“–”</w:t>
      </w:r>
      <w:r>
        <w:t xml:space="preserve"> </w:t>
      </w:r>
      <w:r>
        <w:t xml:space="preserve">a deviation up to 10%,</w:t>
      </w:r>
      <w:r>
        <w:br/>
      </w:r>
      <w:r>
        <w:t xml:space="preserve">“+++” or</w:t>
      </w:r>
      <w:r>
        <w:t xml:space="preserve"> </w:t>
      </w:r>
      <w:r>
        <w:t xml:space="preserve">“—”</w:t>
      </w:r>
      <w:r>
        <w:t xml:space="preserve"> </w:t>
      </w:r>
      <w:r>
        <w:t xml:space="preserve">a deviation higher than 10%</w:t>
      </w:r>
      <w:r>
        <w:br/>
      </w:r>
      <w:r>
        <w:t xml:space="preserve">SO2 Minimising GHG budget</w:t>
      </w:r>
      <w:r>
        <w:t xml:space="preserve"> </w:t>
      </w:r>
      <w:r>
        <w:t xml:space="preserve">- - -</w:t>
      </w:r>
      <w:r>
        <w:t xml:space="preserve"> </w:t>
      </w:r>
      <w:r>
        <w:t xml:space="preserve">+++</w:t>
      </w:r>
      <w:r>
        <w:t xml:space="preserve"> </w:t>
      </w:r>
      <w:r>
        <w:t xml:space="preserve">Table 27, section 7.1.1.</w:t>
      </w:r>
      <w:r>
        <w:br/>
      </w:r>
      <w:r>
        <w:t xml:space="preserve">SO3 Just transition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Table 28, section 7.1.1.</w:t>
      </w:r>
      <w:r>
        <w:br/>
      </w:r>
      <w:r>
        <w:t xml:space="preserve">SO4 Competitiveness</w:t>
      </w:r>
      <w:r>
        <w:rPr>
          <w:i/>
          <w:iCs/>
        </w:rPr>
        <w:t xml:space="preserve">, cost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Table 28, section 7.1.1.</w:t>
      </w:r>
      <w:r>
        <w:br/>
      </w:r>
      <w:r>
        <w:rPr>
          <w:i/>
          <w:iCs/>
        </w:rPr>
        <w:t xml:space="preserve">GDP, trade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SO5 Deployment of</w:t>
      </w:r>
      <w:r>
        <w:rPr>
          <w:i/>
          <w:iCs/>
        </w:rPr>
        <w:t xml:space="preserve"> </w:t>
      </w:r>
      <w:r>
        <w:rPr>
          <w:i/>
          <w:iCs/>
        </w:rPr>
        <w:t xml:space="preserve">technologies</w:t>
      </w:r>
      <w:r>
        <w:rPr>
          <w:i/>
          <w:iCs/>
        </w:rPr>
        <w:t xml:space="preserve"> </w:t>
      </w:r>
      <w:r>
        <w:rPr>
          <w:i/>
          <w:iCs/>
        </w:rPr>
        <w:t xml:space="preserve">- -</w:t>
      </w:r>
      <w:r>
        <w:rPr>
          <w:i/>
          <w:iCs/>
        </w:rPr>
        <w:t xml:space="preserve"> </w:t>
      </w:r>
      <w:r>
        <w:rPr>
          <w:i/>
          <w:iCs/>
        </w:rPr>
        <w:t xml:space="preserve">++</w:t>
      </w:r>
      <w:r>
        <w:rPr>
          <w:i/>
          <w:iCs/>
        </w:rPr>
        <w:t xml:space="preserve"> </w:t>
      </w:r>
      <w:r>
        <w:rPr>
          <w:i/>
          <w:iCs/>
        </w:rPr>
        <w:t xml:space="preserve">Table 29, section 7.1.1.</w:t>
      </w:r>
      <w:r>
        <w:br/>
      </w:r>
      <w:r>
        <w:rPr>
          <w:i/>
          <w:iCs/>
        </w:rPr>
        <w:t xml:space="preserve">SO6 Security of energy supply</w:t>
      </w:r>
      <w:r>
        <w:rPr>
          <w:i/>
          <w:iCs/>
        </w:rPr>
        <w:t xml:space="preserve"> </w:t>
      </w:r>
      <w:r>
        <w:rPr>
          <w:i/>
          <w:iCs/>
        </w:rPr>
        <w:t xml:space="preserve">- -</w:t>
      </w:r>
      <w:r>
        <w:rPr>
          <w:i/>
          <w:iCs/>
        </w:rPr>
        <w:t xml:space="preserve"> </w:t>
      </w:r>
      <w:r>
        <w:rPr>
          <w:i/>
          <w:iCs/>
        </w:rPr>
        <w:t xml:space="preserve">++</w:t>
      </w:r>
      <w:r>
        <w:rPr>
          <w:i/>
          <w:iCs/>
        </w:rPr>
        <w:t xml:space="preserve"> </w:t>
      </w:r>
      <w:r>
        <w:rPr>
          <w:i/>
          <w:iCs/>
        </w:rPr>
        <w:t xml:space="preserve">Table 29, section 7.1.1.</w:t>
      </w:r>
      <w:r>
        <w:br/>
      </w:r>
      <w:r>
        <w:rPr>
          <w:i/>
          <w:iCs/>
        </w:rPr>
        <w:t xml:space="preserve">SO7 Environmental</w:t>
      </w:r>
      <w:r>
        <w:rPr>
          <w:i/>
          <w:iCs/>
        </w:rPr>
        <w:t xml:space="preserve"> </w:t>
      </w:r>
      <w:r>
        <w:rPr>
          <w:i/>
          <w:iCs/>
        </w:rPr>
        <w:t xml:space="preserve">effectiveness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rPr>
          <w:i/>
          <w:iCs/>
        </w:rPr>
        <w:t xml:space="preserve">Table 30, section 7.1.1.</w:t>
      </w:r>
      <w:r>
        <w:br/>
      </w:r>
      <w:r>
        <w:rPr>
          <w:i/>
          <w:iCs/>
        </w:rPr>
        <w:t xml:space="preserve">Financial feasibility (annual</w:t>
      </w:r>
      <w:r>
        <w:rPr>
          <w:i/>
          <w:iCs/>
        </w:rPr>
        <w:t xml:space="preserve"> </w:t>
      </w:r>
      <w:r>
        <w:rPr>
          <w:i/>
          <w:iCs/>
        </w:rPr>
        <w:t xml:space="preserve">capital cost)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Table 32, section 7.1.1.</w:t>
      </w:r>
      <w:r>
        <w:br/>
      </w:r>
      <w:r>
        <w:rPr>
          <w:i/>
          <w:iCs/>
        </w:rPr>
        <w:t xml:space="preserve">Technological feasibility,</w:t>
      </w:r>
      <w:r>
        <w:br/>
      </w:r>
      <w:r>
        <w:rPr>
          <w:i/>
          <w:iCs/>
        </w:rPr>
        <w:t xml:space="preserve">2031-2040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i/>
          <w:iCs/>
        </w:rPr>
        <w:t xml:space="preserve">-</w:t>
      </w:r>
      <w:r>
        <w:rPr>
          <w:i/>
          <w:iCs/>
        </w:rPr>
        <w:t xml:space="preserve"> </w:t>
      </w:r>
      <w:r>
        <w:rPr>
          <w:i/>
          <w:iCs/>
        </w:rPr>
        <w:t xml:space="preserve">Based on section 7.1.2</w:t>
      </w:r>
      <w:r>
        <w:rPr>
          <w:i/>
          <w:iCs/>
        </w:rPr>
        <w:t xml:space="preserve"> </w:t>
      </w:r>
      <w:r>
        <w:rPr>
          <w:i/>
          <w:iCs/>
        </w:rPr>
        <w:t xml:space="preserve">Qualitative comparison</w:t>
      </w:r>
      <w:r>
        <w:t xml:space="preserve"> </w:t>
      </w:r>
      <w:r>
        <w:t xml:space="preserve">2041-2050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Efficiency</w:t>
      </w:r>
    </w:p>
    <w:p>
      <w:pPr>
        <w:pStyle w:val="BodyText"/>
      </w:pPr>
      <w:r>
        <w:t xml:space="preserve">Lower valuation of</w:t>
      </w:r>
      <w:r>
        <w:t xml:space="preserve"> </w:t>
      </w:r>
      <w:r>
        <w:t xml:space="preserve">externalities</w:t>
      </w:r>
      <w:r>
        <w:t xml:space="preserve"> </w:t>
      </w:r>
      <w:r>
        <w:t xml:space="preserve">+</w:t>
      </w:r>
      <w:r>
        <w:t xml:space="preserve"> </w:t>
      </w:r>
      <w:r>
        <w:t xml:space="preserve">=</w:t>
      </w:r>
      <w:r>
        <w:t xml:space="preserve"> </w:t>
      </w:r>
      <w:r>
        <w:t xml:space="preserve">Table 33 in section 7.2.</w:t>
      </w:r>
      <w:r>
        <w:t xml:space="preserve"> </w:t>
      </w:r>
      <w:r>
        <w:t xml:space="preserve">Quantitative comparison:</w:t>
      </w:r>
      <w:r>
        <w:t xml:space="preserve"> </w:t>
      </w:r>
      <w:r>
        <w:t xml:space="preserve">“=” means a deviation of annual net benefit up to 5 bn EUR</w:t>
      </w:r>
      <w:r>
        <w:t xml:space="preserve"> </w:t>
      </w:r>
      <w:r>
        <w:t xml:space="preserve">“+” or</w:t>
      </w:r>
      <w:r>
        <w:t xml:space="preserve"> </w:t>
      </w:r>
      <w:r>
        <w:t xml:space="preserve">“-”</w:t>
      </w:r>
      <w:r>
        <w:t xml:space="preserve"> </w:t>
      </w:r>
      <w:r>
        <w:t xml:space="preserve">net benefit up to 10 bn EUR</w:t>
      </w:r>
      <w:r>
        <w:br/>
      </w:r>
      <w:r>
        <w:t xml:space="preserve">“++” or</w:t>
      </w:r>
      <w:r>
        <w:t xml:space="preserve"> </w:t>
      </w:r>
      <w:r>
        <w:t xml:space="preserve">“–”</w:t>
      </w:r>
      <w:r>
        <w:t xml:space="preserve"> </w:t>
      </w:r>
      <w:r>
        <w:t xml:space="preserve">net benefit up to 20 bn EUR</w:t>
      </w:r>
      <w:r>
        <w:t xml:space="preserve"> </w:t>
      </w:r>
      <w:r>
        <w:t xml:space="preserve">“+++” or</w:t>
      </w:r>
      <w:r>
        <w:t xml:space="preserve"> </w:t>
      </w:r>
      <w:r>
        <w:t xml:space="preserve">“—”</w:t>
      </w:r>
      <w:r>
        <w:t xml:space="preserve"> </w:t>
      </w:r>
      <w:r>
        <w:t xml:space="preserve">net benefit above 20 bn EUR</w:t>
      </w:r>
      <w:r>
        <w:t xml:space="preserve"> </w:t>
      </w:r>
      <w:r>
        <w:t xml:space="preserve">Higher valuation of</w:t>
      </w:r>
      <w:r>
        <w:t xml:space="preserve"> </w:t>
      </w:r>
      <w:r>
        <w:t xml:space="preserve">externalities</w:t>
      </w:r>
      <w:r>
        <w:t xml:space="preserve"> </w:t>
      </w:r>
      <w:r>
        <w:t xml:space="preserve">- -</w:t>
      </w:r>
      <w:r>
        <w:t xml:space="preserve"> </w:t>
      </w:r>
      <w:r>
        <w:t xml:space="preserve">+++</w:t>
      </w:r>
      <w:r>
        <w:t xml:space="preserve"> </w:t>
      </w:r>
      <w:r>
        <w:t xml:space="preserve">Coherence</w:t>
      </w:r>
    </w:p>
    <w:p>
      <w:pPr>
        <w:pStyle w:val="BodyText"/>
      </w:pPr>
      <w:r>
        <w:t xml:space="preserve">Environmental risks (land use)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Based on section 7.3</w:t>
      </w:r>
      <w:r>
        <w:t xml:space="preserve"> </w:t>
      </w:r>
      <w:r>
        <w:t xml:space="preserve">Qualitative comparison*</w:t>
      </w:r>
      <w:r>
        <w:t xml:space="preserve"> </w:t>
      </w:r>
      <w:r>
        <w:t xml:space="preserve">Strategic autonomy (excl.</w:t>
      </w:r>
      <w:r>
        <w:t xml:space="preserve"> </w:t>
      </w:r>
      <w:r>
        <w:t xml:space="preserve">security of energy supply)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Qualitative comparison*</w:t>
      </w:r>
      <w:r>
        <w:t xml:space="preserve"> </w:t>
      </w:r>
      <w:r>
        <w:t xml:space="preserve">Subsidiarity</w:t>
      </w:r>
      <w:r>
        <w:t xml:space="preserve"> </w:t>
      </w:r>
      <w:r>
        <w:t xml:space="preserve">=</w:t>
      </w:r>
      <w:r>
        <w:t xml:space="preserve"> </w:t>
      </w:r>
      <w:r>
        <w:t xml:space="preserve">=</w:t>
      </w:r>
      <w:r>
        <w:t xml:space="preserve"> </w:t>
      </w:r>
      <w:r>
        <w:t xml:space="preserve">Based on section 7.4</w:t>
      </w:r>
    </w:p>
    <w:bookmarkEnd w:id="9"/>
    <w:bookmarkStart w:id="10" w:name="proportionality"/>
    <w:p>
      <w:pPr>
        <w:pStyle w:val="Heading2"/>
      </w:pPr>
      <w:r>
        <w:t xml:space="preserve">Proportionality</w:t>
      </w:r>
    </w:p>
    <w:p>
      <w:pPr>
        <w:pStyle w:val="Compact"/>
        <w:numPr>
          <w:ilvl w:val="0"/>
          <w:numId w:val="1042"/>
        </w:numPr>
      </w:pPr>
      <w:r>
        <w:t xml:space="preserve">Based on section 7.5</w:t>
      </w:r>
      <w:r>
        <w:t xml:space="preserve"> </w:t>
      </w:r>
      <w:r>
        <w:t xml:space="preserve">Qualitative comparison*</w:t>
      </w:r>
      <w:r>
        <w:t xml:space="preserve"> </w:t>
      </w:r>
      <w:r>
        <w:t xml:space="preserve">Note: *Qualitative comparison: “+” means that the Option performs better than Option 2, “-“ means that the</w:t>
      </w:r>
      <w:r>
        <w:t xml:space="preserve"> </w:t>
      </w:r>
      <w:r>
        <w:t xml:space="preserve">Option performs worse than Option 2, “=” means that the Option performs as Option 2.</w:t>
      </w:r>
    </w:p>
    <w:p>
      <w:pPr>
        <w:pStyle w:val="FirstParagraph"/>
      </w:pPr>
      <w:r>
        <w:t xml:space="preserve">84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PREFERRED OPTION AND ITS IMPACTS</w:t>
      </w:r>
      <w:r>
        <w:br/>
      </w:r>
      <w:r>
        <w:t xml:space="preserve">Target Option 3 with a range of 90-95% is the preferred option. This range is consistent</w:t>
      </w:r>
      <w:r>
        <w:t xml:space="preserve"> </w:t>
      </w:r>
      <w:r>
        <w:t xml:space="preserve">with that recommended by the ESABCC and ensures the lowest GHG budget of all</w:t>
      </w:r>
      <w:r>
        <w:t xml:space="preserve"> </w:t>
      </w:r>
      <w:r>
        <w:t xml:space="preserve">options. It provides the best balance between climate ambition and contribution to a fair</w:t>
      </w:r>
      <w:r>
        <w:t xml:space="preserve"> </w:t>
      </w:r>
      <w:r>
        <w:t xml:space="preserve">share of the global carbon budget to meet the Paris Agreement temperature goals on the</w:t>
      </w:r>
      <w:r>
        <w:t xml:space="preserve"> </w:t>
      </w:r>
      <w:r>
        <w:t xml:space="preserve">one hand, and feasibility on the other. 72% of the individuals and 66% of the</w:t>
      </w:r>
      <w:r>
        <w:t xml:space="preserve"> </w:t>
      </w:r>
      <w:r>
        <w:t xml:space="preserve">organisations who responded to the public consultation consider that an ambitious</w:t>
      </w:r>
      <w:r>
        <w:t xml:space="preserve"> </w:t>
      </w:r>
      <w:r>
        <w:t xml:space="preserve">climate target by 2040 will ensure that the EU does its part in protecting the planet and</w:t>
      </w:r>
      <w:r>
        <w:t xml:space="preserve"> </w:t>
      </w:r>
      <w:r>
        <w:t xml:space="preserve">fulfilling its duty towards future generations. Several position papers analysed during the</w:t>
      </w:r>
      <w:r>
        <w:t xml:space="preserve"> </w:t>
      </w:r>
      <w:r>
        <w:t xml:space="preserve">public consultation also call for an ambitious climate target, with some stakeholders</w:t>
      </w:r>
      <w:r>
        <w:t xml:space="preserve"> </w:t>
      </w:r>
      <w:r>
        <w:t xml:space="preserve">explicitly targeting ranges at 90% or above.</w:t>
      </w:r>
      <w:r>
        <w:br/>
      </w:r>
      <w:r>
        <w:t xml:space="preserve">Target Option 3 is the most effective in terms of bringing the EU to climate neutrality by</w:t>
      </w:r>
      <w:r>
        <w:t xml:space="preserve"> </w:t>
      </w:r>
      <w:r>
        <w:t xml:space="preserve">2050. With the lowest GHG budget, it also provides the strongest leadership from the EU</w:t>
      </w:r>
      <w:r>
        <w:t xml:space="preserve"> </w:t>
      </w:r>
      <w:r>
        <w:t xml:space="preserve">and the most credible push to the EU’s partners worldwide on the need and opportunities</w:t>
      </w:r>
      <w:r>
        <w:t xml:space="preserve"> </w:t>
      </w:r>
      <w:r>
        <w:t xml:space="preserve">for accelerating climate action. Stakeholders largely agree on the positive influence that</w:t>
      </w:r>
      <w:r>
        <w:t xml:space="preserve"> </w:t>
      </w:r>
      <w:r>
        <w:t xml:space="preserve">an ambitious EU climate target can trigger at global level. By encouraging early action,</w:t>
      </w:r>
      <w:r>
        <w:t xml:space="preserve"> </w:t>
      </w:r>
      <w:r>
        <w:t xml:space="preserve">Target Option 3 is expected to have the most impact on reducing global emissions, and</w:t>
      </w:r>
      <w:r>
        <w:t xml:space="preserve"> </w:t>
      </w:r>
      <w:r>
        <w:t xml:space="preserve">on increasing the prospect of keeping 1.5 degrees warming within reach, so as to limit the</w:t>
      </w:r>
      <w:r>
        <w:t xml:space="preserve"> </w:t>
      </w:r>
      <w:r>
        <w:t xml:space="preserve">worst climate impacts and disruptions to all economies, including the risk of reaching</w:t>
      </w:r>
      <w:r>
        <w:t xml:space="preserve"> </w:t>
      </w:r>
      <w:r>
        <w:t xml:space="preserve">irreversible climate tipping points.</w:t>
      </w:r>
      <w:r>
        <w:br/>
      </w:r>
      <w:r>
        <w:t xml:space="preserve">Target Option 3 is also the most effective in ensuring the EU’s security of energy</w:t>
      </w:r>
      <w:r>
        <w:t xml:space="preserve"> </w:t>
      </w:r>
      <w:r>
        <w:t xml:space="preserve">supply and strategic autonomy, with an energy import dependency ratio 3 percentage</w:t>
      </w:r>
      <w:r>
        <w:t xml:space="preserve"> </w:t>
      </w:r>
      <w:r>
        <w:t xml:space="preserve">points lower than the “baseline” Option 2 and a reduction in fossil fuel imports of 4%. It</w:t>
      </w:r>
      <w:r>
        <w:t xml:space="preserve"> </w:t>
      </w:r>
      <w:r>
        <w:t xml:space="preserve">is also the option that best protects the EU against the negative socio-economic impacts</w:t>
      </w:r>
      <w:r>
        <w:t xml:space="preserve"> </w:t>
      </w:r>
      <w:r>
        <w:t xml:space="preserve">of potential fossil fuel price shocks in future.</w:t>
      </w:r>
      <w:r>
        <w:t xml:space="preserve"> </w:t>
      </w:r>
      <w:r>
        <w:t xml:space="preserve">In terms of financial feasibility, all target options require a similar increase in average</w:t>
      </w:r>
      <w:r>
        <w:t xml:space="preserve"> </w:t>
      </w:r>
      <w:r>
        <w:t xml:space="preserve">annual energy system investment over the period 2031-2050 and imply a moderate</w:t>
      </w:r>
      <w:r>
        <w:t xml:space="preserve"> </w:t>
      </w:r>
      <w:r>
        <w:t xml:space="preserve">increase in energy system costs as a share of GDP compared to the average for 2011-</w:t>
      </w:r>
      <w:r>
        <w:t xml:space="preserve"> </w:t>
      </w:r>
      <w:r>
        <w:t xml:space="preserve">2020. Target Option 3 entails a moderate early push in investment in 2031-2040</w:t>
      </w:r>
      <w:r>
        <w:t xml:space="preserve"> </w:t>
      </w:r>
      <w:r>
        <w:t xml:space="preserve">compared to the “baseline” Option 2, mostly on the energy supply side, where investors</w:t>
      </w:r>
      <w:r>
        <w:t xml:space="preserve"> </w:t>
      </w:r>
      <w:r>
        <w:t xml:space="preserve">have good access to finance due to secure and relatively predictable revenue streams. The</w:t>
      </w:r>
      <w:r>
        <w:t xml:space="preserve"> </w:t>
      </w:r>
      <w:r>
        <w:t xml:space="preserve">anticipation of investment under Target Option 3 is very limited in industry and in the</w:t>
      </w:r>
      <w:r>
        <w:t xml:space="preserve"> </w:t>
      </w:r>
      <w:r>
        <w:t xml:space="preserve">residential sector.</w:t>
      </w:r>
      <w:r>
        <w:br/>
      </w:r>
      <w:r>
        <w:t xml:space="preserve">Ensuring a just transition requires an even greater focus for Target Option 3 than for</w:t>
      </w:r>
      <w:r>
        <w:t xml:space="preserve"> </w:t>
      </w:r>
      <w:r>
        <w:t xml:space="preserve">less ambitious target options, as the transition is somewhat accelerated. However, the</w:t>
      </w:r>
      <w:r>
        <w:t xml:space="preserve"> </w:t>
      </w:r>
      <w:r>
        <w:t xml:space="preserve">increase in costs for households compared to the “baseline” Option 2 is small, and</w:t>
      </w:r>
      <w:r>
        <w:t xml:space="preserve"> </w:t>
      </w:r>
      <w:r>
        <w:t xml:space="preserve">this assessment does not account for any policy measures and redistributive</w:t>
      </w:r>
      <w:r>
        <w:t xml:space="preserve"> </w:t>
      </w:r>
      <w:r>
        <w:t xml:space="preserve">instruments that can be expected to address this impact; for example, the assessment</w:t>
      </w:r>
      <w:r>
        <w:t xml:space="preserve"> </w:t>
      </w:r>
      <w:r>
        <w:t xml:space="preserve">of impacts does not include the use of carbon revenues to support households.</w:t>
      </w:r>
      <w:r>
        <w:br/>
      </w:r>
      <w:r>
        <w:t xml:space="preserve">In terms of the competitiveness, Target Option 3 will lead to a greater impact for fossil</w:t>
      </w:r>
      <w:r>
        <w:t xml:space="preserve"> </w:t>
      </w:r>
      <w:r>
        <w:t xml:space="preserve">fuel sectors, and a small negative impact on the output of energy intensive sectors</w:t>
      </w:r>
      <w:r>
        <w:t xml:space="preserve"> </w:t>
      </w:r>
      <w:r>
        <w:t xml:space="preserve">compared to the “baseline” Option 2. However, the higher ambition of Option 3 can</w:t>
      </w:r>
      <w:r>
        <w:t xml:space="preserve"> </w:t>
      </w:r>
      <w:r>
        <w:t xml:space="preserve">further showcase the EU’s climate leadership. Target Option 3 will also lead to earlier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investments in novel technologies, an important opportunity to develop the expertise and</w:t>
      </w:r>
      <w:r>
        <w:t xml:space="preserve"> </w:t>
      </w:r>
      <w:r>
        <w:t xml:space="preserve">skills in the EU to supply the equipment and infrastructure that will be needed worldwide</w:t>
      </w:r>
      <w:r>
        <w:t xml:space="preserve"> </w:t>
      </w:r>
      <w:r>
        <w:t xml:space="preserve">over decades to come for carbon dioxide removals to ensure global carbon neutrality. By</w:t>
      </w:r>
      <w:r>
        <w:t xml:space="preserve"> </w:t>
      </w:r>
      <w:r>
        <w:t xml:space="preserve">supporting a higher development of low-carbon technologies, Option 3 would thus</w:t>
      </w:r>
      <w:r>
        <w:t xml:space="preserve"> </w:t>
      </w:r>
      <w:r>
        <w:t xml:space="preserve">increase the positioning of the EU in the global race to clean technologies and solutions.</w:t>
      </w:r>
      <w:r>
        <w:t xml:space="preserve"> </w:t>
      </w:r>
      <w:r>
        <w:t xml:space="preserve">Finally, in addition, the increased energy independence mentioned below is a strong</w:t>
      </w:r>
      <w:r>
        <w:t xml:space="preserve"> </w:t>
      </w:r>
      <w:r>
        <w:t xml:space="preserve">advantage for the competitiveness of the EU industry, in reducing its exposure the</w:t>
      </w:r>
      <w:r>
        <w:t xml:space="preserve"> </w:t>
      </w:r>
      <w:r>
        <w:t xml:space="preserve">international markets volatility.</w:t>
      </w:r>
      <w:r>
        <w:t xml:space="preserve"> </w:t>
      </w:r>
      <w:r>
        <w:t xml:space="preserve">Target Option 3 is also the most efficient to meet climate neutrality by 2050, showing</w:t>
      </w:r>
      <w:r>
        <w:t xml:space="preserve"> </w:t>
      </w:r>
      <w:r>
        <w:t xml:space="preserve">the highest net benefits in terms of avoided climate change and air pollution</w:t>
      </w:r>
      <w:r>
        <w:t xml:space="preserve"> </w:t>
      </w:r>
      <w:r>
        <w:t xml:space="preserve">compared to the mitigation cost. It shows slightly higher mitigation cost overall (+1.5%</w:t>
      </w:r>
      <w:r>
        <w:t xml:space="preserve"> </w:t>
      </w:r>
      <w:r>
        <w:t xml:space="preserve">over 2031-2040 compared to the “baseline” Option 2, but only +0.8% over 2041-2050),</w:t>
      </w:r>
      <w:r>
        <w:t xml:space="preserve"> </w:t>
      </w:r>
      <w:r>
        <w:t xml:space="preserve">which differs across sectors: while the cost increase in industry and transport are close to</w:t>
      </w:r>
      <w:r>
        <w:t xml:space="preserve"> </w:t>
      </w:r>
      <w:r>
        <w:t xml:space="preserve">2%, they are limited in services and the residential sector to 1% and 0.5%, respectively.</w:t>
      </w:r>
      <w:r>
        <w:t xml:space="preserve"> </w:t>
      </w:r>
      <w:r>
        <w:t xml:space="preserve">Most SMEs are in sectors for which the impacts are very limited.</w:t>
      </w:r>
      <w:r>
        <w:t xml:space="preserve"> </w:t>
      </w:r>
      <w:r>
        <w:t xml:space="preserve">A greater push will also be required under Target Option 3 to ensure the availability of</w:t>
      </w:r>
      <w:r>
        <w:t xml:space="preserve"> </w:t>
      </w:r>
      <w:r>
        <w:t xml:space="preserve">novel technologies such as carbon capture, including for DACC and BECCS, or e-fuels,</w:t>
      </w:r>
      <w:r>
        <w:t xml:space="preserve"> </w:t>
      </w:r>
      <w:r>
        <w:t xml:space="preserve">which will need the setting up a dedicated policy. The implications above and other</w:t>
      </w:r>
      <w:r>
        <w:t xml:space="preserve"> </w:t>
      </w:r>
      <w:r>
        <w:t xml:space="preserve">impacts or trade-offs identified, for example for avoiding new dependencies on imports</w:t>
      </w:r>
      <w:r>
        <w:t xml:space="preserve"> </w:t>
      </w:r>
      <w:r>
        <w:t xml:space="preserve">of critical raw materials or pressure on biodiversity from the use of biomass associated</w:t>
      </w:r>
      <w:r>
        <w:t xml:space="preserve"> </w:t>
      </w:r>
      <w:r>
        <w:t xml:space="preserve">with a more ambitious climate target option, can and must continue to be addressed and</w:t>
      </w:r>
      <w:r>
        <w:t xml:space="preserve"> </w:t>
      </w:r>
      <w:r>
        <w:t xml:space="preserve">mitigated through dedicated policy measures, as part of the design of the future climate</w:t>
      </w:r>
      <w:r>
        <w:t xml:space="preserve"> </w:t>
      </w:r>
      <w:r>
        <w:t xml:space="preserve">and energy policy framework, and wider enabling framework (e.g. financing, land-use</w:t>
      </w:r>
      <w:r>
        <w:t xml:space="preserve"> </w:t>
      </w:r>
      <w:r>
        <w:t xml:space="preserve">and biodiversity, supply of critical raw materials, competitiveness).</w:t>
      </w:r>
      <w:r>
        <w:t xml:space="preserve"> </w:t>
      </w:r>
      <w:r>
        <w:t xml:space="preserve">Finally, the Impact Assessment further shows the potential for demand-side actions, such</w:t>
      </w:r>
      <w:r>
        <w:t xml:space="preserve"> </w:t>
      </w:r>
      <w:r>
        <w:t xml:space="preserve">as behavioural changes in food, circularity and mobility (as in LIFE) to complement the</w:t>
      </w:r>
      <w:r>
        <w:t xml:space="preserve"> </w:t>
      </w:r>
      <w:r>
        <w:t xml:space="preserve">energy and industrial transition (as shown in the scenarios) and to reduce the costs to</w:t>
      </w:r>
      <w:r>
        <w:t xml:space="preserve"> </w:t>
      </w:r>
      <w:r>
        <w:t xml:space="preserve">society of reaching the 2040 target, lowering energy system costs, the need for</w:t>
      </w:r>
      <w:r>
        <w:t xml:space="preserve"> </w:t>
      </w:r>
      <w:r>
        <w:t xml:space="preserve">investment in (novel) technologies, and environmental risks (e.g. of higher demand for</w:t>
      </w:r>
      <w:r>
        <w:t xml:space="preserve"> </w:t>
      </w:r>
      <w:r>
        <w:t xml:space="preserve">bioenergy). However, lifestyle choices depend to a large extent on personal choice and</w:t>
      </w:r>
      <w:r>
        <w:t xml:space="preserve"> </w:t>
      </w:r>
      <w:r>
        <w:t xml:space="preserve">positive incentives.</w:t>
      </w:r>
      <w:r>
        <w:t xml:space="preserve"> </w:t>
      </w:r>
      <w:r>
        <w:t xml:space="preserve">9</w:t>
      </w:r>
      <w:r>
        <w:t xml:space="preserve"> </w:t>
      </w:r>
      <w:r>
        <w:t xml:space="preserve">HOW WILL ACTUAL IMPACTS BE MONITORED AND EVALUATED?</w:t>
      </w:r>
      <w:r>
        <w:br/>
      </w:r>
      <w:r>
        <w:t xml:space="preserve">The key EU legislation for planning, monitoring and reporting of progress towards the</w:t>
      </w:r>
      <w:r>
        <w:t xml:space="preserve"> </w:t>
      </w:r>
      <w:r>
        <w:t xml:space="preserve">EU’s climate targets and its international commitments under the Paris Agreement is the</w:t>
      </w:r>
      <w:r>
        <w:t xml:space="preserve"> </w:t>
      </w:r>
      <w:r>
        <w:t xml:space="preserve">Regulation on the Governance of the Energy Union and Climate Action (‘Governance</w:t>
      </w:r>
      <w:r>
        <w:t xml:space="preserve"> </w:t>
      </w:r>
      <w:r>
        <w:t xml:space="preserve">Regulation’) (97).</w:t>
      </w:r>
      <w:r>
        <w:br/>
      </w:r>
      <w:r>
        <w:t xml:space="preserve">The Governance Regulation requires EU Member States to communicate and implement</w:t>
      </w:r>
      <w:r>
        <w:t xml:space="preserve"> </w:t>
      </w:r>
      <w:r>
        <w:t xml:space="preserve">integrated National Energy and Climate Plans (NECPs) and to regularly report on</w:t>
      </w:r>
    </w:p>
    <w:p>
      <w:pPr>
        <w:pStyle w:val="Compact"/>
        <w:numPr>
          <w:ilvl w:val="0"/>
          <w:numId w:val="1043"/>
        </w:numPr>
      </w:pPr>
      <w:r>
        <w:t xml:space="preserve">In accordance with Article 45 of the Governance Regulation, the Commission should review the</w:t>
      </w:r>
      <w:r>
        <w:t xml:space="preserve"> </w:t>
      </w:r>
      <w:r>
        <w:t xml:space="preserve">Regulation with six months of each global stocktake. The evaluation of the Governance Regulation is</w:t>
      </w:r>
      <w:r>
        <w:t xml:space="preserve"> </w:t>
      </w:r>
      <w:r>
        <w:t xml:space="preserve">planned in Q1 2024.</w:t>
      </w:r>
    </w:p>
    <w:p>
      <w:pPr>
        <w:pStyle w:val="FirstParagraph"/>
      </w:pPr>
      <w:r>
        <w:t xml:space="preserve">86</w:t>
      </w:r>
    </w:p>
    <w:p>
      <w:pPr>
        <w:pStyle w:val="BodyText"/>
      </w:pPr>
      <w:r>
        <w:t xml:space="preserve">their progress in implementing them. It lays out the detailed reporting obligations on</w:t>
      </w:r>
      <w:r>
        <w:t xml:space="preserve"> </w:t>
      </w:r>
      <w:r>
        <w:t xml:space="preserve">GHG emissions, policies and measures, projections, adaptation actions and support</w:t>
      </w:r>
      <w:r>
        <w:t xml:space="preserve"> </w:t>
      </w:r>
      <w:r>
        <w:t xml:space="preserve">provided to developing countries. Every two years, Member States need to take stock of</w:t>
      </w:r>
      <w:r>
        <w:t xml:space="preserve"> </w:t>
      </w:r>
      <w:r>
        <w:t xml:space="preserve">the progress achieved towards the objectives, targets and contributions set out in their</w:t>
      </w:r>
      <w:r>
        <w:t xml:space="preserve"> </w:t>
      </w:r>
      <w:r>
        <w:t xml:space="preserve">NECPs, which are updated to reflect the countries’ contributions to the EU climate and</w:t>
      </w:r>
      <w:r>
        <w:t xml:space="preserve"> </w:t>
      </w:r>
      <w:r>
        <w:t xml:space="preserve">energy objectives (98)(99).</w:t>
      </w:r>
      <w:r>
        <w:br/>
      </w:r>
      <w:r>
        <w:t xml:space="preserve">With the adoption of the European Climate Law in July 2021, the Commission should</w:t>
      </w:r>
      <w:r>
        <w:t xml:space="preserve"> </w:t>
      </w:r>
      <w:r>
        <w:t xml:space="preserve">also provide an assessment of the progress made by all Member States towards the EU</w:t>
      </w:r>
      <w:r>
        <w:t xml:space="preserve"> </w:t>
      </w:r>
      <w:r>
        <w:t xml:space="preserve">2050 climate-neutrality objective (100). The first Climate Law assessment was undertaken</w:t>
      </w:r>
      <w:r>
        <w:t xml:space="preserve"> </w:t>
      </w:r>
      <w:r>
        <w:t xml:space="preserve">in October 2023, together with the assessment of progress provided for under the</w:t>
      </w:r>
      <w:r>
        <w:t xml:space="preserve"> </w:t>
      </w:r>
      <w:r>
        <w:t xml:space="preserve">Governance Regulation. The Climate Law assessment is to be carried out every five</w:t>
      </w:r>
      <w:r>
        <w:t xml:space="preserve"> </w:t>
      </w:r>
      <w:r>
        <w:t xml:space="preserve">years, aligned with the global stocktake under the Paris Agreement. The Climate Law</w:t>
      </w:r>
      <w:r>
        <w:t xml:space="preserve"> </w:t>
      </w:r>
      <w:r>
        <w:t xml:space="preserve">provides that the Commission base its assessment on an indicative, linear trajectory,</w:t>
      </w:r>
      <w:r>
        <w:t xml:space="preserve"> </w:t>
      </w:r>
      <w:r>
        <w:t xml:space="preserve">which sets out the pathway for the reduction of net emissions at Union level, linking the</w:t>
      </w:r>
      <w:r>
        <w:t xml:space="preserve"> </w:t>
      </w:r>
      <w:r>
        <w:t xml:space="preserve">Union 2030 climate target, the Union 2040 climate target, when adopted, and the 2050</w:t>
      </w:r>
      <w:r>
        <w:t xml:space="preserve"> </w:t>
      </w:r>
      <w:r>
        <w:t xml:space="preserve">EU climate-neutrality objective. The assessment of progress includes data derived from</w:t>
      </w:r>
      <w:r>
        <w:t xml:space="preserve"> </w:t>
      </w:r>
      <w:r>
        <w:t xml:space="preserve">the European Earth Observation Programme Copernicus.</w:t>
      </w:r>
      <w:r>
        <w:t xml:space="preserve"> </w:t>
      </w:r>
      <w:r>
        <w:t xml:space="preserve">Under the annual State of the Energy Union Report (101), the Commission adopts the</w:t>
      </w:r>
      <w:r>
        <w:t xml:space="preserve"> </w:t>
      </w:r>
      <w:r>
        <w:t xml:space="preserve">EU Climate Action Progress Report where it reports each year on EU-wide climate</w:t>
      </w:r>
      <w:r>
        <w:t xml:space="preserve"> </w:t>
      </w:r>
      <w:r>
        <w:t xml:space="preserve">progress and delivers on obligations set out in the Governance Regulation, including to</w:t>
      </w:r>
      <w:r>
        <w:t xml:space="preserve"> </w:t>
      </w:r>
      <w:r>
        <w:t xml:space="preserve">assess progress with the EU’s climate targets. The Climate Action Progress Report is an</w:t>
      </w:r>
      <w:r>
        <w:t xml:space="preserve"> </w:t>
      </w:r>
      <w:r>
        <w:t xml:space="preserve">opportunity to inform a wide audience about recent developments in EU climate action.</w:t>
      </w:r>
    </w:p>
    <w:p>
      <w:pPr>
        <w:pStyle w:val="Compact"/>
        <w:numPr>
          <w:ilvl w:val="0"/>
          <w:numId w:val="1044"/>
        </w:numPr>
      </w:pPr>
      <w:r>
        <w:t xml:space="preserve">Based on guidance to MS issued by the European Commission issues, like the one for the updated</w:t>
      </w:r>
      <w:r>
        <w:t xml:space="preserve"> </w:t>
      </w:r>
      <w:r>
        <w:t xml:space="preserve">NECPs 2021-2030 in view of contributing to “fit-for-55” objectives.</w:t>
      </w:r>
    </w:p>
    <w:p>
      <w:pPr>
        <w:pStyle w:val="Compact"/>
        <w:numPr>
          <w:ilvl w:val="0"/>
          <w:numId w:val="1044"/>
        </w:numPr>
      </w:pPr>
      <w:r>
        <w:t xml:space="preserve">Final NECPs, in view of meeting the “fit-for 55” objectives, are due in June 2024.</w:t>
      </w:r>
    </w:p>
    <w:p>
      <w:pPr>
        <w:pStyle w:val="Compact"/>
        <w:numPr>
          <w:ilvl w:val="0"/>
          <w:numId w:val="1044"/>
        </w:numPr>
      </w:pPr>
      <w:r>
        <w:t xml:space="preserve">The European Climate Law also requires the Commission to assess the collective progress made by all</w:t>
      </w:r>
      <w:r>
        <w:t xml:space="preserve"> </w:t>
      </w:r>
      <w:r>
        <w:t xml:space="preserve">Member States on adaptation, the consistency of Union and national measures with climate neutrality and</w:t>
      </w:r>
      <w:r>
        <w:t xml:space="preserve"> </w:t>
      </w:r>
      <w:r>
        <w:t xml:space="preserve">with progress on adaptation.</w:t>
      </w:r>
    </w:p>
    <w:p>
      <w:pPr>
        <w:pStyle w:val="Compact"/>
        <w:numPr>
          <w:ilvl w:val="0"/>
          <w:numId w:val="1044"/>
        </w:numPr>
      </w:pPr>
      <w:r>
        <w:t xml:space="preserve">Under Article 29 of the Governance Regulation, where the Commission has to assess progress at</w:t>
      </w:r>
      <w:r>
        <w:t xml:space="preserve"> </w:t>
      </w:r>
      <w:r>
        <w:t xml:space="preserve">Union and Member State level towards meeting the objectives of the Energy Union.</w:t>
      </w:r>
    </w:p>
    <w:p>
      <w:pPr>
        <w:pStyle w:val="FirstParagraph"/>
      </w:pPr>
      <w:r>
        <w:t xml:space="preserve">87</w:t>
      </w:r>
    </w:p>
    <w:p>
      <w:pPr>
        <w:pStyle w:val="BodyText"/>
      </w:pPr>
      <w:r>
        <w:t xml:space="preserve">Annex 1: Procedural information</w:t>
      </w:r>
      <w:r>
        <w:br/>
      </w:r>
      <w:r>
        <w:t xml:space="preserve">1. LEAD DG, DECIDE PLANNING/COMWORKPROGRAMME REFERENCES</w:t>
      </w:r>
      <w:r>
        <w:t xml:space="preserve"> </w:t>
      </w:r>
      <w:r>
        <w:t xml:space="preserve">The lead DG is DG CLIMA, Unit A2: Foresight, Economic Analysis &amp; Modelling. The</w:t>
      </w:r>
      <w:r>
        <w:t xml:space="preserve"> </w:t>
      </w:r>
      <w:r>
        <w:t xml:space="preserve">co-lead DG is DG ENER.</w:t>
      </w:r>
      <w:r>
        <w:t xml:space="preserve"> </w:t>
      </w:r>
      <w:r>
        <w:t xml:space="preserve">DECIDE reference number is: PLAN/2023/220.</w:t>
      </w:r>
      <w:r>
        <w:br/>
      </w:r>
      <w:r>
        <w:t xml:space="preserve">It shows in the Commission Work Programme 2024 as item 2 in Annex I.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impact assessment started in 2023, with the call for evidence published on 31 March</w:t>
      </w:r>
      <w:r>
        <w:t xml:space="preserve"> </w:t>
      </w:r>
      <w:r>
        <w:t xml:space="preserve">2023.</w:t>
      </w:r>
      <w:r>
        <w:t xml:space="preserve"> </w:t>
      </w:r>
      <w:r>
        <w:t xml:space="preserve">The impact assessment on the EU 2040 climate target was coordinated by an Inter-</w:t>
      </w:r>
      <w:r>
        <w:t xml:space="preserve"> </w:t>
      </w:r>
      <w:r>
        <w:t xml:space="preserve">Service Group (ISG).</w:t>
      </w:r>
      <w:r>
        <w:br/>
      </w:r>
      <w:r>
        <w:t xml:space="preserve">The Inter-Service Steering Group met 3 times: on 20 January 2023, 30 June 2023 and 18</w:t>
      </w:r>
      <w:r>
        <w:t xml:space="preserve"> </w:t>
      </w:r>
      <w:r>
        <w:t xml:space="preserve">September 2023. It was consulted throughout the different steps of the impact assessment</w:t>
      </w:r>
      <w:r>
        <w:t xml:space="preserve"> </w:t>
      </w:r>
      <w:r>
        <w:t xml:space="preserve">process, notably on all the stakeholder consultation material and on the draft Impact</w:t>
      </w:r>
      <w:r>
        <w:t xml:space="preserve"> </w:t>
      </w:r>
      <w:r>
        <w:t xml:space="preserve">Assessment.</w:t>
      </w:r>
      <w:r>
        <w:br/>
      </w:r>
      <w:r>
        <w:t xml:space="preserve">The Commission Services participating in the ISG were: Secretariat-General, SJ, DG</w:t>
      </w:r>
      <w:r>
        <w:t xml:space="preserve"> </w:t>
      </w:r>
      <w:r>
        <w:t xml:space="preserve">AGRI, DG BUDG, DG CNECT, DG COMM, DG COMP, DG DEFIS, DG ECFIN, DG</w:t>
      </w:r>
      <w:r>
        <w:t xml:space="preserve"> </w:t>
      </w:r>
      <w:r>
        <w:t xml:space="preserve">EMPL, DG ENV, ESTAT, DG GROW, DG INTPA, JRC, DG MOVE, DG NEAR, DG</w:t>
      </w:r>
      <w:r>
        <w:t xml:space="preserve"> </w:t>
      </w:r>
      <w:r>
        <w:t xml:space="preserve">RECOVER, DG REFORM, DG REGIO, DG SANTE, DG RTD, DG TAXUD, DG</w:t>
      </w:r>
      <w:r>
        <w:t xml:space="preserve"> </w:t>
      </w:r>
      <w:r>
        <w:t xml:space="preserve">TRADE. The EEAS was also consulted.</w:t>
      </w:r>
      <w:r>
        <w:br/>
      </w:r>
      <w:r>
        <w:t xml:space="preserve">3. CONSULTATION OF THE RSB</w:t>
      </w:r>
      <w:r>
        <w:t xml:space="preserve"> </w:t>
      </w:r>
      <w:r>
        <w:t xml:space="preserve">An upstream meeting between the lead DGs and the RSB took place on 24 April 2023.</w:t>
      </w:r>
      <w:r>
        <w:t xml:space="preserve"> </w:t>
      </w:r>
      <w:r>
        <w:t xml:space="preserve">The draft report was submitted to the RSB on 16 October 2023 and was discussed by the</w:t>
      </w:r>
      <w:r>
        <w:t xml:space="preserve"> </w:t>
      </w:r>
      <w:r>
        <w:t xml:space="preserve">RSB on 15 November 2023.</w:t>
      </w:r>
      <w:r>
        <w:t xml:space="preserve"> </w:t>
      </w:r>
      <w:r>
        <w:t xml:space="preserve">On 17 November 2023, the RSB issued a negative opinion. A revised Impact Assessment</w:t>
      </w:r>
      <w:r>
        <w:t xml:space="preserve"> </w:t>
      </w:r>
      <w:r>
        <w:t xml:space="preserve">has been submitted on 6th December 2023, fully addressing the recommendations</w:t>
      </w:r>
      <w:r>
        <w:t xml:space="preserve"> </w:t>
      </w:r>
      <w:r>
        <w:t xml:space="preserve">provided by the Board in its first opinion.</w:t>
      </w:r>
      <w:r>
        <w:br/>
      </w:r>
      <w:r>
        <w:t xml:space="preserve">On 22 December 2023, the RSB issued a second, positive opinion with reservations.</w:t>
      </w:r>
      <w:r>
        <w:br/>
      </w:r>
      <w:r>
        <w:t xml:space="preserve">Table 36 and Table 37 show the RSB findings and the changes made to respond to the</w:t>
      </w:r>
      <w:r>
        <w:t xml:space="preserve"> </w:t>
      </w:r>
      <w:r>
        <w:t xml:space="preserve">first and the second opinion respectively, which have been shared with the Inter-Service</w:t>
      </w:r>
      <w:r>
        <w:t xml:space="preserve"> </w:t>
      </w:r>
      <w:r>
        <w:t xml:space="preserve">group.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Table 36: How the RSB findings of the 1st opinion have been addressed</w:t>
      </w:r>
      <w:r>
        <w:t xml:space="preserve"> </w:t>
      </w:r>
      <w:r>
        <w:t xml:space="preserve">Findings</w:t>
      </w:r>
      <w:r>
        <w:t xml:space="preserve"> </w:t>
      </w:r>
      <w:r>
        <w:t xml:space="preserve">How findings were addressed</w:t>
      </w:r>
      <w:r>
        <w:t xml:space="preserve"> </w:t>
      </w:r>
      <w:r>
        <w:t xml:space="preserve">(1) The problem, its drivers and its</w:t>
      </w:r>
      <w:r>
        <w:t xml:space="preserve"> </w:t>
      </w:r>
      <w:r>
        <w:t xml:space="preserve">potential consequences are not</w:t>
      </w:r>
      <w:r>
        <w:t xml:space="preserve"> </w:t>
      </w:r>
      <w:r>
        <w:t xml:space="preserve">clearly identified. The report does</w:t>
      </w:r>
      <w:r>
        <w:t xml:space="preserve"> </w:t>
      </w:r>
      <w:r>
        <w:t xml:space="preserve">not adequately define the specific</w:t>
      </w:r>
      <w:r>
        <w:t xml:space="preserve"> </w:t>
      </w:r>
      <w:r>
        <w:t xml:space="preserve">objectives and criteria based on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performance</w:t>
      </w:r>
      <w:r>
        <w:t xml:space="preserve"> </w:t>
      </w:r>
      <w:r>
        <w:t xml:space="preserve">of</w:t>
      </w:r>
      <w:r>
        <w:t xml:space="preserve"> </w:t>
      </w:r>
      <w:r>
        <w:t xml:space="preserve">alternative 2040 target options</w:t>
      </w:r>
      <w:r>
        <w:t xml:space="preserve"> </w:t>
      </w:r>
      <w:r>
        <w:t xml:space="preserve">would be assessed in line with the</w:t>
      </w:r>
      <w:r>
        <w:t xml:space="preserve"> </w:t>
      </w:r>
      <w:r>
        <w:t xml:space="preserve">requirements of the EU Climate</w:t>
      </w:r>
      <w:r>
        <w:t xml:space="preserve"> </w:t>
      </w:r>
      <w:r>
        <w:t xml:space="preserve">Law.</w:t>
      </w:r>
      <w:r>
        <w:t xml:space="preserve"> </w:t>
      </w:r>
      <w:r>
        <w:t xml:space="preserve">Following the recommendation by the RSB, the problem</w:t>
      </w:r>
      <w:r>
        <w:t xml:space="preserve"> </w:t>
      </w:r>
      <w:r>
        <w:t xml:space="preserve">definition (section 2) has been simplified and aligned with</w:t>
      </w:r>
      <w:r>
        <w:t xml:space="preserve"> </w:t>
      </w:r>
      <w:r>
        <w:t xml:space="preserve">the legal obligation stemming from the European Climate</w:t>
      </w:r>
      <w:r>
        <w:t xml:space="preserve"> </w:t>
      </w:r>
      <w:r>
        <w:t xml:space="preserve">Law. The specific objectives (section 4) have been better</w:t>
      </w:r>
      <w:r>
        <w:t xml:space="preserve"> </w:t>
      </w:r>
      <w:r>
        <w:t xml:space="preserve">defined, based on the elements under its article 4(5) for the</w:t>
      </w:r>
      <w:r>
        <w:t xml:space="preserve"> </w:t>
      </w:r>
      <w:r>
        <w:t xml:space="preserve">Commission to take into consideration when proposing the</w:t>
      </w:r>
      <w:r>
        <w:t xml:space="preserve"> </w:t>
      </w:r>
      <w:r>
        <w:t xml:space="preserve">2040 target.</w:t>
      </w:r>
      <w:r>
        <w:t xml:space="preserve"> </w:t>
      </w:r>
      <w:r>
        <w:t xml:space="preserve">The intervention logic has been streamlined.</w:t>
      </w:r>
      <w:r>
        <w:t xml:space="preserve"> </w:t>
      </w:r>
      <w:r>
        <w:t xml:space="preserve">A set of criteria is used to compare the performance of the</w:t>
      </w:r>
      <w:r>
        <w:t xml:space="preserve"> </w:t>
      </w:r>
      <w:r>
        <w:t xml:space="preserve">target options in terms of effectiveness according to these</w:t>
      </w:r>
      <w:r>
        <w:t xml:space="preserve"> </w:t>
      </w:r>
      <w:r>
        <w:t xml:space="preserve">different specific objectives (section 7).</w:t>
      </w:r>
      <w:r>
        <w:t xml:space="preserve"> </w:t>
      </w:r>
      <w:r>
        <w:t xml:space="preserve">(2) The description of the dynamic</w:t>
      </w:r>
      <w:r>
        <w:t xml:space="preserve"> </w:t>
      </w:r>
      <w:r>
        <w:t xml:space="preserve">baseline is underdeveloped and not</w:t>
      </w:r>
      <w:r>
        <w:t xml:space="preserve"> </w:t>
      </w:r>
      <w:r>
        <w:t xml:space="preserve">sufficiently clear. The report fails</w:t>
      </w:r>
      <w:r>
        <w:t xml:space="preserve"> </w:t>
      </w:r>
      <w:r>
        <w:t xml:space="preserve">to</w:t>
      </w:r>
      <w:r>
        <w:t xml:space="preserve"> </w:t>
      </w:r>
      <w:r>
        <w:t xml:space="preserve">establish</w:t>
      </w:r>
      <w:r>
        <w:t xml:space="preserve"> </w:t>
      </w:r>
      <w:r>
        <w:t xml:space="preserve">an</w:t>
      </w:r>
      <w:r>
        <w:t xml:space="preserve"> </w:t>
      </w:r>
      <w:r>
        <w:t xml:space="preserve">appropriate</w:t>
      </w:r>
      <w:r>
        <w:t xml:space="preserve"> </w:t>
      </w:r>
      <w:r>
        <w:t xml:space="preserve">benchmark for comparison. The</w:t>
      </w:r>
      <w:r>
        <w:t xml:space="preserve"> </w:t>
      </w:r>
      <w:r>
        <w:t xml:space="preserve">rationale behind, the content of and</w:t>
      </w:r>
      <w:r>
        <w:t xml:space="preserve"> </w:t>
      </w:r>
      <w:r>
        <w:t xml:space="preserve">the interaction between the options</w:t>
      </w:r>
      <w:r>
        <w:t xml:space="preserve"> </w:t>
      </w:r>
      <w:r>
        <w:t xml:space="preserve">and the scenarios lack clarity. The</w:t>
      </w:r>
      <w:r>
        <w:t xml:space="preserve"> </w:t>
      </w:r>
      <w:r>
        <w:t xml:space="preserve">report does not bring out clearly</w:t>
      </w:r>
      <w:r>
        <w:t xml:space="preserve"> </w:t>
      </w:r>
      <w:r>
        <w:t xml:space="preserve">enough all available target and</w:t>
      </w:r>
      <w:r>
        <w:t xml:space="preserve"> </w:t>
      </w:r>
      <w:r>
        <w:t xml:space="preserve">pathway choices and the trade-offs</w:t>
      </w:r>
      <w:r>
        <w:t xml:space="preserve"> </w:t>
      </w:r>
      <w:r>
        <w:t xml:space="preserve">between them.</w:t>
      </w:r>
      <w:r>
        <w:t xml:space="preserve"> </w:t>
      </w:r>
      <w:r>
        <w:t xml:space="preserve">A more detailed section was added on what would happen</w:t>
      </w:r>
      <w:r>
        <w:t xml:space="preserve"> </w:t>
      </w:r>
      <w:r>
        <w:t xml:space="preserve">to the net GHGs emissions by 2040 with a continuation of</w:t>
      </w:r>
      <w:r>
        <w:t xml:space="preserve"> </w:t>
      </w:r>
      <w:r>
        <w:t xml:space="preserve">the current policy framework (section 5.1). On that basis</w:t>
      </w:r>
      <w:r>
        <w:t xml:space="preserve"> </w:t>
      </w:r>
      <w:r>
        <w:t xml:space="preserve">the report establishes a clear “baseline” target level</w:t>
      </w:r>
      <w:r>
        <w:t xml:space="preserve"> </w:t>
      </w:r>
      <w:r>
        <w:t xml:space="preserve">(section 5.1) against which the other target options are</w:t>
      </w:r>
      <w:r>
        <w:t xml:space="preserve"> </w:t>
      </w:r>
      <w:r>
        <w:t xml:space="preserve">compared in terms of effectiveness, efficiency, coherence</w:t>
      </w:r>
      <w:r>
        <w:t xml:space="preserve"> </w:t>
      </w:r>
      <w:r>
        <w:t xml:space="preserve">and trade-offs (in section 7). The relationship with the</w:t>
      </w:r>
      <w:r>
        <w:t xml:space="preserve"> </w:t>
      </w:r>
      <w:r>
        <w:t xml:space="preserve">linear trajectory set out in Article 8 of the European</w:t>
      </w:r>
      <w:r>
        <w:t xml:space="preserve"> </w:t>
      </w:r>
      <w:r>
        <w:t xml:space="preserve">Climate Law is described in the text.</w:t>
      </w:r>
      <w:r>
        <w:br/>
      </w:r>
      <w:r>
        <w:t xml:space="preserve">The choice of the target options is informed by the analysis</w:t>
      </w:r>
      <w:r>
        <w:t xml:space="preserve"> </w:t>
      </w:r>
      <w:r>
        <w:t xml:space="preserve">by the ESABCC and other scientific publications on the</w:t>
      </w:r>
      <w:r>
        <w:t xml:space="preserve"> </w:t>
      </w:r>
      <w:r>
        <w:t xml:space="preserve">EU 2040 target and their description reflects the responses</w:t>
      </w:r>
      <w:r>
        <w:t xml:space="preserve"> </w:t>
      </w:r>
      <w:r>
        <w:t xml:space="preserve">of stakeholders to the public consultation (section 5.2). The</w:t>
      </w:r>
      <w:r>
        <w:t xml:space="preserve"> </w:t>
      </w:r>
      <w:r>
        <w:t xml:space="preserve">methodology to calculate the cumulative GHG emissions</w:t>
      </w:r>
      <w:r>
        <w:t xml:space="preserve"> </w:t>
      </w:r>
      <w:r>
        <w:t xml:space="preserve">over 2030-2050 (the “GHG budget”) for each target option</w:t>
      </w:r>
      <w:r>
        <w:t xml:space="preserve"> </w:t>
      </w:r>
      <w:r>
        <w:t xml:space="preserve">is described (section 5.2). Finally, the description of the</w:t>
      </w:r>
      <w:r>
        <w:t xml:space="preserve"> </w:t>
      </w:r>
      <w:r>
        <w:t xml:space="preserve">target options and the relation to their representative</w:t>
      </w:r>
      <w:r>
        <w:t xml:space="preserve"> </w:t>
      </w:r>
      <w:r>
        <w:t xml:space="preserve">scenarios have been simplified (sections 5.2 and 5.3),</w:t>
      </w:r>
      <w:r>
        <w:t xml:space="preserve"> </w:t>
      </w:r>
      <w:r>
        <w:t xml:space="preserve">which allows a clearer comparison of the target options</w:t>
      </w:r>
      <w:r>
        <w:t xml:space="preserve"> </w:t>
      </w:r>
      <w:r>
        <w:t xml:space="preserve">and the trade-offs between them (section 7).</w:t>
      </w:r>
      <w:r>
        <w:br/>
      </w:r>
      <w:r>
        <w:t xml:space="preserve">The scenarios are described in terms of very broad sectoral</w:t>
      </w:r>
      <w:r>
        <w:t xml:space="preserve"> </w:t>
      </w:r>
      <w:r>
        <w:t xml:space="preserve">mitigation mix (section 5.3, which is completed by Annex</w:t>
      </w:r>
      <w:r>
        <w:t xml:space="preserve"> </w:t>
      </w:r>
      <w:r>
        <w:t xml:space="preserve">6). The detailed analysis (section 6, Annex 8) provides the</w:t>
      </w:r>
      <w:r>
        <w:t xml:space="preserve"> </w:t>
      </w:r>
      <w:r>
        <w:t xml:space="preserve">details on the reductions of GHG per sector and the</w:t>
      </w:r>
      <w:r>
        <w:t xml:space="preserve"> </w:t>
      </w:r>
      <w:r>
        <w:t xml:space="preserve">associated technology deployment, investment needs and</w:t>
      </w:r>
      <w:r>
        <w:t xml:space="preserve"> </w:t>
      </w:r>
      <w:r>
        <w:t xml:space="preserve">costs for the scenarios associated to the target option.</w:t>
      </w:r>
      <w:r>
        <w:t xml:space="preserve"> </w:t>
      </w:r>
      <w:r>
        <w:t xml:space="preserve">The LIFE scenario has been clarified as a “sensitivity” case</w:t>
      </w:r>
      <w:r>
        <w:t xml:space="preserve"> </w:t>
      </w:r>
      <w:r>
        <w:t xml:space="preserve">to societal assumptions, whose conclusions can apply to</w:t>
      </w:r>
      <w:r>
        <w:t xml:space="preserve"> </w:t>
      </w:r>
      <w:r>
        <w:t xml:space="preserve">the different target options. The assumptions for each</w:t>
      </w:r>
      <w:r>
        <w:t xml:space="preserve"> </w:t>
      </w:r>
      <w:r>
        <w:t xml:space="preserve">sector under LIFE are drawn from and benchmarked to</w:t>
      </w:r>
      <w:r>
        <w:t xml:space="preserve"> </w:t>
      </w:r>
      <w:r>
        <w:t xml:space="preserve">external studies, and are referenced in a new table in</w:t>
      </w:r>
      <w:r>
        <w:t xml:space="preserve"> </w:t>
      </w:r>
      <w:r>
        <w:t xml:space="preserve">Annex 6 (section 3) and in the sector-specific sections of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Annex 8</w:t>
      </w:r>
      <w:r>
        <w:t xml:space="preserve"> </w:t>
      </w:r>
      <w:r>
        <w:t xml:space="preserve">(3) The level of uncertainty of the</w:t>
      </w:r>
      <w:r>
        <w:t xml:space="preserve"> </w:t>
      </w:r>
      <w:r>
        <w:t xml:space="preserve">modelling, including in terms of</w:t>
      </w:r>
      <w:r>
        <w:t xml:space="preserve"> </w:t>
      </w:r>
      <w:r>
        <w:t xml:space="preserve">the remaining CO2 budget, and the</w:t>
      </w:r>
      <w:r>
        <w:t xml:space="preserve"> </w:t>
      </w:r>
      <w:r>
        <w:t xml:space="preserve">robustness of the results is not</w:t>
      </w:r>
      <w:r>
        <w:t xml:space="preserve"> </w:t>
      </w:r>
      <w:r>
        <w:t xml:space="preserve">clearly identified and analysed.</w:t>
      </w:r>
      <w:r>
        <w:t xml:space="preserve"> </w:t>
      </w:r>
      <w:r>
        <w:t xml:space="preserve">To complement the more detailed description of the</w:t>
      </w:r>
      <w:r>
        <w:t xml:space="preserve"> </w:t>
      </w:r>
      <w:r>
        <w:t xml:space="preserve">analytical framework that can be found in Annex 6, Annex</w:t>
      </w:r>
      <w:r>
        <w:t xml:space="preserve"> </w:t>
      </w:r>
      <w:r>
        <w:t xml:space="preserve">1 section 4 on “evidence, sources and quality” provides a</w:t>
      </w:r>
      <w:r>
        <w:t xml:space="preserve"> </w:t>
      </w:r>
      <w:r>
        <w:t xml:space="preserve">description of the different economic models used for this</w:t>
      </w:r>
      <w:r>
        <w:t xml:space="preserve"> </w:t>
      </w:r>
      <w:r>
        <w:t xml:space="preserve">impact assessment and the underlying key assumptions.</w:t>
      </w:r>
      <w:r>
        <w:br/>
      </w:r>
      <w:r>
        <w:t xml:space="preserve">The impact assessment is backed by a detailed analysis</w:t>
      </w:r>
      <w:r>
        <w:t xml:space="preserve"> </w:t>
      </w:r>
      <w:r>
        <w:t xml:space="preserve">(Annex 8) that makes use of a multi-model approach that</w:t>
      </w:r>
      <w:r>
        <w:t xml:space="preserve"> </w:t>
      </w:r>
      <w:r>
        <w:t xml:space="preserve">provides a cross-model comparison for a number of</w:t>
      </w:r>
      <w:r>
        <w:t xml:space="preserve"> </w:t>
      </w:r>
      <w:r>
        <w:t xml:space="preserve">indicators to cross-validate the results of the analysis. A</w:t>
      </w:r>
      <w:r>
        <w:t xml:space="preserve"> </w:t>
      </w:r>
      <w:r>
        <w:t xml:space="preserve">summary comparison across models for selected key</w:t>
      </w:r>
      <w:r>
        <w:t xml:space="preserve"> </w:t>
      </w:r>
      <w:r>
        <w:t xml:space="preserve">indicators on energy and CO2 as well as on macro-</w:t>
      </w:r>
      <w:r>
        <w:t xml:space="preserve"> </w:t>
      </w:r>
      <w:r>
        <w:t xml:space="preserve">economic modelling has also been added to Annex 1</w:t>
      </w:r>
      <w:r>
        <w:t xml:space="preserve"> </w:t>
      </w:r>
      <w:r>
        <w:t xml:space="preserve">section 4. The convergence of results shows that the</w:t>
      </w:r>
      <w:r>
        <w:t xml:space="preserve"> </w:t>
      </w:r>
      <w:r>
        <w:t xml:space="preserve">conclusions are robust and not biased by the internal logic</w:t>
      </w:r>
      <w:r>
        <w:t xml:space="preserve"> </w:t>
      </w:r>
      <w:r>
        <w:t xml:space="preserve">and parameters of each model.</w:t>
      </w:r>
      <w:r>
        <w:t xml:space="preserve"> </w:t>
      </w:r>
      <w:r>
        <w:t xml:space="preserve">Finally, the different sensitivity analyses undertaken are</w:t>
      </w:r>
      <w:r>
        <w:t xml:space="preserve"> </w:t>
      </w:r>
      <w:r>
        <w:t xml:space="preserve">now presented in a clearer manner. This includes the</w:t>
      </w:r>
      <w:r>
        <w:t xml:space="preserve"> </w:t>
      </w:r>
      <w:r>
        <w:t xml:space="preserve">sensitivity analysis to test how different costs for key</w:t>
      </w:r>
      <w:r>
        <w:t xml:space="preserve"> </w:t>
      </w:r>
      <w:r>
        <w:t xml:space="preserve">energy technologies affect total investment costs, the LIFE</w:t>
      </w:r>
      <w:r>
        <w:t xml:space="preserve"> </w:t>
      </w:r>
      <w:r>
        <w:t xml:space="preserve">variant to show the impact of a more sustainable materials</w:t>
      </w:r>
      <w:r>
        <w:t xml:space="preserve"> </w:t>
      </w:r>
      <w:r>
        <w:t xml:space="preserve">and production, mobility, and food system, as well as an</w:t>
      </w:r>
      <w:r>
        <w:t xml:space="preserve"> </w:t>
      </w:r>
      <w:r>
        <w:t xml:space="preserve">additional variant to analyse the effect on the energy mix</w:t>
      </w:r>
      <w:r>
        <w:t xml:space="preserve"> </w:t>
      </w:r>
      <w:r>
        <w:t xml:space="preserve">of the recent review of the nuclear legislation in some</w:t>
      </w:r>
      <w:r>
        <w:t xml:space="preserve"> </w:t>
      </w:r>
      <w:r>
        <w:t xml:space="preserve">Member States.</w:t>
      </w:r>
      <w:r>
        <w:br/>
      </w:r>
      <w:r>
        <w:t xml:space="preserve">(4) The costs and benefits of each</w:t>
      </w:r>
      <w:r>
        <w:t xml:space="preserve"> </w:t>
      </w:r>
      <w:r>
        <w:t xml:space="preserve">option are not clearly presented.</w:t>
      </w:r>
      <w:r>
        <w:t xml:space="preserve"> </w:t>
      </w:r>
      <w:r>
        <w:t xml:space="preserve">The report is neither clear on the</w:t>
      </w:r>
      <w:r>
        <w:t xml:space="preserve"> </w:t>
      </w:r>
      <w:r>
        <w:t xml:space="preserve">total costs and benefits due to</w:t>
      </w:r>
      <w:r>
        <w:t xml:space="preserve"> </w:t>
      </w:r>
      <w:r>
        <w:t xml:space="preserve">frontloading investments in the</w:t>
      </w:r>
      <w:r>
        <w:t xml:space="preserve"> </w:t>
      </w:r>
      <w:r>
        <w:t xml:space="preserve">2031- 2040 period nor on the</w:t>
      </w:r>
      <w:r>
        <w:t xml:space="preserve"> </w:t>
      </w:r>
      <w:r>
        <w:t xml:space="preserve">related financial and technological</w:t>
      </w:r>
      <w:r>
        <w:t xml:space="preserve"> </w:t>
      </w:r>
      <w:r>
        <w:t xml:space="preserve">feasibility.</w:t>
      </w:r>
    </w:p>
    <w:p>
      <w:pPr>
        <w:pStyle w:val="BodyText"/>
      </w:pPr>
      <w:r>
        <w:t xml:space="preserve">The presentation of costs and benefits of each option and</w:t>
      </w:r>
      <w:r>
        <w:t xml:space="preserve"> </w:t>
      </w:r>
      <w:r>
        <w:t xml:space="preserve">how they compare has been clarified and extended in</w:t>
      </w:r>
      <w:r>
        <w:t xml:space="preserve"> </w:t>
      </w:r>
      <w:r>
        <w:t xml:space="preserve">section 6. A new section (6.3.1) on the cost of the climate</w:t>
      </w:r>
      <w:r>
        <w:t xml:space="preserve"> </w:t>
      </w:r>
      <w:r>
        <w:t xml:space="preserve">change externality has been added, which allows to</w:t>
      </w:r>
      <w:r>
        <w:t xml:space="preserve"> </w:t>
      </w:r>
      <w:r>
        <w:t xml:space="preserve">compare the benefits of a lower 2030-2050 GHG budget</w:t>
      </w:r>
      <w:r>
        <w:t xml:space="preserve"> </w:t>
      </w:r>
      <w:r>
        <w:t xml:space="preserve">(option 3) compared to a higher GHG budget (option 1)</w:t>
      </w:r>
      <w:r>
        <w:t xml:space="preserve"> </w:t>
      </w:r>
      <w:r>
        <w:t xml:space="preserve">and compared to the “baseline”. This complements the</w:t>
      </w:r>
      <w:r>
        <w:t xml:space="preserve"> </w:t>
      </w:r>
      <w:r>
        <w:t xml:space="preserve">monetisation of the environmental benefits related to air</w:t>
      </w:r>
      <w:r>
        <w:t xml:space="preserve"> </w:t>
      </w:r>
      <w:r>
        <w:t xml:space="preserve">quality improvement on health (section 6.3.2).</w:t>
      </w:r>
      <w:r>
        <w:t xml:space="preserve"> </w:t>
      </w:r>
      <w:r>
        <w:t xml:space="preserve">These costs and benefits inform the comparison of target</w:t>
      </w:r>
      <w:r>
        <w:t xml:space="preserve"> </w:t>
      </w:r>
      <w:r>
        <w:t xml:space="preserve">options in the new sections related to effectiveness along</w:t>
      </w:r>
      <w:r>
        <w:t xml:space="preserve"> </w:t>
      </w:r>
      <w:r>
        <w:t xml:space="preserve">the different specific objectives, financial feasibility</w:t>
      </w:r>
      <w:r>
        <w:t xml:space="preserve"> </w:t>
      </w:r>
      <w:r>
        <w:t xml:space="preserve">(including considering the financing cost associated to the</w:t>
      </w:r>
      <w:r>
        <w:t xml:space="preserve"> </w:t>
      </w:r>
      <w:r>
        <w:t xml:space="preserve">investment needs) and overall efficiency (section 7). The</w:t>
      </w:r>
      <w:r>
        <w:t xml:space="preserve"> </w:t>
      </w:r>
      <w:r>
        <w:t xml:space="preserve">assessment of competitiveness is also clearer, with some</w:t>
      </w:r>
      <w:r>
        <w:t xml:space="preserve"> </w:t>
      </w:r>
      <w:r>
        <w:t xml:space="preserve">more detail on SME impacts.</w:t>
      </w:r>
      <w:r>
        <w:br/>
      </w:r>
      <w:r>
        <w:t xml:space="preserve">Further details are added in the main report on the views</w:t>
      </w:r>
      <w:r>
        <w:t xml:space="preserve"> </w:t>
      </w:r>
      <w:r>
        <w:t xml:space="preserve">expressed by stakeholders in the public consultation.</w:t>
      </w:r>
      <w:r>
        <w:t xml:space="preserve"> </w:t>
      </w:r>
      <w:r>
        <w:t xml:space="preserve">On technological feasibility, a new section has also been</w:t>
      </w:r>
      <w:r>
        <w:t xml:space="preserve"> </w:t>
      </w:r>
      <w:r>
        <w:t xml:space="preserve">introduced (in section 7) that compares with the ESABCC</w:t>
      </w:r>
      <w:r>
        <w:t xml:space="preserve"> </w:t>
      </w:r>
      <w:r>
        <w:t xml:space="preserve">analysis and assesses the Technology Readiness Levels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(TRL) of technologies needed to reach the 2040 targets. As</w:t>
      </w:r>
      <w:r>
        <w:t xml:space="preserve"> </w:t>
      </w:r>
      <w:r>
        <w:t xml:space="preserve">a result, the IA now presents the technological feasibility</w:t>
      </w:r>
      <w:r>
        <w:t xml:space="preserve"> </w:t>
      </w:r>
      <w:r>
        <w:t xml:space="preserve">of the options. A new variant has also been added to</w:t>
      </w:r>
      <w:r>
        <w:t xml:space="preserve"> </w:t>
      </w:r>
      <w:r>
        <w:t xml:space="preserve">illustrate the changes to the energy mix of the recent</w:t>
      </w:r>
      <w:r>
        <w:t xml:space="preserve"> </w:t>
      </w:r>
      <w:r>
        <w:t xml:space="preserve">nuclear plans in some Member States (section 6.2).</w:t>
      </w:r>
      <w:r>
        <w:t xml:space="preserve"> </w:t>
      </w:r>
      <w:r>
        <w:t xml:space="preserve">(5) Options are not adequately</w:t>
      </w:r>
      <w:r>
        <w:t xml:space="preserve"> </w:t>
      </w:r>
      <w:r>
        <w:t xml:space="preserve">compared as regards effectiveness,</w:t>
      </w:r>
      <w:r>
        <w:t xml:space="preserve"> </w:t>
      </w:r>
      <w:r>
        <w:t xml:space="preserve">efficiency,</w:t>
      </w:r>
      <w:r>
        <w:t xml:space="preserve"> </w:t>
      </w:r>
      <w:r>
        <w:t xml:space="preserve">coherence</w:t>
      </w:r>
      <w:r>
        <w:t xml:space="preserve"> </w:t>
      </w:r>
      <w:r>
        <w:t xml:space="preserve">and</w:t>
      </w:r>
      <w:r>
        <w:t xml:space="preserve"> </w:t>
      </w:r>
      <w:r>
        <w:t xml:space="preserve">proportionality. The choice of the</w:t>
      </w:r>
      <w:r>
        <w:t xml:space="preserve"> </w:t>
      </w:r>
      <w:r>
        <w:t xml:space="preserve">preferred option is not sufficiently</w:t>
      </w:r>
      <w:r>
        <w:t xml:space="preserve"> </w:t>
      </w:r>
      <w:r>
        <w:t xml:space="preserve">justified.</w:t>
      </w:r>
      <w:r>
        <w:t xml:space="preserve"> </w:t>
      </w:r>
      <w:r>
        <w:t xml:space="preserve">Criteria for the assessment of options (based on the</w:t>
      </w:r>
      <w:r>
        <w:t xml:space="preserve"> </w:t>
      </w:r>
      <w:r>
        <w:t xml:space="preserve">European Climate Law article 4 (5)) have been defined to</w:t>
      </w:r>
      <w:r>
        <w:t xml:space="preserve"> </w:t>
      </w:r>
      <w:r>
        <w:t xml:space="preserve">allow a clearer description of comparative impacts of the</w:t>
      </w:r>
      <w:r>
        <w:t xml:space="preserve"> </w:t>
      </w:r>
      <w:r>
        <w:t xml:space="preserve">target options in terms of efficiency, coherence and</w:t>
      </w:r>
      <w:r>
        <w:t xml:space="preserve"> </w:t>
      </w:r>
      <w:r>
        <w:t xml:space="preserve">proportionality. In addition, new sections have been</w:t>
      </w:r>
      <w:r>
        <w:t xml:space="preserve"> </w:t>
      </w:r>
      <w:r>
        <w:t xml:space="preserve">introduced that look in detail at how the options compare</w:t>
      </w:r>
      <w:r>
        <w:t xml:space="preserve"> </w:t>
      </w:r>
      <w:r>
        <w:t xml:space="preserve">according to each of these dimensions.</w:t>
      </w:r>
      <w:r>
        <w:t xml:space="preserve"> </w:t>
      </w:r>
      <w:r>
        <w:t xml:space="preserve">The effectiveness assessment is done for each specific</w:t>
      </w:r>
      <w:r>
        <w:t xml:space="preserve"> </w:t>
      </w:r>
      <w:r>
        <w:t xml:space="preserve">objective through specific quantitative indicators and is</w:t>
      </w:r>
      <w:r>
        <w:t xml:space="preserve"> </w:t>
      </w:r>
      <w:r>
        <w:t xml:space="preserve">complemented by an analysis of the financial feasibility</w:t>
      </w:r>
      <w:r>
        <w:t xml:space="preserve"> </w:t>
      </w:r>
      <w:r>
        <w:t xml:space="preserve">and the technological feasibility (see point above).</w:t>
      </w:r>
      <w:r>
        <w:br/>
      </w:r>
      <w:r>
        <w:t xml:space="preserve">Efficiency is assessed through the comparison of</w:t>
      </w:r>
      <w:r>
        <w:t xml:space="preserve"> </w:t>
      </w:r>
      <w:r>
        <w:t xml:space="preserve">mitigation costs with benefits in terms of saved</w:t>
      </w:r>
      <w:r>
        <w:t xml:space="preserve"> </w:t>
      </w:r>
      <w:r>
        <w:t xml:space="preserve">externalities, notably related to GHG emissions.</w:t>
      </w:r>
      <w:r>
        <w:br/>
      </w:r>
      <w:r>
        <w:t xml:space="preserve">Coherence is assessed in terms of environmental trade-offs</w:t>
      </w:r>
      <w:r>
        <w:t xml:space="preserve"> </w:t>
      </w:r>
      <w:r>
        <w:t xml:space="preserve">and strategic autonomy.</w:t>
      </w:r>
      <w:r>
        <w:br/>
      </w:r>
      <w:r>
        <w:t xml:space="preserve">Proportionality compares the net benefits of each 2040</w:t>
      </w:r>
      <w:r>
        <w:t xml:space="preserve"> </w:t>
      </w:r>
      <w:r>
        <w:t xml:space="preserve">target option to achieve climate neutrality by 2050 and puts</w:t>
      </w:r>
      <w:r>
        <w:t xml:space="preserve"> </w:t>
      </w:r>
      <w:r>
        <w:t xml:space="preserve">this in perspective with the limited mitigation cost</w:t>
      </w:r>
      <w:r>
        <w:t xml:space="preserve"> </w:t>
      </w:r>
      <w:r>
        <w:t xml:space="preserve">difference and the possible trade-offs.</w:t>
      </w:r>
      <w:r>
        <w:br/>
      </w:r>
      <w:r>
        <w:t xml:space="preserve">This comprehensive comparison of the different target</w:t>
      </w:r>
      <w:r>
        <w:t xml:space="preserve"> </w:t>
      </w:r>
      <w:r>
        <w:t xml:space="preserve">options motivates the choice of the preferred target option.</w:t>
      </w:r>
    </w:p>
    <w:p>
      <w:pPr>
        <w:pStyle w:val="BodyText"/>
      </w:pPr>
      <w:r>
        <w:t xml:space="preserve">Table 37: How the RSB findings of the 2nd opinion have been addressed</w:t>
      </w:r>
      <w:r>
        <w:t xml:space="preserve"> </w:t>
      </w:r>
      <w:r>
        <w:t xml:space="preserve">Findings</w:t>
      </w:r>
      <w:r>
        <w:t xml:space="preserve"> </w:t>
      </w:r>
      <w:r>
        <w:t xml:space="preserve">How findings were addressed</w:t>
      </w:r>
      <w:r>
        <w:t xml:space="preserve"> </w:t>
      </w:r>
      <w:r>
        <w:t xml:space="preserve">(1) The report is not clear on how</w:t>
      </w:r>
      <w:r>
        <w:t xml:space="preserve"> </w:t>
      </w:r>
      <w:r>
        <w:t xml:space="preserve">sustainable lifestyle changes are</w:t>
      </w:r>
      <w:r>
        <w:t xml:space="preserve"> </w:t>
      </w:r>
      <w:r>
        <w:t xml:space="preserve">reflected in the dynamic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choices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inclusion</w:t>
      </w:r>
      <w:r>
        <w:t xml:space="preserve"> </w:t>
      </w:r>
      <w:r>
        <w:t xml:space="preserve">of</w:t>
      </w:r>
      <w:r>
        <w:t xml:space="preserve"> </w:t>
      </w:r>
      <w:r>
        <w:t xml:space="preserve">sustainable lifestyle changes (via</w:t>
      </w:r>
      <w:r>
        <w:t xml:space="preserve"> </w:t>
      </w:r>
      <w:r>
        <w:t xml:space="preserve">the LIFE variant) are not brought</w:t>
      </w:r>
      <w:r>
        <w:t xml:space="preserve"> </w:t>
      </w:r>
      <w:r>
        <w:t xml:space="preserve">out clearly and their interaction</w:t>
      </w:r>
      <w:r>
        <w:t xml:space="preserve"> </w:t>
      </w:r>
      <w:r>
        <w:t xml:space="preserve">with the three scenarios is neither</w:t>
      </w:r>
      <w:r>
        <w:t xml:space="preserve"> </w:t>
      </w:r>
      <w:r>
        <w:t xml:space="preserve">comprehensively</w:t>
      </w:r>
      <w:r>
        <w:t xml:space="preserve"> </w:t>
      </w:r>
      <w:r>
        <w:t xml:space="preserve">assessed</w:t>
      </w:r>
      <w:r>
        <w:t xml:space="preserve"> </w:t>
      </w:r>
      <w:r>
        <w:t xml:space="preserve">nor</w:t>
      </w:r>
      <w:r>
        <w:t xml:space="preserve"> </w:t>
      </w:r>
      <w:r>
        <w:t xml:space="preserve">compared.</w:t>
      </w:r>
      <w:r>
        <w:t xml:space="preserve"> </w:t>
      </w:r>
      <w:r>
        <w:t xml:space="preserve">The 2040 target IA compares different 2040 target levels</w:t>
      </w:r>
      <w:r>
        <w:t xml:space="preserve"> </w:t>
      </w:r>
      <w:r>
        <w:t xml:space="preserve">under a set of common key assumptions related to socio-</w:t>
      </w:r>
      <w:r>
        <w:t xml:space="preserve"> </w:t>
      </w:r>
      <w:r>
        <w:t xml:space="preserve">economics and technology costs and performance. It does</w:t>
      </w:r>
      <w:r>
        <w:t xml:space="preserve"> </w:t>
      </w:r>
      <w:r>
        <w:t xml:space="preserve">not aim at assessing policy choices that could influence</w:t>
      </w:r>
      <w:r>
        <w:t xml:space="preserve"> </w:t>
      </w:r>
      <w:r>
        <w:t xml:space="preserve">such assumptions.</w:t>
      </w:r>
      <w:r>
        <w:t xml:space="preserve"> </w:t>
      </w:r>
      <w:r>
        <w:t xml:space="preserve">However, as complementary dimension, the IA provides a</w:t>
      </w:r>
      <w:r>
        <w:t xml:space="preserve"> </w:t>
      </w:r>
      <w:r>
        <w:t xml:space="preserve">sensitivity</w:t>
      </w:r>
      <w:r>
        <w:t xml:space="preserve"> </w:t>
      </w:r>
      <w:r>
        <w:t xml:space="preserve">analysis</w:t>
      </w:r>
      <w:r>
        <w:t xml:space="preserve"> </w:t>
      </w:r>
      <w:r>
        <w:t xml:space="preserve">on</w:t>
      </w:r>
      <w:r>
        <w:t xml:space="preserve"> </w:t>
      </w:r>
      <w:r>
        <w:t xml:space="preserve">different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developments, including lifestyle choices, via the “LIFE”</w:t>
      </w:r>
      <w:r>
        <w:t xml:space="preserve"> </w:t>
      </w:r>
      <w:r>
        <w:t xml:space="preserve">variant. Following the feedback by the RSB, the report</w:t>
      </w:r>
      <w:r>
        <w:t xml:space="preserve"> </w:t>
      </w:r>
      <w:r>
        <w:t xml:space="preserve">makes clearer the role of this variant.</w:t>
      </w:r>
      <w:r>
        <w:br/>
      </w:r>
      <w:r>
        <w:t xml:space="preserve">The variant is built to meet the target option 3, and thus by</w:t>
      </w:r>
      <w:r>
        <w:t xml:space="preserve"> </w:t>
      </w:r>
      <w:r>
        <w:t xml:space="preserve">design reaches in 2040 the same overall net GHGs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reductions levels as the core scenario S3. The assumptions</w:t>
      </w:r>
      <w:r>
        <w:t xml:space="preserve"> </w:t>
      </w:r>
      <w:r>
        <w:t xml:space="preserve">used are described in detail in Annex 6 (section 3.1.5) and</w:t>
      </w:r>
      <w:r>
        <w:t xml:space="preserve"> </w:t>
      </w:r>
      <w:r>
        <w:t xml:space="preserve">further in the sectoral sections of Annex 8 (in section 1).</w:t>
      </w:r>
      <w:r>
        <w:t xml:space="preserve"> </w:t>
      </w:r>
      <w:r>
        <w:t xml:space="preserve">This variant leads to a different sectoral composition of the</w:t>
      </w:r>
      <w:r>
        <w:t xml:space="preserve"> </w:t>
      </w:r>
      <w:r>
        <w:t xml:space="preserve">abatement of net GHGs, as well as different costs in</w:t>
      </w:r>
      <w:r>
        <w:t xml:space="preserve"> </w:t>
      </w:r>
      <w:r>
        <w:t xml:space="preserve">relation with mitigation of CO2 emissions from fossil fuel</w:t>
      </w:r>
      <w:r>
        <w:t xml:space="preserve"> </w:t>
      </w:r>
      <w:r>
        <w:t xml:space="preserve">combustion and industrial processes.</w:t>
      </w:r>
      <w:r>
        <w:br/>
      </w:r>
      <w:r>
        <w:t xml:space="preserve">The conclusions of this sensitivity analysis are not</w:t>
      </w:r>
      <w:r>
        <w:t xml:space="preserve"> </w:t>
      </w:r>
      <w:r>
        <w:t xml:space="preserve">exclusive to target option 3 and can be applied to all target</w:t>
      </w:r>
      <w:r>
        <w:t xml:space="preserve"> </w:t>
      </w:r>
      <w:r>
        <w:t xml:space="preserve">options.</w:t>
      </w:r>
      <w:r>
        <w:t xml:space="preserve"> </w:t>
      </w:r>
      <w:r>
        <w:t xml:space="preserve">(2) The scoring of options is not</w:t>
      </w:r>
      <w:r>
        <w:t xml:space="preserve"> </w:t>
      </w:r>
      <w:r>
        <w:t xml:space="preserve">convincingly demonstrated, the key</w:t>
      </w:r>
      <w:r>
        <w:t xml:space="preserve"> </w:t>
      </w:r>
      <w:r>
        <w:t xml:space="preserve">trade-offs between options not</w:t>
      </w:r>
      <w:r>
        <w:t xml:space="preserve"> </w:t>
      </w:r>
      <w:r>
        <w:t xml:space="preserve">clearly presented and the choice of</w:t>
      </w:r>
      <w:r>
        <w:t xml:space="preserve"> </w:t>
      </w:r>
      <w:r>
        <w:t xml:space="preserve">the preferred option not sufficiently</w:t>
      </w:r>
      <w:r>
        <w:t xml:space="preserve"> </w:t>
      </w:r>
      <w:r>
        <w:t xml:space="preserve">justified.</w:t>
      </w:r>
      <w:r>
        <w:t xml:space="preserve"> </w:t>
      </w:r>
      <w:r>
        <w:t xml:space="preserve">The methodology behind the scoring of options has been</w:t>
      </w:r>
      <w:r>
        <w:t xml:space="preserve"> </w:t>
      </w:r>
      <w:r>
        <w:t xml:space="preserve">clarified, demonstrating its link with the full analysis in</w:t>
      </w:r>
      <w:r>
        <w:t xml:space="preserve"> </w:t>
      </w:r>
      <w:r>
        <w:t xml:space="preserve">terms of effectiveness, efficiency, coherence, subsidiarity,</w:t>
      </w:r>
      <w:r>
        <w:t xml:space="preserve"> </w:t>
      </w:r>
      <w:r>
        <w:t xml:space="preserve">and proportionality. For each of these aspects, the data</w:t>
      </w:r>
      <w:r>
        <w:t xml:space="preserve"> </w:t>
      </w:r>
      <w:r>
        <w:t xml:space="preserve">sources (in case of quantitative comparison), the relevant</w:t>
      </w:r>
      <w:r>
        <w:t xml:space="preserve"> </w:t>
      </w:r>
      <w:r>
        <w:t xml:space="preserve">sections for the analysis (in case of qualitative comparison)</w:t>
      </w:r>
      <w:r>
        <w:t xml:space="preserve"> </w:t>
      </w:r>
      <w:r>
        <w:t xml:space="preserve">and the detailed scoring methodology, have been included</w:t>
      </w:r>
      <w:r>
        <w:t xml:space="preserve"> </w:t>
      </w:r>
      <w:r>
        <w:t xml:space="preserve">in the summary table (Table 35).</w:t>
      </w:r>
      <w:r>
        <w:br/>
      </w:r>
      <w:r>
        <w:t xml:space="preserve">The comparison of the options has been further detailed in</w:t>
      </w:r>
      <w:r>
        <w:t xml:space="preserve"> </w:t>
      </w:r>
      <w:r>
        <w:t xml:space="preserve">Section 7, including elements that guide the reader in the</w:t>
      </w:r>
      <w:r>
        <w:t xml:space="preserve"> </w:t>
      </w:r>
      <w:r>
        <w:t xml:space="preserve">understanding of the key trade-off between the options. In</w:t>
      </w:r>
      <w:r>
        <w:t xml:space="preserve"> </w:t>
      </w:r>
      <w:r>
        <w:t xml:space="preserve">particular, the key trade-off between fast technological</w:t>
      </w:r>
      <w:r>
        <w:t xml:space="preserve"> </w:t>
      </w:r>
      <w:r>
        <w:t xml:space="preserve">deployment (and associated challenges) to secure climate</w:t>
      </w:r>
      <w:r>
        <w:t xml:space="preserve"> </w:t>
      </w:r>
      <w:r>
        <w:t xml:space="preserve">neutrality and delayed action that would put at risk the net-</w:t>
      </w:r>
      <w:r>
        <w:t xml:space="preserve"> </w:t>
      </w:r>
      <w:r>
        <w:t xml:space="preserve">zero target have been explained in section 7.1.</w:t>
      </w:r>
      <w:r>
        <w:br/>
      </w:r>
      <w:r>
        <w:t xml:space="preserve">Additional arguments in support of the preferred option in</w:t>
      </w:r>
      <w:r>
        <w:t xml:space="preserve"> </w:t>
      </w:r>
      <w:r>
        <w:t xml:space="preserve">line with the extended analysis of section 7 and relevant</w:t>
      </w:r>
      <w:r>
        <w:t xml:space="preserve"> </w:t>
      </w:r>
      <w:r>
        <w:t xml:space="preserve">views of stakeholders collected during the public</w:t>
      </w:r>
      <w:r>
        <w:t xml:space="preserve"> </w:t>
      </w:r>
      <w:r>
        <w:t xml:space="preserve">consultation have been introduced in section 8.</w:t>
      </w:r>
      <w:r>
        <w:br/>
      </w:r>
      <w:r>
        <w:t xml:space="preserve">(3) The report is not sufficiently</w:t>
      </w:r>
      <w:r>
        <w:t xml:space="preserve"> </w:t>
      </w:r>
      <w:r>
        <w:t xml:space="preserve">clear about the risks related to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technological</w:t>
      </w:r>
      <w:r>
        <w:t xml:space="preserve"> </w:t>
      </w:r>
      <w:r>
        <w:t xml:space="preserve">feasibility.</w:t>
      </w:r>
      <w:r>
        <w:t xml:space="preserve"> </w:t>
      </w:r>
      <w:r>
        <w:t xml:space="preserve">More detailed elements have been included in the</w:t>
      </w:r>
      <w:r>
        <w:t xml:space="preserve"> </w:t>
      </w:r>
      <w:r>
        <w:t xml:space="preserve">financial and technological feasibility section (section</w:t>
      </w:r>
      <w:r>
        <w:t xml:space="preserve"> </w:t>
      </w:r>
      <w:r>
        <w:t xml:space="preserve">7.1.2).</w:t>
      </w:r>
      <w:r>
        <w:br/>
      </w:r>
      <w:r>
        <w:t xml:space="preserve">The financial feasibility analysis makes clearer the</w:t>
      </w:r>
      <w:r>
        <w:t xml:space="preserve"> </w:t>
      </w:r>
      <w:r>
        <w:t xml:space="preserve">comparison across options in terms of investment needs</w:t>
      </w:r>
      <w:r>
        <w:t xml:space="preserve"> </w:t>
      </w:r>
      <w:r>
        <w:t xml:space="preserve">and derived annualized capital cost, for energy supply,</w:t>
      </w:r>
      <w:r>
        <w:t xml:space="preserve"> </w:t>
      </w:r>
      <w:r>
        <w:t xml:space="preserve">industry and households.</w:t>
      </w:r>
      <w:r>
        <w:br/>
      </w:r>
      <w:r>
        <w:t xml:space="preserve">The technological feasibility section adds an analysis on</w:t>
      </w:r>
      <w:r>
        <w:t xml:space="preserve"> </w:t>
      </w:r>
      <w:r>
        <w:t xml:space="preserve">capacity deployment needs and more elements on raw</w:t>
      </w:r>
      <w:r>
        <w:t xml:space="preserve"> </w:t>
      </w:r>
      <w:r>
        <w:t xml:space="preserve">materials needs to the Technology Readiness Level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92</w:t>
      </w:r>
    </w:p>
    <w:p>
      <w:pPr>
        <w:pStyle w:val="Compact"/>
        <w:numPr>
          <w:ilvl w:val="0"/>
          <w:numId w:val="1045"/>
        </w:numPr>
      </w:pPr>
      <w:r>
        <w:t xml:space="preserve">EVIDENCE, SOURCES AND QUALITY</w:t>
      </w:r>
      <w:r>
        <w:t xml:space="preserve"> </w:t>
      </w:r>
      <w:r>
        <w:t xml:space="preserve">The impact assessment relies on a wide range of state-of-the art and proven modelling</w:t>
      </w:r>
      <w:r>
        <w:t xml:space="preserve"> </w:t>
      </w:r>
      <w:r>
        <w:t xml:space="preserve">tools that ensure the quality of the analysis. The models have been used by the European</w:t>
      </w:r>
      <w:r>
        <w:t xml:space="preserve"> </w:t>
      </w:r>
      <w:r>
        <w:t xml:space="preserve">Commission (102), Member States and a variety of stakeholders in the past decades to</w:t>
      </w:r>
      <w:r>
        <w:t xml:space="preserve"> </w:t>
      </w:r>
      <w:r>
        <w:t xml:space="preserve">assess the impact of climate and energy policies. The models are continuously improved</w:t>
      </w:r>
      <w:r>
        <w:t xml:space="preserve"> </w:t>
      </w:r>
      <w:r>
        <w:t xml:space="preserve">with cutting edge features and periodically peer-reviewed (103) by the scientific</w:t>
      </w:r>
      <w:r>
        <w:t xml:space="preserve"> </w:t>
      </w:r>
      <w:r>
        <w:t xml:space="preserve">community. The models have also been used as basis for numerous publications in</w:t>
      </w:r>
      <w:r>
        <w:t xml:space="preserve"> </w:t>
      </w:r>
      <w:r>
        <w:t xml:space="preserve">scientific peer-reviewed journals and conferences (104). They are managed by teams of</w:t>
      </w:r>
      <w:r>
        <w:t xml:space="preserve"> </w:t>
      </w:r>
      <w:r>
        <w:t xml:space="preserve">highly experienced staff who have been working alongside the European Commission for</w:t>
      </w:r>
      <w:r>
        <w:t xml:space="preserve"> </w:t>
      </w:r>
      <w:r>
        <w:t xml:space="preserve">many years in policy analysis, and therefore understand the scientific, technical and</w:t>
      </w:r>
      <w:r>
        <w:t xml:space="preserve"> </w:t>
      </w:r>
      <w:r>
        <w:t xml:space="preserve">policy requirements to carry out modelling exercises. Their methodological</w:t>
      </w:r>
      <w:r>
        <w:t xml:space="preserve"> </w:t>
      </w:r>
      <w:r>
        <w:t xml:space="preserve">underpinnings are explained in detailed descriptions available publicly for peer review,</w:t>
      </w:r>
      <w:r>
        <w:t xml:space="preserve"> </w:t>
      </w:r>
      <w:r>
        <w:t xml:space="preserve">for instance in the Modelling Inventory and Knowledge Management System of the</w:t>
      </w:r>
      <w:r>
        <w:t xml:space="preserve"> </w:t>
      </w:r>
      <w:r>
        <w:t xml:space="preserve">European Commission (MIDAS)(105).</w:t>
      </w:r>
      <w:r>
        <w:br/>
      </w:r>
      <w:r>
        <w:t xml:space="preserve">The underlying exogenous assumptions and the modelling scenarios are shared across</w:t>
      </w:r>
      <w:r>
        <w:t xml:space="preserve"> </w:t>
      </w:r>
      <w:r>
        <w:t xml:space="preserve">models. Exogenous assumptions on population and GDP projections are based on the</w:t>
      </w:r>
      <w:r>
        <w:t xml:space="preserve"> </w:t>
      </w:r>
      <w:r>
        <w:t xml:space="preserve">work of Eurostat (population projections) (106) and DG ECFIN (Ageing Report) (107). The</w:t>
      </w:r>
      <w:r>
        <w:t xml:space="preserve"> </w:t>
      </w:r>
      <w:r>
        <w:t xml:space="preserve">methodology underpinning these projections are subject to regular review among</w:t>
      </w:r>
      <w:r>
        <w:t xml:space="preserve"> </w:t>
      </w:r>
      <w:r>
        <w:t xml:space="preserve">Member States. Assumptions on technological costs and abatement costs are based on</w:t>
      </w:r>
      <w:r>
        <w:t xml:space="preserve"> </w:t>
      </w:r>
      <w:r>
        <w:t xml:space="preserve">recent scientific literature review carried out by external consultants in collaboration with</w:t>
      </w:r>
    </w:p>
    <w:p>
      <w:pPr>
        <w:pStyle w:val="Compact"/>
        <w:numPr>
          <w:ilvl w:val="0"/>
          <w:numId w:val="1046"/>
        </w:numPr>
      </w:pPr>
      <w:r>
        <w:t xml:space="preserve">For instance, the main modelling suite of Impact Assessment was used for the Commission’s</w:t>
      </w:r>
      <w:r>
        <w:t xml:space="preserve"> </w:t>
      </w:r>
      <w:r>
        <w:t xml:space="preserve">proposals for the Long-Term Strategy (COM (2018) 773), the 2030 Climate Target Plan (SWD (2020) 176</w:t>
      </w:r>
      <w:r>
        <w:t xml:space="preserve"> </w:t>
      </w:r>
      <w:r>
        <w:t xml:space="preserve">final), and the Fit for 55 package (COM (2021) 550 final).</w:t>
      </w:r>
    </w:p>
    <w:p>
      <w:pPr>
        <w:pStyle w:val="Compact"/>
        <w:numPr>
          <w:ilvl w:val="0"/>
          <w:numId w:val="1046"/>
        </w:numPr>
      </w:pPr>
      <w:r>
        <w:t xml:space="preserve">See POTEnCIA peer-review in SORIA RAMIREZ A., POTEnCIA technical peer-review – Related</w:t>
      </w:r>
      <w:r>
        <w:t xml:space="preserve"> </w:t>
      </w:r>
      <w:r>
        <w:t xml:space="preserve">documents, European Commission, Seville, 2017, JRC108360, and METIS peer-review in Ahlgren, E.O.,</w:t>
      </w:r>
      <w:r>
        <w:t xml:space="preserve"> </w:t>
      </w:r>
      <w:r>
        <w:t xml:space="preserve">et al. (2020). The METIS model review, EUR 30388 EN, Publications Office of the European Union,</w:t>
      </w:r>
      <w:r>
        <w:t xml:space="preserve"> </w:t>
      </w:r>
      <w:r>
        <w:t xml:space="preserve">Luxembourg, ISBN 978-92-76-22744-1, doi:10.2760/28916, JRC118638.</w:t>
      </w:r>
    </w:p>
    <w:p>
      <w:pPr>
        <w:pStyle w:val="Compact"/>
        <w:numPr>
          <w:ilvl w:val="0"/>
          <w:numId w:val="1046"/>
        </w:numPr>
      </w:pPr>
      <w:r>
        <w:t xml:space="preserve">Description and selected publication for the models used in the impact assessment:</w:t>
      </w:r>
      <w:r>
        <w:br/>
      </w:r>
      <w:r>
        <w:t xml:space="preserve">PRIMES https://e3modelling.com/publications/,</w:t>
      </w:r>
      <w:r>
        <w:br/>
      </w:r>
      <w:r>
        <w:t xml:space="preserve">POTEnCIA https://joint-research-centre.ec.europa.eu/potencia/potencia-publications_en,</w:t>
      </w:r>
      <w:r>
        <w:br/>
      </w:r>
      <w:r>
        <w:t xml:space="preserve">EU-TIMES https://www.i2am-paris.eu/detailed_model_doc/eu_times,</w:t>
      </w:r>
      <w:r>
        <w:br/>
      </w:r>
      <w:r>
        <w:t xml:space="preserve">POLES https://www.enerdata.net/solutions/poles-model.html</w:t>
      </w:r>
      <w:r>
        <w:t xml:space="preserve"> </w:t>
      </w:r>
      <w:r>
        <w:t xml:space="preserve">METIS: https://web.jrc.ec.europa.eu/policy-model-inventory/explore/models/model-metis/references/</w:t>
      </w:r>
      <w:r>
        <w:t xml:space="preserve"> </w:t>
      </w:r>
      <w:r>
        <w:t xml:space="preserve">AMADEUS https://www.engie.com/decarbonation-scenario-engie</w:t>
      </w:r>
      <w:r>
        <w:t xml:space="preserve"> </w:t>
      </w:r>
      <w:r>
        <w:t xml:space="preserve">GLOBIOM https://iiasa.github.io/GLOBIOM/index.html</w:t>
      </w:r>
      <w:r>
        <w:t xml:space="preserve"> </w:t>
      </w:r>
      <w:r>
        <w:t xml:space="preserve">CAPRI https://www.capri-model.org/doku.php?id=capri:capri_pub</w:t>
      </w:r>
      <w:r>
        <w:t xml:space="preserve"> </w:t>
      </w:r>
      <w:r>
        <w:t xml:space="preserve">JRC-FSCM https://data.europa.eu/doi/10.2760/244051</w:t>
      </w:r>
      <w:r>
        <w:t xml:space="preserve"> </w:t>
      </w:r>
      <w:r>
        <w:t xml:space="preserve">GAINS http://gains.iiasa.ac.at/models/gains_peer_reviewed.html</w:t>
      </w:r>
      <w:r>
        <w:br/>
      </w:r>
      <w:r>
        <w:t xml:space="preserve">JRC-GEM-E3 https://joint-research-centre.ec.europa.eu/gem-e3/gem-e3-publications_en</w:t>
      </w:r>
      <w:r>
        <w:t xml:space="preserve"> </w:t>
      </w:r>
      <w:r>
        <w:t xml:space="preserve">E3ME https://www.e3me.com/how/papers/</w:t>
      </w:r>
      <w:r>
        <w:t xml:space="preserve"> </w:t>
      </w:r>
      <w:r>
        <w:t xml:space="preserve">NEMESIS https://web.jrc.ec.europa.eu/policy-model-inventory/explore/models/model-nemesis/references/</w:t>
      </w:r>
      <w:r>
        <w:t xml:space="preserve"> </w:t>
      </w:r>
      <w:r>
        <w:t xml:space="preserve">QUEST (E-QUEST) https://economy-finance.ec.europa.eu/economic-research-and-databases/economic-</w:t>
      </w:r>
      <w:r>
        <w:t xml:space="preserve"> </w:t>
      </w:r>
      <w:r>
        <w:t xml:space="preserve">research/macroeconomic-models/quest-macroeconomic-model_en</w:t>
      </w:r>
    </w:p>
    <w:p>
      <w:pPr>
        <w:pStyle w:val="Compact"/>
        <w:numPr>
          <w:ilvl w:val="0"/>
          <w:numId w:val="1046"/>
        </w:numPr>
      </w:pPr>
      <w:r>
        <w:t xml:space="preserve">MIDAS: https://web.jrc.ec.europa.eu/policy-model-inventory/</w:t>
      </w:r>
    </w:p>
    <w:p>
      <w:pPr>
        <w:pStyle w:val="Compact"/>
        <w:numPr>
          <w:ilvl w:val="0"/>
          <w:numId w:val="1046"/>
        </w:numPr>
      </w:pPr>
      <w:r>
        <w:t xml:space="preserve">EUROPOP2019 (proj_19n) and short-term update of the projected population (2022-2032)</w:t>
      </w:r>
      <w:r>
        <w:t xml:space="preserve"> </w:t>
      </w:r>
      <w:r>
        <w:t xml:space="preserve">(proj_stp22), which was the latest available projection at the time the key assumptions were adopted as a</w:t>
      </w:r>
      <w:r>
        <w:t xml:space="preserve"> </w:t>
      </w:r>
      <w:r>
        <w:t xml:space="preserve">framework for all models used in the impact assessment.</w:t>
      </w:r>
    </w:p>
    <w:p>
      <w:pPr>
        <w:pStyle w:val="Compact"/>
        <w:numPr>
          <w:ilvl w:val="0"/>
          <w:numId w:val="1046"/>
        </w:numPr>
      </w:pPr>
      <w:r>
        <w:t xml:space="preserve">DG ECFIN. Autumn 2022 Economic Forecast: The EU economy at a turning point.</w:t>
      </w:r>
    </w:p>
    <w:p>
      <w:pPr>
        <w:pStyle w:val="FirstParagraph"/>
      </w:pPr>
      <w:r>
        <w:t xml:space="preserve">93</w:t>
      </w:r>
    </w:p>
    <w:p>
      <w:pPr>
        <w:pStyle w:val="BodyText"/>
      </w:pPr>
      <w:r>
        <w:t xml:space="preserve">the JRC and were validated by a dedicated stakeholders consultation prior to the</w:t>
      </w:r>
      <w:r>
        <w:t xml:space="preserve"> </w:t>
      </w:r>
      <w:r>
        <w:t xml:space="preserve">modelling exercise. In particular, a stakeholder workshop on technology assumptions on</w:t>
      </w:r>
      <w:r>
        <w:t xml:space="preserve"> </w:t>
      </w:r>
      <w:r>
        <w:t xml:space="preserve">land-sector-related and non-CO2 GHG emissions took place with national authorities,</w:t>
      </w:r>
      <w:r>
        <w:t xml:space="preserve"> </w:t>
      </w:r>
      <w:r>
        <w:t xml:space="preserve">researchers and businesses in October 2022 and energy- and mobility-related techno-</w:t>
      </w:r>
      <w:r>
        <w:t xml:space="preserve"> </w:t>
      </w:r>
      <w:r>
        <w:t xml:space="preserve">economic assumptions were discussed with several stakeholders in February 2022, and</w:t>
      </w:r>
      <w:r>
        <w:t xml:space="preserve"> </w:t>
      </w:r>
      <w:r>
        <w:t xml:space="preserve">subsequently updated in February 2023.</w:t>
      </w:r>
      <w:r>
        <w:t xml:space="preserve"> </w:t>
      </w:r>
      <w:r>
        <w:t xml:space="preserve">The models are interconnected in multiple ways, as represented in Figure 5. For the</w:t>
      </w:r>
      <w:r>
        <w:t xml:space="preserve"> </w:t>
      </w:r>
      <w:r>
        <w:t xml:space="preserve">energy system and the macro-economic analysis of this impact assessment, multiple</w:t>
      </w:r>
      <w:r>
        <w:t xml:space="preserve"> </w:t>
      </w:r>
      <w:r>
        <w:t xml:space="preserve">independent models have been used in parallel to evaluate and assure the robustness of</w:t>
      </w:r>
      <w:r>
        <w:t xml:space="preserve"> </w:t>
      </w:r>
      <w:r>
        <w:t xml:space="preserve">the results. The PRIMES model is the main energy system modelling tool for this impact</w:t>
      </w:r>
      <w:r>
        <w:t xml:space="preserve"> </w:t>
      </w:r>
      <w:r>
        <w:t xml:space="preserve">assessment. The robustness of the results was assessed by comparing results from other</w:t>
      </w:r>
      <w:r>
        <w:t xml:space="preserve"> </w:t>
      </w:r>
      <w:r>
        <w:t xml:space="preserve">energy system models, mainly the JRC’s POTEnCIA and POLES, METIS-AMADEUS</w:t>
      </w:r>
      <w:r>
        <w:t xml:space="preserve"> </w:t>
      </w:r>
      <w:r>
        <w:t xml:space="preserve">and TIMES. The GLOBIOM/G4M model suite (called “GLOBIOM” in this impact</w:t>
      </w:r>
      <w:r>
        <w:t xml:space="preserve"> </w:t>
      </w:r>
      <w:r>
        <w:t xml:space="preserve">assessment) was used to cover all LULUCF-related GHG emissions in this impact</w:t>
      </w:r>
      <w:r>
        <w:t xml:space="preserve"> </w:t>
      </w:r>
      <w:r>
        <w:t xml:space="preserve">assessment, and the results were tested with the JRC forest sector carbon model (FSCM).</w:t>
      </w:r>
      <w:r>
        <w:t xml:space="preserve"> </w:t>
      </w:r>
      <w:r>
        <w:t xml:space="preserve">The CAPRI model was used to assess impacts from agricultural, trade and environmental</w:t>
      </w:r>
      <w:r>
        <w:t xml:space="preserve"> </w:t>
      </w:r>
      <w:r>
        <w:t xml:space="preserve">policies on agriculture as well as biodiversity aspects linked to agriculture. The GAINS</w:t>
      </w:r>
      <w:r>
        <w:t xml:space="preserve"> </w:t>
      </w:r>
      <w:r>
        <w:t xml:space="preserve">model was used as the main modelling tool to estimate air pollutant emissions and their</w:t>
      </w:r>
      <w:r>
        <w:t xml:space="preserve"> </w:t>
      </w:r>
      <w:r>
        <w:t xml:space="preserve">impacts on human health and the environment, as well as non-CO2 GHG emissions.</w:t>
      </w:r>
      <w:r>
        <w:t xml:space="preserve"> </w:t>
      </w:r>
      <w:r>
        <w:t xml:space="preserve">Three macro-economic models with distinct methodological underpinnings were used to</w:t>
      </w:r>
      <w:r>
        <w:t xml:space="preserve"> </w:t>
      </w:r>
      <w:r>
        <w:t xml:space="preserve">assess the socio-economic impact of the target options and assess the robustness of the</w:t>
      </w:r>
      <w:r>
        <w:t xml:space="preserve"> </w:t>
      </w:r>
      <w:r>
        <w:t xml:space="preserve">key findings. The JRC’s GEM-E3 was used as the core model and is a recursive dynamic</w:t>
      </w:r>
      <w:r>
        <w:t xml:space="preserve"> </w:t>
      </w:r>
      <w:r>
        <w:t xml:space="preserve">computable general equilibrium model, and DG ECFIN’s E-QUEST and the Cambridge</w:t>
      </w:r>
      <w:r>
        <w:t xml:space="preserve"> </w:t>
      </w:r>
      <w:r>
        <w:t xml:space="preserve">Econometrics’ E3ME macro-econometric models complemented the analysis.</w:t>
      </w:r>
      <w:r>
        <w:t xml:space="preserve"> </w:t>
      </w:r>
      <w:r>
        <w:t xml:space="preserve">Figure 5: Modelling tools used for the impact assessment</w:t>
      </w:r>
    </w:p>
    <w:p>
      <w:pPr>
        <w:pStyle w:val="BodyText"/>
      </w:pPr>
      <w:r>
        <w:t xml:space="preserve">The results of the independent modelling analyses are cross-checked across models,</w:t>
      </w:r>
      <w:r>
        <w:t xml:space="preserve"> </w:t>
      </w:r>
      <w:r>
        <w:t xml:space="preserve">indicating a level of uncertainty for the different figures, and validating the robustness of</w:t>
      </w:r>
      <w:r>
        <w:t xml:space="preserve"> </w:t>
      </w:r>
      <w:r>
        <w:t xml:space="preserve">Economics</w:t>
      </w:r>
      <w:r>
        <w:t xml:space="preserve"> </w:t>
      </w:r>
      <w:r>
        <w:t xml:space="preserve">Energy</w:t>
      </w:r>
      <w:r>
        <w:t xml:space="preserve"> </w:t>
      </w:r>
      <w:r>
        <w:t xml:space="preserve">Land use &amp;</w:t>
      </w:r>
      <w:r>
        <w:t xml:space="preserve"> </w:t>
      </w:r>
      <w:r>
        <w:t xml:space="preserve">agriculture</w:t>
      </w:r>
      <w:r>
        <w:t xml:space="preserve"> </w:t>
      </w:r>
      <w:r>
        <w:t xml:space="preserve">Non-CO2 GHG</w:t>
      </w:r>
      <w:r>
        <w:t xml:space="preserve"> </w:t>
      </w:r>
      <w:r>
        <w:t xml:space="preserve">Air pollution</w:t>
      </w:r>
      <w:r>
        <w:t xml:space="preserve"> </w:t>
      </w:r>
      <w:r>
        <w:t xml:space="preserve">GEM-E3</w:t>
      </w:r>
      <w:r>
        <w:t xml:space="preserve"> </w:t>
      </w:r>
      <w:r>
        <w:t xml:space="preserve">+E-QUEST, E3ME</w:t>
      </w:r>
      <w:r>
        <w:t xml:space="preserve"> </w:t>
      </w:r>
      <w:r>
        <w:t xml:space="preserve">Population &amp; GDP</w:t>
      </w:r>
      <w:r>
        <w:t xml:space="preserve"> </w:t>
      </w:r>
      <w:r>
        <w:t xml:space="preserve">PRIMES</w:t>
      </w:r>
      <w:r>
        <w:t xml:space="preserve"> </w:t>
      </w:r>
      <w:r>
        <w:t xml:space="preserve">+ POTENCIA, TIMES,</w:t>
      </w:r>
      <w:r>
        <w:t xml:space="preserve"> </w:t>
      </w:r>
      <w:r>
        <w:t xml:space="preserve">POLES, METIS-</w:t>
      </w:r>
      <w:r>
        <w:t xml:space="preserve"> </w:t>
      </w:r>
      <w:r>
        <w:t xml:space="preserve">AMADEUS</w:t>
      </w:r>
      <w:r>
        <w:t xml:space="preserve"> </w:t>
      </w:r>
      <w:r>
        <w:t xml:space="preserve">POLES-JRC</w:t>
      </w:r>
      <w:r>
        <w:t xml:space="preserve"> </w:t>
      </w:r>
      <w:r>
        <w:t xml:space="preserve">GLOBIOM</w:t>
      </w:r>
      <w:r>
        <w:t xml:space="preserve"> </w:t>
      </w:r>
      <w:r>
        <w:t xml:space="preserve">+ FSCM</w:t>
      </w:r>
      <w:r>
        <w:t xml:space="preserve"> </w:t>
      </w:r>
      <w:r>
        <w:t xml:space="preserve">CAPRI</w:t>
      </w:r>
      <w:r>
        <w:t xml:space="preserve"> </w:t>
      </w:r>
      <w:r>
        <w:t xml:space="preserve">GAINS</w:t>
      </w:r>
      <w:r>
        <w:t xml:space="preserve"> </w:t>
      </w:r>
      <w:r>
        <w:t xml:space="preserve">Framework conditions</w:t>
      </w:r>
      <w:r>
        <w:t xml:space="preserve"> </w:t>
      </w:r>
      <w:r>
        <w:t xml:space="preserve">Economic structure</w:t>
      </w:r>
      <w:r>
        <w:t xml:space="preserve"> </w:t>
      </w:r>
      <w:r>
        <w:t xml:space="preserve">Global system</w:t>
      </w:r>
      <w:r>
        <w:t xml:space="preserve"> </w:t>
      </w:r>
      <w:r>
        <w:t xml:space="preserve">EU energy system</w:t>
      </w:r>
      <w:r>
        <w:t xml:space="preserve"> </w:t>
      </w:r>
      <w:r>
        <w:t xml:space="preserve">EU</w:t>
      </w:r>
      <w:r>
        <w:t xml:space="preserve"> </w:t>
      </w:r>
      <w:r>
        <w:t xml:space="preserve">agriculture</w:t>
      </w:r>
      <w:r>
        <w:t xml:space="preserve"> </w:t>
      </w:r>
      <w:r>
        <w:t xml:space="preserve">Global, EU</w:t>
      </w:r>
      <w:r>
        <w:t xml:space="preserve"> </w:t>
      </w:r>
      <w:r>
        <w:t xml:space="preserve">PRIMES-TREMOVE</w:t>
      </w:r>
      <w:r>
        <w:t xml:space="preserve"> </w:t>
      </w:r>
      <w:r>
        <w:t xml:space="preserve">EU transport system</w:t>
      </w:r>
      <w:r>
        <w:t xml:space="preserve"> </w:t>
      </w:r>
      <w:r>
        <w:t xml:space="preserve">Global &amp;</w:t>
      </w:r>
      <w:r>
        <w:t xml:space="preserve"> </w:t>
      </w:r>
      <w:r>
        <w:t xml:space="preserve">EU forestry+LU</w:t>
      </w:r>
      <w:r>
        <w:t xml:space="preserve"> </w:t>
      </w:r>
      <w:r>
        <w:t xml:space="preserve">Industry</w:t>
      </w:r>
      <w:r>
        <w:t xml:space="preserve"> </w:t>
      </w:r>
      <w:r>
        <w:t xml:space="preserve">&amp; Circular Economy</w:t>
      </w:r>
      <w:r>
        <w:t xml:space="preserve"> </w:t>
      </w:r>
      <w:r>
        <w:t xml:space="preserve">FORECAST</w:t>
      </w:r>
      <w:r>
        <w:t xml:space="preserve"> </w:t>
      </w:r>
      <w:r>
        <w:t xml:space="preserve">Diversification of drivers and</w:t>
      </w:r>
      <w:r>
        <w:t xml:space="preserve"> </w:t>
      </w:r>
      <w:r>
        <w:t xml:space="preserve">mitigation technologies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the conclusion. While high-level results across models are well aligned (see Annex 8),</w:t>
      </w:r>
      <w:r>
        <w:t xml:space="preserve"> </w:t>
      </w:r>
      <w:r>
        <w:t xml:space="preserve">uncertainty increases for more disaggregated results. Detailed modelling results are</w:t>
      </w:r>
      <w:r>
        <w:t xml:space="preserve"> </w:t>
      </w:r>
      <w:r>
        <w:t xml:space="preserve">highly dependent on the design of the energy and climate policy framework (which is not</w:t>
      </w:r>
      <w:r>
        <w:t xml:space="preserve"> </w:t>
      </w:r>
      <w:r>
        <w:t xml:space="preserve">the subject of this Impact Assessment) and the improvement and deployment of different</w:t>
      </w:r>
      <w:r>
        <w:t xml:space="preserve"> </w:t>
      </w:r>
      <w:r>
        <w:t xml:space="preserve">technologies. The dependence of projections on the choice of model can be estimated</w:t>
      </w:r>
      <w:r>
        <w:t xml:space="preserve"> </w:t>
      </w:r>
      <w:r>
        <w:t xml:space="preserve">comparing values obtained from models using the same assumptions and closely</w:t>
      </w:r>
      <w:r>
        <w:t xml:space="preserve"> </w:t>
      </w:r>
      <w:r>
        <w:t xml:space="preserve">calibrated to the same statistical data: this is the case for the PRIMES and POTEnCIA</w:t>
      </w:r>
      <w:r>
        <w:t xml:space="preserve"> </w:t>
      </w:r>
      <w:r>
        <w:t xml:space="preserve">energy models and for the JRC-GEM-E3, E3ME and E-QUEST macro-economic</w:t>
      </w:r>
      <w:r>
        <w:t xml:space="preserve"> </w:t>
      </w:r>
      <w:r>
        <w:t xml:space="preserve">models.</w:t>
      </w:r>
      <w:r>
        <w:br/>
      </w:r>
      <w:r>
        <w:t xml:space="preserve">Table 38 shows a summary of the cross-model uncertainty levels for the key high-level</w:t>
      </w:r>
      <w:r>
        <w:t xml:space="preserve"> </w:t>
      </w:r>
      <w:r>
        <w:t xml:space="preserve">indicators of this Impact Assessment. Projections for the main emissions and energy</w:t>
      </w:r>
      <w:r>
        <w:t xml:space="preserve"> </w:t>
      </w:r>
      <w:r>
        <w:t xml:space="preserve">indicators are closely aligned in PRIMES and POTEnCIA models (with deviations of</w:t>
      </w:r>
      <w:r>
        <w:t xml:space="preserve"> </w:t>
      </w:r>
      <w:r>
        <w:t xml:space="preserve">few percentage points in 2040).</w:t>
      </w:r>
      <w:r>
        <w:br/>
      </w:r>
      <w:r>
        <w:t xml:space="preserve">Table 38: Uncertainty level for key high-level energy and CO2 indicators.</w:t>
      </w:r>
      <w:r>
        <w:t xml:space="preserve"> </w:t>
      </w:r>
      <w:r>
        <w:t xml:space="preserve">Indicators</w:t>
      </w:r>
      <w:r>
        <w:t xml:space="preserve"> </w:t>
      </w:r>
      <w:r>
        <w:t xml:space="preserve">Uncertainty level</w:t>
      </w:r>
      <w:r>
        <w:t xml:space="preserve"> </w:t>
      </w:r>
      <w:r>
        <w:t xml:space="preserve">S1</w:t>
      </w:r>
      <w:r>
        <w:t xml:space="preserve"> </w:t>
      </w:r>
      <w:r>
        <w:t xml:space="preserve">S2</w:t>
      </w:r>
      <w:r>
        <w:t xml:space="preserve"> </w:t>
      </w:r>
      <w:r>
        <w:t xml:space="preserve">S3</w:t>
      </w:r>
      <w:r>
        <w:t xml:space="preserve"> </w:t>
      </w:r>
      <w:r>
        <w:t xml:space="preserve">2030-2050</w:t>
      </w:r>
      <w:r>
        <w:t xml:space="preserve"> </w:t>
      </w:r>
      <w:r>
        <w:t xml:space="preserve">EU CO2 budget 2030-2050 (energy &amp; industry CO2)</w:t>
      </w:r>
      <w:r>
        <w:t xml:space="preserve"> </w:t>
      </w:r>
      <w:r>
        <w:t xml:space="preserve">9%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2040</w:t>
      </w:r>
      <w:r>
        <w:t xml:space="preserve"> </w:t>
      </w:r>
      <w:r>
        <w:t xml:space="preserve">Net Energy &amp; industry CO2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GAE</w:t>
      </w:r>
      <w:r>
        <w:t xml:space="preserve"> </w:t>
      </w:r>
      <w:r>
        <w:t xml:space="preserve">0%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FEC</w:t>
      </w:r>
      <w:r>
        <w:t xml:space="preserve"> </w:t>
      </w:r>
      <w:r>
        <w:t xml:space="preserve">4%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Share of RES in GFEC</w:t>
      </w:r>
      <w:r>
        <w:t xml:space="preserve"> </w:t>
      </w:r>
      <w:r>
        <w:t xml:space="preserve">6%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Note: Uncertainty level is defined as the dispersion between the max and min value obtained across models</w:t>
      </w:r>
      <w:r>
        <w:t xml:space="preserve"> </w:t>
      </w:r>
      <w:r>
        <w:t xml:space="preserve">(max/min-1).</w:t>
      </w:r>
      <w:r>
        <w:br/>
      </w:r>
      <w:r>
        <w:t xml:space="preserve">Table 39 shows a summary of the impacts on GDP, private consumption and investment</w:t>
      </w:r>
      <w:r>
        <w:t xml:space="preserve"> </w:t>
      </w:r>
      <w:r>
        <w:t xml:space="preserve">for S1 and S3 (in percentage change vs. S2) for the JRC-GEM-E3, E3ME and E-QUEST</w:t>
      </w:r>
      <w:r>
        <w:t xml:space="preserve"> </w:t>
      </w:r>
      <w:r>
        <w:t xml:space="preserve">models. All three models concur that the macro-economic differences across the three</w:t>
      </w:r>
      <w:r>
        <w:t xml:space="preserve"> </w:t>
      </w:r>
      <w:r>
        <w:t xml:space="preserve">representative scenarios are very limited to less than 1%.</w:t>
      </w:r>
      <w:r>
        <w:t xml:space="preserve"> </w:t>
      </w:r>
      <w:r>
        <w:t xml:space="preserve">Table 39: Impacts on key macro-economic variables across models (% change vs. S2, 2040)</w:t>
      </w:r>
    </w:p>
    <w:p>
      <w:pPr>
        <w:pStyle w:val="BodyText"/>
      </w:pPr>
      <w:r>
        <w:t xml:space="preserve">S1 (fragmented action)</w:t>
      </w:r>
      <w:r>
        <w:t xml:space="preserve"> </w:t>
      </w:r>
      <w:r>
        <w:t xml:space="preserve">S3 (fragmented action)</w:t>
      </w:r>
    </w:p>
    <w:p>
      <w:pPr>
        <w:pStyle w:val="BodyText"/>
      </w:pPr>
      <w:r>
        <w:t xml:space="preserve">JRC-GEM-E3</w:t>
      </w:r>
      <w:r>
        <w:t xml:space="preserve"> </w:t>
      </w:r>
      <w:r>
        <w:t xml:space="preserve">E3ME</w:t>
      </w:r>
      <w:r>
        <w:t xml:space="preserve"> </w:t>
      </w:r>
      <w:r>
        <w:t xml:space="preserve">E-QUEST</w:t>
      </w:r>
      <w:r>
        <w:t xml:space="preserve"> </w:t>
      </w:r>
      <w:r>
        <w:t xml:space="preserve">JRC-GEM-E3</w:t>
      </w:r>
      <w:r>
        <w:t xml:space="preserve"> </w:t>
      </w:r>
      <w:r>
        <w:t xml:space="preserve">E3ME</w:t>
      </w:r>
      <w:r>
        <w:t xml:space="preserve"> </w:t>
      </w:r>
      <w:r>
        <w:t xml:space="preserve">E-QUEST</w:t>
      </w:r>
      <w:r>
        <w:t xml:space="preserve"> </w:t>
      </w:r>
      <w:r>
        <w:t xml:space="preserve">GDP</w:t>
      </w:r>
      <w:r>
        <w:t xml:space="preserve"> </w:t>
      </w:r>
      <w:r>
        <w:t xml:space="preserve">0.5%</w:t>
      </w:r>
      <w:r>
        <w:t xml:space="preserve"> </w:t>
      </w:r>
      <w:r>
        <w:t xml:space="preserve">0.0%</w:t>
      </w:r>
      <w:r>
        <w:t xml:space="preserve"> </w:t>
      </w:r>
      <w:r>
        <w:t xml:space="preserve">0.4%</w:t>
      </w:r>
      <w:r>
        <w:t xml:space="preserve"> </w:t>
      </w:r>
      <w:r>
        <w:t xml:space="preserve">-0.2%</w:t>
      </w:r>
      <w:r>
        <w:t xml:space="preserve"> </w:t>
      </w:r>
      <w:r>
        <w:t xml:space="preserve">0.0%</w:t>
      </w:r>
      <w:r>
        <w:t xml:space="preserve"> </w:t>
      </w:r>
      <w:r>
        <w:t xml:space="preserve">-0.8%</w:t>
      </w:r>
      <w:r>
        <w:t xml:space="preserve"> </w:t>
      </w:r>
      <w:r>
        <w:t xml:space="preserve">Private consumption</w:t>
      </w:r>
      <w:r>
        <w:t xml:space="preserve"> </w:t>
      </w:r>
      <w:r>
        <w:t xml:space="preserve">0.7%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-0.5%</w:t>
      </w:r>
      <w:r>
        <w:t xml:space="preserve"> </w:t>
      </w:r>
      <w:r>
        <w:t xml:space="preserve">-0.2%</w:t>
      </w:r>
      <w:r>
        <w:t xml:space="preserve"> </w:t>
      </w:r>
      <w:r>
        <w:t xml:space="preserve">-0.5%</w:t>
      </w:r>
      <w:r>
        <w:t xml:space="preserve"> </w:t>
      </w:r>
      <w:r>
        <w:t xml:space="preserve">Source: JRC-GEM-E3, E3ME, E-QUEST.</w:t>
      </w:r>
      <w:r>
        <w:t xml:space="preserve"> </w:t>
      </w:r>
      <w:r>
        <w:t xml:space="preserve">Annex 6 provides a more detailed description of the modelling tools and the way they</w:t>
      </w:r>
      <w:r>
        <w:t xml:space="preserve"> </w:t>
      </w:r>
      <w:r>
        <w:t xml:space="preserve">interact in the impact assessment. It also provides a detailed description of the modelling</w:t>
      </w:r>
      <w:r>
        <w:t xml:space="preserve"> </w:t>
      </w:r>
      <w:r>
        <w:t xml:space="preserve">scenarios underpinning the target options, including assumptions, drivers, and rationale.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Furthermore, Annex 7 provides the analysis of the cost of climate inaction based on a</w:t>
      </w:r>
      <w:r>
        <w:t xml:space="preserve"> </w:t>
      </w:r>
      <w:r>
        <w:t xml:space="preserve">review of the literature and dedicated macro-economic modelling carried out for this</w:t>
      </w:r>
      <w:r>
        <w:t xml:space="preserve"> </w:t>
      </w:r>
      <w:r>
        <w:t xml:space="preserve">impact assessment with the NEMESIS macro-econometric model. The NEMESIS model</w:t>
      </w:r>
      <w:r>
        <w:t xml:space="preserve"> </w:t>
      </w:r>
      <w:r>
        <w:t xml:space="preserve">has been designed by an EU consortium to assess socio-economic impacts of research</w:t>
      </w:r>
      <w:r>
        <w:t xml:space="preserve"> </w:t>
      </w:r>
      <w:r>
        <w:t xml:space="preserve">and innovation policies and used in several peer-reviewed publications (108).</w:t>
      </w:r>
      <w:r>
        <w:br/>
      </w:r>
      <w:r>
        <w:t xml:space="preserve">Annex 8 provides the detailed analysis of the sectoral transformations towards different</w:t>
      </w:r>
      <w:r>
        <w:t xml:space="preserve"> </w:t>
      </w:r>
      <w:r>
        <w:t xml:space="preserve">2040 target levels and to climate neutrality by 2050, and a cross-model comparison for a</w:t>
      </w:r>
      <w:r>
        <w:t xml:space="preserve"> </w:t>
      </w:r>
      <w:r>
        <w:t xml:space="preserve">number of additional indicators. A comprehensive literature review, including the advice</w:t>
      </w:r>
      <w:r>
        <w:t xml:space="preserve"> </w:t>
      </w:r>
      <w:r>
        <w:t xml:space="preserve">by the European Scientific Advisory Board on Climate Change (109), complements</w:t>
      </w:r>
      <w:r>
        <w:t xml:space="preserve"> </w:t>
      </w:r>
      <w:r>
        <w:t xml:space="preserve">throughout the documents the use of economic modelling.</w:t>
      </w:r>
    </w:p>
    <w:p>
      <w:pPr>
        <w:numPr>
          <w:ilvl w:val="0"/>
          <w:numId w:val="1047"/>
        </w:numPr>
      </w:pPr>
      <w:r>
        <w:t xml:space="preserve">NEMESIS, Selected publications: https://web.jrc.ec.europa.eu/policy-model-</w:t>
      </w:r>
      <w:r>
        <w:t xml:space="preserve"> </w:t>
      </w:r>
      <w:r>
        <w:t xml:space="preserve">inventory/explore/models/model-nemesis/references/</w:t>
      </w:r>
    </w:p>
    <w:p>
      <w:pPr>
        <w:numPr>
          <w:ilvl w:val="0"/>
          <w:numId w:val="1047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</w:t>
      </w:r>
    </w:p>
    <w:p>
      <w:pPr>
        <w:pStyle w:val="FirstParagraph"/>
      </w:pPr>
      <w:r>
        <w:t xml:space="preserve">96</w:t>
      </w:r>
    </w:p>
    <w:p>
      <w:pPr>
        <w:pStyle w:val="BodyText"/>
      </w:pPr>
      <w:r>
        <w:t xml:space="preserve">Annex 2: Stakeholder consultation (Synopsis report)</w:t>
      </w:r>
      <w:r>
        <w:br/>
      </w:r>
      <w:r>
        <w:t xml:space="preserve">Synopsis report on the stakeholder activities for setting an EU climate target for</w:t>
      </w:r>
      <w:r>
        <w:t xml:space="preserve"> </w:t>
      </w:r>
      <w:r>
        <w:t xml:space="preserve">2040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In the framework of proposing an intermediate climate target for 2040 within the</w:t>
      </w:r>
      <w:r>
        <w:t xml:space="preserve"> </w:t>
      </w:r>
      <w:r>
        <w:t xml:space="preserve">European Climate Law, the European Commission conducted consultation activities</w:t>
      </w:r>
      <w:r>
        <w:t xml:space="preserve"> </w:t>
      </w:r>
      <w:r>
        <w:t xml:space="preserve">aimed at gathering views of different identified stakeholders: citizens, public authorities,</w:t>
      </w:r>
      <w:r>
        <w:t xml:space="preserve"> </w:t>
      </w:r>
      <w:r>
        <w:t xml:space="preserve">businesses, etc. The current synopsis report is a summary of the results of the</w:t>
      </w:r>
      <w:r>
        <w:t xml:space="preserve"> </w:t>
      </w:r>
      <w:r>
        <w:t xml:space="preserve">consultation activities. These will inform the impact assessment prepared by the EC.</w:t>
      </w:r>
      <w:r>
        <w:t xml:space="preserve"> </w:t>
      </w:r>
      <w:r>
        <w:t xml:space="preserve">The consultation activities included the following elements:</w:t>
      </w:r>
      <w:r>
        <w:t xml:space="preserve"> </w:t>
      </w:r>
      <w:r>
        <w:t xml:space="preserve">• Public consultation (questionnaire and position papers): A public consultation</w:t>
      </w:r>
      <w:r>
        <w:t xml:space="preserve"> </w:t>
      </w:r>
      <w:r>
        <w:t xml:space="preserve">was conducted over a 12-week period from the 31/03/2023 until the 23/06 2023. It</w:t>
      </w:r>
      <w:r>
        <w:t xml:space="preserve"> </w:t>
      </w:r>
      <w:r>
        <w:t xml:space="preserve">included a questionnaire and the option to submit position papers. The questionnaire</w:t>
      </w:r>
      <w:r>
        <w:t xml:space="preserve"> </w:t>
      </w:r>
      <w:r>
        <w:t xml:space="preserve">comprised of a general section (17 questions) and an expert section (18 questions).</w:t>
      </w:r>
      <w:r>
        <w:t xml:space="preserve"> </w:t>
      </w:r>
      <w:r>
        <w:t xml:space="preserve">The general section was targeted at a wider group of stakeholders while the expert</w:t>
      </w:r>
      <w:r>
        <w:t xml:space="preserve"> </w:t>
      </w:r>
      <w:r>
        <w:t xml:space="preserve">section was more technical and involved questions about specific policy domains</w:t>
      </w:r>
      <w:r>
        <w:t xml:space="preserve"> </w:t>
      </w:r>
      <w:r>
        <w:t xml:space="preserve">relevant for the target setting. The consultation incorporated mainly closed questions</w:t>
      </w:r>
      <w:r>
        <w:t xml:space="preserve"> </w:t>
      </w:r>
      <w:r>
        <w:t xml:space="preserve">(32) but also few open questions.</w:t>
      </w:r>
      <w:r>
        <w:br/>
      </w:r>
      <w:r>
        <w:t xml:space="preserve">• Call for evidence: In addition to the public consultation, stakeholders had the</w:t>
      </w:r>
      <w:r>
        <w:t xml:space="preserve"> </w:t>
      </w:r>
      <w:r>
        <w:t xml:space="preserve">opportunity to share general remarks and feedback on the policy initiative through a</w:t>
      </w:r>
      <w:r>
        <w:t xml:space="preserve"> </w:t>
      </w:r>
      <w:r>
        <w:t xml:space="preserve">call for evidence. They had the opportunity to upload position papers which were</w:t>
      </w:r>
      <w:r>
        <w:t xml:space="preserve"> </w:t>
      </w:r>
      <w:r>
        <w:t xml:space="preserve">analysed together with the position papers received in the public consultation.</w:t>
      </w:r>
      <w:r>
        <w:br/>
      </w:r>
      <w:r>
        <w:t xml:space="preserve">• Targeted stakeholder event: A hybrid stakeholder event was hosted by the EC in</w:t>
      </w:r>
      <w:r>
        <w:t xml:space="preserve"> </w:t>
      </w:r>
      <w:r>
        <w:t xml:space="preserve">Brussels. Participants were informed about the policy initiative for setting the EU</w:t>
      </w:r>
      <w:r>
        <w:t xml:space="preserve"> </w:t>
      </w:r>
      <w:r>
        <w:t xml:space="preserve">climate target for 2040 and invited to share their views.</w:t>
      </w:r>
      <w:r>
        <w:t xml:space="preserve"> </w:t>
      </w:r>
      <w:r>
        <w:t xml:space="preserve">The current synopsis report is prepared by a contractor (110).</w:t>
      </w:r>
      <w:r>
        <w:br/>
      </w:r>
      <w:r>
        <w:t xml:space="preserve">2. ANALYSIS OF PUBLIC CONSULTATION QUESTIONNAIRE</w:t>
      </w:r>
      <w:r>
        <w:t xml:space="preserve"> </w:t>
      </w:r>
      <w:r>
        <w:t xml:space="preserve">2.1. Overview of responses</w:t>
      </w:r>
      <w:r>
        <w:t xml:space="preserve"> </w:t>
      </w:r>
      <w:r>
        <w:t xml:space="preserve">In total, 903 responses to the public consultation were received. Among these, 23</w:t>
      </w:r>
      <w:r>
        <w:t xml:space="preserve"> </w:t>
      </w:r>
      <w:r>
        <w:t xml:space="preserve">(2.5%) responses were classified as part of a single campaign from private individuals in</w:t>
      </w:r>
      <w:r>
        <w:t xml:space="preserve"> </w:t>
      </w:r>
      <w:r>
        <w:t xml:space="preserve">Slovakia (see Section 2.2). In addition, one response was identified as a duplicate, so</w:t>
      </w:r>
      <w:r>
        <w:t xml:space="preserve"> </w:t>
      </w:r>
      <w:r>
        <w:t xml:space="preserve">that a total of 879 responses were included in the analysis. Out of these, 480 (54.6%)</w:t>
      </w:r>
      <w:r>
        <w:t xml:space="preserve"> </w:t>
      </w:r>
      <w:r>
        <w:t xml:space="preserve">(EU citizen: 468, non-EU citizen: 12) were provided by private individuals, and 399</w:t>
      </w:r>
      <w:r>
        <w:t xml:space="preserve"> </w:t>
      </w:r>
      <w:r>
        <w:t xml:space="preserve">(45.4%) by organisations.</w:t>
      </w:r>
    </w:p>
    <w:p>
      <w:pPr>
        <w:pStyle w:val="Compact"/>
        <w:numPr>
          <w:ilvl w:val="0"/>
          <w:numId w:val="1048"/>
        </w:numPr>
      </w:pPr>
      <w:r>
        <w:t xml:space="preserve">Technopolis Group in association with COWI A/S and Eunomia.</w:t>
      </w:r>
    </w:p>
    <w:p>
      <w:pPr>
        <w:pStyle w:val="FirstParagraph"/>
      </w:pPr>
      <w:r>
        <w:t xml:space="preserve">97</w:t>
      </w:r>
    </w:p>
    <w:p>
      <w:pPr>
        <w:pStyle w:val="BodyText"/>
      </w:pPr>
      <w:r>
        <w:t xml:space="preserve">Figure 6: Responses by stakeholder group</w:t>
      </w:r>
    </w:p>
    <w:p>
      <w:pPr>
        <w:pStyle w:val="BodyText"/>
      </w:pPr>
      <w:r>
        <w:t xml:space="preserve">Note: n = 879 (Number of responses to the public consultation questionnaire) (111)</w:t>
      </w:r>
      <w:r>
        <w:t xml:space="preserve"> </w:t>
      </w:r>
      <w:r>
        <w:t xml:space="preserve">Figure 7: Geographical distribution of responses by EU Member States</w:t>
      </w:r>
    </w:p>
    <w:p>
      <w:pPr>
        <w:pStyle w:val="BodyText"/>
      </w:pPr>
      <w:r>
        <w:t xml:space="preserve">Note: n = 811 (Number of responses from EU27 Member States. The responses from Slovakia which are</w:t>
      </w:r>
      <w:r>
        <w:t xml:space="preserve"> </w:t>
      </w:r>
      <w:r>
        <w:t xml:space="preserve">classified as a campaign are not included here. An additional 68 responses were received from non-EU</w:t>
      </w:r>
      <w:r>
        <w:t xml:space="preserve"> </w:t>
      </w:r>
      <w:r>
        <w:t xml:space="preserve">countries.)</w:t>
      </w:r>
    </w:p>
    <w:p>
      <w:pPr>
        <w:pStyle w:val="BodyText"/>
      </w:pPr>
      <w:r>
        <w:t xml:space="preserve">Most organisational responses came from companies and business associations: Small</w:t>
      </w:r>
      <w:r>
        <w:t xml:space="preserve"> </w:t>
      </w:r>
      <w:r>
        <w:t xml:space="preserve">and medium-sized enterprises (SMEs) and business associations representing SMEs</w:t>
      </w:r>
      <w:r>
        <w:t xml:space="preserve"> </w:t>
      </w:r>
      <w:r>
        <w:t xml:space="preserve">(108, 12.3%) or large companies (&gt;250 employees) and associations representing them</w:t>
      </w:r>
      <w:r>
        <w:t xml:space="preserve"> </w:t>
      </w:r>
      <w:r>
        <w:t xml:space="preserve">(136, 15.5%). An additional 98 (11.1%) responses came from civil society</w:t>
      </w:r>
      <w:r>
        <w:t xml:space="preserve"> </w:t>
      </w:r>
      <w:r>
        <w:t xml:space="preserve">organisations. (112)</w:t>
      </w:r>
      <w:r>
        <w:t xml:space="preserve"> </w:t>
      </w:r>
      <w:r>
        <w:t xml:space="preserve">Furthermore,</w:t>
      </w:r>
      <w:r>
        <w:t xml:space="preserve"> </w:t>
      </w:r>
      <w:r>
        <w:t xml:space="preserve">23</w:t>
      </w:r>
      <w:r>
        <w:t xml:space="preserve"> </w:t>
      </w:r>
      <w:r>
        <w:t xml:space="preserve">(2.6%)</w:t>
      </w:r>
      <w:r>
        <w:t xml:space="preserve"> </w:t>
      </w:r>
      <w:r>
        <w:t xml:space="preserve">responses</w:t>
      </w:r>
      <w:r>
        <w:t xml:space="preserve"> </w:t>
      </w:r>
      <w:r>
        <w:t xml:space="preserve">were</w:t>
      </w:r>
      <w:r>
        <w:t xml:space="preserve"> </w:t>
      </w:r>
      <w:r>
        <w:t xml:space="preserve">received</w:t>
      </w:r>
      <w:r>
        <w:t xml:space="preserve"> </w:t>
      </w:r>
      <w:r>
        <w:t xml:space="preserve">from</w:t>
      </w:r>
    </w:p>
    <w:p>
      <w:pPr>
        <w:pStyle w:val="Compact"/>
        <w:numPr>
          <w:ilvl w:val="0"/>
          <w:numId w:val="1049"/>
        </w:numPr>
      </w:pPr>
      <w:r>
        <w:t xml:space="preserve">The responses from Slovakia which are classified as a campaign are not included here. See Section on</w:t>
      </w:r>
      <w:r>
        <w:t xml:space="preserve"> </w:t>
      </w:r>
      <w:r>
        <w:t xml:space="preserve">campaign identification for an overview of the campaign.</w:t>
      </w:r>
    </w:p>
    <w:p>
      <w:pPr>
        <w:pStyle w:val="Compact"/>
        <w:numPr>
          <w:ilvl w:val="0"/>
          <w:numId w:val="1049"/>
        </w:numPr>
      </w:pPr>
      <w:r>
        <w:t xml:space="preserve">Clusters the responses from NGOs (68), environmental groups (20), trade unions (9), and one</w:t>
      </w:r>
      <w:r>
        <w:t xml:space="preserve"> </w:t>
      </w:r>
      <w:r>
        <w:t xml:space="preserve">consumer organisation (1).</w:t>
      </w:r>
      <w:r>
        <w:t xml:space="preserve"> </w:t>
      </w:r>
      <w:r>
        <w:t xml:space="preserve">23; 2,6%</w:t>
      </w:r>
      <w:r>
        <w:t xml:space="preserve"> </w:t>
      </w:r>
      <w:r>
        <w:t xml:space="preserve">108; 12,3%</w:t>
      </w:r>
      <w:r>
        <w:t xml:space="preserve"> </w:t>
      </w:r>
      <w:r>
        <w:t xml:space="preserve">136; 15,5%</w:t>
      </w:r>
      <w:r>
        <w:t xml:space="preserve"> </w:t>
      </w:r>
      <w:r>
        <w:t xml:space="preserve">98; 11,1%</w:t>
      </w:r>
      <w:r>
        <w:t xml:space="preserve"> </w:t>
      </w:r>
      <w:r>
        <w:t xml:space="preserve">468; 53,2%</w:t>
      </w:r>
      <w:r>
        <w:t xml:space="preserve"> </w:t>
      </w:r>
      <w:r>
        <w:t xml:space="preserve">23; 2,6%</w:t>
      </w:r>
      <w:r>
        <w:t xml:space="preserve"> </w:t>
      </w:r>
      <w:r>
        <w:t xml:space="preserve">23; 2,6%</w:t>
      </w:r>
      <w:r>
        <w:t xml:space="preserve"> </w:t>
      </w:r>
      <w:r>
        <w:t xml:space="preserve">46,8%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Business associations / companies</w:t>
      </w:r>
      <w:r>
        <w:t xml:space="preserve"> </w:t>
      </w:r>
      <w:r>
        <w:t xml:space="preserve">(SMEs)</w:t>
      </w:r>
      <w:r>
        <w:t xml:space="preserve"> </w:t>
      </w:r>
      <w:r>
        <w:t xml:space="preserve">Business associations/companies</w:t>
      </w:r>
      <w:r>
        <w:t xml:space="preserve"> </w:t>
      </w:r>
      <w:r>
        <w:t xml:space="preserve">(Large)</w:t>
      </w:r>
      <w:r>
        <w:t xml:space="preserve"> </w:t>
      </w:r>
      <w:r>
        <w:t xml:space="preserve">Civil society organizations</w:t>
      </w:r>
      <w:r>
        <w:t xml:space="preserve"> </w:t>
      </w:r>
      <w:r>
        <w:t xml:space="preserve">EU citizens</w:t>
      </w:r>
      <w:r>
        <w:t xml:space="preserve"> </w:t>
      </w:r>
      <w:r>
        <w:t xml:space="preserve">Others</w:t>
      </w:r>
      <w:r>
        <w:t xml:space="preserve"> </w:t>
      </w:r>
      <w:r>
        <w:t xml:space="preserve">Public authorities</w:t>
      </w:r>
      <w:r>
        <w:t xml:space="preserve"> </w:t>
      </w:r>
      <w:r>
        <w:t xml:space="preserve">© GeoNames, Microsoft, OpenStreetMap, TomTom</w:t>
      </w:r>
      <w:r>
        <w:t xml:space="preserve"> </w:t>
      </w:r>
      <w:r>
        <w:t xml:space="preserve">Powered by Bing</w:t>
      </w:r>
      <w:r>
        <w:t xml:space="preserve"> </w:t>
      </w:r>
      <w:r>
        <w:t xml:space="preserve">35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35</w:t>
      </w:r>
      <w:r>
        <w:t xml:space="preserve"> </w:t>
      </w:r>
      <w:r>
        <w:t xml:space="preserve">39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54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47</w:t>
      </w:r>
      <w:r>
        <w:t xml:space="preserve"> </w:t>
      </w:r>
      <w:r>
        <w:t xml:space="preserve">14</w:t>
      </w:r>
      <w:r>
        <w:t xml:space="preserve"> </w:t>
      </w:r>
      <w:r>
        <w:t xml:space="preserve">10</w:t>
      </w:r>
      <w:r>
        <w:t xml:space="preserve"> </w:t>
      </w:r>
      <w:r>
        <w:t xml:space="preserve">16</w:t>
      </w:r>
      <w:r>
        <w:t xml:space="preserve"> </w:t>
      </w:r>
      <w:r>
        <w:t xml:space="preserve">44</w:t>
      </w:r>
      <w:r>
        <w:t xml:space="preserve"> </w:t>
      </w:r>
      <w:r>
        <w:t xml:space="preserve">54</w:t>
      </w:r>
      <w:r>
        <w:t xml:space="preserve"> </w:t>
      </w:r>
      <w:r>
        <w:t xml:space="preserve">36</w:t>
      </w:r>
      <w:r>
        <w:t xml:space="preserve"> </w:t>
      </w:r>
      <w:r>
        <w:t xml:space="preserve">129</w:t>
      </w:r>
      <w:r>
        <w:t xml:space="preserve"> </w:t>
      </w:r>
      <w:r>
        <w:t xml:space="preserve">235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118</w:t>
      </w:r>
      <w:r>
        <w:t xml:space="preserve"> </w:t>
      </w:r>
      <w:r>
        <w:t xml:space="preserve">235</w:t>
      </w:r>
      <w:r>
        <w:t xml:space="preserve"> </w:t>
      </w:r>
      <w:r>
        <w:t xml:space="preserve">Number of responses</w:t>
      </w:r>
    </w:p>
    <w:p>
      <w:pPr>
        <w:pStyle w:val="FirstParagraph"/>
      </w:pPr>
      <w:r>
        <w:t xml:space="preserve">98</w:t>
      </w:r>
    </w:p>
    <w:p>
      <w:pPr>
        <w:pStyle w:val="BodyText"/>
      </w:pPr>
      <w:r>
        <w:t xml:space="preserve">academic/research institutions and an equal number of 23 (2.6%) responses from public</w:t>
      </w:r>
      <w:r>
        <w:t xml:space="preserve"> </w:t>
      </w:r>
      <w:r>
        <w:t xml:space="preserve">authorities. Also, 23 (2.6%) responses were classified as “Other”. (113)</w:t>
      </w:r>
      <w:r>
        <w:t xml:space="preserve"> </w:t>
      </w:r>
      <w:r>
        <w:t xml:space="preserve">The frequency of responses varied greatly between EU Member States (see Figure 7).</w:t>
      </w:r>
      <w:r>
        <w:t xml:space="preserve"> </w:t>
      </w:r>
      <w:r>
        <w:t xml:space="preserve">The largest number of responses came from Germany (235, 26.7%), followed by</w:t>
      </w:r>
      <w:r>
        <w:t xml:space="preserve"> </w:t>
      </w:r>
      <w:r>
        <w:t xml:space="preserve">Belgium (129, 14.7%) (also representing EU-level stakeholders).</w:t>
      </w:r>
    </w:p>
    <w:p>
      <w:pPr>
        <w:pStyle w:val="BodyText"/>
      </w:pPr>
      <w:r>
        <w:t xml:space="preserve">2.2. Methodological approach and campaign identification</w:t>
      </w:r>
      <w:r>
        <w:t xml:space="preserve"> </w:t>
      </w:r>
      <w:r>
        <w:t xml:space="preserve">The data from closed questions was processed and cleaned to facilitate descriptive</w:t>
      </w:r>
      <w:r>
        <w:t xml:space="preserve"> </w:t>
      </w:r>
      <w:r>
        <w:t xml:space="preserve">analysis and representation. Results are consistently presented as absolute numbers and</w:t>
      </w:r>
      <w:r>
        <w:t xml:space="preserve"> </w:t>
      </w:r>
      <w:r>
        <w:t xml:space="preserve">percentage values. The latter indicate the proportion of responses within each respective</w:t>
      </w:r>
      <w:r>
        <w:t xml:space="preserve"> </w:t>
      </w:r>
      <w:r>
        <w:t xml:space="preserve">stakeholder group. For Likert-scale questions, the share of (dis)agreement is</w:t>
      </w:r>
      <w:r>
        <w:t xml:space="preserve"> </w:t>
      </w:r>
      <w:r>
        <w:t xml:space="preserve">supplemented by an average for all responses.</w:t>
      </w:r>
      <w:r>
        <w:t xml:space="preserve"> </w:t>
      </w:r>
      <w:r>
        <w:t xml:space="preserve">The methodology used for analysing open-text questions involved several steps. After</w:t>
      </w:r>
      <w:r>
        <w:t xml:space="preserve"> </w:t>
      </w:r>
      <w:r>
        <w:t xml:space="preserve">eliminating invalid responses and identifying coordinated ones, a semi-automated</w:t>
      </w:r>
      <w:r>
        <w:t xml:space="preserve"> </w:t>
      </w:r>
      <w:r>
        <w:t xml:space="preserve">thematic analysis was conducted, and themes were identified without preconceived</w:t>
      </w:r>
      <w:r>
        <w:t xml:space="preserve"> </w:t>
      </w:r>
      <w:r>
        <w:t xml:space="preserve">notions.</w:t>
      </w:r>
      <w:r>
        <w:br/>
      </w:r>
      <w:r>
        <w:t xml:space="preserve">Views from the public consultation are not statistically representative.</w:t>
      </w:r>
      <w:r>
        <w:t xml:space="preserve"> </w:t>
      </w:r>
      <w:r>
        <w:t xml:space="preserve">The strategy chosen to identify coordinated responses relied on clustering of closed</w:t>
      </w:r>
      <w:r>
        <w:t xml:space="preserve"> </w:t>
      </w:r>
      <w:r>
        <w:t xml:space="preserve">question responses and a semi-automated analysis of similarities in open-text answers.</w:t>
      </w:r>
      <w:r>
        <w:t xml:space="preserve"> </w:t>
      </w:r>
      <w:r>
        <w:t xml:space="preserve">The analysis of open-text answers led to the discovery of a distinct group of 23 (2.5%)</w:t>
      </w:r>
      <w:r>
        <w:t xml:space="preserve"> </w:t>
      </w:r>
      <w:r>
        <w:t xml:space="preserve">responses from EU citizens from Slovakia, which were classified as a campaign, and</w:t>
      </w:r>
      <w:r>
        <w:t xml:space="preserve"> </w:t>
      </w:r>
      <w:r>
        <w:t xml:space="preserve">analysed separately. The responses in the campaign showed the same narrative of urging</w:t>
      </w:r>
      <w:r>
        <w:t xml:space="preserve"> </w:t>
      </w:r>
      <w:r>
        <w:t xml:space="preserve">political leaders to use sustainable transportation (Q11, open-text). Regarding climate</w:t>
      </w:r>
      <w:r>
        <w:t xml:space="preserve"> </w:t>
      </w:r>
      <w:r>
        <w:t xml:space="preserve">ambition for 2040, most responses indicated that the EU should make its ambition</w:t>
      </w:r>
      <w:r>
        <w:t xml:space="preserve"> </w:t>
      </w:r>
      <w:r>
        <w:t xml:space="preserve">dependent on other countries’ climate ambition (19, 83%). Overall, the answers in the</w:t>
      </w:r>
      <w:r>
        <w:t xml:space="preserve"> </w:t>
      </w:r>
      <w:r>
        <w:t xml:space="preserve">campaign could be characterised as expressing climate-sceptical beliefs and attitudes.</w:t>
      </w:r>
    </w:p>
    <w:p>
      <w:pPr>
        <w:pStyle w:val="BodyText"/>
      </w:pPr>
      <w:r>
        <w:t xml:space="preserve">2.3. Results from the general section of the questionnaire</w:t>
      </w:r>
      <w:r>
        <w:t xml:space="preserve"> </w:t>
      </w:r>
      <w:r>
        <w:t xml:space="preserve">Overall opinion on the EU’s climate ambition for 2040</w:t>
      </w:r>
      <w:r>
        <w:t xml:space="preserve"> </w:t>
      </w:r>
      <w:r>
        <w:t xml:space="preserve">Overall, the responses to the level of ambition strongly endorse setting an ambitious</w:t>
      </w:r>
      <w:r>
        <w:t xml:space="preserve"> </w:t>
      </w:r>
      <w:r>
        <w:t xml:space="preserve">EU climate target for 2040. A majority (598, 73%) of respondents (Individuals: 369,</w:t>
      </w:r>
      <w:r>
        <w:t xml:space="preserve"> </w:t>
      </w:r>
      <w:r>
        <w:t xml:space="preserve">80.4%; Organisations: 229, 63.6%) indicated that they want the EU to accelerate the</w:t>
      </w:r>
      <w:r>
        <w:t xml:space="preserve"> </w:t>
      </w:r>
      <w:r>
        <w:t xml:space="preserve">transition to climate neutrality. Civil society organisations (84, 91.2%) and</w:t>
      </w:r>
      <w:r>
        <w:t xml:space="preserve"> </w:t>
      </w:r>
      <w:r>
        <w:t xml:space="preserve">academic/research institutions (17, 85.0%) showed the highest levels of support, but also</w:t>
      </w:r>
      <w:r>
        <w:t xml:space="preserve"> </w:t>
      </w:r>
      <w:r>
        <w:t xml:space="preserve">about half of SMEs (51, 52.6%) and large business associations or companies (60,</w:t>
      </w:r>
      <w:r>
        <w:t xml:space="preserve"> </w:t>
      </w:r>
      <w:r>
        <w:t xml:space="preserve">47,6%) favoured an acceleration of the transition. Regarding a specific net emission</w:t>
      </w:r>
      <w:r>
        <w:t xml:space="preserve"> </w:t>
      </w:r>
      <w:r>
        <w:t xml:space="preserve">reduction target for 2040, more than half of the respondents supported a target of more</w:t>
      </w:r>
    </w:p>
    <w:p>
      <w:pPr>
        <w:pStyle w:val="Compact"/>
        <w:numPr>
          <w:ilvl w:val="0"/>
          <w:numId w:val="1050"/>
        </w:numPr>
      </w:pPr>
      <w:r>
        <w:t xml:space="preserve">Includes the responses from non-EU citizens (12).</w:t>
      </w:r>
    </w:p>
    <w:p>
      <w:pPr>
        <w:pStyle w:val="FirstParagraph"/>
      </w:pPr>
      <w:r>
        <w:t xml:space="preserve">99</w:t>
      </w:r>
    </w:p>
    <w:p>
      <w:pPr>
        <w:pStyle w:val="BodyText"/>
      </w:pPr>
      <w:r>
        <w:t xml:space="preserve">than -80% by 2040 (504, 61.5%). Again, more individuals (322, 70.2%) required a target</w:t>
      </w:r>
      <w:r>
        <w:t xml:space="preserve"> </w:t>
      </w:r>
      <w:r>
        <w:t xml:space="preserve">of more than -80% than organisations (182, 50.5%). Stakeholder groups showed</w:t>
      </w:r>
      <w:r>
        <w:t xml:space="preserve"> </w:t>
      </w:r>
      <w:r>
        <w:t xml:space="preserve">variation in ambition levels. A large majority of civil society organisations supported a</w:t>
      </w:r>
      <w:r>
        <w:t xml:space="preserve"> </w:t>
      </w:r>
      <w:r>
        <w:t xml:space="preserve">net emission reduction target of more than -80%” (73, 79,3%), followed by</w:t>
      </w:r>
      <w:r>
        <w:t xml:space="preserve"> </w:t>
      </w:r>
      <w:r>
        <w:t xml:space="preserve">academic/research institutions (14, 70,0%). Among business associations and companies,</w:t>
      </w:r>
      <w:r>
        <w:t xml:space="preserve"> </w:t>
      </w:r>
      <w:r>
        <w:t xml:space="preserve">the responses dispersed more: 42,3% (41) of SMEs and linked associations advocated for</w:t>
      </w:r>
      <w:r>
        <w:t xml:space="preserve"> </w:t>
      </w:r>
      <w:r>
        <w:t xml:space="preserve">more than -80 %, while among the group of large business and business associations</w:t>
      </w:r>
      <w:r>
        <w:t xml:space="preserve"> </w:t>
      </w:r>
      <w:r>
        <w:t xml:space="preserve">36.5% (46) advocated for more than -80%. Amon public authorities 31.3% (5) advocated</w:t>
      </w:r>
      <w:r>
        <w:t xml:space="preserve"> </w:t>
      </w:r>
      <w:r>
        <w:t xml:space="preserve">for more than -80% reduction.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Figure 8: Responses on the pace of the climate transition (Q1) and the level of ambition</w:t>
      </w:r>
      <w:r>
        <w:t xml:space="preserve"> </w:t>
      </w:r>
      <w:r>
        <w:t xml:space="preserve">(Q2)</w:t>
      </w:r>
    </w:p>
    <w:p>
      <w:pPr>
        <w:pStyle w:val="BodyText"/>
      </w:pPr>
      <w:r>
        <w:t xml:space="preserve">Note: n = 819 (Responses to the general section of the public consultation questionnaire)</w:t>
      </w:r>
    </w:p>
    <w:p>
      <w:pPr>
        <w:pStyle w:val="BodyText"/>
      </w:pPr>
      <w:r>
        <w:t xml:space="preserve">In relation to the role of carbon removals in the EU’s 2040 climate target, both</w:t>
      </w:r>
      <w:r>
        <w:t xml:space="preserve"> </w:t>
      </w:r>
      <w:r>
        <w:t xml:space="preserve">individuals (272, 59.3%) and organisations (171, 47.5%;) favoured separate targets for</w:t>
      </w:r>
      <w:r>
        <w:t xml:space="preserve"> </w:t>
      </w:r>
      <w:r>
        <w:t xml:space="preserve">38; 10,6%</w:t>
      </w:r>
      <w:r>
        <w:t xml:space="preserve"> </w:t>
      </w:r>
      <w:r>
        <w:t xml:space="preserve">15; 4,2%</w:t>
      </w:r>
      <w:r>
        <w:t xml:space="preserve"> </w:t>
      </w:r>
      <w:r>
        <w:t xml:space="preserve">12; 3,3%</w:t>
      </w:r>
      <w:r>
        <w:t xml:space="preserve"> </w:t>
      </w:r>
      <w:r>
        <w:t xml:space="preserve">66; 18,3%</w:t>
      </w:r>
      <w:r>
        <w:t xml:space="preserve"> </w:t>
      </w:r>
      <w:r>
        <w:t xml:space="preserve">229; 63,6%</w:t>
      </w:r>
      <w:r>
        <w:t xml:space="preserve"> </w:t>
      </w:r>
      <w:r>
        <w:t xml:space="preserve">4; 0,9%</w:t>
      </w:r>
      <w:r>
        <w:t xml:space="preserve"> </w:t>
      </w:r>
      <w:r>
        <w:t xml:space="preserve">34; 7,4%</w:t>
      </w:r>
      <w:r>
        <w:t xml:space="preserve"> </w:t>
      </w:r>
      <w:r>
        <w:t xml:space="preserve">38; 8,3%</w:t>
      </w:r>
      <w:r>
        <w:t xml:space="preserve"> </w:t>
      </w:r>
      <w:r>
        <w:t xml:space="preserve">14; 3,1%</w:t>
      </w:r>
      <w:r>
        <w:t xml:space="preserve"> </w:t>
      </w:r>
      <w:r>
        <w:t xml:space="preserve">369; 80,4%</w:t>
      </w:r>
      <w:r>
        <w:t xml:space="preserve"> </w:t>
      </w:r>
      <w:r>
        <w:t xml:space="preserve">0 % 10 % 20 % 30 % 40 % 50 % 60 % 70 % 80 % 90 %100 %</w:t>
      </w:r>
      <w:r>
        <w:t xml:space="preserve"> </w:t>
      </w:r>
      <w:r>
        <w:t xml:space="preserve">I don’t know. / No response.</w:t>
      </w:r>
      <w:r>
        <w:t xml:space="preserve"> </w:t>
      </w:r>
      <w:r>
        <w:t xml:space="preserve">The EU’s ambition should depend</w:t>
      </w:r>
      <w:r>
        <w:t xml:space="preserve"> </w:t>
      </w:r>
      <w:r>
        <w:t xml:space="preserve">on other countries’ climate ambition.</w:t>
      </w:r>
      <w:r>
        <w:t xml:space="preserve"> </w:t>
      </w:r>
      <w:r>
        <w:t xml:space="preserve">The transition should be</w:t>
      </w:r>
      <w:r>
        <w:t xml:space="preserve"> </w:t>
      </w:r>
      <w:r>
        <w:t xml:space="preserve">slower than the current pace.</w:t>
      </w:r>
      <w:r>
        <w:t xml:space="preserve"> </w:t>
      </w:r>
      <w:r>
        <w:t xml:space="preserve">The transition to climate neutrality</w:t>
      </w:r>
      <w:r>
        <w:t xml:space="preserve"> </w:t>
      </w:r>
      <w:r>
        <w:t xml:space="preserve">should continue at the current pace.</w:t>
      </w:r>
      <w:r>
        <w:t xml:space="preserve"> </w:t>
      </w:r>
      <w:r>
        <w:t xml:space="preserve">The EU should accelerate</w:t>
      </w:r>
      <w:r>
        <w:t xml:space="preserve"> </w:t>
      </w:r>
      <w:r>
        <w:t xml:space="preserve">the transition to climate neutrality.</w:t>
      </w:r>
      <w:r>
        <w:t xml:space="preserve"> </w:t>
      </w:r>
      <w:r>
        <w:t xml:space="preserve">Percentage of responses in group</w:t>
      </w:r>
      <w:r>
        <w:t xml:space="preserve"> </w:t>
      </w:r>
      <w:r>
        <w:t xml:space="preserve">Q1: Considering the objective of achieving climate neutrality</w:t>
      </w:r>
      <w:r>
        <w:t xml:space="preserve"> </w:t>
      </w:r>
      <w:r>
        <w:t xml:space="preserve">by 2050 and the current energy crisis, how should the EU</w:t>
      </w:r>
      <w:r>
        <w:t xml:space="preserve"> </w:t>
      </w:r>
      <w:r>
        <w:t xml:space="preserve">pursue the climate transition up to 2040?</w:t>
      </w:r>
      <w:r>
        <w:t xml:space="preserve"> </w:t>
      </w:r>
      <w:r>
        <w:t xml:space="preserve">Individuals</w:t>
      </w:r>
      <w:r>
        <w:t xml:space="preserve"> </w:t>
      </w:r>
      <w:r>
        <w:t xml:space="preserve">Organisations</w:t>
      </w:r>
      <w:r>
        <w:t xml:space="preserve"> </w:t>
      </w:r>
      <w:r>
        <w:t xml:space="preserve">Faster pace</w:t>
      </w:r>
      <w:r>
        <w:t xml:space="preserve"> </w:t>
      </w:r>
      <w:r>
        <w:t xml:space="preserve">of transition</w:t>
      </w:r>
      <w:r>
        <w:t xml:space="preserve"> </w:t>
      </w:r>
      <w:r>
        <w:t xml:space="preserve">Slower pace</w:t>
      </w:r>
      <w:r>
        <w:t xml:space="preserve"> </w:t>
      </w:r>
      <w:r>
        <w:t xml:space="preserve">of transition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GHG emission reductions, nature-based carbon removals and industrial removals with</w:t>
      </w:r>
      <w:r>
        <w:t xml:space="preserve"> </w:t>
      </w:r>
      <w:r>
        <w:t xml:space="preserve">permanent storage. Especially, civil society organisations (64, 69.6%) and</w:t>
      </w:r>
      <w:r>
        <w:t xml:space="preserve"> </w:t>
      </w:r>
      <w:r>
        <w:t xml:space="preserve">academic/research institutions (14, 70.0%) believed that three separate targets are the</w:t>
      </w:r>
      <w:r>
        <w:t xml:space="preserve"> </w:t>
      </w:r>
      <w:r>
        <w:t xml:space="preserve">best solution while public authorities (7, 43,8%) SMEs (34, 35,1%) and large business</w:t>
      </w:r>
      <w:r>
        <w:t xml:space="preserve"> </w:t>
      </w:r>
      <w:r>
        <w:t xml:space="preserve">associations/companies (46, 36,5%) were less inclined to this option (see Figure 9).</w:t>
      </w:r>
    </w:p>
    <w:p>
      <w:pPr>
        <w:pStyle w:val="BodyText"/>
      </w:pPr>
      <w:r>
        <w:t xml:space="preserve">Figure 9: Responses on the set up for the EU 2040 climate target</w:t>
      </w:r>
    </w:p>
    <w:p>
      <w:pPr>
        <w:pStyle w:val="BodyText"/>
      </w:pPr>
      <w:r>
        <w:t xml:space="preserve">Respondents viewed most opportunities and challenges associated with ambitious EU</w:t>
      </w:r>
      <w:r>
        <w:t xml:space="preserve"> </w:t>
      </w:r>
      <w:r>
        <w:t xml:space="preserve">climate targets as very relevant, mainly collective well-being (555, 67.8%) and taking</w:t>
      </w:r>
      <w:r>
        <w:t xml:space="preserve"> </w:t>
      </w:r>
      <w:r>
        <w:t xml:space="preserve">responsibility for the planet and future generations (571, 69.7%). The most important</w:t>
      </w:r>
      <w:r>
        <w:t xml:space="preserve"> </w:t>
      </w:r>
      <w:r>
        <w:t xml:space="preserve">challenges were ensuring a socially just transition for everybody (Avg.: 4.34, 52% rating</w:t>
      </w:r>
      <w:r>
        <w:t xml:space="preserve"> </w:t>
      </w:r>
      <w:r>
        <w:t xml:space="preserve">5), ensuring public support for climate ambition supported by EU policy (Avg.: 4.29,</w:t>
      </w:r>
      <w:r>
        <w:t xml:space="preserve"> </w:t>
      </w:r>
      <w:r>
        <w:t xml:space="preserve">56% rating 5) and improving energy efficiency (Avg.: 4.27, 56% rating 5). For SMEs</w:t>
      </w:r>
      <w:r>
        <w:t xml:space="preserve"> </w:t>
      </w:r>
      <w:r>
        <w:t xml:space="preserve">associations/ companies, large business associations/ companies and for public</w:t>
      </w:r>
      <w:r>
        <w:t xml:space="preserve"> </w:t>
      </w:r>
      <w:r>
        <w:t xml:space="preserve">authorities the most promising potentials were all related to economic factors, such as</w:t>
      </w:r>
      <w:r>
        <w:t xml:space="preserve"> </w:t>
      </w:r>
      <w:r>
        <w:t xml:space="preserve">green jobs (58.8%, 57.1% and 75,0%), economic signals (57.7%, 73.0% and 75.0%) and</w:t>
      </w:r>
      <w:r>
        <w:t xml:space="preserve"> </w:t>
      </w:r>
      <w:r>
        <w:t xml:space="preserve">energy security (55.7%, 58.7% and 81.3%).</w:t>
      </w:r>
      <w:r>
        <w:t xml:space="preserve"> </w:t>
      </w:r>
      <w:r>
        <w:t xml:space="preserve">The question of whether issues of gender should be of concern for climate policy created</w:t>
      </w:r>
      <w:r>
        <w:t xml:space="preserve"> </w:t>
      </w:r>
      <w:r>
        <w:t xml:space="preserve">a stark divide, with most respondents being either strongly in favour (181, 22.1%) or</w:t>
      </w:r>
      <w:r>
        <w:t xml:space="preserve"> </w:t>
      </w:r>
      <w:r>
        <w:t xml:space="preserve">strongly against it (162, 19.8%).</w:t>
      </w:r>
    </w:p>
    <w:p>
      <w:pPr>
        <w:pStyle w:val="BodyText"/>
      </w:pPr>
      <w:r>
        <w:t xml:space="preserve">Contribution of individual sectors to the EU’s climate ambition</w:t>
      </w:r>
      <w:r>
        <w:t xml:space="preserve"> </w:t>
      </w:r>
      <w:r>
        <w:t xml:space="preserve">1; 5.0%</w:t>
      </w:r>
      <w:r>
        <w:t xml:space="preserve"> </w:t>
      </w:r>
      <w:r>
        <w:t xml:space="preserve">5; 25.0%</w:t>
      </w:r>
      <w:r>
        <w:t xml:space="preserve"> </w:t>
      </w:r>
      <w:r>
        <w:t xml:space="preserve">14; 70.0%</w:t>
      </w:r>
      <w:r>
        <w:t xml:space="preserve"> </w:t>
      </w:r>
      <w:r>
        <w:t xml:space="preserve">0.0%</w:t>
      </w:r>
      <w:r>
        <w:t xml:space="preserve"> </w:t>
      </w:r>
      <w:r>
        <w:t xml:space="preserve">26; 26.8%</w:t>
      </w:r>
      <w:r>
        <w:t xml:space="preserve"> </w:t>
      </w:r>
      <w:r>
        <w:t xml:space="preserve">28; 28.9%</w:t>
      </w:r>
      <w:r>
        <w:t xml:space="preserve"> </w:t>
      </w:r>
      <w:r>
        <w:t xml:space="preserve">34; 35.1%</w:t>
      </w:r>
      <w:r>
        <w:t xml:space="preserve"> </w:t>
      </w:r>
      <w:r>
        <w:t xml:space="preserve">9.3%</w:t>
      </w:r>
      <w:r>
        <w:t xml:space="preserve"> </w:t>
      </w:r>
      <w:r>
        <w:t xml:space="preserve">42; 33.3%</w:t>
      </w:r>
      <w:r>
        <w:t xml:space="preserve"> </w:t>
      </w:r>
      <w:r>
        <w:t xml:space="preserve">17; 13.5%</w:t>
      </w:r>
      <w:r>
        <w:t xml:space="preserve"> </w:t>
      </w:r>
      <w:r>
        <w:t xml:space="preserve">46; 36.5%</w:t>
      </w:r>
      <w:r>
        <w:t xml:space="preserve"> </w:t>
      </w:r>
      <w:r>
        <w:t xml:space="preserve">16.7%</w:t>
      </w:r>
      <w:r>
        <w:t xml:space="preserve"> </w:t>
      </w:r>
      <w:r>
        <w:t xml:space="preserve">9; 9.8%</w:t>
      </w:r>
      <w:r>
        <w:t xml:space="preserve"> </w:t>
      </w:r>
      <w:r>
        <w:t xml:space="preserve">10; 10.9%</w:t>
      </w:r>
      <w:r>
        <w:t xml:space="preserve"> </w:t>
      </w:r>
      <w:r>
        <w:t xml:space="preserve">64; 69.6%</w:t>
      </w:r>
      <w:r>
        <w:t xml:space="preserve"> </w:t>
      </w:r>
      <w:r>
        <w:t xml:space="preserve">9.8%</w:t>
      </w:r>
      <w:r>
        <w:t xml:space="preserve"> </w:t>
      </w:r>
      <w:r>
        <w:t xml:space="preserve">3; 18.8%</w:t>
      </w:r>
      <w:r>
        <w:t xml:space="preserve"> </w:t>
      </w:r>
      <w:r>
        <w:t xml:space="preserve">3; 18.8%</w:t>
      </w:r>
      <w:r>
        <w:t xml:space="preserve"> </w:t>
      </w:r>
      <w:r>
        <w:t xml:space="preserve">7; 43.8%</w:t>
      </w:r>
      <w:r>
        <w:t xml:space="preserve"> </w:t>
      </w:r>
      <w:r>
        <w:t xml:space="preserve">18.8%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Carbon removals should be considered together</w:t>
      </w:r>
      <w:r>
        <w:t xml:space="preserve"> </w:t>
      </w:r>
      <w:r>
        <w:t xml:space="preserve">with actual GHG emissions. Hence, it is enough to</w:t>
      </w:r>
      <w:r>
        <w:t xml:space="preserve"> </w:t>
      </w:r>
      <w:r>
        <w:t xml:space="preserve">have only a single ‘net’ emissions target for 2040 to</w:t>
      </w:r>
      <w:r>
        <w:t xml:space="preserve"> </w:t>
      </w:r>
      <w:r>
        <w:t xml:space="preserve">set the GHG trajectory towards climate neutrality by</w:t>
      </w:r>
      <w:r>
        <w:t xml:space="preserve"> </w:t>
      </w:r>
      <w:r>
        <w:t xml:space="preserve">2050 in a cost-effective way.</w:t>
      </w:r>
      <w:r>
        <w:t xml:space="preserve"> </w:t>
      </w:r>
      <w:r>
        <w:t xml:space="preserve">It is better to set a separate target for reducing</w:t>
      </w:r>
      <w:r>
        <w:t xml:space="preserve"> </w:t>
      </w:r>
      <w:r>
        <w:t xml:space="preserve">GHG emissions and another target for carbon</w:t>
      </w:r>
      <w:r>
        <w:t xml:space="preserve"> </w:t>
      </w:r>
      <w:r>
        <w:t xml:space="preserve">removals.</w:t>
      </w:r>
      <w:r>
        <w:t xml:space="preserve"> </w:t>
      </w:r>
      <w:r>
        <w:t xml:space="preserve">It is better to have one target for reducing GHG</w:t>
      </w:r>
      <w:r>
        <w:t xml:space="preserve"> </w:t>
      </w:r>
      <w:r>
        <w:t xml:space="preserve">emissions, a target for nature-based carbon</w:t>
      </w:r>
      <w:r>
        <w:t xml:space="preserve"> </w:t>
      </w:r>
      <w:r>
        <w:t xml:space="preserve">removals and a target for industrial removals with</w:t>
      </w:r>
      <w:r>
        <w:t xml:space="preserve"> </w:t>
      </w:r>
      <w:r>
        <w:t xml:space="preserve">permanent storage.</w:t>
      </w:r>
      <w:r>
        <w:t xml:space="preserve"> </w:t>
      </w:r>
      <w:r>
        <w:t xml:space="preserve">I don’t know. / No response.</w:t>
      </w:r>
      <w:r>
        <w:t xml:space="preserve"> </w:t>
      </w:r>
      <w:r>
        <w:t xml:space="preserve">Percentage of responses in group</w:t>
      </w:r>
      <w:r>
        <w:t xml:space="preserve"> </w:t>
      </w:r>
      <w:r>
        <w:t xml:space="preserve">Q3: The EU’s 2030 climate target is expressed in ‘net’ emissions, which is the sum of GHG emissions and carbon removals. In your opinion, how should</w:t>
      </w:r>
      <w:r>
        <w:t xml:space="preserve"> </w:t>
      </w:r>
      <w:r>
        <w:t xml:space="preserve">carbon removals be considered so that the EU achieves its 2040 climate target?</w:t>
      </w:r>
      <w:r>
        <w:t xml:space="preserve"> </w:t>
      </w:r>
      <w:r>
        <w:t xml:space="preserve">Academic/research institutions</w:t>
      </w:r>
      <w:r>
        <w:t xml:space="preserve"> </w:t>
      </w:r>
      <w:r>
        <w:t xml:space="preserve">Business associations / companies (SMEs)</w:t>
      </w:r>
      <w:r>
        <w:t xml:space="preserve"> </w:t>
      </w:r>
      <w:r>
        <w:t xml:space="preserve">Business associations/companies (Large)</w:t>
      </w:r>
      <w:r>
        <w:t xml:space="preserve"> </w:t>
      </w:r>
      <w:r>
        <w:t xml:space="preserve">Civil society organizations</w:t>
      </w:r>
      <w:r>
        <w:t xml:space="preserve"> </w:t>
      </w:r>
      <w:r>
        <w:t xml:space="preserve">Public authorities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Overall, a large majority of the respondents claimed that all sectors can and should</w:t>
      </w:r>
      <w:r>
        <w:t xml:space="preserve"> </w:t>
      </w:r>
      <w:r>
        <w:t xml:space="preserve">do more to reduce emissions. The three most favoured sectors to increase their efforts</w:t>
      </w:r>
      <w:r>
        <w:t xml:space="preserve"> </w:t>
      </w:r>
      <w:r>
        <w:t xml:space="preserve">were “Aviation &amp; maritime transport” (Avg.: 4.42, 57% rating 5), “Road transport</w:t>
      </w:r>
      <w:r>
        <w:t xml:space="preserve"> </w:t>
      </w:r>
      <w:r>
        <w:t xml:space="preserve">(passenger and freight transport)” (Avg.: 4.39, 59% rating 5) and “Industrial processes &amp;</w:t>
      </w:r>
      <w:r>
        <w:t xml:space="preserve"> </w:t>
      </w:r>
      <w:r>
        <w:t xml:space="preserve">waste” (Avg.: 4.25, 48% rating 5). “Production of electricity and district heating” was the</w:t>
      </w:r>
      <w:r>
        <w:t xml:space="preserve"> </w:t>
      </w:r>
      <w:r>
        <w:t xml:space="preserve">sector that was expected to reach climate neutrality first, (442, 54%) and “Aviation &amp;</w:t>
      </w:r>
      <w:r>
        <w:t xml:space="preserve"> </w:t>
      </w:r>
      <w:r>
        <w:t xml:space="preserve">maritime transport” to be the last (393, 48%).</w:t>
      </w:r>
    </w:p>
    <w:p>
      <w:pPr>
        <w:pStyle w:val="BodyText"/>
      </w:pPr>
      <w:r>
        <w:t xml:space="preserve">Personal contribution to protect the climate</w:t>
      </w:r>
      <w:r>
        <w:t xml:space="preserve"> </w:t>
      </w:r>
      <w:r>
        <w:t xml:space="preserve">Overall, respondents depicted a great awareness for climate change impacts and a</w:t>
      </w:r>
      <w:r>
        <w:t xml:space="preserve"> </w:t>
      </w:r>
      <w:r>
        <w:t xml:space="preserve">willingness to make behavioural changes. (89% rating 4 and 5, Avg.: 4.66). They also</w:t>
      </w:r>
      <w:r>
        <w:t xml:space="preserve"> </w:t>
      </w:r>
      <w:r>
        <w:t xml:space="preserve">declared to be ready to change their behaviour to reduce their carbon footprint (82%</w:t>
      </w:r>
      <w:r>
        <w:t xml:space="preserve"> </w:t>
      </w:r>
      <w:r>
        <w:t xml:space="preserve">ratings 4 and 5, Avg.: 4.36).</w:t>
      </w:r>
    </w:p>
    <w:p>
      <w:pPr>
        <w:pStyle w:val="BodyText"/>
      </w:pPr>
      <w:r>
        <w:t xml:space="preserve">The impacts of the climate crisis</w:t>
      </w:r>
      <w:r>
        <w:t xml:space="preserve"> </w:t>
      </w:r>
      <w:r>
        <w:t xml:space="preserve">Overall, respondents indicated that they are aware and concerned about the negative</w:t>
      </w:r>
      <w:r>
        <w:t xml:space="preserve"> </w:t>
      </w:r>
      <w:r>
        <w:t xml:space="preserve">impacts of the climate crisis. At the same time, they point out that relevant actors must do</w:t>
      </w:r>
      <w:r>
        <w:t xml:space="preserve"> </w:t>
      </w:r>
      <w:r>
        <w:t xml:space="preserve">more to prepare cities and countries for these impacts. “Loss of biodiversity and natural</w:t>
      </w:r>
      <w:r>
        <w:t xml:space="preserve"> </w:t>
      </w:r>
      <w:r>
        <w:t xml:space="preserve">habitats” was of greatest concern for the respondents (Individuals: 355, 77.3%;</w:t>
      </w:r>
      <w:r>
        <w:t xml:space="preserve"> </w:t>
      </w:r>
      <w:r>
        <w:t xml:space="preserve">Organisations 151, 41.9%; Total: 506, 61.6%). Additionally, in the open question on</w:t>
      </w:r>
      <w:r>
        <w:t xml:space="preserve"> </w:t>
      </w:r>
      <w:r>
        <w:t xml:space="preserve">possible impacts of the climate crisis the themes climate refugees and migration; social</w:t>
      </w:r>
      <w:r>
        <w:t xml:space="preserve"> </w:t>
      </w:r>
      <w:r>
        <w:t xml:space="preserve">and political conflicts; and health impact were mentioned most frequently.</w:t>
      </w:r>
      <w:r>
        <w:br/>
      </w:r>
      <w:r>
        <w:t xml:space="preserve">On the societal level, natural disasters (338; 73.6%), negative impacts on food production</w:t>
      </w:r>
      <w:r>
        <w:t xml:space="preserve"> </w:t>
      </w:r>
      <w:r>
        <w:t xml:space="preserve">(315; 68.6%) and migration or refugee movements (307; 66.9%) were most frequently</w:t>
      </w:r>
      <w:r>
        <w:t xml:space="preserve"> </w:t>
      </w:r>
      <w:r>
        <w:t xml:space="preserve">selected by individuals as the most relevant climate-change related impacts.</w:t>
      </w:r>
      <w:r>
        <w:t xml:space="preserve"> </w:t>
      </w:r>
      <w:r>
        <w:t xml:space="preserve">Dealing with climate change-induced natural hazards, individuals indicated the highest</w:t>
      </w:r>
      <w:r>
        <w:t xml:space="preserve"> </w:t>
      </w:r>
      <w:r>
        <w:t xml:space="preserve">level of fear for local vulnerability regarding heatwaves (322; 70.2%), droughts (310;</w:t>
      </w:r>
      <w:r>
        <w:t xml:space="preserve"> </w:t>
      </w:r>
      <w:r>
        <w:t xml:space="preserve">67.5%) and lack of water (306; 66.7%). Organisations feared the same hazards.</w:t>
      </w:r>
    </w:p>
    <w:p>
      <w:pPr>
        <w:pStyle w:val="BodyText"/>
      </w:pPr>
      <w:r>
        <w:t xml:space="preserve">2.4. Results from the expert section of the questionnaire</w:t>
      </w:r>
      <w:r>
        <w:t xml:space="preserve"> </w:t>
      </w:r>
      <w:r>
        <w:t xml:space="preserve">General policy framework</w:t>
      </w:r>
      <w:r>
        <w:t xml:space="preserve"> </w:t>
      </w:r>
      <w:r>
        <w:t xml:space="preserve">Overall, respondents indicate that there is strong support for an extension of the scope of</w:t>
      </w:r>
      <w:r>
        <w:t xml:space="preserve"> </w:t>
      </w:r>
      <w:r>
        <w:t xml:space="preserve">EU emissions trading to all fossil fuel uses and to cover non-CO2 GHG emissions. For</w:t>
      </w:r>
      <w:r>
        <w:t xml:space="preserve"> </w:t>
      </w:r>
      <w:r>
        <w:t xml:space="preserve">the other climate policy instruments, the results are less conclusive. Respondents most</w:t>
      </w:r>
      <w:r>
        <w:t xml:space="preserve"> </w:t>
      </w:r>
      <w:r>
        <w:t xml:space="preserve">strongly agreed that all fossil fuel uses (Avg.: 4.27, 48% rating 5) as well as non-CO2</w:t>
      </w:r>
      <w:r>
        <w:t xml:space="preserve"> </w:t>
      </w:r>
      <w:r>
        <w:t xml:space="preserve">GHG emissions (Avg.: 4.09, 46% rating 5) should be covered by EU emissions trading.</w:t>
      </w:r>
      <w:r>
        <w:br/>
      </w:r>
      <w:r>
        <w:t xml:space="preserve">Regarding the future role of the Carbon Boundary Adjustment Mechanism (CBAM) and</w:t>
      </w:r>
      <w:r>
        <w:t xml:space="preserve"> </w:t>
      </w:r>
      <w:r>
        <w:t xml:space="preserve">its scope, the strongest support is for the option that sectors with the highest absolute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emissions should be prioritised for inclusion (Avg.: 3.90, 28% rating 5): transportation</w:t>
      </w:r>
      <w:r>
        <w:t xml:space="preserve"> </w:t>
      </w:r>
      <w:r>
        <w:t xml:space="preserve">(appeared in 29 out of 151 responses), chemicals and polymers (24); and agriculture (20).</w:t>
      </w:r>
      <w:r>
        <w:br/>
      </w:r>
      <w:r>
        <w:t xml:space="preserve">There are no significant majority opinions regarding the future development of the ESR.</w:t>
      </w:r>
      <w:r>
        <w:t xml:space="preserve"> </w:t>
      </w:r>
      <w:r>
        <w:t xml:space="preserve">Especially large companies or business associations representing large companies</w:t>
      </w:r>
      <w:r>
        <w:t xml:space="preserve"> </w:t>
      </w:r>
      <w:r>
        <w:t xml:space="preserve">favoured the idea that national targets should only cover emissions not covered by an</w:t>
      </w:r>
      <w:r>
        <w:t xml:space="preserve"> </w:t>
      </w:r>
      <w:r>
        <w:t xml:space="preserve">ETS (37% rating 5), whereas they strongly disagreed with the idea that national targets</w:t>
      </w:r>
      <w:r>
        <w:t xml:space="preserve"> </w:t>
      </w:r>
      <w:r>
        <w:t xml:space="preserve">should cover all GHG emissions from all sectors (7% rating 5).</w:t>
      </w:r>
    </w:p>
    <w:p>
      <w:pPr>
        <w:pStyle w:val="BodyText"/>
      </w:pPr>
      <w:r>
        <w:t xml:space="preserve">Mitigation of GHG emissions from the land sector and policy options</w:t>
      </w:r>
      <w:r>
        <w:t xml:space="preserve"> </w:t>
      </w:r>
      <w:r>
        <w:t xml:space="preserve">In general, stakeholders demand more ambitious regulations to mitigate the GHG</w:t>
      </w:r>
      <w:r>
        <w:t xml:space="preserve"> </w:t>
      </w:r>
      <w:r>
        <w:t xml:space="preserve">emissions in the land sector. They also indicate that if a carbon price were to be set for</w:t>
      </w:r>
      <w:r>
        <w:t xml:space="preserve"> </w:t>
      </w:r>
      <w:r>
        <w:t xml:space="preserve">agricultural emissions, it should preferably be set for industry actors and then passed-on</w:t>
      </w:r>
      <w:r>
        <w:t xml:space="preserve"> </w:t>
      </w:r>
      <w:r>
        <w:t xml:space="preserve">along the value chain - food companies and producers of fertilisers. Most respondents</w:t>
      </w:r>
      <w:r>
        <w:t xml:space="preserve"> </w:t>
      </w:r>
      <w:r>
        <w:t xml:space="preserve">agreed that there is a need for regulatory approaches such as ambitious sectorial</w:t>
      </w:r>
      <w:r>
        <w:t xml:space="preserve"> </w:t>
      </w:r>
      <w:r>
        <w:t xml:space="preserve">standards to drive the transition of the agricultural sector (Avg.: 4.23, 37% rating 5) and</w:t>
      </w:r>
      <w:r>
        <w:t xml:space="preserve"> </w:t>
      </w:r>
      <w:r>
        <w:t xml:space="preserve">that focusing on aspects such as better information is not enough (Avg.: 1.75, 5% rating</w:t>
      </w:r>
      <w:r>
        <w:t xml:space="preserve"> </w:t>
      </w:r>
      <w:r>
        <w:t xml:space="preserve">5).</w:t>
      </w:r>
    </w:p>
    <w:p>
      <w:pPr>
        <w:pStyle w:val="BodyText"/>
      </w:pPr>
      <w:r>
        <w:t xml:space="preserve">The role of carbon removals</w:t>
      </w:r>
      <w:r>
        <w:t xml:space="preserve"> </w:t>
      </w:r>
      <w:r>
        <w:t xml:space="preserve">Stakeholders’ view on the general role of carbon removals was divided, with EU citizens</w:t>
      </w:r>
      <w:r>
        <w:t xml:space="preserve"> </w:t>
      </w:r>
      <w:r>
        <w:t xml:space="preserve">and civil society organisations (52, 61.9%), in contrast to other stakeholder groups,</w:t>
      </w:r>
      <w:r>
        <w:t xml:space="preserve"> </w:t>
      </w:r>
      <w:r>
        <w:t xml:space="preserve">arguing for a limited role of removals. EU citizens also argue for a stronger reliance on</w:t>
      </w:r>
      <w:r>
        <w:t xml:space="preserve"> </w:t>
      </w:r>
      <w:r>
        <w:t xml:space="preserve">nature-based removals, while SMEs display a preference for a stronger reliance on</w:t>
      </w:r>
      <w:r>
        <w:t xml:space="preserve"> </w:t>
      </w:r>
      <w:r>
        <w:t xml:space="preserve">industrial removals. Academic/ research institutions (10, 52.6%), public authorities (11,</w:t>
      </w:r>
      <w:r>
        <w:t xml:space="preserve"> </w:t>
      </w:r>
      <w:r>
        <w:t xml:space="preserve">61.1%) and SMEs (60, 62.5%) as well as large business associations/ companies (94,</w:t>
      </w:r>
      <w:r>
        <w:t xml:space="preserve"> </w:t>
      </w:r>
      <w:r>
        <w:t xml:space="preserve">72.9%) have a higher share of responses in favour of an important role of carbon</w:t>
      </w:r>
      <w:r>
        <w:t xml:space="preserve"> </w:t>
      </w:r>
      <w:r>
        <w:t xml:space="preserve">removals. In contrast, civil society organisations (52, 61.9%) together with EU citizens</w:t>
      </w:r>
      <w:r>
        <w:t xml:space="preserve"> </w:t>
      </w:r>
      <w:r>
        <w:t xml:space="preserve">(110, 50.2%), mostly prefer to limit the role of carbon removals.</w:t>
      </w:r>
    </w:p>
    <w:p>
      <w:pPr>
        <w:pStyle w:val="BodyText"/>
      </w:pPr>
      <w:r>
        <w:t xml:space="preserve">Technologies</w:t>
      </w:r>
      <w:r>
        <w:t xml:space="preserve"> </w:t>
      </w:r>
      <w:r>
        <w:t xml:space="preserve">Overall, stakeholders identified technology costs as the most important barrier for</w:t>
      </w:r>
      <w:r>
        <w:t xml:space="preserve"> </w:t>
      </w:r>
      <w:r>
        <w:t xml:space="preserve">the deployment of CCS. At the same time renewable energy sources are seen as the</w:t>
      </w:r>
      <w:r>
        <w:t xml:space="preserve"> </w:t>
      </w:r>
      <w:r>
        <w:t xml:space="preserve">most relevant energy technology for the transition supplemented by energy efficiency,</w:t>
      </w:r>
      <w:r>
        <w:t xml:space="preserve"> </w:t>
      </w:r>
      <w:r>
        <w:t xml:space="preserve">storage technologies, demand management, and innovation. T</w:t>
      </w:r>
      <w:r>
        <w:t xml:space="preserve"> </w:t>
      </w:r>
      <w:r>
        <w:t xml:space="preserve">Furthermore, the respondents rated that the most relevant technologies are wind, solar</w:t>
      </w:r>
      <w:r>
        <w:t xml:space="preserve"> </w:t>
      </w:r>
      <w:r>
        <w:t xml:space="preserve">and hydropower. Energy efficiency and storage technologies are also considered as</w:t>
      </w:r>
      <w:r>
        <w:t xml:space="preserve"> </w:t>
      </w:r>
      <w:r>
        <w:t xml:space="preserve">highly relevant. The open question confirmed the prominence of renewable energy with</w:t>
      </w:r>
      <w:r>
        <w:t xml:space="preserve"> </w:t>
      </w:r>
      <w:r>
        <w:t xml:space="preserve">the addition of hydrogen (19 out of 156 responses) and nuclear power (15).</w:t>
      </w:r>
    </w:p>
    <w:p>
      <w:pPr>
        <w:pStyle w:val="BodyText"/>
      </w:pPr>
      <w:r>
        <w:t xml:space="preserve">Engagement and social impacts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In general, stakeholders perceived the local and regional implementation of the European</w:t>
      </w:r>
      <w:r>
        <w:t xml:space="preserve"> </w:t>
      </w:r>
      <w:r>
        <w:t xml:space="preserve">Green Deal as insufficient. They emphasised the importance of a just transition and</w:t>
      </w:r>
      <w:r>
        <w:t xml:space="preserve"> </w:t>
      </w:r>
      <w:r>
        <w:t xml:space="preserve">agreed that the transition will affect and alter multiple sectors, including the energy,</w:t>
      </w:r>
      <w:r>
        <w:t xml:space="preserve"> </w:t>
      </w:r>
      <w:r>
        <w:t xml:space="preserve">transport and agriculture sectors.</w:t>
      </w:r>
      <w:r>
        <w:br/>
      </w:r>
      <w:r>
        <w:t xml:space="preserve">With regards to sectoral impacts of the transition, respondents specifically agreed that</w:t>
      </w:r>
      <w:r>
        <w:t xml:space="preserve"> </w:t>
      </w:r>
      <w:r>
        <w:t xml:space="preserve">action to reskill and upskill the workforce due to structural shifts is required (Avg.: 4.45,</w:t>
      </w:r>
      <w:r>
        <w:t xml:space="preserve"> </w:t>
      </w:r>
      <w:r>
        <w:t xml:space="preserve">46% ranking 5) and that the green transition represents an opportunity for SMEs (Avg.:</w:t>
      </w:r>
      <w:r>
        <w:t xml:space="preserve"> </w:t>
      </w:r>
      <w:r>
        <w:t xml:space="preserve">4.14, 34% ranking 5).</w:t>
      </w:r>
    </w:p>
    <w:p>
      <w:pPr>
        <w:pStyle w:val="BodyText"/>
      </w:pPr>
      <w:r>
        <w:t xml:space="preserve">Adapting to climate change</w:t>
      </w:r>
      <w:r>
        <w:t xml:space="preserve"> </w:t>
      </w:r>
      <w:r>
        <w:t xml:space="preserve">Overall, stakeholders agree that current EU regulations and policy are sufficient to</w:t>
      </w:r>
      <w:r>
        <w:t xml:space="preserve"> </w:t>
      </w:r>
      <w:r>
        <w:t xml:space="preserve">guarantee the security of the mitigation efforts. Only 5.3% (31) of the respondents did</w:t>
      </w:r>
      <w:r>
        <w:t xml:space="preserve"> </w:t>
      </w:r>
      <w:r>
        <w:t xml:space="preserve">agree that current EU regulations and policy are sufficient to guarantee the security of the</w:t>
      </w:r>
      <w:r>
        <w:t xml:space="preserve"> </w:t>
      </w:r>
      <w:r>
        <w:t xml:space="preserve">mitigation efforts in face of climate impacts. The most favoured response was that the</w:t>
      </w:r>
      <w:r>
        <w:t xml:space="preserve"> </w:t>
      </w:r>
      <w:r>
        <w:t xml:space="preserve">EU should draft new legislation to improve the climate resilience of mitigation efforts</w:t>
      </w:r>
      <w:r>
        <w:t xml:space="preserve"> </w:t>
      </w:r>
      <w:r>
        <w:t xml:space="preserve">(167, 28.8%).</w:t>
      </w:r>
      <w:r>
        <w:t xml:space="preserve"> </w:t>
      </w:r>
      <w:r>
        <w:t xml:space="preserve">3. ANALYSIS OF POSITION PAPERS</w:t>
      </w:r>
      <w:r>
        <w:t xml:space="preserve"> </w:t>
      </w:r>
      <w:r>
        <w:t xml:space="preserve">3.1. Overview of position papers</w:t>
      </w:r>
      <w:r>
        <w:t xml:space="preserve"> </w:t>
      </w:r>
      <w:r>
        <w:t xml:space="preserve">A total of 237 position papers were received from the public consultation, and 146</w:t>
      </w:r>
      <w:r>
        <w:t xml:space="preserve"> </w:t>
      </w:r>
      <w:r>
        <w:t xml:space="preserve">through the call for evidence (63 were submitted to both). Out of these, two papers from</w:t>
      </w:r>
      <w:r>
        <w:t xml:space="preserve"> </w:t>
      </w:r>
      <w:r>
        <w:t xml:space="preserve">national governments and one from the United Nations were submitted outside the</w:t>
      </w:r>
      <w:r>
        <w:t xml:space="preserve"> </w:t>
      </w:r>
      <w:r>
        <w:t xml:space="preserve">formal consultation context. In addition, a couple of additional papers were identified</w:t>
      </w:r>
      <w:r>
        <w:t xml:space="preserve"> </w:t>
      </w:r>
      <w:r>
        <w:t xml:space="preserve">through desk-research. Based on a preliminary review and a selection (removal of</w:t>
      </w:r>
      <w:r>
        <w:t xml:space="preserve"> </w:t>
      </w:r>
      <w:r>
        <w:t xml:space="preserve">duplicates, relevance, type of stakeholder, previous contribution to IIA), 120 papers were</w:t>
      </w:r>
      <w:r>
        <w:t xml:space="preserve"> </w:t>
      </w:r>
      <w:r>
        <w:t xml:space="preserve">thoroughly analysed.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Figure 10: Position papers by stakeholder group</w:t>
      </w:r>
    </w:p>
    <w:p>
      <w:pPr>
        <w:pStyle w:val="BodyText"/>
      </w:pPr>
      <w:r>
        <w:t xml:space="preserve">Note: n = 120 (Number of position papers for in-depth analysis)</w:t>
      </w:r>
    </w:p>
    <w:p>
      <w:pPr>
        <w:pStyle w:val="BodyText"/>
      </w:pPr>
      <w:r>
        <w:t xml:space="preserve">3.2. Methodological approach</w:t>
      </w:r>
      <w:r>
        <w:t xml:space="preserve"> </w:t>
      </w:r>
      <w:r>
        <w:t xml:space="preserve">The objective of the analysis was to identify the main views expressed in the position</w:t>
      </w:r>
      <w:r>
        <w:t xml:space="preserve"> </w:t>
      </w:r>
      <w:r>
        <w:t xml:space="preserve">papers. A preliminary screening of all papers was conducted to identify the main</w:t>
      </w:r>
      <w:r>
        <w:t xml:space="preserve"> </w:t>
      </w:r>
      <w:r>
        <w:t xml:space="preserve">characteristics and core idea of the papers. After selection, an in-depth review of all</w:t>
      </w:r>
      <w:r>
        <w:t xml:space="preserve"> </w:t>
      </w:r>
      <w:r>
        <w:t xml:space="preserve">papers was conducted to identify the statements relevant for the analysis and the topics to</w:t>
      </w:r>
      <w:r>
        <w:t xml:space="preserve"> </w:t>
      </w:r>
      <w:r>
        <w:t xml:space="preserve">which they belong. They were then associated with a unique identifier and basic</w:t>
      </w:r>
      <w:r>
        <w:t xml:space="preserve"> </w:t>
      </w:r>
      <w:r>
        <w:t xml:space="preserve">information on the respondents which was subsequently used as variables for the</w:t>
      </w:r>
      <w:r>
        <w:t xml:space="preserve"> </w:t>
      </w:r>
      <w:r>
        <w:t xml:space="preserve">analysis: stakeholder groups, country, sector etc. The main trends observed through this</w:t>
      </w:r>
      <w:r>
        <w:t xml:space="preserve"> </w:t>
      </w:r>
      <w:r>
        <w:t xml:space="preserve">thematic analysis then explained and described.</w:t>
      </w:r>
      <w:r>
        <w:t xml:space="preserve"> </w:t>
      </w:r>
      <w:r>
        <w:t xml:space="preserve">3.3. Focus on position papers received from public authorities</w:t>
      </w:r>
      <w:r>
        <w:t xml:space="preserve"> </w:t>
      </w:r>
      <w:r>
        <w:t xml:space="preserve">Position papers received through the public consultation include contributions from the</w:t>
      </w:r>
      <w:r>
        <w:t xml:space="preserve"> </w:t>
      </w:r>
      <w:r>
        <w:t xml:space="preserve">national governments of Denmark, Estonia, Poland, and Sweden. On a regional and local</w:t>
      </w:r>
      <w:r>
        <w:t xml:space="preserve"> </w:t>
      </w:r>
      <w:r>
        <w:t xml:space="preserve">level, additional contributions from the Bavarian State Parliament, the Bavarian Ministry</w:t>
      </w:r>
      <w:r>
        <w:t xml:space="preserve"> </w:t>
      </w:r>
      <w:r>
        <w:t xml:space="preserve">for the Environment and Consumer Protection, the Government of Flanders, the Cities of</w:t>
      </w:r>
      <w:r>
        <w:t xml:space="preserve"> </w:t>
      </w:r>
      <w:r>
        <w:t xml:space="preserve">Amsterdam and Gothenburg were also received as part of the public consultation. On an</w:t>
      </w:r>
      <w:r>
        <w:t xml:space="preserve"> </w:t>
      </w:r>
      <w:r>
        <w:t xml:space="preserve">international level, the United Nations also provided a contribution. Further relevant</w:t>
      </w:r>
      <w:r>
        <w:t xml:space="preserve"> </w:t>
      </w:r>
      <w:r>
        <w:t xml:space="preserve">position papers from public authorities were identified based on desk research and</w:t>
      </w:r>
      <w:r>
        <w:t xml:space="preserve"> </w:t>
      </w:r>
      <w:r>
        <w:t xml:space="preserve">provided by the EC. (114)</w:t>
      </w:r>
      <w:r>
        <w:t xml:space="preserve"> </w:t>
      </w:r>
      <w:r>
        <w:t xml:space="preserve">The contributions by public authorities include recommendations and positions regarding</w:t>
      </w:r>
      <w:r>
        <w:t xml:space="preserve"> </w:t>
      </w:r>
      <w:r>
        <w:t xml:space="preserve">the level of ambition and process for setting the EU climate target for 2040 and input on</w:t>
      </w:r>
    </w:p>
    <w:p>
      <w:pPr>
        <w:pStyle w:val="Compact"/>
        <w:numPr>
          <w:ilvl w:val="0"/>
          <w:numId w:val="1051"/>
        </w:numPr>
      </w:pPr>
      <w:r>
        <w:t xml:space="preserve">These included position papers by the Dutch Ministry of Infrastructure and Water Management, the</w:t>
      </w:r>
      <w:r>
        <w:t xml:space="preserve"> </w:t>
      </w:r>
      <w:r>
        <w:t xml:space="preserve">Irish Environmental Protection Agency, the German Environment Agency, the European Central Bank, and</w:t>
      </w:r>
      <w:r>
        <w:t xml:space="preserve"> </w:t>
      </w:r>
      <w:r>
        <w:t xml:space="preserve">the Autonomous province Bolzano.</w:t>
      </w:r>
      <w:r>
        <w:t xml:space="preserve"> </w:t>
      </w:r>
      <w:r>
        <w:t xml:space="preserve">12; 10,0%</w:t>
      </w:r>
      <w:r>
        <w:t xml:space="preserve"> </w:t>
      </w:r>
      <w:r>
        <w:t xml:space="preserve">42; 35,0%</w:t>
      </w:r>
      <w:r>
        <w:t xml:space="preserve"> </w:t>
      </w:r>
      <w:r>
        <w:t xml:space="preserve">13; 10,8%</w:t>
      </w:r>
      <w:r>
        <w:t xml:space="preserve"> </w:t>
      </w:r>
      <w:r>
        <w:t xml:space="preserve">1; 0,8%</w:t>
      </w:r>
      <w:r>
        <w:t xml:space="preserve"> </w:t>
      </w:r>
      <w:r>
        <w:t xml:space="preserve">8; 6,7%</w:t>
      </w:r>
      <w:r>
        <w:t xml:space="preserve"> </w:t>
      </w:r>
      <w:r>
        <w:t xml:space="preserve">16; 13,3%</w:t>
      </w:r>
      <w:r>
        <w:t xml:space="preserve"> </w:t>
      </w:r>
      <w:r>
        <w:t xml:space="preserve">9; 7,5%</w:t>
      </w:r>
      <w:r>
        <w:t xml:space="preserve"> </w:t>
      </w:r>
      <w:r>
        <w:t xml:space="preserve">17; 14,2%</w:t>
      </w:r>
      <w:r>
        <w:t xml:space="preserve"> </w:t>
      </w:r>
      <w:r>
        <w:t xml:space="preserve">2; 1,7%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Environmental organisation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Other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</w:p>
    <w:p>
      <w:pPr>
        <w:pStyle w:val="FirstParagraph"/>
      </w:pPr>
      <w:r>
        <w:t xml:space="preserve">106</w:t>
      </w:r>
    </w:p>
    <w:p>
      <w:pPr>
        <w:pStyle w:val="BodyText"/>
      </w:pPr>
      <w:r>
        <w:t xml:space="preserve">how this relates to national and regional progress of the transition and (sectoral/national)</w:t>
      </w:r>
      <w:r>
        <w:t xml:space="preserve"> </w:t>
      </w:r>
      <w:r>
        <w:t xml:space="preserve">decarbonisation scenarios.</w:t>
      </w:r>
      <w:r>
        <w:t xml:space="preserve"> </w:t>
      </w:r>
      <w:r>
        <w:t xml:space="preserve">Most public authorities welcome the process of setting an EU-wide climate target for</w:t>
      </w:r>
      <w:r>
        <w:t xml:space="preserve"> </w:t>
      </w:r>
      <w:r>
        <w:t xml:space="preserve">2040. The Danish Ministry of Climate, Energy and Utilities, the Bavarian State</w:t>
      </w:r>
      <w:r>
        <w:t xml:space="preserve"> </w:t>
      </w:r>
      <w:r>
        <w:t xml:space="preserve">Parliament, the United Nations, and the Autonomous province Bolzano call for an</w:t>
      </w:r>
      <w:r>
        <w:t xml:space="preserve"> </w:t>
      </w:r>
      <w:r>
        <w:t xml:space="preserve">acceleration of the transition. The Danish Ministry of Climate, Energy and Utilities</w:t>
      </w:r>
      <w:r>
        <w:t xml:space="preserve"> </w:t>
      </w:r>
      <w:r>
        <w:t xml:space="preserve">additionally advocates for setting an additional interim target for 2035, which would be</w:t>
      </w:r>
      <w:r>
        <w:t xml:space="preserve"> </w:t>
      </w:r>
      <w:r>
        <w:t xml:space="preserve">aligned with the five-year timeframe for Nationally Determined Contributions (NDCs).</w:t>
      </w:r>
      <w:r>
        <w:t xml:space="preserve"> </w:t>
      </w:r>
      <w:r>
        <w:t xml:space="preserve">Contrarily, the Polish Ministry of Climate and Environment and the Government of</w:t>
      </w:r>
      <w:r>
        <w:t xml:space="preserve"> </w:t>
      </w:r>
      <w:r>
        <w:t xml:space="preserve">Flanders express the view that the target setting for 2040 should be postponed as it is still</w:t>
      </w:r>
      <w:r>
        <w:t xml:space="preserve"> </w:t>
      </w:r>
      <w:r>
        <w:t xml:space="preserve">too uncertain to predict the impact of an EU-wide climate target for 2040 and that the</w:t>
      </w:r>
      <w:r>
        <w:t xml:space="preserve"> </w:t>
      </w:r>
      <w:r>
        <w:t xml:space="preserve">implementation of measures to achieve the 2030 climate targets should remain the</w:t>
      </w:r>
      <w:r>
        <w:t xml:space="preserve"> </w:t>
      </w:r>
      <w:r>
        <w:t xml:space="preserve">primary objective.</w:t>
      </w:r>
      <w:r>
        <w:t xml:space="preserve"> </w:t>
      </w:r>
      <w:r>
        <w:t xml:space="preserve">4. ANALYSIS OF THE CALL FOR EVIDENCE</w:t>
      </w:r>
      <w:r>
        <w:br/>
      </w:r>
      <w:r>
        <w:t xml:space="preserve">In addition to the public consultation, respondents were able to share feedback through a</w:t>
      </w:r>
      <w:r>
        <w:t xml:space="preserve"> </w:t>
      </w:r>
      <w:r>
        <w:t xml:space="preserve">call for evidence. In total, 579 feedbacks were received. After the removal of 13</w:t>
      </w:r>
      <w:r>
        <w:t xml:space="preserve"> </w:t>
      </w:r>
      <w:r>
        <w:t xml:space="preserve">duplicate answers566 unique feedbacks remained. Most comments originated from</w:t>
      </w:r>
      <w:r>
        <w:t xml:space="preserve"> </w:t>
      </w:r>
      <w:r>
        <w:t xml:space="preserve">Slovakia (126, 22.3%), Germany (100, 17.7%), Belgium (60, 10.6%), and Finland (50,</w:t>
      </w:r>
      <w:r>
        <w:t xml:space="preserve"> </w:t>
      </w:r>
      <w:r>
        <w:t xml:space="preserve">8.8%). Furthermore, a total of 146 position papers were collected, which were analysed</w:t>
      </w:r>
      <w:r>
        <w:t xml:space="preserve"> </w:t>
      </w:r>
      <w:r>
        <w:t xml:space="preserve">together with the position papers obtained in the public consultation (see Section 3).</w:t>
      </w:r>
      <w:r>
        <w:t xml:space="preserve"> </w:t>
      </w:r>
      <w:r>
        <w:t xml:space="preserve">356 comments (62.9%) were received from EU citizens. Most opinions supported</w:t>
      </w:r>
      <w:r>
        <w:t xml:space="preserve"> </w:t>
      </w:r>
      <w:r>
        <w:t xml:space="preserve">stringent GHG emission reduction targets by 2040, acknowledging that climate change is</w:t>
      </w:r>
      <w:r>
        <w:t xml:space="preserve"> </w:t>
      </w:r>
      <w:r>
        <w:t xml:space="preserve">a serious threat to the EU. More radical opinions insisted on reaching climate neutrality</w:t>
      </w:r>
      <w:r>
        <w:t xml:space="preserve"> </w:t>
      </w:r>
      <w:r>
        <w:t xml:space="preserve">by 2040. The second group of opinions came from climate change sceptics, insisting that</w:t>
      </w:r>
      <w:r>
        <w:t xml:space="preserve"> </w:t>
      </w:r>
      <w:r>
        <w:t xml:space="preserve">climate change is not anthropogenic, and that climate action is a waste of resources. Most</w:t>
      </w:r>
      <w:r>
        <w:t xml:space="preserve"> </w:t>
      </w:r>
      <w:r>
        <w:t xml:space="preserve">of opinions showed similarities with the campaign of Slovakian private individuals</w:t>
      </w:r>
      <w:r>
        <w:t xml:space="preserve"> </w:t>
      </w:r>
      <w:r>
        <w:t xml:space="preserve">identified in the responses to the public consultation questionnaire.</w:t>
      </w:r>
      <w:r>
        <w:t xml:space="preserve"> </w:t>
      </w:r>
      <w:r>
        <w:t xml:space="preserve">98 submissions (17.3%) were made by business associations (55, 9.7%) and companies</w:t>
      </w:r>
      <w:r>
        <w:t xml:space="preserve"> </w:t>
      </w:r>
      <w:r>
        <w:t xml:space="preserve">(43, 7.6%). Overall, companies and business associations were in favour of setting</w:t>
      </w:r>
      <w:r>
        <w:t xml:space="preserve"> </w:t>
      </w:r>
      <w:r>
        <w:t xml:space="preserve">ambitious yet realistic 2040 GHG emission reduction targets based on the best available</w:t>
      </w:r>
      <w:r>
        <w:t xml:space="preserve"> </w:t>
      </w:r>
      <w:r>
        <w:t xml:space="preserve">science.</w:t>
      </w:r>
      <w:r>
        <w:br/>
      </w:r>
      <w:r>
        <w:t xml:space="preserve">55 submissions (9.7%) were made by CSOs, including NGOs (43, 7.6%), environmental</w:t>
      </w:r>
      <w:r>
        <w:t xml:space="preserve"> </w:t>
      </w:r>
      <w:r>
        <w:t xml:space="preserve">organizations (9, 1.6%), trade unions (2, 0.4%), and one consumer organization (0.2%).</w:t>
      </w:r>
      <w:r>
        <w:t xml:space="preserve"> </w:t>
      </w:r>
      <w:r>
        <w:t xml:space="preserve">The key messages from this stakeholder group underscored the importance to meet the</w:t>
      </w:r>
      <w:r>
        <w:t xml:space="preserve"> </w:t>
      </w:r>
      <w:r>
        <w:t xml:space="preserve">requirements set by the Paris Agreement, generally, advocating for a more ambitious “net</w:t>
      </w:r>
      <w:r>
        <w:t xml:space="preserve"> </w:t>
      </w:r>
      <w:r>
        <w:t xml:space="preserve">zero” transition.</w:t>
      </w:r>
      <w:r>
        <w:br/>
      </w:r>
      <w:r>
        <w:t xml:space="preserve">14 submissions (2.5%) were made by academic and research institutions. The key</w:t>
      </w:r>
      <w:r>
        <w:t xml:space="preserve"> </w:t>
      </w:r>
      <w:r>
        <w:t xml:space="preserve">messages from these responses related to the prevalent demand that the EU should</w:t>
      </w:r>
      <w:r>
        <w:t xml:space="preserve"> </w:t>
      </w:r>
      <w:r>
        <w:t xml:space="preserve">integrate the latest scientific evidence when formulating the emission targets for the</w:t>
      </w:r>
      <w:r>
        <w:t xml:space="preserve"> </w:t>
      </w:r>
      <w:r>
        <w:t xml:space="preserve">2030-2040 period. Another important aspect was the EU’s historical responsibility when</w:t>
      </w:r>
      <w:r>
        <w:t xml:space="preserve"> </w:t>
      </w:r>
      <w:r>
        <w:t xml:space="preserve">it comes to carbon emissions.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Seven submissions (1.2%) were made by public authorities. The key messages from</w:t>
      </w:r>
      <w:r>
        <w:t xml:space="preserve"> </w:t>
      </w:r>
      <w:r>
        <w:t xml:space="preserve">these responses related to the need for investments concerning the green transition for</w:t>
      </w:r>
      <w:r>
        <w:t xml:space="preserve"> </w:t>
      </w:r>
      <w:r>
        <w:t xml:space="preserve">aspects such as green technologies and re-skilling. In this context, the submissions of</w:t>
      </w:r>
      <w:r>
        <w:t xml:space="preserve"> </w:t>
      </w:r>
      <w:r>
        <w:t xml:space="preserve">public authorities highlighted the EU’s crucial role as a supporting force that can</w:t>
      </w:r>
      <w:r>
        <w:t xml:space="preserve"> </w:t>
      </w:r>
      <w:r>
        <w:t xml:space="preserve">facilitate the transition of other countries and thereby contribute to its global</w:t>
      </w:r>
      <w:r>
        <w:t xml:space="preserve"> </w:t>
      </w:r>
      <w:r>
        <w:t xml:space="preserve">responsibility.</w:t>
      </w:r>
      <w:r>
        <w:br/>
      </w:r>
      <w:r>
        <w:t xml:space="preserve">A further 36 responses (6.4%) came from non-EU citizens (4, 0.7%) or from</w:t>
      </w:r>
      <w:r>
        <w:t xml:space="preserve"> </w:t>
      </w:r>
      <w:r>
        <w:t xml:space="preserve">stakeholders who classified themselves as “Other” (32, 5.7%). The topics of these</w:t>
      </w:r>
      <w:r>
        <w:t xml:space="preserve"> </w:t>
      </w:r>
      <w:r>
        <w:t xml:space="preserve">responses largely mirrored the topics of the other stakeholder groups. Especially those</w:t>
      </w:r>
      <w:r>
        <w:t xml:space="preserve"> </w:t>
      </w:r>
      <w:r>
        <w:t xml:space="preserve">stakeholder types that related strongly to their respective type.</w:t>
      </w:r>
      <w:r>
        <w:t xml:space="preserve"> </w:t>
      </w:r>
      <w:r>
        <w:t xml:space="preserve">4.1. Results from the analysis of position papers</w:t>
      </w:r>
      <w:r>
        <w:t xml:space="preserve"> </w:t>
      </w:r>
      <w:r>
        <w:t xml:space="preserve">The 2040 target and associated opportunities, challenges and enabling factors</w:t>
      </w:r>
      <w:r>
        <w:t xml:space="preserve"> </w:t>
      </w:r>
      <w:r>
        <w:t xml:space="preserve">Regarding the level of ambition for the net emission reduction target for 2040, 41 papers</w:t>
      </w:r>
      <w:r>
        <w:t xml:space="preserve"> </w:t>
      </w:r>
      <w:r>
        <w:t xml:space="preserve">(34 % of the total) provided an opinion. Most papers (32) advocate for an acceleration of</w:t>
      </w:r>
      <w:r>
        <w:t xml:space="preserve"> </w:t>
      </w:r>
      <w:r>
        <w:t xml:space="preserve">the transition and five prefer its current speed.</w:t>
      </w:r>
      <w:r>
        <w:t xml:space="preserve"> </w:t>
      </w:r>
      <w:r>
        <w:t xml:space="preserve">Many contributions favour a realistic transition pathway for industry, by undertaking a</w:t>
      </w:r>
      <w:r>
        <w:t xml:space="preserve"> </w:t>
      </w:r>
      <w:r>
        <w:t xml:space="preserve">critical review of the practical feasibility of an ambitious 2040 target including impacts</w:t>
      </w:r>
      <w:r>
        <w:t xml:space="preserve"> </w:t>
      </w:r>
      <w:r>
        <w:t xml:space="preserve">on competitiveness; the impact on energy prices; and the cost-effectiveness of a more</w:t>
      </w:r>
      <w:r>
        <w:t xml:space="preserve"> </w:t>
      </w:r>
      <w:r>
        <w:t xml:space="preserve">ambitious target.</w:t>
      </w:r>
      <w:r>
        <w:br/>
      </w:r>
      <w:r>
        <w:t xml:space="preserve">57 papers (48%) expressed an opinion about the opportunities related to higher climate</w:t>
      </w:r>
      <w:r>
        <w:t xml:space="preserve"> </w:t>
      </w:r>
      <w:r>
        <w:t xml:space="preserve">ambition. More than a third of the papers consider that a higher climate ambition would</w:t>
      </w:r>
      <w:r>
        <w:t xml:space="preserve"> </w:t>
      </w:r>
      <w:r>
        <w:t xml:space="preserve">benefit EU’s economic competitiveness; the creation of new jobs; EU global leadership;</w:t>
      </w:r>
      <w:r>
        <w:t xml:space="preserve"> </w:t>
      </w:r>
      <w:r>
        <w:t xml:space="preserve">innovation fostering or well-being. At the same time, most papers mention that the EU is</w:t>
      </w:r>
      <w:r>
        <w:t xml:space="preserve"> </w:t>
      </w:r>
      <w:r>
        <w:t xml:space="preserve">facing multiple, technological, financial, social, regulatory and political challenges.</w:t>
      </w:r>
      <w:r>
        <w:br/>
      </w:r>
      <w:r>
        <w:t xml:space="preserve">Only few papers discussed the impact of climate policies on SMEs, not expecting</w:t>
      </w:r>
      <w:r>
        <w:t xml:space="preserve"> </w:t>
      </w:r>
      <w:r>
        <w:t xml:space="preserve">negative impacts provided that the administrative burden does not increase, and that</w:t>
      </w:r>
      <w:r>
        <w:t xml:space="preserve"> </w:t>
      </w:r>
      <w:r>
        <w:t xml:space="preserve">support, and resources are provided to cope with the needed transition (fair transition).</w:t>
      </w:r>
      <w:r>
        <w:t xml:space="preserve"> </w:t>
      </w:r>
      <w:r>
        <w:t xml:space="preserve">The contribution of Individual sectors to the EU’s climate ambition</w:t>
      </w:r>
      <w:r>
        <w:t xml:space="preserve"> </w:t>
      </w:r>
      <w:r>
        <w:t xml:space="preserve">Around 70 position papers (58% of all answers) provided opinions on the prioritisation</w:t>
      </w:r>
      <w:r>
        <w:t xml:space="preserve"> </w:t>
      </w:r>
      <w:r>
        <w:t xml:space="preserve">of sectors and the following sectors were identified as priority for GHG emission</w:t>
      </w:r>
      <w:r>
        <w:t xml:space="preserve"> </w:t>
      </w:r>
      <w:r>
        <w:t xml:space="preserve">reduction: transport (24), agriculture and forestry (14). Buildings (11) and industry (10).</w:t>
      </w:r>
      <w:r>
        <w:br/>
      </w:r>
      <w:r>
        <w:t xml:space="preserve">The role of policy instruments</w:t>
      </w:r>
      <w:r>
        <w:t xml:space="preserve"> </w:t>
      </w:r>
      <w:r>
        <w:t xml:space="preserve">• EU Emission Trading System (EU ETS)</w:t>
      </w:r>
      <w:r>
        <w:t xml:space="preserve"> </w:t>
      </w:r>
      <w:r>
        <w:t xml:space="preserve">63 papers (53%) commented on the role of the ETS post-2030. An overwhelming</w:t>
      </w:r>
      <w:r>
        <w:t xml:space="preserve"> </w:t>
      </w:r>
      <w:r>
        <w:t xml:space="preserve">majority considered the EU ETS as an instrument playing a key role in the mitigation of</w:t>
      </w:r>
      <w:r>
        <w:t xml:space="preserve"> </w:t>
      </w:r>
      <w:r>
        <w:t xml:space="preserve">EU emissions. However, an evolution of the tool in relation to the 2040 target is needed.</w:t>
      </w:r>
      <w:r>
        <w:br/>
      </w:r>
      <w:r>
        <w:t xml:space="preserve">The most widely discussed topic was the sectoral coverage, with a suggestion to extend</w:t>
      </w:r>
      <w:r>
        <w:t xml:space="preserve"> </w:t>
      </w:r>
      <w:r>
        <w:t xml:space="preserve">to all, or to a restricted number of additional sectors. The interaction with other policies</w:t>
      </w:r>
      <w:r>
        <w:t xml:space="preserve"> </w:t>
      </w:r>
      <w:r>
        <w:t xml:space="preserve">and instruments (ESR, LULUCF, CBAM) was addressed, with concerns expressed about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the risk of double-coverage, relation between ETS- and CBAM-prices and scope</w:t>
      </w:r>
      <w:r>
        <w:t xml:space="preserve"> </w:t>
      </w:r>
      <w:r>
        <w:t xml:space="preserve">coverage.</w:t>
      </w:r>
      <w:r>
        <w:br/>
      </w:r>
      <w:r>
        <w:t xml:space="preserve">Most stakeholders supported an integration of carbon removal in the ETS.</w:t>
      </w:r>
      <w:r>
        <w:t xml:space="preserve"> </w:t>
      </w:r>
      <w:r>
        <w:t xml:space="preserve">The third most discussed topic concerned the international integration and potential</w:t>
      </w:r>
      <w:r>
        <w:t xml:space="preserve"> </w:t>
      </w:r>
      <w:r>
        <w:t xml:space="preserve">linkages to other countries/regions.</w:t>
      </w:r>
      <w:r>
        <w:t xml:space="preserve"> </w:t>
      </w:r>
      <w:r>
        <w:t xml:space="preserve">• Carbon Border Adjustment Mechanism (CBAM)</w:t>
      </w:r>
      <w:r>
        <w:t xml:space="preserve"> </w:t>
      </w:r>
      <w:r>
        <w:t xml:space="preserve">39 papers (33%) provided elements on the role of CBAM. Most papers indicated that</w:t>
      </w:r>
      <w:r>
        <w:t xml:space="preserve"> </w:t>
      </w:r>
      <w:r>
        <w:t xml:space="preserve">CBAM plays an essential role to avoid carbon leakage and to support carbon market</w:t>
      </w:r>
      <w:r>
        <w:t xml:space="preserve"> </w:t>
      </w:r>
      <w:r>
        <w:t xml:space="preserve">internationalisation. However, more than a third considered that its efficiency is yet to be</w:t>
      </w:r>
      <w:r>
        <w:t xml:space="preserve"> </w:t>
      </w:r>
      <w:r>
        <w:t xml:space="preserve">demonstrated.</w:t>
      </w:r>
      <w:r>
        <w:br/>
      </w:r>
      <w:r>
        <w:t xml:space="preserve">22 papers discuss CBAM extension, with contradicting views. While two thirds of the</w:t>
      </w:r>
      <w:r>
        <w:t xml:space="preserve"> </w:t>
      </w:r>
      <w:r>
        <w:t xml:space="preserve">papers considered that CBAM should be extended (to sector at most risk of carbon</w:t>
      </w:r>
      <w:r>
        <w:t xml:space="preserve"> </w:t>
      </w:r>
      <w:r>
        <w:t xml:space="preserve">leakage, to cover the export part of the EU production, to integrate downstream sectors or</w:t>
      </w:r>
      <w:r>
        <w:t xml:space="preserve"> </w:t>
      </w:r>
      <w:r>
        <w:t xml:space="preserve">cover all sectors covered by free allowances under the ETS), one third considered that a</w:t>
      </w:r>
      <w:r>
        <w:t xml:space="preserve"> </w:t>
      </w:r>
      <w:r>
        <w:t xml:space="preserve">CBAM extension should be carefully considered.</w:t>
      </w:r>
      <w:r>
        <w:br/>
      </w:r>
      <w:r>
        <w:t xml:space="preserve">• Effort Sharing Regulation (ESR)</w:t>
      </w:r>
      <w:r>
        <w:t xml:space="preserve"> </w:t>
      </w:r>
      <w:r>
        <w:t xml:space="preserve">23 papers (19%) expressed an opinion on the role of ESR. A bit less than half the papers</w:t>
      </w:r>
      <w:r>
        <w:t xml:space="preserve"> </w:t>
      </w:r>
      <w:r>
        <w:t xml:space="preserve">expressed the need to adjust the ESR, notably given the broadening scope of the ETS.</w:t>
      </w:r>
    </w:p>
    <w:p>
      <w:pPr>
        <w:pStyle w:val="BodyText"/>
      </w:pPr>
      <w:r>
        <w:t xml:space="preserve">Mitigation of GHG emissions from the land sector and policy options</w:t>
      </w:r>
      <w:r>
        <w:t xml:space="preserve"> </w:t>
      </w:r>
      <w:r>
        <w:t xml:space="preserve">44 of the analysed papers (37%l) commented on options to tackle agricultural emissions</w:t>
      </w:r>
      <w:r>
        <w:t xml:space="preserve"> </w:t>
      </w:r>
      <w:r>
        <w:t xml:space="preserve">including sustainable farming/carbon farming (9) followed by dietary changes (7) and</w:t>
      </w:r>
      <w:r>
        <w:t xml:space="preserve"> </w:t>
      </w:r>
      <w:r>
        <w:t xml:space="preserve">agriculture carbon removal role (7). Other options mentioned frequently were some form</w:t>
      </w:r>
      <w:r>
        <w:t xml:space="preserve"> </w:t>
      </w:r>
      <w:r>
        <w:t xml:space="preserve">of market incentives and the non-inclusion of the agricultural sector in LULUCF.</w:t>
      </w:r>
      <w:r>
        <w:br/>
      </w:r>
      <w:r>
        <w:t xml:space="preserve">The role of carbon removals</w:t>
      </w:r>
      <w:r>
        <w:t xml:space="preserve"> </w:t>
      </w:r>
      <w:r>
        <w:t xml:space="preserve">73 papers (61%) commented on the role of carbon removals to reach 2040 climate</w:t>
      </w:r>
      <w:r>
        <w:t xml:space="preserve"> </w:t>
      </w:r>
      <w:r>
        <w:t xml:space="preserve">neutrality goals. Most papers acknowledged carbon removals as an important means, yet</w:t>
      </w:r>
      <w:r>
        <w:t xml:space="preserve"> </w:t>
      </w:r>
      <w:r>
        <w:t xml:space="preserve">reservations and concerns were shared in 15 position papers, emphasising they should not</w:t>
      </w:r>
      <w:r>
        <w:t xml:space="preserve"> </w:t>
      </w:r>
      <w:r>
        <w:t xml:space="preserve">be a substitute and offset for GHG emission reduction and should only be considered as a</w:t>
      </w:r>
      <w:r>
        <w:t xml:space="preserve"> </w:t>
      </w:r>
      <w:r>
        <w:t xml:space="preserve">second-best option.</w:t>
      </w:r>
      <w:r>
        <w:t xml:space="preserve"> </w:t>
      </w:r>
      <w:r>
        <w:t xml:space="preserve">Carbon capture and storage/use</w:t>
      </w:r>
      <w:r>
        <w:t xml:space="preserve"> </w:t>
      </w:r>
      <w:r>
        <w:t xml:space="preserve">34 papers (28%) commented specifically on the role of different carbon capture and</w:t>
      </w:r>
      <w:r>
        <w:t xml:space="preserve"> </w:t>
      </w:r>
      <w:r>
        <w:t xml:space="preserve">storage technologies. About half the papers, from business associations, public</w:t>
      </w:r>
      <w:r>
        <w:t xml:space="preserve"> </w:t>
      </w:r>
      <w:r>
        <w:t xml:space="preserve">authorities and academia, encouraged the uptake of carbon capture and storage</w:t>
      </w:r>
      <w:r>
        <w:t xml:space="preserve"> </w:t>
      </w:r>
      <w:r>
        <w:t xml:space="preserve">technologies, without assigning priority to one specific technology type.</w:t>
      </w:r>
      <w:r>
        <w:br/>
      </w:r>
      <w:r>
        <w:t xml:space="preserve">Energy technologies</w:t>
      </w:r>
      <w:r>
        <w:t xml:space="preserve"> </w:t>
      </w:r>
      <w:r>
        <w:t xml:space="preserve">72 papers (60%) discussed the most relevant technologies for supporting the energy</w:t>
      </w:r>
      <w:r>
        <w:t xml:space="preserve"> </w:t>
      </w:r>
      <w:r>
        <w:t xml:space="preserve">transition as well as opportunities and barriers of their uptake. 33 position papers (28%)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argued for enhancing the utilization of renewable energies and increasing their share in</w:t>
      </w:r>
      <w:r>
        <w:t xml:space="preserve"> </w:t>
      </w:r>
      <w:r>
        <w:t xml:space="preserve">energy consumption. Moreover, 15 papers (13%) supported applying energy efficiency</w:t>
      </w:r>
      <w:r>
        <w:t xml:space="preserve"> </w:t>
      </w:r>
      <w:r>
        <w:t xml:space="preserve">principles and taking into consideration the beneficial interaction between renewables,</w:t>
      </w:r>
      <w:r>
        <w:t xml:space="preserve"> </w:t>
      </w:r>
      <w:r>
        <w:t xml:space="preserve">increased energy efficiency and GHG targets.</w:t>
      </w:r>
      <w:r>
        <w:br/>
      </w:r>
      <w:r>
        <w:t xml:space="preserve">Engagement and social impacts</w:t>
      </w:r>
      <w:r>
        <w:t xml:space="preserve"> </w:t>
      </w:r>
      <w:r>
        <w:t xml:space="preserve">57 position papers (48%) discuss the social impact of future climate change policies. 28</w:t>
      </w:r>
      <w:r>
        <w:t xml:space="preserve"> </w:t>
      </w:r>
      <w:r>
        <w:t xml:space="preserve">(23%) make a comment on the need for a socially or economically just transition, where</w:t>
      </w:r>
      <w:r>
        <w:t xml:space="preserve"> </w:t>
      </w:r>
      <w:r>
        <w:t xml:space="preserve">vulnerable groups, communities and Member States are protected from climate risks and</w:t>
      </w:r>
      <w:r>
        <w:t xml:space="preserve"> </w:t>
      </w:r>
      <w:r>
        <w:t xml:space="preserve">poverty.</w:t>
      </w:r>
    </w:p>
    <w:p>
      <w:pPr>
        <w:pStyle w:val="Compact"/>
        <w:numPr>
          <w:ilvl w:val="0"/>
          <w:numId w:val="1052"/>
        </w:numPr>
      </w:pPr>
      <w:r>
        <w:t xml:space="preserve">ANALYSIS OF THE STAKEHOLDER EVENT</w:t>
      </w:r>
      <w:r>
        <w:t xml:space="preserve"> </w:t>
      </w:r>
      <w:r>
        <w:t xml:space="preserve">On 9 June 2023, an all-day stakeholder event was held to gather further feedback and</w:t>
      </w:r>
      <w:r>
        <w:t xml:space="preserve"> </w:t>
      </w:r>
      <w:r>
        <w:t xml:space="preserve">insights on the view of the EU’s 2040 climate targets. It was attended in person by 34</w:t>
      </w:r>
      <w:r>
        <w:t xml:space="preserve"> </w:t>
      </w:r>
      <w:r>
        <w:t xml:space="preserve">stakeholder representatives, including ten from the energy sector, six from industry, six</w:t>
      </w:r>
      <w:r>
        <w:t xml:space="preserve"> </w:t>
      </w:r>
      <w:r>
        <w:t xml:space="preserve">from think tanks, and six from NGOs, as well as representatives from transport,</w:t>
      </w:r>
      <w:r>
        <w:t xml:space="preserve"> </w:t>
      </w:r>
      <w:r>
        <w:t xml:space="preserve">agriculture, SMEs, trade unions, and cities. In addition, a further 48 participants followed</w:t>
      </w:r>
      <w:r>
        <w:t xml:space="preserve"> </w:t>
      </w:r>
      <w:r>
        <w:t xml:space="preserve">the meeting online.</w:t>
      </w:r>
      <w:r>
        <w:t xml:space="preserve"> </w:t>
      </w:r>
      <w:r>
        <w:t xml:space="preserve">The contents of the event are summarised in the following:</w:t>
      </w:r>
      <w:r>
        <w:t xml:space="preserve"> </w:t>
      </w:r>
      <w:r>
        <w:t xml:space="preserve">Climate impacts and cost of inaction: Stakeholders were convinced that natural hazards</w:t>
      </w:r>
      <w:r>
        <w:t xml:space="preserve"> </w:t>
      </w:r>
      <w:r>
        <w:t xml:space="preserve">and biotic risks will impact the forestry, agriculture, and other land-use sectors, as well as</w:t>
      </w:r>
      <w:r>
        <w:t xml:space="preserve"> </w:t>
      </w:r>
      <w:r>
        <w:t xml:space="preserve">renewables and waste management/recycling. They emphasised that cities and industries</w:t>
      </w:r>
      <w:r>
        <w:t xml:space="preserve"> </w:t>
      </w:r>
      <w:r>
        <w:t xml:space="preserve">will be affected by employment and work-related risks. In this context, the</w:t>
      </w:r>
      <w:r>
        <w:t xml:space="preserve"> </w:t>
      </w:r>
      <w:r>
        <w:t xml:space="preserve">communication of mitigation and adaptation measures should be linked with other</w:t>
      </w:r>
      <w:r>
        <w:t xml:space="preserve"> </w:t>
      </w:r>
      <w:r>
        <w:t xml:space="preserve">environmental benefits to give a positive narrative, as well as to stress the costs of</w:t>
      </w:r>
      <w:r>
        <w:t xml:space="preserve"> </w:t>
      </w:r>
      <w:r>
        <w:t xml:space="preserve">inaction.</w:t>
      </w:r>
      <w:r>
        <w:t xml:space="preserve"> </w:t>
      </w:r>
      <w:r>
        <w:t xml:space="preserve">Fair transition, employment, and social aspects: Stakeholders highlighted the skills</w:t>
      </w:r>
      <w:r>
        <w:t xml:space="preserve"> </w:t>
      </w:r>
      <w:r>
        <w:t xml:space="preserve">gap regarding the required technologies and demographic factors as aspects that should</w:t>
      </w:r>
      <w:r>
        <w:t xml:space="preserve"> </w:t>
      </w:r>
      <w:r>
        <w:t xml:space="preserve">be considered. It was stressed that financial support will be needed for green</w:t>
      </w:r>
      <w:r>
        <w:t xml:space="preserve"> </w:t>
      </w:r>
      <w:r>
        <w:t xml:space="preserve">infrastructure (especially for smaller cities), as well as targeted support for lower/middle</w:t>
      </w:r>
      <w:r>
        <w:t xml:space="preserve"> </w:t>
      </w:r>
      <w:r>
        <w:t xml:space="preserve">income groups for the switch of technologies (e.g., upfront costs of heat pumps and</w:t>
      </w:r>
      <w:r>
        <w:t xml:space="preserve"> </w:t>
      </w:r>
      <w:r>
        <w:t xml:space="preserve">electric vehicles).</w:t>
      </w:r>
      <w:r>
        <w:br/>
      </w:r>
      <w:r>
        <w:t xml:space="preserve">Energy – including storage, grids, and renewables: Stakeholders believed that aspects</w:t>
      </w:r>
      <w:r>
        <w:t xml:space="preserve"> </w:t>
      </w:r>
      <w:r>
        <w:t xml:space="preserve">such as energy efficiency and contributions to energy security are key in the energy</w:t>
      </w:r>
      <w:r>
        <w:t xml:space="preserve"> </w:t>
      </w:r>
      <w:r>
        <w:t xml:space="preserve">transition. There was disagreement on the role of hydrogen and e-fuels.</w:t>
      </w:r>
      <w:r>
        <w:t xml:space="preserve"> </w:t>
      </w:r>
      <w:r>
        <w:t xml:space="preserve">Carbon removals/storage: Participants demanded a clear differentiation between</w:t>
      </w:r>
      <w:r>
        <w:t xml:space="preserve"> </w:t>
      </w:r>
      <w:r>
        <w:t xml:space="preserve">emission reductions and carbon removals, suggesting separate targets. The focus should</w:t>
      </w:r>
      <w:r>
        <w:t xml:space="preserve"> </w:t>
      </w:r>
      <w:r>
        <w:t xml:space="preserve">be on emission reductions, with carbon removals reserved only for residual hard-to-abate</w:t>
      </w:r>
      <w:r>
        <w:t xml:space="preserve"> </w:t>
      </w:r>
      <w:r>
        <w:t xml:space="preserve">emissions. In addition, two targets are also needed within the context of carbon removals:</w:t>
      </w:r>
      <w:r>
        <w:t xml:space="preserve"> </w:t>
      </w:r>
      <w:r>
        <w:t xml:space="preserve">one for nature-based removals, and one for technological removal/storage.</w:t>
      </w:r>
    </w:p>
    <w:p>
      <w:pPr>
        <w:pStyle w:val="FirstParagraph"/>
      </w:pPr>
      <w:r>
        <w:t xml:space="preserve">110</w:t>
      </w:r>
    </w:p>
    <w:p>
      <w:pPr>
        <w:pStyle w:val="BodyText"/>
      </w:pPr>
      <w:r>
        <w:t xml:space="preserve">Economic effects, competitiveness, industry, and SMEs: Most stakeholders approved</w:t>
      </w:r>
      <w:r>
        <w:t xml:space="preserve"> </w:t>
      </w:r>
      <w:r>
        <w:t xml:space="preserve">the positive effects of having long-term targets and a more stable and predictable legal</w:t>
      </w:r>
      <w:r>
        <w:t xml:space="preserve"> </w:t>
      </w:r>
      <w:r>
        <w:t xml:space="preserve">and regulatory framework is required for investments. More support for industry, such as</w:t>
      </w:r>
      <w:r>
        <w:t xml:space="preserve"> </w:t>
      </w:r>
      <w:r>
        <w:t xml:space="preserve">Carbon Contracts for Differences (CCfD) will be needed for the transition. Additional</w:t>
      </w:r>
      <w:r>
        <w:t xml:space="preserve"> </w:t>
      </w:r>
      <w:r>
        <w:t xml:space="preserve">claims included that the EU industry needs capital investment and reliable/available</w:t>
      </w:r>
      <w:r>
        <w:t xml:space="preserve"> </w:t>
      </w:r>
      <w:r>
        <w:t xml:space="preserve">renewables as well as breakthrough technologies for key industries and lead markets for</w:t>
      </w:r>
      <w:r>
        <w:t xml:space="preserve"> </w:t>
      </w:r>
      <w:r>
        <w:t xml:space="preserve">green technologies.</w:t>
      </w:r>
      <w:r>
        <w:t xml:space="preserve"> </w:t>
      </w:r>
      <w:r>
        <w:t xml:space="preserve">Agriculture, food security and land sectors (LULUCF, forests, biodiversity, and</w:t>
      </w:r>
      <w:r>
        <w:t xml:space="preserve"> </w:t>
      </w:r>
      <w:r>
        <w:t xml:space="preserve">biomass): Agriculture stakeholders called for intensified food production within GHG</w:t>
      </w:r>
      <w:r>
        <w:t xml:space="preserve"> </w:t>
      </w:r>
      <w:r>
        <w:t xml:space="preserve">boundaries. Forestry stakeholders emphasised the important role of wood-based raw</w:t>
      </w:r>
      <w:r>
        <w:t xml:space="preserve"> </w:t>
      </w:r>
      <w:r>
        <w:t xml:space="preserve">materials and products, whereas civil society organizations called for agriculture to avoid</w:t>
      </w:r>
      <w:r>
        <w:t xml:space="preserve"> </w:t>
      </w:r>
      <w:r>
        <w:t xml:space="preserve">energy crops and questioned the role of wood-based products.</w:t>
      </w:r>
      <w:r>
        <w:t xml:space="preserve"> </w:t>
      </w:r>
      <w:r>
        <w:t xml:space="preserve">International aspects, and non-EU climate action: Stakeholders emphasised that the</w:t>
      </w:r>
      <w:r>
        <w:t xml:space="preserve"> </w:t>
      </w:r>
      <w:r>
        <w:t xml:space="preserve">EU should align with the UNFCCC 5-year policy cycles, such as setting a 2035 target.</w:t>
      </w:r>
      <w:r>
        <w:t xml:space="preserve"> </w:t>
      </w:r>
      <w:r>
        <w:t xml:space="preserve">Additional claims included: assessing the EU’s carbon footprint and the global</w:t>
      </w:r>
      <w:r>
        <w:t xml:space="preserve"> </w:t>
      </w:r>
      <w:r>
        <w:t xml:space="preserve">contribution of EU-based companies in terms of behaviour and policies outside of</w:t>
      </w:r>
      <w:r>
        <w:t xml:space="preserve"> </w:t>
      </w:r>
      <w:r>
        <w:t xml:space="preserve">Europe, as well as embedding carbon in trade flows.</w:t>
      </w:r>
      <w:r>
        <w:br/>
      </w:r>
      <w:r>
        <w:t xml:space="preserve">Behavioural change and lifestyles: Stakeholders proposed to frame the green transition</w:t>
      </w:r>
      <w:r>
        <w:t xml:space="preserve"> </w:t>
      </w:r>
      <w:r>
        <w:t xml:space="preserve">as “our well-being and lifestyles will be damaged if we fail to limit global warming to</w:t>
      </w:r>
      <w:r>
        <w:t xml:space="preserve"> </w:t>
      </w:r>
      <w:r>
        <w:t xml:space="preserve">1.5ºC”. The focus should be on sufficiency principles, active mobility, new production</w:t>
      </w:r>
      <w:r>
        <w:t xml:space="preserve"> </w:t>
      </w:r>
      <w:r>
        <w:t xml:space="preserve">models, and consumption-related emissions, as well as the green infrastructure and</w:t>
      </w:r>
      <w:r>
        <w:t xml:space="preserve"> </w:t>
      </w:r>
      <w:r>
        <w:t xml:space="preserve">support for upfront costs that are needed to enable individual climate-friendly choices.</w:t>
      </w:r>
      <w:r>
        <w:t xml:space="preserve"> </w:t>
      </w:r>
      <w:r>
        <w:t xml:space="preserve">6. OTHER CONTRIBUTIONS</w:t>
      </w:r>
      <w:r>
        <w:br/>
      </w:r>
      <w:r>
        <w:t xml:space="preserve">In 2023, the European Scientific Advisory Board on Climate Change (ESABCC)</w:t>
      </w:r>
      <w:r>
        <w:t xml:space="preserve"> </w:t>
      </w:r>
      <w:r>
        <w:t xml:space="preserve">published an advice on the 2040 climate target and GHG budget (115). The ESABCC’s</w:t>
      </w:r>
      <w:r>
        <w:t xml:space="preserve"> </w:t>
      </w:r>
      <w:r>
        <w:t xml:space="preserve">advice is reflected throughout the Impact Assessment and comparisons with the</w:t>
      </w:r>
      <w:r>
        <w:t xml:space="preserve"> </w:t>
      </w:r>
      <w:r>
        <w:t xml:space="preserve">ESABCC’s analysis are made where appropriate.</w:t>
      </w:r>
      <w:r>
        <w:t xml:space="preserve"> </w:t>
      </w:r>
      <w:r>
        <w:t xml:space="preserve">The outcomes of Horizon 2020 and Horizon Europe projects related to climate science</w:t>
      </w:r>
      <w:r>
        <w:t xml:space="preserve"> </w:t>
      </w:r>
      <w:r>
        <w:t xml:space="preserve">and mitigation pathways provided important contribution and evidence base for this</w:t>
      </w:r>
      <w:r>
        <w:t xml:space="preserve"> </w:t>
      </w:r>
      <w:r>
        <w:t xml:space="preserve">Impact Assessment.</w:t>
      </w:r>
    </w:p>
    <w:p>
      <w:pPr>
        <w:pStyle w:val="Compact"/>
        <w:numPr>
          <w:ilvl w:val="0"/>
          <w:numId w:val="1053"/>
        </w:numPr>
      </w:pPr>
      <w:r>
        <w:t xml:space="preserve">ESABCC (2023). Scientific advice for the determination of an EU-wide 2040 climate target and a</w:t>
      </w:r>
      <w:r>
        <w:t xml:space="preserve"> </w:t>
      </w:r>
      <w:r>
        <w:t xml:space="preserve">greenhouse gas budget for 2030–2050. DOI: 10.2800/609405.</w:t>
      </w:r>
    </w:p>
    <w:p>
      <w:pPr>
        <w:pStyle w:val="FirstParagraph"/>
      </w:pPr>
      <w:r>
        <w:t xml:space="preserve">111</w:t>
      </w:r>
    </w:p>
    <w:p>
      <w:pPr>
        <w:pStyle w:val="BodyText"/>
      </w:pPr>
      <w:r>
        <w:t xml:space="preserve">Annex 3: Who is affected and how?</w:t>
      </w:r>
      <w:r>
        <w:br/>
      </w:r>
      <w:r>
        <w:t xml:space="preserve">1.</w:t>
      </w:r>
      <w:r>
        <w:t xml:space="preserve"> </w:t>
      </w:r>
      <w:r>
        <w:t xml:space="preserve">Practical implications of the initiative</w:t>
      </w:r>
      <w:r>
        <w:br/>
      </w:r>
      <w:r>
        <w:t xml:space="preserve">The scope of the current initiative focuses on the ambition level of a 2040 GHG target</w:t>
      </w:r>
      <w:r>
        <w:t xml:space="preserve"> </w:t>
      </w:r>
      <w:r>
        <w:t xml:space="preserve">only. The accompanying post-2030 policy implementation framework will be designed</w:t>
      </w:r>
      <w:r>
        <w:t xml:space="preserve"> </w:t>
      </w:r>
      <w:r>
        <w:t xml:space="preserve">and proposed in a later stage. As such, in absence of this post-2030 policy</w:t>
      </w:r>
      <w:r>
        <w:t xml:space="preserve"> </w:t>
      </w:r>
      <w:r>
        <w:t xml:space="preserve">implementation framework, it is not possible yet to calculate the administrative costs,</w:t>
      </w:r>
      <w:r>
        <w:t xml:space="preserve"> </w:t>
      </w:r>
      <w:r>
        <w:t xml:space="preserve">regulatory fees and charges, and enforcements costs for businesses and citizens. All these</w:t>
      </w:r>
      <w:r>
        <w:t xml:space="preserve"> </w:t>
      </w:r>
      <w:r>
        <w:t xml:space="preserve">elements of the ‘one in, one out’ approach will depend on the changes in the</w:t>
      </w:r>
      <w:r>
        <w:t xml:space="preserve"> </w:t>
      </w:r>
      <w:r>
        <w:t xml:space="preserve">implementation of the post-2030 policy implementation framework, in comparison with</w:t>
      </w:r>
      <w:r>
        <w:t xml:space="preserve"> </w:t>
      </w:r>
      <w:r>
        <w:t xml:space="preserve">the current 2030 policy framework.</w:t>
      </w:r>
      <w:r>
        <w:t xml:space="preserve"> </w:t>
      </w:r>
      <w:r>
        <w:t xml:space="preserve">The implementation of the current 2030 policy framework is supported by the 30%</w:t>
      </w:r>
      <w:r>
        <w:t xml:space="preserve"> </w:t>
      </w:r>
      <w:r>
        <w:t xml:space="preserve">minimum climate mainstreaming in the MFF, and the 37% minimum climate</w:t>
      </w:r>
      <w:r>
        <w:t xml:space="preserve"> </w:t>
      </w:r>
      <w:r>
        <w:t xml:space="preserve">requirement of the Recovery and Resilience Facility (RRF).</w:t>
      </w:r>
      <w:r>
        <w:t xml:space="preserve"> </w:t>
      </w:r>
      <w:r>
        <w:t xml:space="preserve">The preferred option for this initiative corresponds to a target range of 90-95% emission</w:t>
      </w:r>
      <w:r>
        <w:t xml:space="preserve"> </w:t>
      </w:r>
      <w:r>
        <w:t xml:space="preserve">reduction compared to 1990.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</w:t>
      </w:r>
      <w:r>
        <w:br/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Avoided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climate change (section</w:t>
      </w:r>
      <w:r>
        <w:t xml:space="preserve"> </w:t>
      </w:r>
      <w:r>
        <w:t xml:space="preserve">6.3.1).</w:t>
      </w:r>
      <w:r>
        <w:t xml:space="preserve"> </w:t>
      </w:r>
      <w:r>
        <w:t xml:space="preserve">In option 3, in comparison with option</w:t>
      </w:r>
      <w:r>
        <w:t xml:space="preserve"> </w:t>
      </w:r>
      <w:r>
        <w:t xml:space="preserve">2, the average annual benefit from</w:t>
      </w:r>
      <w:r>
        <w:t xml:space="preserve"> </w:t>
      </w:r>
      <w:r>
        <w:t xml:space="preserve">climate change mitigation is between</w:t>
      </w:r>
      <w:r>
        <w:t xml:space="preserve"> </w:t>
      </w:r>
      <w:r>
        <w:t xml:space="preserve">EUR 20 and 38 billion for the time</w:t>
      </w:r>
      <w:r>
        <w:t xml:space="preserve"> </w:t>
      </w:r>
      <w:r>
        <w:t xml:space="preserve">period 2031-2040, by EUR 24 and 44</w:t>
      </w:r>
      <w:r>
        <w:t xml:space="preserve"> </w:t>
      </w:r>
      <w:r>
        <w:t xml:space="preserve">billion for 2041-2050 and by EUR 22</w:t>
      </w:r>
      <w:r>
        <w:t xml:space="preserve"> </w:t>
      </w:r>
      <w:r>
        <w:t xml:space="preserve">and 42 billion over the entire period</w:t>
      </w:r>
      <w:r>
        <w:t xml:space="preserve"> </w:t>
      </w:r>
      <w:r>
        <w:t xml:space="preserve">2031-2050.</w:t>
      </w:r>
    </w:p>
    <w:p>
      <w:pPr>
        <w:pStyle w:val="BodyText"/>
      </w:pPr>
      <w:r>
        <w:t xml:space="preserve">Avoiding costs of climate change is</w:t>
      </w:r>
      <w:r>
        <w:t xml:space="preserve"> </w:t>
      </w:r>
      <w:r>
        <w:t xml:space="preserve">a general benefit for the whole</w:t>
      </w:r>
      <w:r>
        <w:t xml:space="preserve"> </w:t>
      </w:r>
      <w:r>
        <w:t xml:space="preserve">society,</w:t>
      </w:r>
      <w:r>
        <w:t xml:space="preserve"> </w:t>
      </w:r>
      <w:r>
        <w:t xml:space="preserve">including</w:t>
      </w:r>
      <w:r>
        <w:t xml:space="preserve"> </w:t>
      </w:r>
      <w:r>
        <w:t xml:space="preserve">population,</w:t>
      </w:r>
      <w:r>
        <w:t xml:space="preserve"> </w:t>
      </w:r>
      <w:r>
        <w:t xml:space="preserve">businesses, the public budget, and</w:t>
      </w:r>
      <w:r>
        <w:t xml:space="preserve"> </w:t>
      </w:r>
      <w:r>
        <w:t xml:space="preserve">for nature and ecosystems.</w:t>
      </w:r>
      <w:r>
        <w:t xml:space="preserve"> </w:t>
      </w:r>
      <w:r>
        <w:t xml:space="preserve">Such costs are generally thought to</w:t>
      </w:r>
      <w:r>
        <w:t xml:space="preserve"> </w:t>
      </w:r>
      <w:r>
        <w:t xml:space="preserve">be</w:t>
      </w:r>
      <w:r>
        <w:t xml:space="preserve"> </w:t>
      </w:r>
      <w:r>
        <w:t xml:space="preserve">underestimated,</w:t>
      </w:r>
      <w:r>
        <w:t xml:space="preserve"> </w:t>
      </w:r>
      <w:r>
        <w:t xml:space="preserve">given</w:t>
      </w:r>
      <w:r>
        <w:t xml:space="preserve"> </w:t>
      </w:r>
      <w:r>
        <w:t xml:space="preserve">the</w:t>
      </w:r>
      <w:r>
        <w:t xml:space="preserve"> </w:t>
      </w:r>
      <w:r>
        <w:t xml:space="preserve">difficulty in predicting the impacts</w:t>
      </w:r>
      <w:r>
        <w:t xml:space="preserve"> </w:t>
      </w:r>
      <w:r>
        <w:t xml:space="preserve">of climate change.</w:t>
      </w:r>
      <w:r>
        <w:t xml:space="preserve"> </w:t>
      </w:r>
      <w:r>
        <w:t xml:space="preserve">This is specifically a benefit for all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sectors that are</w:t>
      </w:r>
      <w:r>
        <w:t xml:space="preserve"> </w:t>
      </w:r>
      <w:r>
        <w:t xml:space="preserve">dependent</w:t>
      </w:r>
      <w:r>
        <w:t xml:space="preserve"> </w:t>
      </w:r>
      <w:r>
        <w:t xml:space="preserve">on</w:t>
      </w:r>
      <w:r>
        <w:t xml:space="preserve"> </w:t>
      </w:r>
      <w:r>
        <w:t xml:space="preserve">meteorological</w:t>
      </w:r>
      <w:r>
        <w:t xml:space="preserve"> </w:t>
      </w:r>
      <w:r>
        <w:t xml:space="preserve">conditions and natural ecosystems</w:t>
      </w:r>
      <w:r>
        <w:t xml:space="preserve"> </w:t>
      </w:r>
      <w:r>
        <w:t xml:space="preserve">(agriculture, fishery, etc).</w:t>
      </w:r>
      <w:r>
        <w:br/>
      </w:r>
      <w:r>
        <w:t xml:space="preserve">This is a benefit for companies as it</w:t>
      </w:r>
      <w:r>
        <w:t xml:space="preserve"> </w:t>
      </w:r>
      <w:r>
        <w:t xml:space="preserve">reduces the risk of natural disasters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and associated consequences on</w:t>
      </w:r>
      <w:r>
        <w:t xml:space="preserve"> </w:t>
      </w:r>
      <w:r>
        <w:t xml:space="preserve">economic</w:t>
      </w:r>
      <w:r>
        <w:t xml:space="preserve"> </w:t>
      </w:r>
      <w:r>
        <w:t xml:space="preserve">activities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particularly true for SMEs which</w:t>
      </w:r>
      <w:r>
        <w:t xml:space="preserve"> </w:t>
      </w:r>
      <w:r>
        <w:t xml:space="preserve">tend to have low insurance coverage</w:t>
      </w:r>
      <w:r>
        <w:t xml:space="preserve"> </w:t>
      </w:r>
      <w:r>
        <w:t xml:space="preserve">for risks associated with extreme</w:t>
      </w:r>
      <w:r>
        <w:t xml:space="preserve"> </w:t>
      </w:r>
      <w:r>
        <w:t xml:space="preserve">weather events.</w:t>
      </w:r>
      <w:r>
        <w:t xml:space="preserve"> </w:t>
      </w:r>
      <w:r>
        <w:t xml:space="preserve">This is beneficial for public budgets</w:t>
      </w:r>
      <w:r>
        <w:t xml:space="preserve"> </w:t>
      </w:r>
      <w:r>
        <w:t xml:space="preserve">as it reduces the risk that public</w:t>
      </w:r>
      <w:r>
        <w:t xml:space="preserve"> </w:t>
      </w:r>
      <w:r>
        <w:t xml:space="preserve">money is needed to compensate</w:t>
      </w:r>
      <w:r>
        <w:t xml:space="preserve"> </w:t>
      </w:r>
      <w:r>
        <w:t xml:space="preserve">losses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extreme</w:t>
      </w:r>
      <w:r>
        <w:t xml:space="preserve"> </w:t>
      </w:r>
      <w:r>
        <w:t xml:space="preserve">weather events (for example losses</w:t>
      </w:r>
      <w:r>
        <w:t xml:space="preserve"> </w:t>
      </w:r>
      <w:r>
        <w:t xml:space="preserve">in agriculture due to droughts).</w:t>
      </w:r>
      <w:r>
        <w:t xml:space="preserve"> </w:t>
      </w:r>
      <w:r>
        <w:t xml:space="preserve">Finally,</w:t>
      </w:r>
      <w:r>
        <w:t xml:space="preserve"> </w:t>
      </w:r>
      <w:r>
        <w:t xml:space="preserve">all</w:t>
      </w:r>
      <w:r>
        <w:t xml:space="preserve"> </w:t>
      </w:r>
      <w:r>
        <w:t xml:space="preserve">citizens,</w:t>
      </w:r>
      <w:r>
        <w:t xml:space="preserve"> </w:t>
      </w:r>
      <w:r>
        <w:t xml:space="preserve">whether</w:t>
      </w:r>
      <w:r>
        <w:t xml:space="preserve"> </w:t>
      </w:r>
      <w:r>
        <w:t xml:space="preserve">workers</w:t>
      </w:r>
      <w:r>
        <w:t xml:space="preserve"> </w:t>
      </w:r>
      <w:r>
        <w:t xml:space="preserve">in</w:t>
      </w:r>
      <w:r>
        <w:t xml:space="preserve"> </w:t>
      </w:r>
      <w:r>
        <w:t xml:space="preserve">exposed</w:t>
      </w:r>
      <w:r>
        <w:t xml:space="preserve"> </w:t>
      </w:r>
      <w:r>
        <w:t xml:space="preserve">sectors,</w:t>
      </w:r>
      <w:r>
        <w:t xml:space="preserve"> </w:t>
      </w:r>
      <w:r>
        <w:t xml:space="preserve">inhabitants of potentially exposed</w:t>
      </w:r>
      <w:r>
        <w:t xml:space="preserve"> </w:t>
      </w:r>
      <w:r>
        <w:t xml:space="preserve">accommodations,</w:t>
      </w:r>
      <w:r>
        <w:t xml:space="preserve"> </w:t>
      </w:r>
      <w:r>
        <w:t xml:space="preserve">owners</w:t>
      </w:r>
      <w:r>
        <w:t xml:space="preserve"> </w:t>
      </w:r>
      <w:r>
        <w:t xml:space="preserve">of</w:t>
      </w:r>
      <w:r>
        <w:t xml:space="preserve"> </w:t>
      </w:r>
      <w:r>
        <w:t xml:space="preserve">exposed properties, or taxpayers</w:t>
      </w:r>
      <w:r>
        <w:t xml:space="preserve"> </w:t>
      </w:r>
      <w:r>
        <w:t xml:space="preserve">benefit in consequences of the</w:t>
      </w:r>
      <w:r>
        <w:t xml:space="preserve"> </w:t>
      </w:r>
      <w:r>
        <w:t xml:space="preserve">points mentioned above.</w:t>
      </w:r>
      <w:r>
        <w:t xml:space="preserve"> </w:t>
      </w:r>
      <w:r>
        <w:t xml:space="preserve">Higher</w:t>
      </w:r>
      <w:r>
        <w:t xml:space="preserve"> </w:t>
      </w:r>
      <w:r>
        <w:t xml:space="preserve">energy</w:t>
      </w:r>
      <w:r>
        <w:t xml:space="preserve"> </w:t>
      </w:r>
      <w: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t xml:space="preserve">reduction of the risks</w:t>
      </w:r>
      <w:r>
        <w:t xml:space="preserve"> </w:t>
      </w:r>
      <w:r>
        <w:t xml:space="preserve">associated with fossil</w:t>
      </w:r>
      <w:r>
        <w:t xml:space="preserve"> </w:t>
      </w:r>
      <w:r>
        <w:t xml:space="preserve">fuel price shocks (see</w:t>
      </w:r>
      <w:r>
        <w:t xml:space="preserve"> </w:t>
      </w:r>
      <w:r>
        <w:t xml:space="preserve">section 6.4.3.1)</w:t>
      </w:r>
      <w:r>
        <w:t xml:space="preserve"> </w:t>
      </w:r>
      <w:r>
        <w:t xml:space="preserve">In comparison with option 2, option 3</w:t>
      </w:r>
      <w:r>
        <w:t xml:space="preserve"> </w:t>
      </w:r>
      <w:r>
        <w:t xml:space="preserve">implies average annual savings of €22</w:t>
      </w:r>
      <w:r>
        <w:t xml:space="preserve"> </w:t>
      </w:r>
      <w:r>
        <w:t xml:space="preserve">billion for 2031-2040 due to reduced</w:t>
      </w:r>
      <w:r>
        <w:t xml:space="preserve"> </w:t>
      </w:r>
      <w:r>
        <w:t xml:space="preserve">fossil fuel import. In 2041-2050, the</w:t>
      </w:r>
      <w:r>
        <w:t xml:space="preserve"> </w:t>
      </w:r>
      <w:r>
        <w:t xml:space="preserve">annual savings amount to EUR 9 billion.</w:t>
      </w:r>
    </w:p>
    <w:p>
      <w:pPr>
        <w:pStyle w:val="BodyText"/>
      </w:pPr>
      <w:r>
        <w:t xml:space="preserve">This is a benefit for the whole</w:t>
      </w:r>
      <w:r>
        <w:t xml:space="preserve"> </w:t>
      </w:r>
      <w:r>
        <w:t xml:space="preserve">economy, large companies as well</w:t>
      </w:r>
      <w:r>
        <w:t xml:space="preserve"> </w:t>
      </w:r>
      <w:r>
        <w:t xml:space="preserve">as SMEs, and, in fine, for the public</w:t>
      </w:r>
      <w:r>
        <w:t xml:space="preserve"> </w:t>
      </w:r>
      <w:r>
        <w:t xml:space="preserve">budget as well. The higher energy</w:t>
      </w:r>
      <w:r>
        <w:t xml:space="preserve"> </w:t>
      </w:r>
      <w:r>
        <w:t xml:space="preserve">independence reduces the risk of</w:t>
      </w:r>
      <w:r>
        <w:t xml:space="preserve"> </w:t>
      </w:r>
      <w:r>
        <w:t xml:space="preserve">fossil</w:t>
      </w:r>
      <w:r>
        <w:t xml:space="preserve"> </w:t>
      </w:r>
      <w:r>
        <w:t xml:space="preserve">fuel</w:t>
      </w:r>
      <w:r>
        <w:t xml:space="preserve"> </w:t>
      </w:r>
      <w:r>
        <w:t xml:space="preserve">price</w:t>
      </w:r>
      <w:r>
        <w:t xml:space="preserve"> </w:t>
      </w:r>
      <w:r>
        <w:t xml:space="preserve">shocks</w:t>
      </w:r>
      <w:r>
        <w:t xml:space="preserve"> </w:t>
      </w:r>
      <w:r>
        <w:t xml:space="preserve">for</w:t>
      </w:r>
      <w:r>
        <w:t xml:space="preserve"> </w:t>
      </w:r>
      <w:r>
        <w:t xml:space="preserve">companies, SMEs and all citizens.</w:t>
      </w:r>
      <w:r>
        <w:t xml:space="preserve"> </w:t>
      </w:r>
      <w:r>
        <w:t xml:space="preserve">For all, it provides larger certainty</w:t>
      </w:r>
      <w:r>
        <w:t xml:space="preserve"> </w:t>
      </w:r>
      <w:r>
        <w:t xml:space="preserve">to have access to energy at an</w:t>
      </w:r>
      <w:r>
        <w:t xml:space="preserve"> </w:t>
      </w:r>
      <w:r>
        <w:t xml:space="preserve">affordable price.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air</w:t>
      </w:r>
      <w:r>
        <w:t xml:space="preserve"> </w:t>
      </w:r>
      <w:r>
        <w:t xml:space="preserve">pollution and reduction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associated</w:t>
      </w:r>
      <w:r>
        <w:t xml:space="preserve"> </w:t>
      </w:r>
      <w:r>
        <w:t xml:space="preserve">premature</w:t>
      </w:r>
      <w:r>
        <w:t xml:space="preserve"> </w:t>
      </w:r>
      <w:r>
        <w:t xml:space="preserve">mortality</w:t>
      </w:r>
      <w:r>
        <w:t xml:space="preserve"> </w:t>
      </w:r>
      <w:r>
        <w:t xml:space="preserve">and</w:t>
      </w:r>
      <w:r>
        <w:t xml:space="preserve"> </w:t>
      </w:r>
      <w:r>
        <w:t xml:space="preserve">morbidity</w:t>
      </w:r>
      <w:r>
        <w:t xml:space="preserve"> </w:t>
      </w:r>
      <w:r>
        <w:t xml:space="preserve">(see</w:t>
      </w:r>
      <w:r>
        <w:t xml:space="preserve"> </w:t>
      </w:r>
      <w:r>
        <w:t xml:space="preserve">Section 6.3.2)</w:t>
      </w:r>
      <w:r>
        <w:t xml:space="preserve"> </w:t>
      </w:r>
      <w:r>
        <w:t xml:space="preserve">Annually, the average benefit from air</w:t>
      </w:r>
      <w:r>
        <w:t xml:space="preserve"> </w:t>
      </w:r>
      <w:r>
        <w:t xml:space="preserve">pollution reduction is between EUR 1 to</w:t>
      </w:r>
      <w:r>
        <w:t xml:space="preserve"> </w:t>
      </w:r>
      <w:r>
        <w:t xml:space="preserve">2 billion in option 3 compared to option</w:t>
      </w:r>
      <w:r>
        <w:t xml:space="preserve"> </w:t>
      </w:r>
      <w:r>
        <w:t xml:space="preserve">2 (in 2031-2040, as well as in 2041-</w:t>
      </w:r>
      <w:r>
        <w:t xml:space="preserve"> </w:t>
      </w:r>
      <w:r>
        <w:t xml:space="preserve">2050).</w:t>
      </w:r>
      <w:r>
        <w:br/>
      </w:r>
      <w:r>
        <w:t xml:space="preserve">This is a benefit for the whole EU</w:t>
      </w:r>
      <w:r>
        <w:t xml:space="preserve"> </w:t>
      </w:r>
      <w:r>
        <w:t xml:space="preserve">population and for the public budget</w:t>
      </w:r>
      <w:r>
        <w:t xml:space="preserve"> </w:t>
      </w:r>
      <w:r>
        <w:t xml:space="preserve">as a consequence of reduced health</w:t>
      </w:r>
      <w:r>
        <w:t xml:space="preserve"> </w:t>
      </w:r>
      <w:r>
        <w:t xml:space="preserve">expenses. The health of all citizens</w:t>
      </w:r>
      <w:r>
        <w:t xml:space="preserve"> </w:t>
      </w:r>
      <w:r>
        <w:t xml:space="preserve">benefits from reduced air pollution.</w:t>
      </w:r>
      <w:r>
        <w:t xml:space="preserve"> </w:t>
      </w:r>
      <w:r>
        <w:t xml:space="preserve">This</w:t>
      </w:r>
      <w:r>
        <w:t xml:space="preserve"> </w:t>
      </w:r>
      <w:r>
        <w:t xml:space="preserve">reduces</w:t>
      </w:r>
      <w:r>
        <w:t xml:space="preserve"> </w:t>
      </w:r>
      <w:r>
        <w:t xml:space="preserve">health</w:t>
      </w:r>
      <w:r>
        <w:t xml:space="preserve"> </w:t>
      </w:r>
      <w:r>
        <w:t xml:space="preserve">expenses,</w:t>
      </w:r>
      <w:r>
        <w:t xml:space="preserve"> </w:t>
      </w:r>
      <w:r>
        <w:t xml:space="preserve">whether they are borne by public</w:t>
      </w:r>
      <w:r>
        <w:t xml:space="preserve"> </w:t>
      </w:r>
      <w:r>
        <w:t xml:space="preserve">authorities or by private insurance</w:t>
      </w:r>
      <w:r>
        <w:t xml:space="preserve"> </w:t>
      </w:r>
      <w:r>
        <w:t xml:space="preserve">companies. In turn, this benefits</w:t>
      </w:r>
      <w:r>
        <w:t xml:space="preserve"> </w:t>
      </w:r>
      <w:r>
        <w:t xml:space="preserve">taxpayers and allows the public</w:t>
      </w:r>
      <w:r>
        <w:t xml:space="preserve"> </w:t>
      </w:r>
      <w:r>
        <w:t xml:space="preserve">budget to be used for other needs.</w:t>
      </w:r>
    </w:p>
    <w:p>
      <w:pPr>
        <w:pStyle w:val="BodyText"/>
      </w:pPr>
      <w:r>
        <w:t xml:space="preserve">113</w:t>
      </w:r>
    </w:p>
    <w:p>
      <w:pPr>
        <w:pStyle w:val="Compact"/>
        <w:numPr>
          <w:ilvl w:val="0"/>
          <w:numId w:val="105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</w:t>
      </w:r>
      <w:r>
        <w:t xml:space="preserve"> </w:t>
      </w:r>
      <w:r>
        <w:t xml:space="preserve">t</w:t>
      </w:r>
      <w:r>
        <w:t xml:space="preserve"> </w:t>
      </w:r>
      <w:r>
        <w:t xml:space="preserve">Action (a) 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The figures for energy</w:t>
      </w:r>
      <w:r>
        <w:t xml:space="preserve"> </w:t>
      </w:r>
      <w:r>
        <w:t xml:space="preserve">system costs provided</w:t>
      </w:r>
      <w:r>
        <w:t xml:space="preserve"> </w:t>
      </w:r>
      <w:r>
        <w:t xml:space="preserve">below are annual</w:t>
      </w:r>
      <w:r>
        <w:t xml:space="preserve"> </w:t>
      </w:r>
      <w:r>
        <w:t xml:space="preserve">averages. More details</w:t>
      </w:r>
      <w:r>
        <w:t xml:space="preserve"> </w:t>
      </w:r>
      <w:r>
        <w:t xml:space="preserve">can be found in section 6.</w:t>
      </w:r>
      <w:r>
        <w:t xml:space="preserve"> </w:t>
      </w:r>
      <w:r>
        <w:t xml:space="preserve">4.3. of this document and</w:t>
      </w:r>
      <w:r>
        <w:t xml:space="preserve"> </w:t>
      </w:r>
      <w:r>
        <w:t xml:space="preserve">in Section 2.3 of Annex 8.</w:t>
      </w:r>
      <w:r>
        <w:t xml:space="preserve"> </w:t>
      </w:r>
      <w:r>
        <w:t xml:space="preserve">For the residential sector,</w:t>
      </w:r>
      <w:r>
        <w:t xml:space="preserve"> </w:t>
      </w:r>
      <w:r>
        <w:t xml:space="preserve">the total energy system</w:t>
      </w:r>
      <w:r>
        <w:t xml:space="preserve"> </w:t>
      </w:r>
      <w:r>
        <w:t xml:space="preserve">costs in 2031-2040 are</w:t>
      </w:r>
      <w:r>
        <w:t xml:space="preserve"> </w:t>
      </w:r>
      <w:r>
        <w:t xml:space="preserve">EUR 9 billion (1%)</w:t>
      </w:r>
      <w:r>
        <w:t xml:space="preserve"> </w:t>
      </w:r>
      <w:r>
        <w:t xml:space="preserve">higher in option 3 than in</w:t>
      </w:r>
      <w:r>
        <w:t xml:space="preserve"> </w:t>
      </w:r>
      <w:r>
        <w:t xml:space="preserve">option 2. For 2041-2050,</w:t>
      </w:r>
      <w:r>
        <w:t xml:space="preserve"> </w:t>
      </w:r>
      <w:r>
        <w:t xml:space="preserve">they are EUR 2 billion</w:t>
      </w:r>
      <w:r>
        <w:t xml:space="preserve"> </w:t>
      </w:r>
      <w:r>
        <w:t xml:space="preserve">(0.2%) higher in option 3</w:t>
      </w:r>
      <w:r>
        <w:t xml:space="preserve"> </w:t>
      </w:r>
      <w:r>
        <w:t xml:space="preserve">than in option 2. The</w:t>
      </w:r>
      <w:r>
        <w:t xml:space="preserve"> </w:t>
      </w:r>
      <w:r>
        <w:t xml:space="preserve">capital costs116 are EUR 8</w:t>
      </w:r>
      <w:r>
        <w:t xml:space="preserve"> </w:t>
      </w:r>
      <w:r>
        <w:t xml:space="preserve">billion (1.6%) more in</w:t>
      </w:r>
      <w:r>
        <w:t xml:space="preserve"> </w:t>
      </w:r>
      <w:r>
        <w:t xml:space="preserve">option 3 than in option 2</w:t>
      </w:r>
      <w:r>
        <w:t xml:space="preserve"> </w:t>
      </w:r>
      <w:r>
        <w:t xml:space="preserve">for 2031-2040 and EUR 4</w:t>
      </w:r>
      <w:r>
        <w:t xml:space="preserve"> </w:t>
      </w:r>
      <w:r>
        <w:t xml:space="preserve">billion (0.7%) more for</w:t>
      </w:r>
      <w:r>
        <w:t xml:space="preserve"> </w:t>
      </w:r>
      <w:r>
        <w:t xml:space="preserve">2041-2050. Energy</w:t>
      </w:r>
      <w:r>
        <w:t xml:space="preserve"> </w:t>
      </w:r>
      <w:r>
        <w:t xml:space="preserve">purchases are EUR 1</w:t>
      </w:r>
      <w:r>
        <w:t xml:space="preserve"> </w:t>
      </w:r>
      <w:r>
        <w:t xml:space="preserve">billion higher in option 3</w:t>
      </w:r>
      <w:r>
        <w:t xml:space="preserve"> </w:t>
      </w:r>
      <w:r>
        <w:t xml:space="preserve">than in option 2 for 2031-</w:t>
      </w:r>
      <w:r>
        <w:t xml:space="preserve"> </w:t>
      </w:r>
      <w:r>
        <w:t xml:space="preserve">2040 but EUR 2 billion</w:t>
      </w:r>
      <w:r>
        <w:t xml:space="preserve"> </w:t>
      </w:r>
      <w:r>
        <w:t xml:space="preserve">lower for 2041-2050.</w:t>
      </w:r>
    </w:p>
    <w:p>
      <w:pPr>
        <w:pStyle w:val="BodyText"/>
      </w:pPr>
      <w:r>
        <w:t xml:space="preserve">The figures for energy system</w:t>
      </w:r>
      <w:r>
        <w:t xml:space="preserve"> </w:t>
      </w:r>
      <w:r>
        <w:t xml:space="preserve">costs provided below are</w:t>
      </w:r>
      <w:r>
        <w:t xml:space="preserve"> </w:t>
      </w:r>
      <w:r>
        <w:t xml:space="preserve">annual averages. More details</w:t>
      </w:r>
      <w:r>
        <w:t xml:space="preserve"> </w:t>
      </w:r>
      <w:r>
        <w:t xml:space="preserve">can be found in section 6.</w:t>
      </w:r>
      <w:r>
        <w:t xml:space="preserve"> </w:t>
      </w:r>
      <w:r>
        <w:t xml:space="preserve">4.3. of this document and in</w:t>
      </w:r>
      <w:r>
        <w:t xml:space="preserve"> </w:t>
      </w:r>
      <w:r>
        <w:t xml:space="preserve">Section 2.3 of Annex 8.</w:t>
      </w:r>
      <w:r>
        <w:t xml:space="preserve"> </w:t>
      </w:r>
      <w:r>
        <w:t xml:space="preserve">For industry the capital costs</w:t>
      </w:r>
      <w:r>
        <w:t xml:space="preserve"> </w:t>
      </w:r>
      <w:r>
        <w:t xml:space="preserve">are EUR 2 billion (2%)</w:t>
      </w:r>
      <w:r>
        <w:t xml:space="preserve"> </w:t>
      </w:r>
      <w:r>
        <w:t xml:space="preserve">higher in 2031-2040 in option</w:t>
      </w:r>
      <w:r>
        <w:t xml:space="preserve"> </w:t>
      </w:r>
      <w:r>
        <w:t xml:space="preserve">3 compared to option 2 and</w:t>
      </w:r>
      <w:r>
        <w:t xml:space="preserve"> </w:t>
      </w:r>
      <w:r>
        <w:t xml:space="preserve">EUR 1 billion (less than 1%)</w:t>
      </w:r>
      <w:r>
        <w:t xml:space="preserve"> </w:t>
      </w:r>
      <w:r>
        <w:t xml:space="preserve">higher in 2041-2050. Energy</w:t>
      </w:r>
      <w:r>
        <w:t xml:space="preserve"> </w:t>
      </w:r>
      <w:r>
        <w:t xml:space="preserve">purchases are EUR 8 billion</w:t>
      </w:r>
      <w:r>
        <w:t xml:space="preserve"> </w:t>
      </w:r>
      <w:r>
        <w:t xml:space="preserve">(2%) more in option 3</w:t>
      </w:r>
      <w:r>
        <w:t xml:space="preserve"> </w:t>
      </w:r>
      <w:r>
        <w:t xml:space="preserve">compared to option 2 for</w:t>
      </w:r>
      <w:r>
        <w:t xml:space="preserve"> </w:t>
      </w:r>
      <w:r>
        <w:t xml:space="preserve">2031-2040. They are EUR 2</w:t>
      </w:r>
      <w:r>
        <w:t xml:space="preserve"> </w:t>
      </w:r>
      <w:r>
        <w:t xml:space="preserve">billion (0.5%) more for 2041-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For the tertiary sector, capital</w:t>
      </w:r>
      <w:r>
        <w:t xml:space="preserve"> </w:t>
      </w:r>
      <w:r>
        <w:t xml:space="preserve">costs are EUR 4 billion (3%)</w:t>
      </w:r>
      <w:r>
        <w:t xml:space="preserve"> </w:t>
      </w:r>
      <w:r>
        <w:t xml:space="preserve">more in option 3 than in</w:t>
      </w:r>
      <w:r>
        <w:t xml:space="preserve"> </w:t>
      </w:r>
      <w:r>
        <w:t xml:space="preserve">option 2 for the time period</w:t>
      </w:r>
      <w:r>
        <w:t xml:space="preserve"> </w:t>
      </w:r>
      <w:r>
        <w:t xml:space="preserve">2031-2040. They are EUR 2</w:t>
      </w:r>
      <w:r>
        <w:t xml:space="preserve"> </w:t>
      </w:r>
      <w:r>
        <w:t xml:space="preserve">billion (1%) higher for the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2041-2050.</w:t>
      </w:r>
      <w:r>
        <w:t xml:space="preserve"> </w:t>
      </w:r>
      <w:r>
        <w:t xml:space="preserve">Energy purchases are EUR 1</w:t>
      </w:r>
      <w:r>
        <w:t xml:space="preserve"> </w:t>
      </w:r>
      <w:r>
        <w:t xml:space="preserve">billion (0.4%) smaller in</w:t>
      </w:r>
      <w:r>
        <w:t xml:space="preserve"> </w:t>
      </w:r>
      <w:r>
        <w:t xml:space="preserve">option 3 than in option 2 for</w:t>
      </w:r>
      <w:r>
        <w:t xml:space="preserve"> </w:t>
      </w:r>
      <w:r>
        <w:t xml:space="preserve">2031-2040. They are EUR 1</w:t>
      </w:r>
      <w:r>
        <w:t xml:space="preserve"> </w:t>
      </w:r>
      <w:r>
        <w:t xml:space="preserve">billion (0.4%) smaller for</w:t>
      </w:r>
      <w:r>
        <w:t xml:space="preserve"> </w:t>
      </w:r>
      <w:r>
        <w:t xml:space="preserve">2041-2050.</w:t>
      </w:r>
      <w:r>
        <w:t xml:space="preserve"> </w:t>
      </w:r>
      <w:r>
        <w:t xml:space="preserve">Will depend on the</w:t>
      </w:r>
      <w:r>
        <w:t xml:space="preserve"> </w:t>
      </w:r>
      <w:r>
        <w:t xml:space="preserve">future</w:t>
      </w:r>
      <w:r>
        <w:t xml:space="preserve"> </w:t>
      </w:r>
      <w:r>
        <w:t xml:space="preserve">post-2030</w:t>
      </w:r>
      <w:r>
        <w:t xml:space="preserve"> </w:t>
      </w:r>
      <w:r>
        <w:t xml:space="preserve">policy framework.</w:t>
      </w:r>
      <w:r>
        <w:t xml:space="preserve"> </w:t>
      </w:r>
      <w:r>
        <w:t xml:space="preserve">It will also depend</w:t>
      </w:r>
      <w:r>
        <w:t xml:space="preserve"> </w:t>
      </w:r>
      <w:r>
        <w:t xml:space="preserve">on the share of the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households</w:t>
      </w:r>
      <w:r>
        <w:t xml:space="preserve"> </w:t>
      </w:r>
      <w:r>
        <w:t xml:space="preserve">and</w:t>
      </w:r>
      <w:r>
        <w:t xml:space="preserve"> </w:t>
      </w:r>
      <w:r>
        <w:t xml:space="preserve">companies that can</w:t>
      </w:r>
      <w:r>
        <w:t xml:space="preserve"> </w:t>
      </w:r>
      <w:r>
        <w:t xml:space="preserve">be borne by public</w:t>
      </w:r>
      <w:r>
        <w:t xml:space="preserve"> </w:t>
      </w:r>
      <w:r>
        <w:t xml:space="preserve">funding.</w:t>
      </w:r>
      <w:r>
        <w:t xml:space="preserve"> </w:t>
      </w:r>
      <w:r>
        <w:t xml:space="preserve">This</w:t>
      </w:r>
      <w:r>
        <w:t xml:space="preserve"> </w:t>
      </w:r>
      <w:r>
        <w:t xml:space="preserve">partly depends on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legislations</w:t>
      </w:r>
      <w:r>
        <w:t xml:space="preserve"> </w:t>
      </w:r>
      <w:r>
        <w:t xml:space="preserve">(for</w:t>
      </w:r>
      <w:r>
        <w:t xml:space="preserve"> </w:t>
      </w:r>
      <w:r>
        <w:t xml:space="preserve">example</w:t>
      </w:r>
      <w:r>
        <w:t xml:space="preserve"> </w:t>
      </w:r>
      <w:r>
        <w:t xml:space="preserve">national</w:t>
      </w:r>
      <w:r>
        <w:t xml:space="preserve"> </w:t>
      </w:r>
      <w:r>
        <w:t xml:space="preserve">or</w:t>
      </w:r>
      <w:r>
        <w:t xml:space="preserve"> </w:t>
      </w:r>
      <w:r>
        <w:t xml:space="preserve">regional</w:t>
      </w:r>
      <w:r>
        <w:t xml:space="preserve"> </w:t>
      </w:r>
      <w:r>
        <w:t xml:space="preserve">funding</w:t>
      </w:r>
      <w:r>
        <w:t xml:space="preserve"> </w:t>
      </w:r>
      <w:r>
        <w:t xml:space="preserve">for</w:t>
      </w:r>
      <w:r>
        <w:t xml:space="preserve"> </w:t>
      </w:r>
      <w:r>
        <w:t xml:space="preserve">improving energy</w:t>
      </w:r>
      <w:r>
        <w:t xml:space="preserve"> </w:t>
      </w:r>
      <w:r>
        <w:t xml:space="preserve">efficiency in the</w:t>
      </w:r>
      <w:r>
        <w:t xml:space="preserve"> </w:t>
      </w:r>
      <w:r>
        <w:t xml:space="preserve">residential sector).</w:t>
      </w:r>
      <w:r>
        <w:t xml:space="preserve"> </w:t>
      </w:r>
      <w:r>
        <w:t xml:space="preserve">Energy systems costs for transport are borne partly by households, partly by businesses and</w:t>
      </w:r>
      <w:r>
        <w:t xml:space="preserve"> </w:t>
      </w:r>
      <w:r>
        <w:t xml:space="preserve">public administrations. The corresponding capital costs are EUR 4 billion (1.6%) higher in</w:t>
      </w:r>
    </w:p>
    <w:p>
      <w:pPr>
        <w:pStyle w:val="BodyText"/>
      </w:pPr>
      <w:r>
        <w:t xml:space="preserve">116 Capital costs includes financing and opportunity cost for private actors through the application of a</w:t>
      </w:r>
      <w:r>
        <w:t xml:space="preserve"> </w:t>
      </w:r>
      <w:r>
        <w:t xml:space="preserve">WACC at 10% in the annualization of overnight investment costs.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2031-2040 for option 3 compared to option 2, and EUR 6 billion (2%) higher in 2041-2050.</w:t>
      </w:r>
      <w:r>
        <w:t xml:space="preserve"> </w:t>
      </w:r>
      <w:r>
        <w:t xml:space="preserve">Energy purchases for transport are EUR 12 billion (2%) higher in 2031-2040 but EUR 7</w:t>
      </w:r>
      <w:r>
        <w:t xml:space="preserve"> </w:t>
      </w:r>
      <w:r>
        <w:t xml:space="preserve">billion (1.4 %) lower in 2041-2050.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Will depend on the future post-2030 policy framework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Will depend on the future post-2030 policy framework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Will depend on the future post-2030 policy framework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t xml:space="preserve"> </w:t>
      </w:r>
      <w:r>
        <w:t xml:space="preserve">Direct</w:t>
      </w:r>
      <w:r>
        <w:t xml:space="preserve"> </w:t>
      </w:r>
      <w:r>
        <w:t xml:space="preserve">and</w:t>
      </w:r>
      <w:r>
        <w:t xml:space="preserve"> </w:t>
      </w: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The figures for energy</w:t>
      </w:r>
      <w:r>
        <w:t xml:space="preserve"> </w:t>
      </w:r>
      <w:r>
        <w:t xml:space="preserve">system costs provided</w:t>
      </w:r>
      <w:r>
        <w:t xml:space="preserve"> </w:t>
      </w:r>
      <w:r>
        <w:t xml:space="preserve">below are annual</w:t>
      </w:r>
      <w:r>
        <w:t xml:space="preserve"> </w:t>
      </w:r>
      <w:r>
        <w:t xml:space="preserve">averages. More details</w:t>
      </w:r>
      <w:r>
        <w:t xml:space="preserve"> </w:t>
      </w:r>
      <w:r>
        <w:t xml:space="preserve">can be found in section 6.</w:t>
      </w:r>
      <w:r>
        <w:t xml:space="preserve"> </w:t>
      </w:r>
      <w:r>
        <w:t xml:space="preserve">4.3. of this document and</w:t>
      </w:r>
      <w:r>
        <w:t xml:space="preserve"> </w:t>
      </w:r>
      <w:r>
        <w:t xml:space="preserve">in Section 2.3 of Annex 8.</w:t>
      </w:r>
      <w:r>
        <w:t xml:space="preserve"> </w:t>
      </w:r>
      <w:r>
        <w:t xml:space="preserve">For the residential sector,</w:t>
      </w:r>
      <w:r>
        <w:t xml:space="preserve"> </w:t>
      </w:r>
      <w:r>
        <w:t xml:space="preserve">the total energy system</w:t>
      </w:r>
      <w:r>
        <w:t xml:space="preserve"> </w:t>
      </w:r>
      <w:r>
        <w:t xml:space="preserve">costs in 2031-2040 are</w:t>
      </w:r>
      <w:r>
        <w:t xml:space="preserve"> </w:t>
      </w:r>
      <w:r>
        <w:t xml:space="preserve">EUR 9 billion (1%)</w:t>
      </w:r>
      <w:r>
        <w:t xml:space="preserve"> </w:t>
      </w:r>
      <w:r>
        <w:t xml:space="preserve">higher in option 3 than in</w:t>
      </w:r>
      <w:r>
        <w:t xml:space="preserve"> </w:t>
      </w:r>
      <w:r>
        <w:t xml:space="preserve">option 2. For 2041-2050,</w:t>
      </w:r>
      <w:r>
        <w:t xml:space="preserve"> </w:t>
      </w:r>
      <w:r>
        <w:t xml:space="preserve">they are EUR 2 billion</w:t>
      </w:r>
      <w:r>
        <w:t xml:space="preserve"> </w:t>
      </w:r>
      <w:r>
        <w:t xml:space="preserve">(0.2%) higher in option 3</w:t>
      </w:r>
      <w:r>
        <w:t xml:space="preserve"> </w:t>
      </w:r>
      <w:r>
        <w:t xml:space="preserve">than in option 2. The</w:t>
      </w:r>
      <w:r>
        <w:t xml:space="preserve"> </w:t>
      </w:r>
      <w:r>
        <w:t xml:space="preserve">capital costs117 are EUR 8</w:t>
      </w:r>
      <w:r>
        <w:t xml:space="preserve"> </w:t>
      </w:r>
      <w:r>
        <w:t xml:space="preserve">billion (1.6%) more in</w:t>
      </w:r>
      <w:r>
        <w:t xml:space="preserve"> </w:t>
      </w:r>
      <w:r>
        <w:t xml:space="preserve">option 3 than in option 2</w:t>
      </w:r>
      <w:r>
        <w:t xml:space="preserve"> </w:t>
      </w:r>
      <w:r>
        <w:t xml:space="preserve">for 2031-2040 and EUR 4</w:t>
      </w:r>
      <w:r>
        <w:t xml:space="preserve"> </w:t>
      </w:r>
      <w:r>
        <w:t xml:space="preserve">billion (0.7%) more for</w:t>
      </w:r>
      <w:r>
        <w:t xml:space="preserve"> </w:t>
      </w:r>
      <w:r>
        <w:t xml:space="preserve">2041-2050. Energy</w:t>
      </w:r>
      <w:r>
        <w:t xml:space="preserve"> </w:t>
      </w:r>
      <w:r>
        <w:t xml:space="preserve">purchases are EUR 1</w:t>
      </w:r>
      <w:r>
        <w:t xml:space="preserve"> </w:t>
      </w:r>
      <w:r>
        <w:t xml:space="preserve">billion higher in option 3</w:t>
      </w:r>
      <w:r>
        <w:t xml:space="preserve"> </w:t>
      </w:r>
      <w:r>
        <w:t xml:space="preserve">than in option 2 for 2031-</w:t>
      </w:r>
      <w:r>
        <w:t xml:space="preserve"> </w:t>
      </w:r>
      <w:r>
        <w:t xml:space="preserve">2040 but EUR 2 billion</w:t>
      </w:r>
    </w:p>
    <w:p>
      <w:pPr>
        <w:pStyle w:val="BodyText"/>
      </w:pPr>
      <w:r>
        <w:t xml:space="preserve">The figures for energy system</w:t>
      </w:r>
      <w:r>
        <w:t xml:space="preserve"> </w:t>
      </w:r>
      <w:r>
        <w:t xml:space="preserve">costs provided below are</w:t>
      </w:r>
      <w:r>
        <w:t xml:space="preserve"> </w:t>
      </w:r>
      <w:r>
        <w:t xml:space="preserve">annual averages. More details</w:t>
      </w:r>
      <w:r>
        <w:t xml:space="preserve"> </w:t>
      </w:r>
      <w:r>
        <w:t xml:space="preserve">can be found in section 6.</w:t>
      </w:r>
      <w:r>
        <w:t xml:space="preserve"> </w:t>
      </w:r>
      <w:r>
        <w:t xml:space="preserve">4.3. of this document and in</w:t>
      </w:r>
      <w:r>
        <w:t xml:space="preserve"> </w:t>
      </w:r>
      <w:r>
        <w:t xml:space="preserve">Section 2.3 of Annex 8.</w:t>
      </w:r>
      <w:r>
        <w:t xml:space="preserve"> </w:t>
      </w:r>
      <w:r>
        <w:t xml:space="preserve">For industry the capital costs</w:t>
      </w:r>
      <w:r>
        <w:t xml:space="preserve"> </w:t>
      </w:r>
      <w:r>
        <w:t xml:space="preserve">are EUR 2 billion (2%)</w:t>
      </w:r>
      <w:r>
        <w:t xml:space="preserve"> </w:t>
      </w:r>
      <w:r>
        <w:t xml:space="preserve">higher in 2031-2040 in option</w:t>
      </w:r>
      <w:r>
        <w:t xml:space="preserve"> </w:t>
      </w:r>
      <w:r>
        <w:t xml:space="preserve">3 compared to option 2 and</w:t>
      </w:r>
      <w:r>
        <w:t xml:space="preserve"> </w:t>
      </w:r>
      <w:r>
        <w:t xml:space="preserve">EUR 1 billion (less than 1%)</w:t>
      </w:r>
      <w:r>
        <w:t xml:space="preserve"> </w:t>
      </w:r>
      <w:r>
        <w:t xml:space="preserve">higher in 2041-2050. Energy</w:t>
      </w:r>
      <w:r>
        <w:t xml:space="preserve"> </w:t>
      </w:r>
      <w:r>
        <w:t xml:space="preserve">purchases are EUR 8 billion</w:t>
      </w:r>
      <w:r>
        <w:t xml:space="preserve"> </w:t>
      </w:r>
      <w:r>
        <w:t xml:space="preserve">(2%) more in option 3</w:t>
      </w:r>
      <w:r>
        <w:t xml:space="preserve"> </w:t>
      </w:r>
      <w:r>
        <w:t xml:space="preserve">compared to option 2 for</w:t>
      </w:r>
      <w:r>
        <w:t xml:space="preserve"> </w:t>
      </w:r>
      <w:r>
        <w:t xml:space="preserve">2031-2040. They are EUR 2</w:t>
      </w:r>
      <w:r>
        <w:t xml:space="preserve"> </w:t>
      </w:r>
      <w:r>
        <w:t xml:space="preserve">billion (0.5%) more for 2041-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For the tertiary sector, capital</w:t>
      </w:r>
      <w:r>
        <w:t xml:space="preserve"> </w:t>
      </w:r>
      <w:r>
        <w:t xml:space="preserve">costs are EUR 4 billion (3%)</w:t>
      </w:r>
      <w:r>
        <w:t xml:space="preserve"> </w:t>
      </w:r>
      <w:r>
        <w:t xml:space="preserve">more in option 3 than in</w:t>
      </w:r>
      <w:r>
        <w:t xml:space="preserve"> </w:t>
      </w:r>
      <w:r>
        <w:t xml:space="preserve">option 2 for the time period</w:t>
      </w:r>
      <w:r>
        <w:t xml:space="preserve"> </w:t>
      </w:r>
      <w:r>
        <w:t xml:space="preserve">2031-2040. They are EUR 2</w:t>
      </w:r>
    </w:p>
    <w:p>
      <w:pPr>
        <w:pStyle w:val="BodyText"/>
      </w:pPr>
      <w:r>
        <w:t xml:space="preserve">117 Capital costs includes financing and opportunity cost for private actors through the application of a</w:t>
      </w:r>
      <w:r>
        <w:t xml:space="preserve"> </w:t>
      </w:r>
      <w:r>
        <w:t xml:space="preserve">WACC at 10% in the annualization of overnight investment costs.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lower for 2041-2050.</w:t>
      </w:r>
    </w:p>
    <w:p>
      <w:pPr>
        <w:pStyle w:val="BodyText"/>
      </w:pPr>
      <w:r>
        <w:t xml:space="preserve">billion (1%) higher for the</w:t>
      </w:r>
      <w:r>
        <w:t xml:space="preserve"> </w:t>
      </w:r>
      <w:r>
        <w:t xml:space="preserve">time</w:t>
      </w:r>
      <w:r>
        <w:t xml:space="preserve"> </w:t>
      </w:r>
      <w:r>
        <w:t xml:space="preserve">period</w:t>
      </w:r>
      <w:r>
        <w:t xml:space="preserve"> </w:t>
      </w:r>
      <w:r>
        <w:t xml:space="preserve">2041-2050.</w:t>
      </w:r>
      <w:r>
        <w:t xml:space="preserve"> </w:t>
      </w:r>
      <w:r>
        <w:t xml:space="preserve">Energy purchases are EUR 1</w:t>
      </w:r>
      <w:r>
        <w:t xml:space="preserve"> </w:t>
      </w:r>
      <w:r>
        <w:t xml:space="preserve">billion (0.4%) smaller in</w:t>
      </w:r>
      <w:r>
        <w:t xml:space="preserve"> </w:t>
      </w:r>
      <w:r>
        <w:t xml:space="preserve">option 3 than in option 2 for</w:t>
      </w:r>
      <w:r>
        <w:t xml:space="preserve"> </w:t>
      </w:r>
      <w:r>
        <w:t xml:space="preserve">2031-2040. They are EUR 1</w:t>
      </w:r>
      <w:r>
        <w:t xml:space="preserve"> </w:t>
      </w:r>
      <w:r>
        <w:t xml:space="preserve">billion (0.4%) smaller for</w:t>
      </w:r>
      <w:r>
        <w:t xml:space="preserve"> </w:t>
      </w:r>
      <w:r>
        <w:t xml:space="preserve">2041-2050.</w:t>
      </w:r>
      <w:r>
        <w:t xml:space="preserve"> </w:t>
      </w:r>
      <w:r>
        <w:t xml:space="preserve">Energy systems costs for transport are borne partly by households, partly</w:t>
      </w:r>
      <w:r>
        <w:t xml:space="preserve"> </w:t>
      </w:r>
      <w:r>
        <w:t xml:space="preserve">by businesses and public administrations. The corresponding capital</w:t>
      </w:r>
      <w:r>
        <w:t xml:space="preserve"> </w:t>
      </w:r>
      <w:r>
        <w:t xml:space="preserve">costs are EUR 4 billion (1.6%) higher in 2031-2040 for option 3</w:t>
      </w:r>
      <w:r>
        <w:t xml:space="preserve"> </w:t>
      </w:r>
      <w:r>
        <w:t xml:space="preserve">compared to option 2, and EUR 6 billion (2%) higher in 2041-2050.</w:t>
      </w:r>
      <w:r>
        <w:t xml:space="preserve"> </w:t>
      </w:r>
      <w:r>
        <w:t xml:space="preserve">Energy purchases for transport are EUR 12 billion (2%) higher in 2031-</w:t>
      </w:r>
      <w:r>
        <w:t xml:space="preserve"> </w:t>
      </w:r>
      <w:r>
        <w:t xml:space="preserve">2040 but EUR 7 billion (1.4 %) lower in 2041-2050.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Will depend on the future post-2030 policy framework</w:t>
      </w:r>
    </w:p>
    <w:p>
      <w:pPr>
        <w:pStyle w:val="BodyText"/>
      </w:pPr>
      <w:r>
        <w:t xml:space="preserve">[1] Capital costs includes financing and opportunity cost for private actors through the application of a</w:t>
      </w:r>
      <w:r>
        <w:t xml:space="preserve"> </w:t>
      </w:r>
      <w:r>
        <w:t xml:space="preserve">WACC at 10% in the annualization of overnight investment costs.</w:t>
      </w:r>
    </w:p>
    <w:p>
      <w:pPr>
        <w:pStyle w:val="Compact"/>
        <w:numPr>
          <w:ilvl w:val="0"/>
          <w:numId w:val="1055"/>
        </w:numPr>
      </w:pPr>
      <w:r>
        <w:t xml:space="preserve">Relevant sustainable development goals</w:t>
      </w:r>
      <w:r>
        <w:br/>
      </w:r>
      <w:r>
        <w:t xml:space="preserve">The initiative aims to assess the climate target for 2040, so goes beyond the time horizon</w:t>
      </w:r>
      <w:r>
        <w:t xml:space="preserve"> </w:t>
      </w:r>
      <w:r>
        <w:t xml:space="preserve">of the UN sustainable development goals (SDG) for 2030. Nevertheless, it relates to a</w:t>
      </w:r>
      <w:r>
        <w:t xml:space="preserve"> </w:t>
      </w:r>
      <w:r>
        <w:t xml:space="preserve">number of these goals and, by setting a clear direction beyond 2030, and will also</w:t>
      </w:r>
      <w:r>
        <w:t xml:space="preserve"> </w:t>
      </w:r>
      <w:r>
        <w:t xml:space="preserve">contribute positively to these objectives by 2030 by providing long-term certainty for</w:t>
      </w:r>
      <w:r>
        <w:t xml:space="preserve"> </w:t>
      </w:r>
      <w:r>
        <w:t xml:space="preserve">policy and investment decisions. The analysis also shows that there can be strong</w:t>
      </w:r>
      <w:r>
        <w:t xml:space="preserve"> </w:t>
      </w:r>
      <w:r>
        <w:t xml:space="preserve">positive effects from some SDGs that play a role in reaching the 2040 climate target.</w:t>
      </w:r>
    </w:p>
    <w:p>
      <w:pPr>
        <w:pStyle w:val="Compact"/>
        <w:numPr>
          <w:ilvl w:val="0"/>
          <w:numId w:val="1056"/>
        </w:numPr>
      </w:pPr>
      <w:r>
        <w:t xml:space="preserve">Overview of relevant Sustainable Development Goals</w:t>
      </w:r>
      <w:r>
        <w:br/>
      </w:r>
      <w:r>
        <w:t xml:space="preserve">Relevant</w:t>
      </w:r>
      <w:r>
        <w:t xml:space="preserve"> </w:t>
      </w:r>
      <w:r>
        <w:t xml:space="preserve">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</w:t>
      </w:r>
      <w:r>
        <w:t xml:space="preserve"> </w:t>
      </w:r>
      <w:r>
        <w:t xml:space="preserve">3</w:t>
      </w:r>
      <w:r>
        <w:t xml:space="preserve"> </w:t>
      </w:r>
      <w:r>
        <w:t xml:space="preserve">–</w:t>
      </w:r>
      <w:r>
        <w:t xml:space="preserve"> </w:t>
      </w:r>
      <w:r>
        <w:t xml:space="preserve">Good health</w:t>
      </w:r>
      <w:r>
        <w:t xml:space="preserve"> </w:t>
      </w:r>
      <w:r>
        <w:t xml:space="preserve">and</w:t>
      </w:r>
      <w:r>
        <w:t xml:space="preserve"> </w:t>
      </w:r>
      <w:r>
        <w:t xml:space="preserve">well</w:t>
      </w:r>
      <w:r>
        <w:t xml:space="preserve"> </w:t>
      </w:r>
      <w:r>
        <w:t xml:space="preserve">being</w:t>
      </w:r>
      <w:r>
        <w:t xml:space="preserve"> </w:t>
      </w:r>
      <w:r>
        <w:t xml:space="preserve">Strong synergies in terms of air quality in all</w:t>
      </w:r>
      <w:r>
        <w:t xml:space="preserve"> </w:t>
      </w:r>
      <w:r>
        <w:t xml:space="preserve">target options in EU and in countries that</w:t>
      </w:r>
      <w:r>
        <w:t xml:space="preserve"> </w:t>
      </w:r>
      <w:r>
        <w:t xml:space="preserve">follow the EU lead and take more ambitious</w:t>
      </w:r>
      <w:r>
        <w:t xml:space="preserve"> </w:t>
      </w:r>
      <w:r>
        <w:t xml:space="preserve">climate action.</w:t>
      </w:r>
    </w:p>
    <w:p>
      <w:pPr>
        <w:pStyle w:val="FirstParagraph"/>
      </w:pPr>
      <w:r>
        <w:t xml:space="preserve">116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7</w:t>
      </w:r>
      <w:r>
        <w:t xml:space="preserve"> </w:t>
      </w:r>
      <w:r>
        <w:t xml:space="preserve">Affordable</w:t>
      </w:r>
      <w:r>
        <w:t xml:space="preserve"> </w:t>
      </w:r>
      <w:r>
        <w:t xml:space="preserve">and</w:t>
      </w:r>
      <w:r>
        <w:t xml:space="preserve"> </w:t>
      </w:r>
      <w:r>
        <w:t xml:space="preserve">clean</w:t>
      </w:r>
      <w:r>
        <w:t xml:space="preserve"> </w:t>
      </w:r>
      <w:r>
        <w:t xml:space="preserve">energy</w:t>
      </w:r>
      <w:r>
        <w:t xml:space="preserve"> </w:t>
      </w:r>
      <w:r>
        <w:t xml:space="preserve">Clean and decarbonised energy is a key</w:t>
      </w:r>
      <w:r>
        <w:t xml:space="preserve"> </w:t>
      </w:r>
      <w:r>
        <w:t xml:space="preserve">component of all target options. It shields</w:t>
      </w:r>
      <w:r>
        <w:t xml:space="preserve"> </w:t>
      </w:r>
      <w:r>
        <w:t xml:space="preserve">consumer from shocks on the fossil fuel</w:t>
      </w:r>
      <w:r>
        <w:t xml:space="preserve"> </w:t>
      </w:r>
      <w:r>
        <w:t xml:space="preserve">markets.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8</w:t>
      </w:r>
      <w:r>
        <w:t xml:space="preserve"> </w:t>
      </w:r>
      <w:r>
        <w:t xml:space="preserve">Decent jobs</w:t>
      </w:r>
      <w:r>
        <w:t xml:space="preserve"> </w:t>
      </w:r>
      <w:r>
        <w:t xml:space="preserve">and</w:t>
      </w:r>
      <w:r>
        <w:t xml:space="preserve"> </w:t>
      </w:r>
      <w:r>
        <w:t xml:space="preserve">economic</w:t>
      </w:r>
      <w:r>
        <w:t xml:space="preserve"> </w:t>
      </w:r>
      <w:r>
        <w:t xml:space="preserve">growth</w:t>
      </w:r>
      <w:r>
        <w:t xml:space="preserve"> </w:t>
      </w:r>
      <w:r>
        <w:t xml:space="preserve">The different 2040 target options display</w:t>
      </w:r>
      <w:r>
        <w:t xml:space="preserve"> </w:t>
      </w:r>
      <w:r>
        <w:t xml:space="preserve">very limited difference in terms of overall</w:t>
      </w:r>
      <w:r>
        <w:t xml:space="preserve"> </w:t>
      </w:r>
      <w:r>
        <w:t xml:space="preserve">macro-economic</w:t>
      </w:r>
      <w:r>
        <w:t xml:space="preserve"> </w:t>
      </w:r>
      <w:r>
        <w:t xml:space="preserve">impact.</w:t>
      </w:r>
      <w:r>
        <w:t xml:space="preserve"> </w:t>
      </w:r>
      <w: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contribute to mitigating the impacts of</w:t>
      </w:r>
      <w:r>
        <w:t xml:space="preserve"> </w:t>
      </w:r>
      <w:r>
        <w:t xml:space="preserve">climate change, including for workers and</w:t>
      </w:r>
      <w:r>
        <w:t xml:space="preserve"> </w:t>
      </w:r>
      <w:r>
        <w:t xml:space="preserve">on the economy. New markets and jobs to</w:t>
      </w:r>
      <w:r>
        <w:t xml:space="preserve"> </w:t>
      </w:r>
      <w:r>
        <w:t xml:space="preserve">substitute fossil fuel-dependent economic</w:t>
      </w:r>
      <w:r>
        <w:t xml:space="preserve"> </w:t>
      </w:r>
      <w:r>
        <w:t xml:space="preserve">activities and new opportunities in clean,</w:t>
      </w:r>
      <w:r>
        <w:t xml:space="preserve"> </w:t>
      </w:r>
      <w:r>
        <w:t xml:space="preserve">technology manufacturing and deployment,</w:t>
      </w:r>
      <w:r>
        <w:t xml:space="preserve"> </w:t>
      </w:r>
      <w:r>
        <w:t xml:space="preserve">land-use sector, service sector.</w:t>
      </w:r>
      <w:r>
        <w:t xml:space="preserve"> </w:t>
      </w:r>
      <w:r>
        <w:t xml:space="preserve">Skilling needs for new products</w:t>
      </w:r>
      <w:r>
        <w:t xml:space="preserve"> </w:t>
      </w:r>
      <w:r>
        <w:t xml:space="preserve">and services in a low carbon</w:t>
      </w:r>
      <w:r>
        <w:t xml:space="preserve"> </w:t>
      </w:r>
      <w:r>
        <w:t xml:space="preserve">economy. The new target and</w:t>
      </w:r>
      <w:r>
        <w:t xml:space="preserve"> </w:t>
      </w:r>
      <w:r>
        <w:t xml:space="preserve">future</w:t>
      </w:r>
      <w:r>
        <w:t xml:space="preserve"> </w:t>
      </w:r>
      <w:r>
        <w:t xml:space="preserve">framework</w:t>
      </w:r>
      <w:r>
        <w:t xml:space="preserve"> </w:t>
      </w:r>
      <w:r>
        <w:t xml:space="preserve">are</w:t>
      </w:r>
      <w:r>
        <w:t xml:space="preserve"> </w:t>
      </w:r>
      <w:r>
        <w:t xml:space="preserve">an</w:t>
      </w:r>
      <w:r>
        <w:t xml:space="preserve"> </w:t>
      </w:r>
      <w:r>
        <w:t xml:space="preserve">opportunity to address labour</w:t>
      </w:r>
      <w:r>
        <w:t xml:space="preserve"> </w:t>
      </w:r>
      <w:r>
        <w:t xml:space="preserve">market inequalities.</w:t>
      </w:r>
      <w:r>
        <w:t xml:space="preserve"> </w:t>
      </w:r>
      <w:r>
        <w:t xml:space="preserve">SDG</w:t>
      </w:r>
      <w:r>
        <w:t xml:space="preserve"> </w:t>
      </w:r>
      <w:r>
        <w:t xml:space="preserve">9</w:t>
      </w:r>
      <w:r>
        <w:t xml:space="preserve"> </w:t>
      </w:r>
      <w:r>
        <w:t xml:space="preserve">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Reaching</w:t>
      </w:r>
      <w:r>
        <w:t xml:space="preserve"> </w:t>
      </w:r>
      <w:r>
        <w:t xml:space="preserve">climate</w:t>
      </w:r>
      <w:r>
        <w:t xml:space="preserve"> </w:t>
      </w:r>
      <w:r>
        <w:t xml:space="preserve">neutrality</w:t>
      </w:r>
      <w:r>
        <w:t xml:space="preserve"> </w:t>
      </w:r>
      <w:r>
        <w:t xml:space="preserve">by</w:t>
      </w:r>
      <w:r>
        <w:t xml:space="preserve"> </w:t>
      </w:r>
      <w:r>
        <w:t xml:space="preserve">2050</w:t>
      </w:r>
      <w:r>
        <w:t xml:space="preserve"> </w:t>
      </w:r>
      <w:r>
        <w:t xml:space="preserve">represents an industrial and infrastructure</w:t>
      </w:r>
      <w:r>
        <w:t xml:space="preserve"> </w:t>
      </w:r>
      <w:r>
        <w:t xml:space="preserve">challenge that will spur innovation. The</w:t>
      </w:r>
      <w:r>
        <w:t xml:space="preserve"> </w:t>
      </w:r>
      <w:r>
        <w:t xml:space="preserve">most ambitious option (Option 3) builds on</w:t>
      </w:r>
      <w:r>
        <w:t xml:space="preserve"> </w:t>
      </w:r>
      <w:r>
        <w:t xml:space="preserve">a larger deployment of low carbon solutions</w:t>
      </w:r>
      <w:r>
        <w:t xml:space="preserve"> </w:t>
      </w:r>
      <w:r>
        <w:t xml:space="preserve">already by 2040, while the least ambitious</w:t>
      </w:r>
      <w:r>
        <w:t xml:space="preserve"> </w:t>
      </w:r>
      <w:r>
        <w:t xml:space="preserve">one (Option 1) rather delays it during the</w:t>
      </w:r>
      <w:r>
        <w:t xml:space="preserve"> </w:t>
      </w:r>
      <w:r>
        <w:t xml:space="preserve">last decade.</w:t>
      </w:r>
    </w:p>
    <w:p>
      <w:pPr>
        <w:pStyle w:val="BodyText"/>
      </w:pPr>
      <w:r>
        <w:t xml:space="preserve">SDG</w:t>
      </w:r>
      <w:r>
        <w:t xml:space="preserve"> </w:t>
      </w:r>
      <w:r>
        <w:t xml:space="preserve">13</w:t>
      </w:r>
      <w:r>
        <w:t xml:space="preserve"> </w:t>
      </w:r>
      <w:r>
        <w:t xml:space="preserve">Climate</w:t>
      </w:r>
      <w:r>
        <w:t xml:space="preserve"> </w:t>
      </w:r>
      <w:r>
        <w:t xml:space="preserve">action</w:t>
      </w:r>
      <w:r>
        <w:t xml:space="preserve"> </w:t>
      </w:r>
      <w:r>
        <w:t xml:space="preserve">All target options are compatible with</w:t>
      </w:r>
      <w:r>
        <w:t xml:space="preserve"> </w:t>
      </w:r>
      <w:r>
        <w:t xml:space="preserve">meeting climate neutrality by 2050.</w:t>
      </w:r>
    </w:p>
    <w:p>
      <w:pPr>
        <w:pStyle w:val="BodyText"/>
      </w:pPr>
      <w:r>
        <w:t xml:space="preserve">However, the least ambitious</w:t>
      </w:r>
      <w:r>
        <w:t xml:space="preserve"> </w:t>
      </w:r>
      <w:r>
        <w:t xml:space="preserve">target options rely heavily on</w:t>
      </w:r>
      <w:r>
        <w:t xml:space="preserve"> </w:t>
      </w:r>
      <w:r>
        <w:t xml:space="preserve">deployment</w:t>
      </w:r>
      <w:r>
        <w:t xml:space="preserve"> </w:t>
      </w:r>
      <w:r>
        <w:t xml:space="preserve">on</w:t>
      </w:r>
      <w:r>
        <w:t xml:space="preserve"> </w:t>
      </w:r>
      <w:r>
        <w:t xml:space="preserve">novel</w:t>
      </w:r>
      <w:r>
        <w:t xml:space="preserve"> </w:t>
      </w:r>
      <w:r>
        <w:t xml:space="preserve">technologies during last decade</w:t>
      </w:r>
      <w:r>
        <w:t xml:space="preserve"> </w:t>
      </w:r>
      <w:r>
        <w:t xml:space="preserve">2041-2050,</w:t>
      </w:r>
      <w:r>
        <w:t xml:space="preserve"> </w:t>
      </w:r>
      <w:r>
        <w:t xml:space="preserve">which</w:t>
      </w:r>
      <w:r>
        <w:t xml:space="preserve"> </w:t>
      </w:r>
      <w:r>
        <w:t xml:space="preserve">puts</w:t>
      </w:r>
      <w:r>
        <w:t xml:space="preserve"> </w:t>
      </w:r>
      <w:r>
        <w:t xml:space="preserve">the</w:t>
      </w:r>
      <w:r>
        <w:t xml:space="preserve"> </w:t>
      </w:r>
      <w:r>
        <w:t xml:space="preserve">climate neutrality target at risk.</w:t>
      </w:r>
      <w:r>
        <w:br/>
      </w:r>
      <w:r>
        <w:t xml:space="preserve">SDG 15 Life</w:t>
      </w:r>
      <w:r>
        <w:t xml:space="preserve"> </w:t>
      </w:r>
      <w:r>
        <w:t xml:space="preserve">on</w:t>
      </w:r>
      <w:r>
        <w:t xml:space="preserve"> </w:t>
      </w:r>
      <w:r>
        <w:t xml:space="preserve">land</w:t>
      </w:r>
      <w:r>
        <w:t xml:space="preserve"> </w:t>
      </w:r>
      <w:r>
        <w:t xml:space="preserve">/</w:t>
      </w:r>
      <w:r>
        <w:t xml:space="preserve"> </w:t>
      </w:r>
      <w:r>
        <w:t xml:space="preserve">SDG 14 Life</w:t>
      </w:r>
      <w:r>
        <w:t xml:space="preserve"> </w:t>
      </w:r>
      <w:r>
        <w:t xml:space="preserve">below water</w:t>
      </w:r>
      <w:r>
        <w:t xml:space="preserve"> </w:t>
      </w:r>
      <w:r>
        <w:t xml:space="preserve">Mitigate the adverse impacts of climate</w:t>
      </w:r>
      <w:r>
        <w:t xml:space="preserve"> </w:t>
      </w:r>
      <w:r>
        <w:t xml:space="preserve">change on land, oceans and biodiversity.</w:t>
      </w:r>
      <w:r>
        <w:t xml:space="preserve"> </w:t>
      </w:r>
      <w:r>
        <w:t xml:space="preserve">Limited direct impact of climate</w:t>
      </w:r>
      <w:r>
        <w:t xml:space="preserve"> </w:t>
      </w:r>
      <w:r>
        <w:t xml:space="preserve">action.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ambitious</w:t>
      </w:r>
      <w:r>
        <w:t xml:space="preserve"> </w:t>
      </w:r>
      <w:r>
        <w:t xml:space="preserve">climate target is at risk of trade-</w:t>
      </w:r>
      <w:r>
        <w:t xml:space="preserve"> </w:t>
      </w:r>
      <w:r>
        <w:t xml:space="preserve">offs on land use due to potential</w:t>
      </w:r>
      <w:r>
        <w:t xml:space="preserve"> </w:t>
      </w:r>
      <w:r>
        <w:t xml:space="preserve">bioenergy needs.</w:t>
      </w:r>
      <w:r>
        <w:t xml:space="preserve"> </w:t>
      </w:r>
      <w:r>
        <w:t xml:space="preserve">SDG</w:t>
      </w:r>
      <w:r>
        <w:t xml:space="preserve"> </w:t>
      </w:r>
      <w:r>
        <w:t xml:space="preserve">17</w:t>
      </w:r>
      <w:r>
        <w:t xml:space="preserve"> </w:t>
      </w:r>
      <w:r>
        <w:t xml:space="preserve">Partnerships</w:t>
      </w:r>
      <w:r>
        <w:t xml:space="preserve"> </w:t>
      </w:r>
      <w:r>
        <w:t xml:space="preserve">for the goals</w:t>
      </w:r>
      <w:r>
        <w:t xml:space="preserve"> </w:t>
      </w:r>
      <w:r>
        <w:t xml:space="preserve">The preferred target option of 90-95% is</w:t>
      </w:r>
      <w:r>
        <w:t xml:space="preserve"> </w:t>
      </w:r>
      <w:r>
        <w:t xml:space="preserve">much more likely to contribute positively to</w:t>
      </w:r>
      <w:r>
        <w:t xml:space="preserve"> </w:t>
      </w:r>
      <w:r>
        <w:t xml:space="preserve">international climate action effort.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ANNEX 4: SME TEST</w:t>
      </w:r>
      <w:r>
        <w:br/>
      </w:r>
      <w:r>
        <w:t xml:space="preserve">Note: the “analytical framework” Annex appears as Annex 6, just ahead of the detailed</w:t>
      </w:r>
      <w:r>
        <w:t xml:space="preserve"> </w:t>
      </w:r>
      <w:r>
        <w:t xml:space="preserve">analysis shown in Annex 7 (Cost of inaction) and Annex 8 (Detailed quantitative analysis</w:t>
      </w:r>
      <w:r>
        <w:t xml:space="preserve"> </w:t>
      </w:r>
      <w:r>
        <w:t xml:space="preserve">of GHG pathways to climate neutrality).</w:t>
      </w:r>
      <w:r>
        <w:t xml:space="preserve"> </w:t>
      </w:r>
      <w:r>
        <w:t xml:space="preserve">Step 1/4: Identification of affected businesses</w:t>
      </w:r>
      <w:r>
        <w:t xml:space="preserve"> </w:t>
      </w:r>
      <w:r>
        <w:t xml:space="preserve">All segments of the EU economy are and will be affected by climate change, although</w:t>
      </w:r>
      <w:r>
        <w:t xml:space="preserve"> </w:t>
      </w:r>
      <w:r>
        <w:t xml:space="preserve">some sectors are more exposed than others, notably agriculture, tourism, fisheries and</w:t>
      </w:r>
      <w:r>
        <w:t xml:space="preserve"> </w:t>
      </w:r>
      <w:r>
        <w:t xml:space="preserve">forestry. SMEs have a more limited financial capacity and lower resources to adapt to</w:t>
      </w:r>
      <w:r>
        <w:t xml:space="preserve"> </w:t>
      </w:r>
      <w:r>
        <w:t xml:space="preserve">climate change (118).</w:t>
      </w:r>
      <w:r>
        <w:t xml:space="preserve"> </w:t>
      </w:r>
      <w:r>
        <w:t xml:space="preserve">To contribute to limiting climate change globally through the implementation of the</w:t>
      </w:r>
      <w:r>
        <w:t xml:space="preserve"> </w:t>
      </w:r>
      <w:r>
        <w:t xml:space="preserve">objective of climate neutrality by 2050, this initiative aims at assessing a 2040 EU-wide</w:t>
      </w:r>
      <w:r>
        <w:t xml:space="preserve"> </w:t>
      </w:r>
      <w:r>
        <w:t xml:space="preserve">climate target covering the whole economy. It is thus relevant for all businesses and</w:t>
      </w:r>
      <w:r>
        <w:t xml:space="preserve"> </w:t>
      </w:r>
      <w:r>
        <w:t xml:space="preserve">sectors since it will set the pace of the transition to 2050. The climate target is expressed</w:t>
      </w:r>
      <w:r>
        <w:t xml:space="preserve"> </w:t>
      </w:r>
      <w:r>
        <w:t xml:space="preserve">as a reduction of net GHG emissions compared to 1990. It will directly affect GHG</w:t>
      </w:r>
      <w:r>
        <w:t xml:space="preserve"> </w:t>
      </w:r>
      <w:r>
        <w:t xml:space="preserve">emitting sectors and those involved in the removal of CO2 from the atmosphere through</w:t>
      </w:r>
      <w:r>
        <w:t xml:space="preserve"> </w:t>
      </w:r>
      <w:r>
        <w:t xml:space="preserve">natural or industrial means, but also, indirectly, other sectors consuming energy or</w:t>
      </w:r>
      <w:r>
        <w:t xml:space="preserve"> </w:t>
      </w:r>
      <w:r>
        <w:t xml:space="preserve">providing goods and services to deliver a competitive and climate neutral EU economy</w:t>
      </w:r>
      <w:r>
        <w:t xml:space="preserve"> </w:t>
      </w:r>
      <w:r>
        <w:t xml:space="preserve">by 2050.</w:t>
      </w:r>
      <w:r>
        <w:br/>
      </w:r>
      <w:r>
        <w:t xml:space="preserve">This initiative does not specifically target or have specific provisions for SMEs. The</w:t>
      </w:r>
      <w:r>
        <w:t xml:space="preserve"> </w:t>
      </w:r>
      <w:r>
        <w:t xml:space="preserve">objective of the current assessment is to compare various GHG ambition levels for 2040</w:t>
      </w:r>
      <w:r>
        <w:t xml:space="preserve"> </w:t>
      </w:r>
      <w:r>
        <w:t xml:space="preserve">to define the path between the established 2030 and 2050 objectives. This initiative and</w:t>
      </w:r>
      <w:r>
        <w:t xml:space="preserve"> </w:t>
      </w:r>
      <w:r>
        <w:t xml:space="preserve">assessment come without the design of a new 2040 policy framework, which is expected</w:t>
      </w:r>
      <w:r>
        <w:t xml:space="preserve"> </w:t>
      </w:r>
      <w:r>
        <w:t xml:space="preserve">in a later stage. The impact on SMEs depends on the sectors in which they operate.</w:t>
      </w:r>
      <w:r>
        <w:t xml:space="preserve"> </w:t>
      </w:r>
      <w:r>
        <w:t xml:space="preserve">According to the 2022 Flash Eurobarometer “SMEs, green markets and resource</w:t>
      </w:r>
      <w:r>
        <w:t xml:space="preserve"> </w:t>
      </w:r>
      <w:r>
        <w:t xml:space="preserve">efficiency” (119), about one in three (32%) SMEs in the EU offer green products or</w:t>
      </w:r>
      <w:r>
        <w:t xml:space="preserve"> </w:t>
      </w:r>
      <w:r>
        <w:t xml:space="preserve">services, with a further 11% planning to do so in the next two years. For the largest share</w:t>
      </w:r>
      <w:r>
        <w:t xml:space="preserve"> </w:t>
      </w:r>
      <w:r>
        <w:t xml:space="preserve">(43%) of SMEs selling green products and services, these products and services make up</w:t>
      </w:r>
      <w:r>
        <w:t xml:space="preserve"> </w:t>
      </w:r>
      <w:r>
        <w:t xml:space="preserve">not more than 10% of their most recent annual turnover. About one in five (21%) reply</w:t>
      </w:r>
      <w:r>
        <w:t xml:space="preserve"> </w:t>
      </w:r>
      <w:r>
        <w:t xml:space="preserve">that green products and services represent between 11% and 50% of their annual turnover</w:t>
      </w:r>
      <w:r>
        <w:t xml:space="preserve"> </w:t>
      </w:r>
      <w:r>
        <w:t xml:space="preserve">and a slightly higher proportion (23%) answer that the sale of such products and services</w:t>
      </w:r>
      <w:r>
        <w:t xml:space="preserve"> </w:t>
      </w:r>
      <w:r>
        <w:t xml:space="preserve">makes up more than 50% of their turnover. Just under 40% of SMEs surveyed have at</w:t>
      </w:r>
      <w:r>
        <w:t xml:space="preserve"> </w:t>
      </w:r>
      <w:r>
        <w:t xml:space="preserve">least one full-time employee working in a green job some or all of the time: 33% say</w:t>
      </w:r>
      <w:r>
        <w:t xml:space="preserve"> </w:t>
      </w:r>
      <w:r>
        <w:t xml:space="preserve">there are between one and five ‘green’ employees in their SME and 5% report that their</w:t>
      </w:r>
      <w:r>
        <w:t xml:space="preserve"> </w:t>
      </w:r>
      <w:r>
        <w:t xml:space="preserve">number is higher than five.</w:t>
      </w:r>
      <w:r>
        <w:t xml:space="preserve"> </w:t>
      </w:r>
      <w:r>
        <w:t xml:space="preserve">According to this survey, most SMEs are taking measures to be more resource efficient.</w:t>
      </w:r>
      <w:r>
        <w:t xml:space="preserve"> </w:t>
      </w:r>
      <w:r>
        <w:t xml:space="preserve">At the same time, the actual investment by SMEs in resource efficiency remains low.</w:t>
      </w:r>
      <w:r>
        <w:br/>
      </w:r>
      <w:r>
        <w:t xml:space="preserve">35% of SMEs surveyed invested 1% or more of their turnover in this area in the two</w:t>
      </w:r>
      <w:r>
        <w:t xml:space="preserve"> </w:t>
      </w:r>
      <w:r>
        <w:t xml:space="preserve">years before the survey. Saving energy is the second most common resource efficiency</w:t>
      </w:r>
    </w:p>
    <w:p>
      <w:pPr>
        <w:pStyle w:val="Compact"/>
        <w:numPr>
          <w:ilvl w:val="0"/>
          <w:numId w:val="1057"/>
        </w:numPr>
      </w:pPr>
      <w:r>
        <w:t xml:space="preserve">Enabling business mitigation and adaptation to climate change Green policies and the role of</w:t>
      </w:r>
      <w:r>
        <w:t xml:space="preserve"> </w:t>
      </w:r>
      <w:r>
        <w:t xml:space="preserve">Employer and Business Membership Organization. International Labour Organization. December 2022</w:t>
      </w:r>
    </w:p>
    <w:p>
      <w:pPr>
        <w:pStyle w:val="Compact"/>
        <w:numPr>
          <w:ilvl w:val="0"/>
          <w:numId w:val="1057"/>
        </w:numPr>
      </w:pPr>
      <w:r>
        <w:t xml:space="preserve">Flash Eurobarometer 498 – SMEs, green markets and resource efficiency, March 2022.</w:t>
      </w:r>
    </w:p>
    <w:p>
      <w:pPr>
        <w:pStyle w:val="FirstParagraph"/>
      </w:pPr>
      <w:r>
        <w:t xml:space="preserve">118</w:t>
      </w:r>
    </w:p>
    <w:p>
      <w:pPr>
        <w:pStyle w:val="BodyText"/>
      </w:pPr>
      <w:r>
        <w:t xml:space="preserve">action undertaken by SMEs. More than three-quarters (77%) of SMEs plan to implement</w:t>
      </w:r>
      <w:r>
        <w:t xml:space="preserve"> </w:t>
      </w:r>
      <w:r>
        <w:t xml:space="preserve">additional measures to improve resource efficiency in their company. The most common</w:t>
      </w:r>
      <w:r>
        <w:t xml:space="preserve"> </w:t>
      </w:r>
      <w:r>
        <w:t xml:space="preserve">resource efficiency action planned for the two years following the survey is saving</w:t>
      </w:r>
      <w:r>
        <w:t xml:space="preserve"> </w:t>
      </w:r>
      <w:r>
        <w:t xml:space="preserve">energy (53%). A vast majority of SMEs (72%) do not (yet) have a concrete strategy in</w:t>
      </w:r>
      <w:r>
        <w:t xml:space="preserve"> </w:t>
      </w:r>
      <w:r>
        <w:t xml:space="preserve">place to reduce their carbon footprint and become climate neutral; about a quarter of</w:t>
      </w:r>
      <w:r>
        <w:t xml:space="preserve"> </w:t>
      </w:r>
      <w:r>
        <w:t xml:space="preserve">these SMEs reply they are planning to define one. One in five SMEs already have a</w:t>
      </w:r>
      <w:r>
        <w:t xml:space="preserve"> </w:t>
      </w:r>
      <w:r>
        <w:t xml:space="preserve">concrete strategy in place to reduce their carbon footprint and 4% say they are already</w:t>
      </w:r>
      <w:r>
        <w:t xml:space="preserve"> </w:t>
      </w:r>
      <w:r>
        <w:t xml:space="preserve">climate neutral. The most common actions undertaken to become carbon neutral (among</w:t>
      </w:r>
      <w:r>
        <w:t xml:space="preserve"> </w:t>
      </w:r>
      <w:r>
        <w:t xml:space="preserve">SMEs with a carbon reduction strategy) include adopting or purchasing new</w:t>
      </w:r>
      <w:r>
        <w:t xml:space="preserve"> </w:t>
      </w:r>
      <w:r>
        <w:t xml:space="preserve">technological solutions (49%).</w:t>
      </w:r>
      <w:r>
        <w:br/>
      </w:r>
      <w:r>
        <w:t xml:space="preserve">To identify affected businesses,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Table 40 presents the share of each sector in the total number of SMEs and the share of</w:t>
      </w:r>
      <w:r>
        <w:t xml:space="preserve"> </w:t>
      </w:r>
      <w:r>
        <w:t xml:space="preserve">employment by SMEs in each. About 66% of all SMEs are active in services. In this</w:t>
      </w:r>
      <w:r>
        <w:t xml:space="preserve"> </w:t>
      </w:r>
      <w:r>
        <w:t xml:space="preserve">sector, many businesses will not be affected in any significant manner by the transition,</w:t>
      </w:r>
      <w:r>
        <w:t xml:space="preserve"> </w:t>
      </w:r>
      <w:r>
        <w:t xml:space="preserve">while others may gain from business opportunities stemming from the need for</w:t>
      </w:r>
      <w:r>
        <w:t xml:space="preserve"> </w:t>
      </w:r>
      <w:r>
        <w:t xml:space="preserve">innovative low carbon solutions. Agriculture represents almost a fourth of small and</w:t>
      </w:r>
      <w:r>
        <w:t xml:space="preserve"> </w:t>
      </w:r>
      <w:r>
        <w:t xml:space="preserve">medium businesses and is a sector exposed to climate change. Given its hard-to-abate</w:t>
      </w:r>
      <w:r>
        <w:t xml:space="preserve"> </w:t>
      </w:r>
      <w:r>
        <w:t xml:space="preserve">GHG emissions and its potential role to enhance LULUCF carbon removals, this sector is</w:t>
      </w:r>
      <w:r>
        <w:t xml:space="preserve"> </w:t>
      </w:r>
      <w:r>
        <w:t xml:space="preserve">also very relevant for the transition. SMEs are also very present in construction, a sector</w:t>
      </w:r>
      <w:r>
        <w:t xml:space="preserve"> </w:t>
      </w:r>
      <w:r>
        <w:t xml:space="preserve">that plays a major role to decarbonise the EU’s building stock. Finally, SMEs are less</w:t>
      </w:r>
      <w:r>
        <w:t xml:space="preserve"> </w:t>
      </w:r>
      <w:r>
        <w:t xml:space="preserve">present in other key sectors for the transition and where the assessment shows differences</w:t>
      </w:r>
      <w:r>
        <w:t xml:space="preserve"> </w:t>
      </w:r>
      <w:r>
        <w:t xml:space="preserve">across target options in terms of deployment of new technologies and investment needs:</w:t>
      </w:r>
      <w:r>
        <w:t xml:space="preserve"> </w:t>
      </w:r>
      <w:r>
        <w:t xml:space="preserve">electricity and clean fuels production, energy intensive industries and carbon capture and</w:t>
      </w:r>
      <w:r>
        <w:t xml:space="preserve"> </w:t>
      </w:r>
      <w:r>
        <w:t xml:space="preserve">storage technologies.</w:t>
      </w:r>
      <w:r>
        <w:br/>
      </w:r>
      <w:r>
        <w:t xml:space="preserve">Table 40: Indicators of SME activity by sector (2019)</w:t>
      </w:r>
    </w:p>
    <w:p>
      <w:pPr>
        <w:pStyle w:val="BodyText"/>
      </w:pPr>
      <w:r>
        <w:t xml:space="preserve">Source: Eurostat Structural Business Statistics; Farm Indicator by Legal Status of the Holding; and Detailed Breakdown of</w:t>
      </w:r>
      <w:r>
        <w:t xml:space="preserve"> </w:t>
      </w:r>
      <w:r>
        <w:t xml:space="preserve">Main GDP Aggregates (120).</w:t>
      </w:r>
    </w:p>
    <w:p>
      <w:pPr>
        <w:pStyle w:val="Compact"/>
        <w:numPr>
          <w:ilvl w:val="0"/>
          <w:numId w:val="1058"/>
        </w:numPr>
      </w:pPr>
      <w:r>
        <w:t xml:space="preserve">The data is calculated from the Structural Business Statistics (SBS), except for agriculture, which</w:t>
      </w:r>
      <w:r>
        <w:t xml:space="preserve"> </w:t>
      </w:r>
      <w:r>
        <w:t xml:space="preserve">is not included in the dataset. For SBS sectors, the table is based on an aggregation of sectors by size class</w:t>
      </w:r>
      <w:r>
        <w:t xml:space="preserve"> </w:t>
      </w:r>
      <w:r>
        <w:t xml:space="preserve">for special aggregates of activities (NACE 2). Fossil fuel sectors (B05, B06, C19); other mining and</w:t>
      </w:r>
      <w:r>
        <w:t xml:space="preserve"> </w:t>
      </w:r>
      <w:r>
        <w:t xml:space="preserve">extraction activities (B07, B08, B09); energy intensive industries (C17, C20, C21, C23, C24);</w:t>
      </w:r>
      <w:r>
        <w:t xml:space="preserve"> </w:t>
      </w:r>
      <w:r>
        <w:t xml:space="preserve">manufacturing of transport equipment (C29, C30); manufacturing of electrical equipment and other</w:t>
      </w:r>
      <w:r>
        <w:t xml:space="preserve"> </w:t>
      </w:r>
      <w:r>
        <w:t xml:space="preserve">machinery (C27, C28); other manufacturing (all other C codes); electricity, gas, steam and air conditioning</w:t>
      </w:r>
      <w:r>
        <w:t xml:space="preserve"> </w:t>
      </w:r>
      <w:r>
        <w:t xml:space="preserve">supply (D35); construction and architecture services (F41, F42, F43, M71); transport and storage (H49 to</w:t>
      </w:r>
      <w:r>
        <w:t xml:space="preserve"> </w:t>
      </w:r>
      <w:r>
        <w:t xml:space="preserve">H53); services (all codes not listed in other sectors); water, treatment and waste (E36 to E39). The data for</w:t>
      </w:r>
      <w:r>
        <w:t xml:space="preserve"> </w:t>
      </w:r>
      <w:r>
        <w:t xml:space="preserve">agriculture is not directly comparable and therefore provided separately. All farms under the holding of</w:t>
      </w:r>
      <w:r>
        <w:t xml:space="preserve"> </w:t>
      </w:r>
      <w:r>
        <w:t xml:space="preserve">natural persons are considered SMEs, while all others are considered as not being SMEs. The gross valued</w:t>
      </w:r>
      <w:r>
        <w:t xml:space="preserve"> </w:t>
      </w:r>
      <w:r>
        <w:t xml:space="preserve">added of SMEs in agriculture (and its share in total agricultural GVA) is estimated based on the percentage</w:t>
      </w:r>
      <w:r>
        <w:t xml:space="preserve"> </w:t>
      </w:r>
      <w:r>
        <w:t xml:space="preserve">of hectares exploited by holdings under the ownership of natural persons, using total gross value added in</w:t>
      </w:r>
    </w:p>
    <w:p>
      <w:pPr>
        <w:pStyle w:val="FirstParagraph"/>
      </w:pPr>
      <w:r>
        <w:t xml:space="preserve">Share in GVA</w:t>
      </w:r>
      <w:r>
        <w:t xml:space="preserve"> </w:t>
      </w:r>
      <w:r>
        <w:t xml:space="preserve">Share in</w:t>
      </w:r>
      <w:r>
        <w:t xml:space="preserve"> </w:t>
      </w:r>
      <w:r>
        <w:t xml:space="preserve">employment</w:t>
      </w:r>
      <w:r>
        <w:t xml:space="preserve"> </w:t>
      </w:r>
      <w:r>
        <w:t xml:space="preserve">Number of</w:t>
      </w:r>
      <w:r>
        <w:t xml:space="preserve"> </w:t>
      </w:r>
      <w:r>
        <w:t xml:space="preserve">companies</w:t>
      </w:r>
      <w:r>
        <w:t xml:space="preserve"> </w:t>
      </w:r>
      <w:r>
        <w:t xml:space="preserve">GVA</w:t>
      </w:r>
      <w:r>
        <w:t xml:space="preserve"> </w:t>
      </w:r>
      <w:r>
        <w:t xml:space="preserve">Employment</w:t>
      </w:r>
      <w:r>
        <w:t xml:space="preserve"> </w:t>
      </w:r>
      <w:r>
        <w:t xml:space="preserve">Fossil fuels</w:t>
      </w:r>
      <w:r>
        <w:t xml:space="preserve"> </w:t>
      </w:r>
      <w:r>
        <w:t xml:space="preserve">7.0%</w:t>
      </w:r>
      <w:r>
        <w:t xml:space="preserve"> </w:t>
      </w:r>
      <w:r>
        <w:t xml:space="preserve">6.6%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0.0%</w:t>
      </w:r>
      <w:r>
        <w:t xml:space="preserve"> </w:t>
      </w:r>
      <w:r>
        <w:t xml:space="preserve">Other mining and extraction</w:t>
      </w:r>
      <w:r>
        <w:t xml:space="preserve"> </w:t>
      </w:r>
      <w:r>
        <w:t xml:space="preserve">53.1%</w:t>
      </w:r>
      <w:r>
        <w:t xml:space="preserve"> </w:t>
      </w:r>
      <w:r>
        <w:t xml:space="preserve">59.2%</w:t>
      </w:r>
      <w:r>
        <w:t xml:space="preserve"> </w:t>
      </w:r>
      <w:r>
        <w:t xml:space="preserve">0.1%</w:t>
      </w:r>
      <w:r>
        <w:t xml:space="preserve"> </w:t>
      </w:r>
      <w:r>
        <w:t xml:space="preserve">0.3%</w:t>
      </w:r>
      <w:r>
        <w:t xml:space="preserve"> </w:t>
      </w:r>
      <w:r>
        <w:t xml:space="preserve">0.2%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29.1%</w:t>
      </w:r>
      <w:r>
        <w:t xml:space="preserve"> </w:t>
      </w:r>
      <w:r>
        <w:t xml:space="preserve">34.4%</w:t>
      </w:r>
      <w:r>
        <w:t xml:space="preserve"> </w:t>
      </w:r>
      <w:r>
        <w:t xml:space="preserve">0.6%</w:t>
      </w:r>
      <w:r>
        <w:t xml:space="preserve"> </w:t>
      </w:r>
      <w:r>
        <w:t xml:space="preserve">2.9%</w:t>
      </w:r>
      <w:r>
        <w:t xml:space="preserve"> </w:t>
      </w:r>
      <w:r>
        <w:t xml:space="preserve">2.0%</w:t>
      </w:r>
      <w:r>
        <w:t xml:space="preserve"> </w:t>
      </w:r>
      <w:r>
        <w:t xml:space="preserve">Manuf. transport equipment (incl. parts and accessories)</w:t>
      </w:r>
      <w:r>
        <w:t xml:space="preserve"> </w:t>
      </w:r>
      <w:r>
        <w:t xml:space="preserve">7.9%</w:t>
      </w:r>
      <w:r>
        <w:t xml:space="preserve"> </w:t>
      </w:r>
      <w:r>
        <w:t xml:space="preserve">14.1%</w:t>
      </w:r>
      <w:r>
        <w:t xml:space="preserve"> </w:t>
      </w:r>
      <w:r>
        <w:t xml:space="preserve">0.1%</w:t>
      </w:r>
      <w:r>
        <w:t xml:space="preserve"> </w:t>
      </w:r>
      <w:r>
        <w:t xml:space="preserve">0.6%</w:t>
      </w:r>
      <w:r>
        <w:t xml:space="preserve"> </w:t>
      </w:r>
      <w:r>
        <w:t xml:space="preserve">0.6%</w:t>
      </w:r>
      <w:r>
        <w:t xml:space="preserve"> </w:t>
      </w:r>
      <w:r>
        <w:t xml:space="preserve">Manuf. electrical equipment and other machinery</w:t>
      </w:r>
      <w:r>
        <w:t xml:space="preserve"> </w:t>
      </w:r>
      <w:r>
        <w:t xml:space="preserve">32.0%</w:t>
      </w:r>
      <w:r>
        <w:t xml:space="preserve"> </w:t>
      </w:r>
      <w:r>
        <w:t xml:space="preserve">35.4%</w:t>
      </w:r>
      <w:r>
        <w:t xml:space="preserve"> </w:t>
      </w:r>
      <w:r>
        <w:t xml:space="preserve">0.5%</w:t>
      </w:r>
      <w:r>
        <w:t xml:space="preserve"> </w:t>
      </w:r>
      <w:r>
        <w:t xml:space="preserve">3.1%</w:t>
      </w:r>
      <w:r>
        <w:t xml:space="preserve"> </w:t>
      </w:r>
      <w:r>
        <w:t xml:space="preserve">2.0%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44.4%</w:t>
      </w:r>
      <w:r>
        <w:t xml:space="preserve"> </w:t>
      </w:r>
      <w:r>
        <w:t xml:space="preserve">65.0%</w:t>
      </w:r>
      <w:r>
        <w:t xml:space="preserve"> </w:t>
      </w:r>
      <w:r>
        <w:t xml:space="preserve">7.5%</w:t>
      </w:r>
      <w:r>
        <w:t xml:space="preserve"> </w:t>
      </w:r>
      <w:r>
        <w:t xml:space="preserve">14.3%</w:t>
      </w:r>
      <w:r>
        <w:t xml:space="preserve"> </w:t>
      </w:r>
      <w:r>
        <w:t xml:space="preserve">15.9%</w:t>
      </w:r>
      <w:r>
        <w:t xml:space="preserve"> </w:t>
      </w:r>
      <w:r>
        <w:t xml:space="preserve">Electricity, gas, steam and air conditioning supply</w:t>
      </w:r>
      <w:r>
        <w:t xml:space="preserve"> </w:t>
      </w:r>
      <w:r>
        <w:t xml:space="preserve">22.3%</w:t>
      </w:r>
      <w:r>
        <w:t xml:space="preserve"> </w:t>
      </w:r>
      <w:r>
        <w:t xml:space="preserve">29.0%</w:t>
      </w:r>
      <w:r>
        <w:t xml:space="preserve"> </w:t>
      </w:r>
      <w:r>
        <w:t xml:space="preserve">0.7%</w:t>
      </w:r>
      <w:r>
        <w:t xml:space="preserve"> </w:t>
      </w:r>
      <w:r>
        <w:t xml:space="preserve">1.4%</w:t>
      </w:r>
      <w:r>
        <w:t xml:space="preserve"> </w:t>
      </w:r>
      <w:r>
        <w:t xml:space="preserve">0.5%</w:t>
      </w:r>
      <w:r>
        <w:t xml:space="preserve"> </w:t>
      </w:r>
      <w:r>
        <w:t xml:space="preserve">Construction and architecture services</w:t>
      </w:r>
      <w:r>
        <w:t xml:space="preserve"> </w:t>
      </w:r>
      <w:r>
        <w:t xml:space="preserve">77.8%</w:t>
      </w:r>
      <w:r>
        <w:t xml:space="preserve"> </w:t>
      </w:r>
      <w:r>
        <w:t xml:space="preserve">89.1%</w:t>
      </w:r>
      <w:r>
        <w:t xml:space="preserve"> </w:t>
      </w:r>
      <w:r>
        <w:t xml:space="preserve">19.0%</w:t>
      </w:r>
      <w:r>
        <w:t xml:space="preserve"> </w:t>
      </w:r>
      <w:r>
        <w:t xml:space="preserve">16.4%</w:t>
      </w:r>
      <w:r>
        <w:t xml:space="preserve"> </w:t>
      </w:r>
      <w:r>
        <w:t xml:space="preserve">17.5%</w:t>
      </w:r>
      <w:r>
        <w:t xml:space="preserve"> </w:t>
      </w:r>
      <w:r>
        <w:t xml:space="preserve">Transport and storage</w:t>
      </w:r>
      <w:r>
        <w:t xml:space="preserve"> </w:t>
      </w:r>
      <w:r>
        <w:t xml:space="preserve">49.0%</w:t>
      </w:r>
      <w:r>
        <w:t xml:space="preserve"> </w:t>
      </w:r>
      <w:r>
        <w:t xml:space="preserve">43.6%</w:t>
      </w:r>
      <w:r>
        <w:t xml:space="preserve"> </w:t>
      </w:r>
      <w:r>
        <w:t xml:space="preserve">5.4%</w:t>
      </w:r>
      <w:r>
        <w:t xml:space="preserve"> </w:t>
      </w:r>
      <w:r>
        <w:t xml:space="preserve">5.2%</w:t>
      </w:r>
      <w:r>
        <w:t xml:space="preserve"> </w:t>
      </w:r>
      <w:r>
        <w:t xml:space="preserve">4.9%</w:t>
      </w:r>
      <w:r>
        <w:t xml:space="preserve"> </w:t>
      </w:r>
      <w:r>
        <w:t xml:space="preserve">Services</w:t>
      </w:r>
      <w:r>
        <w:t xml:space="preserve"> </w:t>
      </w:r>
      <w:r>
        <w:t xml:space="preserve">62.7%</w:t>
      </w:r>
      <w:r>
        <w:t xml:space="preserve"> </w:t>
      </w:r>
      <w:r>
        <w:t xml:space="preserve">69.5%</w:t>
      </w:r>
      <w:r>
        <w:t xml:space="preserve"> </w:t>
      </w:r>
      <w:r>
        <w:t xml:space="preserve">65.7%</w:t>
      </w:r>
      <w:r>
        <w:t xml:space="preserve"> </w:t>
      </w:r>
      <w:r>
        <w:t xml:space="preserve">54.3%</w:t>
      </w:r>
      <w:r>
        <w:t xml:space="preserve"> </w:t>
      </w:r>
      <w:r>
        <w:t xml:space="preserve">55.5%</w:t>
      </w:r>
      <w:r>
        <w:t xml:space="preserve"> </w:t>
      </w:r>
      <w:r>
        <w:t xml:space="preserve">Water, treatment and waste</w:t>
      </w:r>
      <w:r>
        <w:t xml:space="preserve"> </w:t>
      </w:r>
      <w:r>
        <w:t xml:space="preserve">46.7%</w:t>
      </w:r>
      <w:r>
        <w:t xml:space="preserve"> </w:t>
      </w:r>
      <w:r>
        <w:t xml:space="preserve">45.3%</w:t>
      </w:r>
      <w:r>
        <w:t xml:space="preserve"> </w:t>
      </w:r>
      <w:r>
        <w:t xml:space="preserve">0.3%</w:t>
      </w:r>
      <w:r>
        <w:t xml:space="preserve"> </w:t>
      </w:r>
      <w:r>
        <w:t xml:space="preserve">1.3%</w:t>
      </w:r>
      <w:r>
        <w:t xml:space="preserve"> </w:t>
      </w:r>
      <w:r>
        <w:t xml:space="preserve">0.9%</w:t>
      </w:r>
      <w:r>
        <w:t xml:space="preserve"> </w:t>
      </w:r>
      <w:r>
        <w:t xml:space="preserve">Total</w:t>
      </w:r>
      <w:r>
        <w:t xml:space="preserve"> </w:t>
      </w:r>
      <w:r>
        <w:t xml:space="preserve">52.9%</w:t>
      </w:r>
      <w:r>
        <w:t xml:space="preserve"> </w:t>
      </w:r>
      <w:r>
        <w:t xml:space="preserve">64.4%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100.0%</w:t>
      </w:r>
      <w:r>
        <w:t xml:space="preserve"> </w:t>
      </w:r>
      <w:r>
        <w:t xml:space="preserve">Memo:</w:t>
      </w:r>
      <w:r>
        <w:t xml:space="preserve"> </w:t>
      </w:r>
      <w:r>
        <w:t xml:space="preserve">Million</w:t>
      </w:r>
      <w:r>
        <w:t xml:space="preserve"> </w:t>
      </w:r>
      <w:r>
        <w:t xml:space="preserve">Billion</w:t>
      </w:r>
      <w:r>
        <w:t xml:space="preserve"> </w:t>
      </w:r>
      <w:r>
        <w:t xml:space="preserve">EUR</w:t>
      </w:r>
      <w:r>
        <w:t xml:space="preserve"> </w:t>
      </w:r>
      <w:r>
        <w:t xml:space="preserve">Million</w:t>
      </w:r>
      <w:r>
        <w:t xml:space="preserve"> </w:t>
      </w:r>
      <w:r>
        <w:t xml:space="preserve">people</w:t>
      </w:r>
      <w:r>
        <w:t xml:space="preserve"> </w:t>
      </w:r>
      <w:r>
        <w:t xml:space="preserve">All sectors above</w:t>
      </w:r>
      <w:r>
        <w:t xml:space="preserve"> </w:t>
      </w:r>
      <w:r>
        <w:t xml:space="preserve">52.9%</w:t>
      </w:r>
      <w:r>
        <w:t xml:space="preserve"> </w:t>
      </w:r>
      <w:r>
        <w:t xml:space="preserve">64.4%</w:t>
      </w:r>
      <w:r>
        <w:t xml:space="preserve"> </w:t>
      </w:r>
      <w:r>
        <w:t xml:space="preserve">23.1</w:t>
      </w:r>
      <w:r>
        <w:t xml:space="preserve"> </w:t>
      </w:r>
      <w:r>
        <w:t xml:space="preserve">3332</w:t>
      </w:r>
      <w:r>
        <w:t xml:space="preserve"> </w:t>
      </w:r>
      <w:r>
        <w:t xml:space="preserve">76.3</w:t>
      </w:r>
      <w:r>
        <w:t xml:space="preserve"> </w:t>
      </w:r>
      <w:r>
        <w:t xml:space="preserve">Agriculture</w:t>
      </w:r>
      <w:r>
        <w:t xml:space="preserve"> </w:t>
      </w:r>
      <w:r>
        <w:t xml:space="preserve">66.7%</w:t>
      </w:r>
      <w:r>
        <w:t xml:space="preserve"> </w:t>
      </w:r>
      <w:r>
        <w:t xml:space="preserve">95.6%</w:t>
      </w:r>
      <w:r>
        <w:t xml:space="preserve"> </w:t>
      </w:r>
      <w:r>
        <w:t xml:space="preserve">8.7</w:t>
      </w:r>
      <w:r>
        <w:t xml:space="preserve"> </w:t>
      </w:r>
      <w:r>
        <w:t xml:space="preserve">128</w:t>
      </w:r>
      <w:r>
        <w:t xml:space="preserve"> </w:t>
      </w:r>
      <w:r>
        <w:t xml:space="preserve">8.3</w:t>
      </w:r>
      <w:r>
        <w:t xml:space="preserve"> </w:t>
      </w:r>
      <w:r>
        <w:t xml:space="preserve">SME shares in the</w:t>
      </w:r>
      <w:r>
        <w:t xml:space="preserve"> </w:t>
      </w:r>
      <w:r>
        <w:t xml:space="preserve">economy (% of total)</w:t>
      </w:r>
      <w:r>
        <w:t xml:space="preserve"> </w:t>
      </w:r>
      <w:r>
        <w:t xml:space="preserve">Sectoral split of SMEs (% of economy-</w:t>
      </w:r>
      <w:r>
        <w:t xml:space="preserve"> </w:t>
      </w:r>
      <w:r>
        <w:t xml:space="preserve">wide SMEs)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Step 2/4: Consultation of SME Stakeholders</w:t>
      </w:r>
      <w:r>
        <w:t xml:space="preserve"> </w:t>
      </w:r>
      <w:r>
        <w:t xml:space="preserve">The consultation of SME stakeholders includes the public consultation for this initiative,</w:t>
      </w:r>
      <w:r>
        <w:t xml:space="preserve"> </w:t>
      </w:r>
      <w:r>
        <w:t xml:space="preserve">with the possibility to reply to a public questionnaire and to submit position papers, and a</w:t>
      </w:r>
      <w:r>
        <w:t xml:space="preserve"> </w:t>
      </w:r>
      <w:r>
        <w:t xml:space="preserve">stakeholder event. The 2022 Flash Eurobarometer “SMEs, green markets and resource</w:t>
      </w:r>
      <w:r>
        <w:t xml:space="preserve"> </w:t>
      </w:r>
      <w:r>
        <w:t xml:space="preserve">efficiency” also provides more general insights from SMEs.</w:t>
      </w:r>
      <w:r>
        <w:t xml:space="preserve"> </w:t>
      </w:r>
      <w:r>
        <w:t xml:space="preserve">The public consultation for the initiative was held from 31 March to 23 June 2023. The</w:t>
      </w:r>
      <w:r>
        <w:t xml:space="preserve"> </w:t>
      </w:r>
      <w:r>
        <w:t xml:space="preserve">information about the public consultation was disseminated via 28 social media posts on</w:t>
      </w:r>
      <w:r>
        <w:t xml:space="preserve"> </w:t>
      </w:r>
      <w:r>
        <w:t xml:space="preserve">the channels of the Commission (Twitter, Facebook, LinkedIn, Instagram). It was</w:t>
      </w:r>
      <w:r>
        <w:t xml:space="preserve"> </w:t>
      </w:r>
      <w:r>
        <w:t xml:space="preserve">communicated to several Directorate Generals (DGs) of the Commission, Permanent</w:t>
      </w:r>
      <w:r>
        <w:t xml:space="preserve"> </w:t>
      </w:r>
      <w:r>
        <w:t xml:space="preserve">Representations and stakeholders, some of which shared the information further to their</w:t>
      </w:r>
      <w:r>
        <w:t xml:space="preserve"> </w:t>
      </w:r>
      <w:r>
        <w:t xml:space="preserve">own networks. The consultation was promoted in two intranet articles and multiple</w:t>
      </w:r>
      <w:r>
        <w:t xml:space="preserve"> </w:t>
      </w:r>
      <w:r>
        <w:t xml:space="preserve">newsletters of the Directorate General for Climate Action (“Climate Pact” and “DG</w:t>
      </w:r>
      <w:r>
        <w:t xml:space="preserve"> </w:t>
      </w:r>
      <w:r>
        <w:t xml:space="preserve">CLIMA monthly”) and other DGs.</w:t>
      </w:r>
      <w:r>
        <w:br/>
      </w:r>
      <w:r>
        <w:t xml:space="preserve">The questionnaire includes 13 general questions (e.g. on the level of ambition for the EU)</w:t>
      </w:r>
      <w:r>
        <w:t xml:space="preserve"> </w:t>
      </w:r>
      <w:r>
        <w:t xml:space="preserve">and 18 more specific questions (e.g. on the role of carbon removal), including question</w:t>
      </w:r>
      <w:r>
        <w:t xml:space="preserve"> </w:t>
      </w:r>
      <w:r>
        <w:t xml:space="preserve">33 which covers the sectoral implications for SMEs. SMEs and representative</w:t>
      </w:r>
      <w:r>
        <w:t xml:space="preserve"> </w:t>
      </w:r>
      <w:r>
        <w:t xml:space="preserve">organisations represent 12% of the responses to the public questionnaire. The diversity of</w:t>
      </w:r>
      <w:r>
        <w:t xml:space="preserve"> </w:t>
      </w:r>
      <w:r>
        <w:t xml:space="preserve">SMEs (micro, small and medium-size enterprises) is represented, for example via the</w:t>
      </w:r>
      <w:r>
        <w:t xml:space="preserve"> </w:t>
      </w:r>
      <w:r>
        <w:t xml:space="preserve">contribution of organisations such as SMEunited or Bundesverband Erneuerbare Energie</w:t>
      </w:r>
      <w:r>
        <w:t xml:space="preserve"> </w:t>
      </w:r>
      <w:r>
        <w:t xml:space="preserve">e.V. (BEE). Respondent SMEs support for the different 2040 target levels assessed is</w:t>
      </w:r>
      <w:r>
        <w:t xml:space="preserve"> </w:t>
      </w:r>
      <w:r>
        <w:t xml:space="preserve">split between reductions of 75%-80% (29%), 80%-90% (22%) and above 90% (20%).</w:t>
      </w:r>
      <w:r>
        <w:t xml:space="preserve"> </w:t>
      </w:r>
      <w:r>
        <w:t xml:space="preserve">They consider that the green transition represents an opportunity for them (with a mark</w:t>
      </w:r>
      <w:r>
        <w:t xml:space="preserve"> </w:t>
      </w:r>
      <w:r>
        <w:t xml:space="preserve">of 4.2/5), and agree with the following statements (sorted by decreasing support):</w:t>
      </w:r>
      <w:r>
        <w:t xml:space="preserve"> </w:t>
      </w:r>
      <w:r>
        <w:t xml:space="preserve">- The likely structural shift and changing skill requirements in the economy towards a</w:t>
      </w:r>
      <w:r>
        <w:t xml:space="preserve"> </w:t>
      </w:r>
      <w:r>
        <w:t xml:space="preserve">green and circular economy will require EU action to reskill and upskill the workforce</w:t>
      </w:r>
      <w:r>
        <w:t xml:space="preserve"> </w:t>
      </w:r>
      <w:r>
        <w:t xml:space="preserve">(4.4/5).</w:t>
      </w:r>
      <w:r>
        <w:t xml:space="preserve"> </w:t>
      </w:r>
      <w:r>
        <w:t xml:space="preserve">- The EU transition to a net-zero economy impacts differently the competitiveness of</w:t>
      </w:r>
      <w:r>
        <w:t xml:space="preserve"> </w:t>
      </w:r>
      <w:r>
        <w:t xml:space="preserve">SMEs from those of large companies (4.1/5).</w:t>
      </w:r>
      <w:r>
        <w:t xml:space="preserve"> </w:t>
      </w:r>
      <w:r>
        <w:t xml:space="preserve">- The impact on competitiveness of micro-companies is likely to differ from the impact</w:t>
      </w:r>
      <w:r>
        <w:t xml:space="preserve"> </w:t>
      </w:r>
      <w:r>
        <w:t xml:space="preserve">on small and medium-sized ones (4.0/5).</w:t>
      </w:r>
      <w:r>
        <w:t xml:space="preserve"> </w:t>
      </w:r>
      <w:r>
        <w:t xml:space="preserve">- After 2030, there will be a greater need to support SMEs to cope with the adaptation</w:t>
      </w:r>
      <w:r>
        <w:t xml:space="preserve"> </w:t>
      </w:r>
      <w:r>
        <w:t xml:space="preserve">and costs associated with the green transition (3.9/5).</w:t>
      </w:r>
      <w:r>
        <w:t xml:space="preserve"> </w:t>
      </w:r>
      <w:r>
        <w:t xml:space="preserve">Only few position papers discuss the impact of climate policies on SMEs. These do not</w:t>
      </w:r>
      <w:r>
        <w:t xml:space="preserve"> </w:t>
      </w:r>
      <w:r>
        <w:t xml:space="preserve">expect negative impacts provided that the administrative burden does not increase for</w:t>
      </w:r>
      <w:r>
        <w:t xml:space="preserve"> </w:t>
      </w:r>
      <w:r>
        <w:t xml:space="preserve">SMEs, and that support and resources are provided to cope with the needed transition.</w:t>
      </w:r>
    </w:p>
    <w:p>
      <w:pPr>
        <w:pStyle w:val="BodyText"/>
      </w:pPr>
      <w:r>
        <w:t xml:space="preserve">agriculture (NACE code A01) as reporting in the national accounts. Similarly, SME employment in</w:t>
      </w:r>
      <w:r>
        <w:t xml:space="preserve"> </w:t>
      </w:r>
      <w:r>
        <w:t xml:space="preserve">agriculture (and its share in total agricultural employment) is estimated based on the percentage of farms</w:t>
      </w:r>
      <w:r>
        <w:t xml:space="preserve"> </w:t>
      </w:r>
      <w:r>
        <w:t xml:space="preserve">under the ownership of natural persons. SBS-based data is for 2019 to avoid the distortions due to the</w:t>
      </w:r>
      <w:r>
        <w:t xml:space="preserve"> </w:t>
      </w:r>
      <w:r>
        <w:t xml:space="preserve">COVID pandemic. Figures for agriculture are for 2020 due to data availability.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Indications of possible support and resources are given in the paragraph 4/4 –</w:t>
      </w:r>
      <w:r>
        <w:t xml:space="preserve"> </w:t>
      </w:r>
      <w:r>
        <w:t xml:space="preserve">Minimising negative impacts on SMEs (see below).</w:t>
      </w:r>
      <w:r>
        <w:t xml:space="preserve"> </w:t>
      </w:r>
      <w:r>
        <w:t xml:space="preserve">A stakeholder consultation event was held on 9 June 2023. 66 organisations were invited,</w:t>
      </w:r>
      <w:r>
        <w:t xml:space="preserve"> </w:t>
      </w:r>
      <w:r>
        <w:t xml:space="preserve">including SMEs representatives (e.g. the European association of craft, small and</w:t>
      </w:r>
      <w:r>
        <w:t xml:space="preserve"> </w:t>
      </w:r>
      <w:r>
        <w:t xml:space="preserve">medium-sized enterprises - SMEunited, or European Entrepreneurs - Confédération</w:t>
      </w:r>
      <w:r>
        <w:t xml:space="preserve"> </w:t>
      </w:r>
      <w:r>
        <w:t xml:space="preserve">Européenne des Associations de Petites et Moyennes Entreprises - CEA-PME) or</w:t>
      </w:r>
      <w:r>
        <w:t xml:space="preserve"> </w:t>
      </w:r>
      <w:r>
        <w:t xml:space="preserve">associations representing sector specific businesses including SMEs, for example the</w:t>
      </w:r>
      <w:r>
        <w:t xml:space="preserve"> </w:t>
      </w:r>
      <w:r>
        <w:t xml:space="preserve">Committee of Professional Agricultural Organisations (COPA-COPEGA) or the</w:t>
      </w:r>
      <w:r>
        <w:t xml:space="preserve"> </w:t>
      </w:r>
      <w:r>
        <w:t xml:space="preserve">Confederation of European Forest Owners (CEPF).</w:t>
      </w:r>
      <w:r>
        <w:br/>
      </w:r>
      <w:r>
        <w:t xml:space="preserve">More generally, the 2022 Flash Eurobarometer evaluated the level of resource efficiency</w:t>
      </w:r>
      <w:r>
        <w:t xml:space="preserve"> </w:t>
      </w:r>
      <w:r>
        <w:t xml:space="preserve">actions and the state of the green market among Europe’s SMEs. Among SMEs taking</w:t>
      </w:r>
      <w:r>
        <w:t xml:space="preserve"> </w:t>
      </w:r>
      <w:r>
        <w:t xml:space="preserve">resource efficiency actions, 31% say that their production costs have increased, 26% that</w:t>
      </w:r>
      <w:r>
        <w:t xml:space="preserve"> </w:t>
      </w:r>
      <w:r>
        <w:t xml:space="preserve">there has been no change in their production costs and 31% that there has been a decrease</w:t>
      </w:r>
      <w:r>
        <w:t xml:space="preserve"> </w:t>
      </w:r>
      <w:r>
        <w:t xml:space="preserve">of their production costs over the two years before the survey as a result of the resource</w:t>
      </w:r>
      <w:r>
        <w:t xml:space="preserve"> </w:t>
      </w:r>
      <w:r>
        <w:t xml:space="preserve">efficiency actions. Among SMEs that take resource efficiency actions, 64% rely on their</w:t>
      </w:r>
      <w:r>
        <w:t xml:space="preserve"> </w:t>
      </w:r>
      <w:r>
        <w:t xml:space="preserve">own financial resources and 54% on their own technical expertise in their efforts to be</w:t>
      </w:r>
      <w:r>
        <w:t xml:space="preserve"> </w:t>
      </w:r>
      <w:r>
        <w:t xml:space="preserve">more resource efficient. About a quarter of SMEs (24%) rely on external support. More</w:t>
      </w:r>
      <w:r>
        <w:t xml:space="preserve"> </w:t>
      </w:r>
      <w:r>
        <w:t xml:space="preserve">than a third (36%) of SMEs relying on external support in their efforts to be more</w:t>
      </w:r>
      <w:r>
        <w:t xml:space="preserve"> </w:t>
      </w:r>
      <w:r>
        <w:t xml:space="preserve">resource efficient say they receive public funding, such as grants, guarantees or loans.</w:t>
      </w:r>
      <w:r>
        <w:t xml:space="preserve"> </w:t>
      </w:r>
      <w:r>
        <w:t xml:space="preserve">Over a quarter (28%) receive private funding from a bank, investment company or</w:t>
      </w:r>
      <w:r>
        <w:t xml:space="preserve"> </w:t>
      </w:r>
      <w:r>
        <w:t xml:space="preserve">venture capital fund. More than one third of SMEs (36%) think that grants or subsidies</w:t>
      </w:r>
      <w:r>
        <w:t xml:space="preserve"> </w:t>
      </w:r>
      <w:r>
        <w:t xml:space="preserve">would help their company the most to be more resource efficient.</w:t>
      </w:r>
      <w:r>
        <w:t xml:space="preserve"> </w:t>
      </w:r>
      <w:r>
        <w:t xml:space="preserve">The SMEs inputs from the public consultation and stakeholder event have been taken</w:t>
      </w:r>
      <w:r>
        <w:t xml:space="preserve"> </w:t>
      </w:r>
      <w:r>
        <w:t xml:space="preserve">into consideration in this impact assessment, its in-depth analysis (see, for example, the</w:t>
      </w:r>
      <w:r>
        <w:t xml:space="preserve"> </w:t>
      </w:r>
      <w:r>
        <w:t xml:space="preserve">competitiveness aspects in Section 8) and enabling framework annexes.</w:t>
      </w:r>
      <w:r>
        <w:br/>
      </w:r>
      <w:r>
        <w:t xml:space="preserve">Step 3/4: Assessment of the impact on SMEs</w:t>
      </w:r>
      <w:r>
        <w:t xml:space="preserve"> </w:t>
      </w:r>
      <w:r>
        <w:t xml:space="preserve">The initiative does not set out measures that require specific compliance efforts from</w:t>
      </w:r>
      <w:r>
        <w:t xml:space="preserve"> </w:t>
      </w:r>
      <w:r>
        <w:t xml:space="preserve">SMEs. Relevant impacts of this initiative on SMEs include the benefit from mitigating</w:t>
      </w:r>
      <w:r>
        <w:t xml:space="preserve"> </w:t>
      </w:r>
      <w:r>
        <w:t xml:space="preserve">climate change (avoided cost of climate inaction and extreme climate-related events),</w:t>
      </w:r>
      <w:r>
        <w:t xml:space="preserve"> </w:t>
      </w:r>
      <w:r>
        <w:t xml:space="preserve">investment needs and potential changes in energy prices, and change in specific markets.</w:t>
      </w:r>
      <w:r>
        <w:t xml:space="preserve"> </w:t>
      </w:r>
      <w:r>
        <w:t xml:space="preserve">The understanding of the impacts on SMEs is important in view of better defining the</w:t>
      </w:r>
      <w:r>
        <w:t xml:space="preserve"> </w:t>
      </w:r>
      <w:r>
        <w:t xml:space="preserve">enabling framework that will allow supporting and accompanying the transition for these</w:t>
      </w:r>
      <w:r>
        <w:t xml:space="preserve"> </w:t>
      </w:r>
      <w:r>
        <w:t xml:space="preserve">actors.</w:t>
      </w:r>
      <w:r>
        <w:br/>
      </w:r>
      <w:r>
        <w:t xml:space="preserve">First, contributing to mitigating climate change implies a benefit for SMEs. Small</w:t>
      </w:r>
      <w:r>
        <w:t xml:space="preserve"> </w:t>
      </w:r>
      <w:r>
        <w:t xml:space="preserve">companies have started to experience the impact of climate change on their operation, as</w:t>
      </w:r>
      <w:r>
        <w:t xml:space="preserve"> </w:t>
      </w:r>
      <w:r>
        <w:t xml:space="preserve">reported by the European Investment Bank in its 2022 overview on SMEs. Collier and</w:t>
      </w:r>
      <w:r>
        <w:t xml:space="preserve"> </w:t>
      </w:r>
      <w:r>
        <w:t xml:space="preserve">Ragin (121) indicate that the higher frequency of extreme events due to climate change</w:t>
      </w:r>
      <w:r>
        <w:t xml:space="preserve"> </w:t>
      </w:r>
      <w:r>
        <w:t xml:space="preserve">will imply higher costs for small businesses. In the worst cases of climate related extreme</w:t>
      </w:r>
    </w:p>
    <w:p>
      <w:pPr>
        <w:pStyle w:val="Compact"/>
        <w:numPr>
          <w:ilvl w:val="0"/>
          <w:numId w:val="1059"/>
        </w:numPr>
      </w:pPr>
      <w:r>
        <w:t xml:space="preserve">Collier B. and M. Rajin, “As climate risk grows, so will costs for small businesses”. Harvard</w:t>
      </w:r>
      <w:r>
        <w:t xml:space="preserve"> </w:t>
      </w:r>
      <w:r>
        <w:t xml:space="preserve">Business Review, August 2022.</w:t>
      </w:r>
    </w:p>
    <w:p>
      <w:pPr>
        <w:pStyle w:val="FirstParagraph"/>
      </w:pPr>
      <w:r>
        <w:t xml:space="preserve">122</w:t>
      </w:r>
    </w:p>
    <w:p>
      <w:pPr>
        <w:pStyle w:val="BodyText"/>
      </w:pPr>
      <w:r>
        <w:t xml:space="preserve">events, exposed SMEs could lose up to 100% of their productive capacities. 38% of</w:t>
      </w:r>
      <w:r>
        <w:t xml:space="preserve"> </w:t>
      </w:r>
      <w:r>
        <w:t xml:space="preserve">SMEs declare not to be covered for the risk of physical loss or damage from a natural</w:t>
      </w:r>
      <w:r>
        <w:t xml:space="preserve"> </w:t>
      </w:r>
      <w:r>
        <w:t xml:space="preserve">disaster and 56% declare not to be covered for the risk of stopping business activities due</w:t>
      </w:r>
      <w:r>
        <w:t xml:space="preserve"> </w:t>
      </w:r>
      <w:r>
        <w:t xml:space="preserve">to disaster related damage (122). In such circumstance, contributing to mitigating climate</w:t>
      </w:r>
      <w:r>
        <w:t xml:space="preserve"> </w:t>
      </w:r>
      <w:r>
        <w:t xml:space="preserve">change is beneficial for all. According to the International Labour Organization, SMEs</w:t>
      </w:r>
      <w:r>
        <w:t xml:space="preserve"> </w:t>
      </w:r>
      <w:r>
        <w:t xml:space="preserve">are less equipped than large companies to plan and invest in adaptation measures (123). A</w:t>
      </w:r>
      <w:r>
        <w:t xml:space="preserve"> </w:t>
      </w:r>
      <w:r>
        <w:t xml:space="preserve">more ambitious 2040 target is more likely to lead to limiting climate change than a lower</w:t>
      </w:r>
      <w:r>
        <w:t xml:space="preserve"> </w:t>
      </w:r>
      <w:r>
        <w:t xml:space="preserve">one.</w:t>
      </w:r>
      <w:r>
        <w:t xml:space="preserve"> </w:t>
      </w:r>
      <w:r>
        <w:t xml:space="preserve">Another benefit of the transition to a climate neutral EU economy is a reduction of the</w:t>
      </w:r>
      <w:r>
        <w:t xml:space="preserve"> </w:t>
      </w:r>
      <w:r>
        <w:t xml:space="preserve">exposure of SMEs to fossil fuel price shocks, which can propagate through the entire</w:t>
      </w:r>
      <w:r>
        <w:t xml:space="preserve"> </w:t>
      </w:r>
      <w:r>
        <w:t xml:space="preserve">energy system and all energy vectors. Due to the war in Ukraine, energy and their</w:t>
      </w:r>
      <w:r>
        <w:t xml:space="preserve"> </w:t>
      </w:r>
      <w:r>
        <w:t xml:space="preserve">volatility have increased (180% increase in the gas price in the first two weeks of the</w:t>
      </w:r>
      <w:r>
        <w:t xml:space="preserve"> </w:t>
      </w:r>
      <w:r>
        <w:t xml:space="preserve">war, reaching an all-time high of 320 €/MWh on 26 August 2022, while the average price</w:t>
      </w:r>
      <w:r>
        <w:t xml:space="preserve"> </w:t>
      </w:r>
      <w:r>
        <w:t xml:space="preserve">was around 16, 47 and 123 €/MWh in 2015-2020, 2021 and 2022 respectively) (124) (125).</w:t>
      </w:r>
      <w:r>
        <w:t xml:space="preserve"> </w:t>
      </w:r>
      <w:r>
        <w:t xml:space="preserve">Improving energy efficiency and independence from fossil fuel reduces the risk of such</w:t>
      </w:r>
      <w:r>
        <w:t xml:space="preserve"> </w:t>
      </w:r>
      <w:r>
        <w:t xml:space="preserve">costs for SMEs. Simulations done with the JRC GEM-E3 model show that the economic</w:t>
      </w:r>
      <w:r>
        <w:t xml:space="preserve"> </w:t>
      </w:r>
      <w:r>
        <w:t xml:space="preserve">impact of fossil fuel price shocks is smaller if the ambition for 2040 is larger.</w:t>
      </w:r>
      <w:r>
        <w:br/>
      </w:r>
      <w:r>
        <w:t xml:space="preserve">In terms of cost of energy, the different target options display fairly similar impacts for</w:t>
      </w:r>
      <w:r>
        <w:t xml:space="preserve"> </w:t>
      </w:r>
      <w:r>
        <w:t xml:space="preserve">most sectors relevant for SMEs (see Sections 2.2 and 2.3 in Annex 8). SMEs are</w:t>
      </w:r>
      <w:r>
        <w:t xml:space="preserve"> </w:t>
      </w:r>
      <w:r>
        <w:t xml:space="preserve">expected to face very similar energy prices (including electricity prices) across target</w:t>
      </w:r>
      <w:r>
        <w:t xml:space="preserve"> </w:t>
      </w:r>
      <w:r>
        <w:t xml:space="preserve">options. However, the most ambitious target entails a stronger reliance on new fuels,</w:t>
      </w:r>
      <w:r>
        <w:t xml:space="preserve"> </w:t>
      </w:r>
      <w:r>
        <w:t xml:space="preserve">which are currently little deployed (for instance hydrogen to heat at high temperature)</w:t>
      </w:r>
      <w:r>
        <w:t xml:space="preserve"> </w:t>
      </w:r>
      <w:r>
        <w:t xml:space="preserve">and which can concern large but also some smaller industrial actors (for instance the</w:t>
      </w:r>
      <w:r>
        <w:t xml:space="preserve"> </w:t>
      </w:r>
      <w:r>
        <w:t xml:space="preserve">ceramic industry, where most manufacturers are SMEs).</w:t>
      </w:r>
      <w:r>
        <w:br/>
      </w:r>
      <w:r>
        <w:t xml:space="preserve">Investments for electrification and energy efficiency improvement are required across all</w:t>
      </w:r>
      <w:r>
        <w:t xml:space="preserve"> </w:t>
      </w:r>
      <w:r>
        <w:t xml:space="preserve">options, with a slightly higher level for the highest level of ambition than for the lower</w:t>
      </w:r>
      <w:r>
        <w:t xml:space="preserve"> </w:t>
      </w:r>
      <w:r>
        <w:t xml:space="preserve">level. As presented in Table 40, around 66% of SMEs are active in services. For the</w:t>
      </w:r>
      <w:r>
        <w:t xml:space="preserve"> </w:t>
      </w:r>
      <w:r>
        <w:t xml:space="preserve">majority of these SMEs, the impact of the transition is likely to be limited and the</w:t>
      </w:r>
      <w:r>
        <w:t xml:space="preserve"> </w:t>
      </w:r>
      <w:r>
        <w:t xml:space="preserve">difference between options is small. For services sectors, average annual investment</w:t>
      </w:r>
      <w:r>
        <w:t xml:space="preserve"> </w:t>
      </w:r>
      <w:r>
        <w:t xml:space="preserve">needs for all companies, including large businesses, range between EUR 49 billion</w:t>
      </w:r>
      <w:r>
        <w:t xml:space="preserve"> </w:t>
      </w:r>
      <w:r>
        <w:t xml:space="preserve">(lower level of ambition) and EUR 57 billion (higher level of ambition) in 2031-2040.</w:t>
      </w:r>
      <w:r>
        <w:t xml:space="preserve"> </w:t>
      </w:r>
      <w:r>
        <w:t xml:space="preserve">This is equivalent to a range of €800 to 940 per employee, keeping in mind that about</w:t>
      </w:r>
      <w:r>
        <w:t xml:space="preserve"> </w:t>
      </w:r>
      <w:r>
        <w:t xml:space="preserve">30 percent of employees in services work in large enterprises. On average over 2031-</w:t>
      </w:r>
      <w:r>
        <w:t xml:space="preserve"> </w:t>
      </w:r>
      <w:r>
        <w:t xml:space="preserve">2050, investment requirements are very similar.</w:t>
      </w:r>
      <w:r>
        <w:br/>
      </w:r>
      <w:r>
        <w:t xml:space="preserve">The impact of the three possible options on SMEs is rather dependant on the sectors. To</w:t>
      </w:r>
      <w:r>
        <w:t xml:space="preserve"> </w:t>
      </w:r>
      <w:r>
        <w:t xml:space="preserve">some degree, the impact of the transition on SMEs depends on the ambition of the 2040</w:t>
      </w:r>
    </w:p>
    <w:p>
      <w:pPr>
        <w:pStyle w:val="Compact"/>
        <w:numPr>
          <w:ilvl w:val="0"/>
          <w:numId w:val="1060"/>
        </w:numPr>
      </w:pPr>
      <w:r>
        <w:t xml:space="preserve">Flash Eurobarometer, SME insurance trends, European Insurance and Occupational Pensions</w:t>
      </w:r>
      <w:r>
        <w:t xml:space="preserve"> </w:t>
      </w:r>
      <w:r>
        <w:t xml:space="preserve">Authority, 2022.</w:t>
      </w:r>
    </w:p>
    <w:p>
      <w:pPr>
        <w:pStyle w:val="Compact"/>
        <w:numPr>
          <w:ilvl w:val="0"/>
          <w:numId w:val="1060"/>
        </w:numPr>
      </w:pPr>
      <w:r>
        <w:t xml:space="preserve">Enabling business mitigation and adaptation to climate change Green policies and the role of</w:t>
      </w:r>
      <w:r>
        <w:t xml:space="preserve"> </w:t>
      </w:r>
      <w:r>
        <w:t xml:space="preserve">Employer and Business Membership Organization. International Labour Organization. December 2022</w:t>
      </w:r>
    </w:p>
    <w:p>
      <w:pPr>
        <w:pStyle w:val="Compact"/>
        <w:numPr>
          <w:ilvl w:val="0"/>
          <w:numId w:val="1060"/>
        </w:numPr>
      </w:pPr>
      <w:r>
        <w:t xml:space="preserve">Adolfsen J. F., F. Kuik, E. M. Lis and T.Schuler, The impact of the war in Ukraine on euro area</w:t>
      </w:r>
      <w:r>
        <w:t xml:space="preserve"> </w:t>
      </w:r>
      <w:r>
        <w:t xml:space="preserve">energy markets”. ECB Economic Bulletin, Issue 4/2022.</w:t>
      </w:r>
    </w:p>
    <w:p>
      <w:pPr>
        <w:pStyle w:val="Compact"/>
        <w:numPr>
          <w:ilvl w:val="0"/>
          <w:numId w:val="1060"/>
        </w:numPr>
      </w:pPr>
      <w:r>
        <w:t xml:space="preserve">Dutch Title Transfer Facility prices, Internal analysis based on S&amp;P Global Platts.</w:t>
      </w:r>
    </w:p>
    <w:p>
      <w:pPr>
        <w:pStyle w:val="FirstParagraph"/>
      </w:pPr>
      <w:r>
        <w:t xml:space="preserve">123</w:t>
      </w:r>
    </w:p>
    <w:p>
      <w:pPr>
        <w:pStyle w:val="BodyText"/>
      </w:pPr>
      <w:r>
        <w:t xml:space="preserve">target, in particular in the sectors that will need to contribute more or in which specific</w:t>
      </w:r>
      <w:r>
        <w:t xml:space="preserve"> </w:t>
      </w:r>
      <w:r>
        <w:t xml:space="preserve">technologies will need to be applied more extensively. But the final impact will largely</w:t>
      </w:r>
      <w:r>
        <w:t xml:space="preserve"> </w:t>
      </w:r>
      <w:r>
        <w:t xml:space="preserve">depend on the future design of policies and measures to be determined in the years to</w:t>
      </w:r>
      <w:r>
        <w:t xml:space="preserve"> </w:t>
      </w:r>
      <w:r>
        <w:t xml:space="preserve">come in view of meeting the 2040 target.</w:t>
      </w:r>
      <w:r>
        <w:br/>
      </w:r>
      <w:r>
        <w:t xml:space="preserve">Most SMEs are in sectors where the energy system costs for option 3 are limited in</w:t>
      </w:r>
      <w:r>
        <w:t xml:space="preserve"> </w:t>
      </w:r>
      <w:r>
        <w:t xml:space="preserve">comparison with option 2 (see Table 41 below).</w:t>
      </w:r>
      <w:r>
        <w:t xml:space="preserve"> </w:t>
      </w:r>
      <w:r>
        <w:t xml:space="preserve">Table 41: Energy system costs for 2031-2040 and sectoral distribution of SMEs</w:t>
      </w:r>
    </w:p>
    <w:p>
      <w:pPr>
        <w:pStyle w:val="BodyText"/>
      </w:pPr>
      <w:r>
        <w:t xml:space="preserve">Sectoral split of SMEs</w:t>
      </w:r>
      <w:r>
        <w:t xml:space="preserve"> </w:t>
      </w:r>
      <w:r>
        <w:t xml:space="preserve">(number of</w:t>
      </w:r>
      <w:r>
        <w:t xml:space="preserve"> </w:t>
      </w:r>
      <w:r>
        <w:t xml:space="preserve">companies)</w:t>
      </w:r>
      <w:r>
        <w:t xml:space="preserve"> </w:t>
      </w:r>
      <w:r>
        <w:t xml:space="preserve">Sectoral split of SMEs</w:t>
      </w:r>
      <w:r>
        <w:t xml:space="preserve"> </w:t>
      </w:r>
      <w:r>
        <w:t xml:space="preserve">(GVA)</w:t>
      </w:r>
      <w:r>
        <w:t xml:space="preserve"> </w:t>
      </w:r>
      <w:r>
        <w:t xml:space="preserve">Aggregate sector in</w:t>
      </w:r>
      <w:r>
        <w:t xml:space="preserve"> </w:t>
      </w:r>
      <w:r>
        <w:t xml:space="preserve">the macro-economic</w:t>
      </w:r>
      <w:r>
        <w:t xml:space="preserve"> </w:t>
      </w:r>
      <w:r>
        <w:t xml:space="preserve">analysis</w:t>
      </w:r>
      <w:r>
        <w:t xml:space="preserve"> </w:t>
      </w:r>
      <w:r>
        <w:t xml:space="preserve">Energy system costs</w:t>
      </w:r>
      <w:r>
        <w:t xml:space="preserve"> </w:t>
      </w:r>
      <w:r>
        <w:t xml:space="preserve">for 2031-2040 (%</w:t>
      </w:r>
      <w:r>
        <w:t xml:space="preserve"> </w:t>
      </w:r>
      <w:r>
        <w:t xml:space="preserve">change compared to</w:t>
      </w:r>
      <w:r>
        <w:t xml:space="preserve"> </w:t>
      </w:r>
      <w:r>
        <w:t xml:space="preserve">option 2)</w:t>
      </w:r>
      <w:r>
        <w:t xml:space="preserve"> </w:t>
      </w:r>
      <w:r>
        <w:t xml:space="preserve">Services</w:t>
      </w:r>
      <w:r>
        <w:t xml:space="preserve"> </w:t>
      </w:r>
      <w:r>
        <w:t xml:space="preserve">65.7%</w:t>
      </w:r>
      <w:r>
        <w:t xml:space="preserve"> </w:t>
      </w:r>
      <w:r>
        <w:t xml:space="preserve">54.3%</w:t>
      </w:r>
      <w:r>
        <w:t xml:space="preserve"> </w:t>
      </w:r>
      <w:r>
        <w:t xml:space="preserve">Tertiary</w:t>
      </w:r>
      <w:r>
        <w:t xml:space="preserve"> </w:t>
      </w:r>
      <w:r>
        <w:t xml:space="preserve">+0.5%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architecture</w:t>
      </w:r>
      <w:r>
        <w:t xml:space="preserve"> </w:t>
      </w:r>
      <w:r>
        <w:t xml:space="preserve">services</w:t>
      </w:r>
      <w:r>
        <w:t xml:space="preserve"> </w:t>
      </w:r>
      <w:r>
        <w:t xml:space="preserve">-19.0%</w:t>
      </w:r>
      <w:r>
        <w:t xml:space="preserve"> </w:t>
      </w:r>
      <w:r>
        <w:t xml:space="preserve">16.4%</w:t>
      </w:r>
      <w:r>
        <w:t xml:space="preserve"> </w:t>
      </w:r>
      <w:r>
        <w:t xml:space="preserve">Water, treatment and waste</w:t>
      </w:r>
      <w:r>
        <w:t xml:space="preserve"> </w:t>
      </w:r>
      <w:r>
        <w:t xml:space="preserve">0.3%</w:t>
      </w:r>
      <w:r>
        <w:t xml:space="preserve"> </w:t>
      </w:r>
      <w:r>
        <w:t xml:space="preserve">1.3%</w:t>
      </w:r>
      <w:r>
        <w:t xml:space="preserve"> </w:t>
      </w:r>
      <w:r>
        <w:t xml:space="preserve">Manuf. transport equipment (incl. </w:t>
      </w:r>
      <w:r>
        <w:t xml:space="preserve"> </w:t>
      </w:r>
      <w:r>
        <w:t xml:space="preserve">parts and accessories)</w:t>
      </w:r>
      <w:r>
        <w:t xml:space="preserve"> </w:t>
      </w:r>
      <w:r>
        <w:t xml:space="preserve">0.1%</w:t>
      </w:r>
      <w:r>
        <w:t xml:space="preserve"> </w:t>
      </w:r>
      <w:r>
        <w:t xml:space="preserve">0.6%</w:t>
      </w:r>
      <w:r>
        <w:t xml:space="preserve"> </w:t>
      </w:r>
      <w:r>
        <w:t xml:space="preserve">Non-EIIs</w:t>
      </w:r>
      <w:r>
        <w:t xml:space="preserve"> </w:t>
      </w:r>
      <w:r>
        <w:t xml:space="preserve">+0.8%</w:t>
      </w:r>
      <w:r>
        <w:t xml:space="preserve"> </w:t>
      </w:r>
      <w:r>
        <w:t xml:space="preserve">Manuf. electrical equipment and</w:t>
      </w:r>
      <w:r>
        <w:t xml:space="preserve"> </w:t>
      </w:r>
      <w:r>
        <w:t xml:space="preserve">other machinery</w:t>
      </w:r>
      <w:r>
        <w:t xml:space="preserve"> </w:t>
      </w:r>
      <w:r>
        <w:t xml:space="preserve">0.5%</w:t>
      </w:r>
      <w:r>
        <w:t xml:space="preserve"> </w:t>
      </w:r>
      <w:r>
        <w:t xml:space="preserve">3.1%</w:t>
      </w:r>
      <w:r>
        <w:t xml:space="preserve"> </w:t>
      </w:r>
      <w:r>
        <w:t xml:space="preserve">Other manufacturing</w:t>
      </w:r>
      <w:r>
        <w:t xml:space="preserve"> </w:t>
      </w:r>
      <w:r>
        <w:t xml:space="preserve">7.5%</w:t>
      </w:r>
      <w:r>
        <w:t xml:space="preserve"> </w:t>
      </w:r>
      <w:r>
        <w:t xml:space="preserve">14.3%</w:t>
      </w:r>
      <w:r>
        <w:t xml:space="preserve"> </w:t>
      </w:r>
      <w:r>
        <w:t xml:space="preserve">Electricity, gas, steam and air</w:t>
      </w:r>
      <w:r>
        <w:t xml:space="preserve"> </w:t>
      </w:r>
      <w:r>
        <w:t xml:space="preserve">conditioning supply</w:t>
      </w:r>
      <w:r>
        <w:t xml:space="preserve"> </w:t>
      </w:r>
      <w:r>
        <w:t xml:space="preserve">0.7%</w:t>
      </w:r>
      <w:r>
        <w:t xml:space="preserve"> </w:t>
      </w:r>
      <w:r>
        <w:t xml:space="preserve">1.4%</w:t>
      </w:r>
      <w:r>
        <w:t xml:space="preserve"> </w:t>
      </w:r>
      <w:r>
        <w:t xml:space="preserve">Transport and storage</w:t>
      </w:r>
      <w:r>
        <w:t xml:space="preserve"> </w:t>
      </w:r>
      <w:r>
        <w:t xml:space="preserve">5.4%</w:t>
      </w:r>
      <w:r>
        <w:t xml:space="preserve"> </w:t>
      </w:r>
      <w:r>
        <w:t xml:space="preserve">5.2%</w:t>
      </w:r>
      <w:r>
        <w:t xml:space="preserve"> </w:t>
      </w:r>
      <w:r>
        <w:t xml:space="preserve">Transport</w:t>
      </w:r>
      <w:r>
        <w:t xml:space="preserve"> </w:t>
      </w:r>
      <w:r>
        <w:t xml:space="preserve">+2%</w:t>
      </w:r>
      <w:r>
        <w:t xml:space="preserve"> </w:t>
      </w:r>
      <w:r>
        <w:t xml:space="preserve">Energy intensive industries</w:t>
      </w:r>
      <w:r>
        <w:t xml:space="preserve"> </w:t>
      </w:r>
      <w:r>
        <w:t xml:space="preserve">0.6%</w:t>
      </w:r>
      <w:r>
        <w:t xml:space="preserve"> </w:t>
      </w:r>
      <w:r>
        <w:t xml:space="preserve">2.9%</w:t>
      </w:r>
      <w:r>
        <w:t xml:space="preserve"> </w:t>
      </w:r>
      <w:r>
        <w:t xml:space="preserve">EIIS</w:t>
      </w:r>
      <w:r>
        <w:t xml:space="preserve"> </w:t>
      </w:r>
      <w:r>
        <w:t xml:space="preserve">+2.8%</w:t>
      </w:r>
      <w:r>
        <w:t xml:space="preserve"> </w:t>
      </w:r>
      <w:r>
        <w:t xml:space="preserve">Fossil fuels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Other mining and extraction</w:t>
      </w:r>
      <w:r>
        <w:t xml:space="preserve"> </w:t>
      </w:r>
      <w:r>
        <w:t xml:space="preserve">0.1%</w:t>
      </w:r>
      <w:r>
        <w:t xml:space="preserve"> </w:t>
      </w:r>
      <w:r>
        <w:t xml:space="preserve">0.3%</w:t>
      </w:r>
      <w:r>
        <w:t xml:space="preserve"> </w:t>
      </w:r>
      <w:r>
        <w:t xml:space="preserve">Note: the sectoral disaggregation used by the Structural Business Statistics does not exactly match the sectoral</w:t>
      </w:r>
      <w:r>
        <w:t xml:space="preserve"> </w:t>
      </w:r>
      <w:r>
        <w:t xml:space="preserve">disaggregation used in PRIMES. The correspondence is indicative.</w:t>
      </w:r>
    </w:p>
    <w:p>
      <w:pPr>
        <w:pStyle w:val="BodyText"/>
      </w:pPr>
      <w:r>
        <w:t xml:space="preserve">For the tertiary sector (services represent more than 65% of SMEs), the average</w:t>
      </w:r>
      <w:r>
        <w:t xml:space="preserve"> </w:t>
      </w:r>
      <w:r>
        <w:t xml:space="preserve">investment needs over 2031-2050 are the same across options. It is their distribution over</w:t>
      </w:r>
      <w:r>
        <w:t xml:space="preserve"> </w:t>
      </w:r>
      <w:r>
        <w:t xml:space="preserve">the two subperiods (2031-2040 and 2041-2050) which varies across options. The capital</w:t>
      </w:r>
      <w:r>
        <w:t xml:space="preserve"> </w:t>
      </w:r>
      <w:r>
        <w:t xml:space="preserve">costs for the transition are higher in the most ambitious options (nearly +5% in option 3</w:t>
      </w:r>
      <w:r>
        <w:t xml:space="preserve"> </w:t>
      </w:r>
      <w:r>
        <w:t xml:space="preserve">compared to option 1 for 2031-2040 vs +2% in option 2 compared to option 1) but this is</w:t>
      </w:r>
      <w:r>
        <w:t xml:space="preserve"> </w:t>
      </w:r>
      <w:r>
        <w:t xml:space="preserve">partly compensated by larger savings in energy purchases (nearly -1% in option 3</w:t>
      </w:r>
      <w:r>
        <w:t xml:space="preserve"> </w:t>
      </w:r>
      <w:r>
        <w:t xml:space="preserve">compared to option 1 vs -0,5% in option 2 compared to option 1).</w:t>
      </w:r>
      <w:r>
        <w:t xml:space="preserve"> </w:t>
      </w:r>
      <w:r>
        <w:t xml:space="preserve">For the construction sector (19% of SMEs in construction and architecture services), the</w:t>
      </w:r>
      <w:r>
        <w:t xml:space="preserve"> </w:t>
      </w:r>
      <w:r>
        <w:t xml:space="preserve">transition is an opportunity as it requires the renovation of the building stock to improve</w:t>
      </w:r>
      <w:r>
        <w:t xml:space="preserve"> </w:t>
      </w:r>
      <w:r>
        <w:t xml:space="preserve">energy efficiency. The need for renovation is high across options, but it is front-loaded</w:t>
      </w:r>
      <w:r>
        <w:t xml:space="preserve"> </w:t>
      </w:r>
      <w:r>
        <w:t xml:space="preserve">with the most ambitious target (10% larger investment needs for 2031-2040 in option 3</w:t>
      </w:r>
      <w:r>
        <w:t xml:space="preserve"> </w:t>
      </w:r>
      <w:r>
        <w:t xml:space="preserve">compared to option 1, but equally smaller needs for 2041-2050). To avoid shortages, the</w:t>
      </w:r>
      <w:r>
        <w:t xml:space="preserve"> </w:t>
      </w:r>
      <w:r>
        <w:t xml:space="preserve">transition will require to anticipate the needs with regards to skills and supply in general.</w:t>
      </w:r>
      <w:r>
        <w:br/>
      </w:r>
      <w:r>
        <w:t xml:space="preserve">For the transport sector (5% of SMEs are in the transport and storage sector), the</w:t>
      </w:r>
      <w:r>
        <w:t xml:space="preserve"> </w:t>
      </w:r>
      <w:r>
        <w:t xml:space="preserve">investment needs are comparable across options (see Section 6 of the main report). The</w:t>
      </w:r>
      <w:r>
        <w:t xml:space="preserve"> </w:t>
      </w:r>
      <w:r>
        <w:t xml:space="preserve">most ambitious option implies a larger use of e-fuels and biofuels. The use of new energy</w:t>
      </w:r>
      <w:r>
        <w:t xml:space="preserve"> </w:t>
      </w:r>
      <w:r>
        <w:t xml:space="preserve">carriers requires new types of engines and new activities (e.g. for their</w:t>
      </w:r>
      <w:r>
        <w:t xml:space="preserve"> </w:t>
      </w:r>
      <w:r>
        <w:t xml:space="preserve">installation/maintenance). At the same time, new infrastructures need to be developed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(for example, charging stations for electric vehicles). The reduced use of conventional</w:t>
      </w:r>
      <w:r>
        <w:t xml:space="preserve"> </w:t>
      </w:r>
      <w:r>
        <w:t xml:space="preserve">vehicles with internal combustion engines (126) implies a reduction in corresponding</w:t>
      </w:r>
      <w:r>
        <w:t xml:space="preserve"> </w:t>
      </w:r>
      <w:r>
        <w:t xml:space="preserve">activities, but, at the same time, new jobs are created for the supply, installation and</w:t>
      </w:r>
      <w:r>
        <w:t xml:space="preserve"> </w:t>
      </w:r>
      <w:r>
        <w:t xml:space="preserve">maintenance of the new equipment and infrastructure, as well as for the development of</w:t>
      </w:r>
      <w:r>
        <w:t xml:space="preserve"> </w:t>
      </w:r>
      <w:r>
        <w:t xml:space="preserve">new mobility services (e.g. shared cars).</w:t>
      </w:r>
      <w:r>
        <w:t xml:space="preserve"> </w:t>
      </w:r>
      <w:r>
        <w:t xml:space="preserve">In the manufacturing sectors that are not energy intensive (7.5% of SMEs in the</w:t>
      </w:r>
      <w:r>
        <w:t xml:space="preserve"> </w:t>
      </w:r>
      <w:r>
        <w:t xml:space="preserve">manufacturing other than transport or electrical equipment), SMEs are most likely to</w:t>
      </w:r>
      <w:r>
        <w:t xml:space="preserve"> </w:t>
      </w:r>
      <w:r>
        <w:t xml:space="preserve">decarbonise their production processes mainly via electrification and improvements in</w:t>
      </w:r>
      <w:r>
        <w:t xml:space="preserve"> </w:t>
      </w:r>
      <w:r>
        <w:t xml:space="preserve">energy efficiency. For the sectors that are not energy-intensive, the options differ little in</w:t>
      </w:r>
      <w:r>
        <w:t xml:space="preserve"> </w:t>
      </w:r>
      <w:r>
        <w:t xml:space="preserve">terms of investment needs in 2031-2050 at an average of around EUR 10 billion per</w:t>
      </w:r>
      <w:r>
        <w:t xml:space="preserve"> </w:t>
      </w:r>
      <w:r>
        <w:t xml:space="preserve">annum, but options 3 and 2 imply a quicker transition than option 1. The risks associated</w:t>
      </w:r>
      <w:r>
        <w:t xml:space="preserve"> </w:t>
      </w:r>
      <w:r>
        <w:t xml:space="preserve">with energy costs are limited even if they are higher with the most ambitious target (see</w:t>
      </w:r>
      <w:r>
        <w:t xml:space="preserve"> </w:t>
      </w:r>
      <w:r>
        <w:t xml:space="preserve">Annex 8). The latter indeed relies more on relatively more expensive fuels. The transition</w:t>
      </w:r>
      <w:r>
        <w:t xml:space="preserve"> </w:t>
      </w:r>
      <w:r>
        <w:t xml:space="preserve">brings opportunities in the markets for low-carbon technologies – for instance, in ocean</w:t>
      </w:r>
      <w:r>
        <w:t xml:space="preserve"> </w:t>
      </w:r>
      <w:r>
        <w:t xml:space="preserve">energy (127) or sustainable advanced biofuels (128).</w:t>
      </w:r>
      <w:r>
        <w:br/>
      </w:r>
      <w:r>
        <w:t xml:space="preserve">In the sectors that are most exposed to the transition (fossil fuel, other mining and</w:t>
      </w:r>
      <w:r>
        <w:t xml:space="preserve"> </w:t>
      </w:r>
      <w:r>
        <w:t xml:space="preserve">extraction, energy intensive industries, electricity, gas and steam), SMEs only represent a</w:t>
      </w:r>
      <w:r>
        <w:t xml:space="preserve"> </w:t>
      </w:r>
      <w:r>
        <w:t xml:space="preserve">very small share of the activity (less than 1.5% of SMEs). In these sectors, SMEs will</w:t>
      </w:r>
      <w:r>
        <w:t xml:space="preserve"> </w:t>
      </w:r>
      <w:r>
        <w:t xml:space="preserve">have to adjust their activities. To give an example, the ceramic industry will have to rely</w:t>
      </w:r>
      <w:r>
        <w:t xml:space="preserve"> </w:t>
      </w:r>
      <w:r>
        <w:t xml:space="preserve">on new fuels to heat at high temperature. Specific support programmes and measures</w:t>
      </w:r>
      <w:r>
        <w:t xml:space="preserve"> </w:t>
      </w:r>
      <w:r>
        <w:t xml:space="preserve">exist to ensure a just and fair transition (see Annex 9).</w:t>
      </w:r>
      <w:r>
        <w:t xml:space="preserve"> </w:t>
      </w:r>
      <w:r>
        <w:t xml:space="preserve">Finally, the agriculture sector (23% of SMEs) is strongly exposed to climate change. The</w:t>
      </w:r>
      <w:r>
        <w:t xml:space="preserve"> </w:t>
      </w:r>
      <w:r>
        <w:t xml:space="preserve">reduction of emissions implies opportunities and challenges. The intermediate and most</w:t>
      </w:r>
      <w:r>
        <w:t xml:space="preserve"> </w:t>
      </w:r>
      <w:r>
        <w:t xml:space="preserve">ambitious options lead to strong GHG reductions in agriculture and a generalised uptake</w:t>
      </w:r>
      <w:r>
        <w:t xml:space="preserve"> </w:t>
      </w:r>
      <w:r>
        <w:t xml:space="preserve">of new technologies. Agriculture is mildly affected by a higher level of ambition, with</w:t>
      </w:r>
      <w:r>
        <w:t xml:space="preserve"> </w:t>
      </w:r>
      <w:r>
        <w:t xml:space="preserve">output 1% lower under S3 than under S2, which is itself 2% lower than under S1. In</w:t>
      </w:r>
      <w:r>
        <w:t xml:space="preserve"> </w:t>
      </w:r>
      <w:r>
        <w:t xml:space="preserve">contrast, output in the forestry sector in 2040 is significantly higher under the higher</w:t>
      </w:r>
      <w:r>
        <w:t xml:space="preserve"> </w:t>
      </w:r>
      <w:r>
        <w:t xml:space="preserve">ambition scenarios than under S1 as a result of the increased demand for biomass. By</w:t>
      </w:r>
      <w:r>
        <w:t xml:space="preserve"> </w:t>
      </w:r>
      <w:r>
        <w:t xml:space="preserve">2050, the differences are much less significant as biomass uses tend to converge across</w:t>
      </w:r>
      <w:r>
        <w:t xml:space="preserve"> </w:t>
      </w:r>
      <w:r>
        <w:t xml:space="preserve">scenarios. The need to develop carbon removals is a source of opportunities and new</w:t>
      </w:r>
      <w:r>
        <w:t xml:space="preserve"> </w:t>
      </w:r>
      <w:r>
        <w:t xml:space="preserve">revenues in the bioeconomy. The move to a more sustainable food system would</w:t>
      </w:r>
      <w:r>
        <w:t xml:space="preserve"> </w:t>
      </w:r>
      <w:r>
        <w:t xml:space="preserve">contribute positively to the transition towards climate neutrality.</w:t>
      </w:r>
      <w:r>
        <w:br/>
      </w:r>
      <w:r>
        <w:t xml:space="preserve">To conclude, the impact of the three possible options on SMEs is rather dependant on the</w:t>
      </w:r>
      <w:r>
        <w:t xml:space="preserve"> </w:t>
      </w:r>
      <w:r>
        <w:t xml:space="preserve">sectors. In the sectors that are most exposed to the transition, SMEs have to anticipate</w:t>
      </w:r>
    </w:p>
    <w:p>
      <w:pPr>
        <w:pStyle w:val="Compact"/>
        <w:numPr>
          <w:ilvl w:val="0"/>
          <w:numId w:val="1061"/>
        </w:numPr>
      </w:pPr>
      <w:r>
        <w:t xml:space="preserve">Less than 0.07% of SMEs in the EU are in the manufacturing of motor vehicles, trailers and semi-</w:t>
      </w:r>
      <w:r>
        <w:t xml:space="preserve"> </w:t>
      </w:r>
      <w:r>
        <w:t xml:space="preserve">trailers; less than 0.06% are in the manufacturing of other transport equipment (Eurostat Structural</w:t>
      </w:r>
      <w:r>
        <w:t xml:space="preserve"> </w:t>
      </w:r>
      <w:r>
        <w:t xml:space="preserve">Business Statistics). Around 3.4% are in the wholesale and retail trade and repair of motor vehicles and</w:t>
      </w:r>
      <w:r>
        <w:t xml:space="preserve"> </w:t>
      </w:r>
      <w:r>
        <w:t xml:space="preserve">motorcycles. Other sectors involved in the supply chain of the automobile sector may be not impacted by</w:t>
      </w:r>
      <w:r>
        <w:t xml:space="preserve"> </w:t>
      </w:r>
      <w:r>
        <w:t xml:space="preserve">the transition (e.g. textile manufacturing), negatively impacted (e.g. the manufacturing of compounds used</w:t>
      </w:r>
      <w:r>
        <w:t xml:space="preserve"> </w:t>
      </w:r>
      <w:r>
        <w:t xml:space="preserve">in fossil fuel engines) or positively impacted (e.g. the manufacturing of batteries).</w:t>
      </w:r>
    </w:p>
    <w:p>
      <w:pPr>
        <w:pStyle w:val="Compact"/>
        <w:numPr>
          <w:ilvl w:val="0"/>
          <w:numId w:val="1061"/>
        </w:numPr>
      </w:pPr>
      <w:r>
        <w:t xml:space="preserve">Ocean Energy – Technology Development Report. Low-carbon Energy Observatory, Joint Research</w:t>
      </w:r>
      <w:r>
        <w:t xml:space="preserve"> </w:t>
      </w:r>
      <w:r>
        <w:t xml:space="preserve">Center, European Commission. EUR 30509 EN. 2020</w:t>
      </w:r>
    </w:p>
    <w:p>
      <w:pPr>
        <w:pStyle w:val="Compact"/>
        <w:numPr>
          <w:ilvl w:val="0"/>
          <w:numId w:val="1061"/>
        </w:numPr>
      </w:pPr>
      <w:r>
        <w:t xml:space="preserve">Sustainable Advanced Biofuels– Technology Development Report. Low-carbon Energy Observatory,</w:t>
      </w:r>
      <w:r>
        <w:t xml:space="preserve"> </w:t>
      </w:r>
      <w:r>
        <w:t xml:space="preserve">Joint Research Centre, European Commission. EUR 30502 EN. 2020</w:t>
      </w:r>
    </w:p>
    <w:p>
      <w:pPr>
        <w:pStyle w:val="FirstParagraph"/>
      </w:pPr>
      <w:r>
        <w:t xml:space="preserve">125</w:t>
      </w:r>
    </w:p>
    <w:p>
      <w:pPr>
        <w:pStyle w:val="BodyText"/>
      </w:pPr>
      <w:r>
        <w:t xml:space="preserve">and adjust. This can be a challenge but also yield opportunities in terms of new markets</w:t>
      </w:r>
      <w:r>
        <w:t xml:space="preserve"> </w:t>
      </w:r>
      <w:r>
        <w:t xml:space="preserve">for smaller businesses which tend to be more agile in developing innovative solutions.</w:t>
      </w:r>
      <w:r>
        <w:t xml:space="preserve"> </w:t>
      </w:r>
      <w:r>
        <w:t xml:space="preserve">Across all target options, opportunities arise for green solutions and technical support</w:t>
      </w:r>
      <w:r>
        <w:t xml:space="preserve"> </w:t>
      </w:r>
      <w:r>
        <w:t xml:space="preserve">including digitalisation, circular economy, and sustainable products. While the</w:t>
      </w:r>
      <w:r>
        <w:t xml:space="preserve"> </w:t>
      </w:r>
      <w:r>
        <w:t xml:space="preserve">decarbonisation requires investments, it benefits SMEs by mitigating the risks associated</w:t>
      </w:r>
      <w:r>
        <w:t xml:space="preserve"> </w:t>
      </w:r>
      <w:r>
        <w:t xml:space="preserve">with climate change and reducing the exposure of SMEs to fossil fuel price shocks.</w:t>
      </w:r>
      <w:r>
        <w:t xml:space="preserve"> </w:t>
      </w:r>
      <w:r>
        <w:t xml:space="preserve">Step 4/4: Minimising negative impacts on SMEs</w:t>
      </w:r>
      <w:r>
        <w:t xml:space="preserve"> </w:t>
      </w:r>
      <w:r>
        <w:t xml:space="preserve">The decarbonisation contributes to minimising climate change and hence to minimising</w:t>
      </w:r>
      <w:r>
        <w:t xml:space="preserve"> </w:t>
      </w:r>
      <w:r>
        <w:t xml:space="preserve">the negative impact of climate change on SMEs.</w:t>
      </w:r>
      <w:r>
        <w:t xml:space="preserve"> </w:t>
      </w:r>
      <w:r>
        <w:t xml:space="preserve">Regarding the transition to a climate neutral economy, as the emission objectives for</w:t>
      </w:r>
      <w:r>
        <w:t xml:space="preserve"> </w:t>
      </w:r>
      <w:r>
        <w:t xml:space="preserve">2030 and 2050 have already been set, the options for intermediary ambition levels in</w:t>
      </w:r>
      <w:r>
        <w:t xml:space="preserve"> </w:t>
      </w:r>
      <w:r>
        <w:t xml:space="preserve">2040 are relatively close to one another. The analysis shows that there is limited</w:t>
      </w:r>
      <w:r>
        <w:t xml:space="preserve"> </w:t>
      </w:r>
      <w:r>
        <w:t xml:space="preserve">difference between the target options assessed in terms of overall macro-economic</w:t>
      </w:r>
      <w:r>
        <w:t xml:space="preserve"> </w:t>
      </w:r>
      <w:r>
        <w:t xml:space="preserve">impacts and costs for the sectors with more SMEs. While the decarbonisation of the EU</w:t>
      </w:r>
      <w:r>
        <w:t xml:space="preserve"> </w:t>
      </w:r>
      <w:r>
        <w:t xml:space="preserve">economy will entail changes in business activities, it is also a source of opportunities</w:t>
      </w:r>
      <w:r>
        <w:t xml:space="preserve"> </w:t>
      </w:r>
      <w:r>
        <w:t xml:space="preserve">given the role they play in innovation.</w:t>
      </w:r>
      <w:r>
        <w:br/>
      </w:r>
      <w:r>
        <w:t xml:space="preserve">As the impact of the transition is strongly dependent on the sector in which SMEs</w:t>
      </w:r>
      <w:r>
        <w:t xml:space="preserve"> </w:t>
      </w:r>
      <w:r>
        <w:t xml:space="preserve">operate, minimising the impact of the transition is achieved not only via programmes for</w:t>
      </w:r>
      <w:r>
        <w:t xml:space="preserve"> </w:t>
      </w:r>
      <w:r>
        <w:t xml:space="preserve">SMEs but also by sector-specific measures. The EU has already put in place a number of</w:t>
      </w:r>
      <w:r>
        <w:t xml:space="preserve"> </w:t>
      </w:r>
      <w:r>
        <w:t xml:space="preserve">measures and programmes dedicated to SMEs as well as those that are specifically</w:t>
      </w:r>
      <w:r>
        <w:t xml:space="preserve"> </w:t>
      </w:r>
      <w:r>
        <w:t xml:space="preserve">targeted to sectors and regions exposed to the climate transition. As an example, the</w:t>
      </w:r>
      <w:r>
        <w:t xml:space="preserve"> </w:t>
      </w:r>
      <w:r>
        <w:t xml:space="preserve">European programme for small and medium-sized enterprises (COSME) contributed to</w:t>
      </w:r>
      <w:r>
        <w:t xml:space="preserve"> </w:t>
      </w:r>
      <w:r>
        <w:t xml:space="preserve">the climate mainstreaming objectives from 2014 to 2020. It included, among others, the</w:t>
      </w:r>
      <w:r>
        <w:t xml:space="preserve"> </w:t>
      </w:r>
      <w:r>
        <w:t xml:space="preserve">Equity Facility for Growth (EFG) and the Enterprise Europe Network (EEN) which</w:t>
      </w:r>
      <w:r>
        <w:t xml:space="preserve"> </w:t>
      </w:r>
      <w:r>
        <w:t xml:space="preserve">provides advice and support to SMEs. Based on the experience with COSME, other</w:t>
      </w:r>
      <w:r>
        <w:t xml:space="preserve"> </w:t>
      </w:r>
      <w:r>
        <w:t xml:space="preserve">comparable programmes could be developed in the future. The European Investment</w:t>
      </w:r>
      <w:r>
        <w:t xml:space="preserve"> </w:t>
      </w:r>
      <w:r>
        <w:t xml:space="preserve">Bank develops financing instruments that are particularly targeted to SMEs. The recent</w:t>
      </w:r>
      <w:r>
        <w:t xml:space="preserve"> </w:t>
      </w:r>
      <w:r>
        <w:t xml:space="preserve">SME Relief Package (129) is expected to support SMEs in the transition to a low-carbon</w:t>
      </w:r>
      <w:r>
        <w:t xml:space="preserve"> </w:t>
      </w:r>
      <w:r>
        <w:t xml:space="preserve">economy. Rules to ensure small businesses are paid in due time help them invest and</w:t>
      </w:r>
      <w:r>
        <w:t xml:space="preserve"> </w:t>
      </w:r>
      <w:r>
        <w:t xml:space="preserve">innovate in sustainability and hire more employees. The Recovery and Resilience</w:t>
      </w:r>
      <w:r>
        <w:t xml:space="preserve"> </w:t>
      </w:r>
      <w:r>
        <w:t xml:space="preserve">Facility makes unprecedented levels of funding available for greening, digitalisation, and</w:t>
      </w:r>
      <w:r>
        <w:t xml:space="preserve"> </w:t>
      </w:r>
      <w:r>
        <w:t xml:space="preserve">upskilling in SMEs. It includes €44 billion of measures to support SMEs directly in 22</w:t>
      </w:r>
      <w:r>
        <w:t xml:space="preserve"> </w:t>
      </w:r>
      <w:r>
        <w:t xml:space="preserve">national plans. SMEs can benefit from broader measures worth €109 billion, such as</w:t>
      </w:r>
      <w:r>
        <w:t xml:space="preserve"> </w:t>
      </w:r>
      <w:r>
        <w:t xml:space="preserve">loans or equity support open to all companies. InvestEU will help SMEs access loans and</w:t>
      </w:r>
      <w:r>
        <w:t xml:space="preserve"> </w:t>
      </w:r>
      <w:r>
        <w:t xml:space="preserve">equity. It aims to mobilise over €370 billion in investment. This builds on the success of</w:t>
      </w:r>
      <w:r>
        <w:t xml:space="preserve"> </w:t>
      </w:r>
      <w:r>
        <w:t xml:space="preserve">the European Fund for Strategic Investments where over 1.4 million SMEs benefitted</w:t>
      </w:r>
      <w:r>
        <w:t xml:space="preserve"> </w:t>
      </w:r>
      <w:r>
        <w:t xml:space="preserve">from investment projects. It will also include guarantees for Solvency Support to tackle</w:t>
      </w:r>
      <w:r>
        <w:t xml:space="preserve"> </w:t>
      </w:r>
      <w:r>
        <w:t xml:space="preserve">solvency risks. This will attract additional private investments to help SMEs scale-up and</w:t>
      </w:r>
      <w:r>
        <w:t xml:space="preserve"> </w:t>
      </w:r>
      <w:r>
        <w:t xml:space="preserve">grow.</w:t>
      </w:r>
    </w:p>
    <w:p>
      <w:pPr>
        <w:pStyle w:val="Compact"/>
        <w:numPr>
          <w:ilvl w:val="0"/>
          <w:numId w:val="1062"/>
        </w:numPr>
      </w:pPr>
      <w:r>
        <w:t xml:space="preserve">COM(2023) 535 final</w:t>
      </w:r>
    </w:p>
    <w:p>
      <w:pPr>
        <w:pStyle w:val="FirstParagraph"/>
      </w:pPr>
      <w:r>
        <w:t xml:space="preserve">126</w:t>
      </w:r>
    </w:p>
    <w:p>
      <w:pPr>
        <w:pStyle w:val="BodyText"/>
      </w:pPr>
      <w:r>
        <w:t xml:space="preserve">The actual impacts on SMEs will largely depend on the future design of policies and</w:t>
      </w:r>
      <w:r>
        <w:t xml:space="preserve"> </w:t>
      </w:r>
      <w:r>
        <w:t xml:space="preserve">measures to be determined in the years to come in view of meeting the 2040 target once</w:t>
      </w:r>
      <w:r>
        <w:t xml:space="preserve"> </w:t>
      </w:r>
      <w:r>
        <w:t xml:space="preserve">it has been agreed. These future policies, including enabling measures, need to take</w:t>
      </w:r>
      <w:r>
        <w:t xml:space="preserve"> </w:t>
      </w:r>
      <w:r>
        <w:t xml:space="preserve">account of SME’s ability to engage in climate action, from their ability to adapt to the</w:t>
      </w:r>
      <w:r>
        <w:t xml:space="preserve"> </w:t>
      </w:r>
      <w:r>
        <w:t xml:space="preserve">impacts of climate change and invest in resilience, to their access to skills and finance for</w:t>
      </w:r>
      <w:r>
        <w:t xml:space="preserve"> </w:t>
      </w:r>
      <w:r>
        <w:t xml:space="preserve">the investments needed to reduce their own emissions or to bring new technologies and</w:t>
      </w:r>
      <w:r>
        <w:t xml:space="preserve"> </w:t>
      </w:r>
      <w:r>
        <w:t xml:space="preserve">solutions to market.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ANNEX 5: COMPETITIVENESS CHECK</w:t>
      </w:r>
      <w:r>
        <w:br/>
      </w:r>
      <w:r>
        <w:t xml:space="preserve">This annex describes the competitiveness check of the preferred option (Option 3) of a</w:t>
      </w:r>
      <w:r>
        <w:t xml:space="preserve"> </w:t>
      </w:r>
      <w:r>
        <w:t xml:space="preserve">target range of 90-95% reduction compared to 1990.</w:t>
      </w:r>
      <w:r>
        <w:t xml:space="preserve"> </w:t>
      </w:r>
      <w:r>
        <w:t xml:space="preserve">In terms of cost and price competitiveness, capital related costs for industry are 2%</w:t>
      </w:r>
      <w:r>
        <w:t xml:space="preserve"> </w:t>
      </w:r>
      <w:r>
        <w:t xml:space="preserve">higher in Option 3 than in Option 2 for the time period 2031-2040. The difference</w:t>
      </w:r>
      <w:r>
        <w:t xml:space="preserve"> </w:t>
      </w:r>
      <w:r>
        <w:t xml:space="preserve">between these two options falls to less than 1% for the time period 2041-2050. For the</w:t>
      </w:r>
      <w:r>
        <w:t xml:space="preserve"> </w:t>
      </w:r>
      <w:r>
        <w:t xml:space="preserve">tertiary sector, capital related costs are 2.9% higher in 2031-2040 and 1.3% higher in</w:t>
      </w:r>
      <w:r>
        <w:t xml:space="preserve"> </w:t>
      </w:r>
      <w:r>
        <w:t xml:space="preserve">2041-2050. Energy expenditures for industry are 2.5% higher in Option 3 than in Option</w:t>
      </w:r>
      <w:r>
        <w:t xml:space="preserve"> </w:t>
      </w:r>
      <w:r>
        <w:t xml:space="preserve">2 in 2031-2040 and around 0.5% higher in 2041-2050. For the tertiary sector, energy</w:t>
      </w:r>
      <w:r>
        <w:t xml:space="preserve"> </w:t>
      </w:r>
      <w:r>
        <w:t xml:space="preserve">expenditures are 0.3 lower in option 3 than in Option 2 in 2031-2040 and around 1%</w:t>
      </w:r>
      <w:r>
        <w:t xml:space="preserve"> </w:t>
      </w:r>
      <w:r>
        <w:t xml:space="preserve">lower in 2041-2050.For energy intensive industries, this actually implies that the share of</w:t>
      </w:r>
      <w:r>
        <w:t xml:space="preserve"> </w:t>
      </w:r>
      <w:r>
        <w:t xml:space="preserve">capital related costs in total production costs in 2031-2040 is only 0.1 percentage point</w:t>
      </w:r>
      <w:r>
        <w:t xml:space="preserve"> </w:t>
      </w:r>
      <w:r>
        <w:t xml:space="preserve">higher in Option 3 than in Option 2 while the share of fuel expenses in total production</w:t>
      </w:r>
      <w:r>
        <w:t xml:space="preserve"> </w:t>
      </w:r>
      <w:r>
        <w:t xml:space="preserve">costs is only 0.2 percentage point higher. In aggregate, total energy system costs are1.5%</w:t>
      </w:r>
      <w:r>
        <w:t xml:space="preserve"> </w:t>
      </w:r>
      <w:r>
        <w:t xml:space="preserve">higher in Option 3 than in the “baseline” Option 2, partly due to higher financing costs.</w:t>
      </w:r>
      <w:r>
        <w:t xml:space="preserve"> </w:t>
      </w:r>
      <w:r>
        <w:t xml:space="preserve">This difference corresponds to 0.19% of GDP. However this has a very limited impact on</w:t>
      </w:r>
      <w:r>
        <w:t xml:space="preserve"> </w:t>
      </w:r>
      <w:r>
        <w:t xml:space="preserve">the EU share in global exports (see following paragraph). The price of electricity is very</w:t>
      </w:r>
      <w:r>
        <w:t xml:space="preserve"> </w:t>
      </w:r>
      <w:r>
        <w:t xml:space="preserve">close in all the options considered. LIFE could reduce the total investment needs by 8%.</w:t>
      </w:r>
      <w:r>
        <w:t xml:space="preserve"> </w:t>
      </w:r>
      <w:r>
        <w:t xml:space="preserve">Regarding international competitiveness, earlier investment allows companies to</w:t>
      </w:r>
      <w:r>
        <w:t xml:space="preserve"> </w:t>
      </w:r>
      <w:r>
        <w:t xml:space="preserve">position themselves earlier in the competition in low-carbon technologies. 52% of the</w:t>
      </w:r>
      <w:r>
        <w:t xml:space="preserve"> </w:t>
      </w:r>
      <w:r>
        <w:t xml:space="preserve">organisations who responded to the public questionnaire agree that an ambitious target</w:t>
      </w:r>
      <w:r>
        <w:t xml:space="preserve"> </w:t>
      </w:r>
      <w:r>
        <w:t xml:space="preserve">for 2040 will improve the competitiveness of the European economy and give EU</w:t>
      </w:r>
      <w:r>
        <w:t xml:space="preserve"> </w:t>
      </w:r>
      <w:r>
        <w:t xml:space="preserve">industry a first-mover advantage on global markets. The EU share in global exports is</w:t>
      </w:r>
      <w:r>
        <w:t xml:space="preserve"> </w:t>
      </w:r>
      <w:r>
        <w:t xml:space="preserve">comparable across options, with a difference of less than 0.1 percentage point between</w:t>
      </w:r>
      <w:r>
        <w:t xml:space="preserve"> </w:t>
      </w:r>
      <w:r>
        <w:t xml:space="preserve">Option 3 and Option 2. The level of ambition in mitigation policies in the rest of the</w:t>
      </w:r>
      <w:r>
        <w:t xml:space="preserve"> </w:t>
      </w:r>
      <w:r>
        <w:t xml:space="preserve">world actually has a higher impact on it: a higher level of global climate mitigation effort</w:t>
      </w:r>
      <w:r>
        <w:t xml:space="preserve"> </w:t>
      </w:r>
      <w:r>
        <w:t xml:space="preserve">is susceptible to increase market shares for EU companies. In a setting where the rest of</w:t>
      </w:r>
      <w:r>
        <w:t xml:space="preserve"> </w:t>
      </w:r>
      <w:r>
        <w:t xml:space="preserve">the world acts in line with the 1.5°C objective (global action setting), the EU share in</w:t>
      </w:r>
      <w:r>
        <w:t xml:space="preserve"> </w:t>
      </w:r>
      <w:r>
        <w:t xml:space="preserve">global exports is 16.6% for Option 3, compared to 16.1% in the case of a more</w:t>
      </w:r>
      <w:r>
        <w:t xml:space="preserve"> </w:t>
      </w:r>
      <w:r>
        <w:t xml:space="preserve">fragmented climate action (see Section 6.4.1). At the sector level, the differences</w:t>
      </w:r>
      <w:r>
        <w:t xml:space="preserve"> </w:t>
      </w:r>
      <w:r>
        <w:t xml:space="preserve">between options are also very small. What matters more is international action. For</w:t>
      </w:r>
      <w:r>
        <w:t xml:space="preserve"> </w:t>
      </w:r>
      <w:r>
        <w:t xml:space="preserve">example, for energy intensive industries, the EU share in global exports in 2040 is 17.1%</w:t>
      </w:r>
      <w:r>
        <w:t xml:space="preserve"> </w:t>
      </w:r>
      <w:r>
        <w:t xml:space="preserve">for both Options 2 and 3 in a fragmented action setting, but 17.6% in a global action</w:t>
      </w:r>
      <w:r>
        <w:t xml:space="preserve"> </w:t>
      </w:r>
      <w:r>
        <w:t xml:space="preserve">setting). For markets services, the EU share in global exports in 2040 is 22.7% in Option</w:t>
      </w:r>
      <w:r>
        <w:t xml:space="preserve"> </w:t>
      </w:r>
      <w:r>
        <w:t xml:space="preserve">3 compared to 22.8% in Option 2 in a fragmented action setting. It is 21.7% for both</w:t>
      </w:r>
      <w:r>
        <w:t xml:space="preserve"> </w:t>
      </w:r>
      <w:r>
        <w:t xml:space="preserve">Options 2 and 3 in a global action setting. Option 3 for the EU is more likely to trigger</w:t>
      </w:r>
      <w:r>
        <w:t xml:space="preserve"> </w:t>
      </w:r>
      <w:r>
        <w:t xml:space="preserve">more ambitious climate action in the rest of the world than the other target options. With</w:t>
      </w:r>
      <w:r>
        <w:t xml:space="preserve"> </w:t>
      </w:r>
      <w:r>
        <w:t xml:space="preserve">more ambition domestically, the EU is in a stronger position to convince countries in the</w:t>
      </w:r>
      <w:r>
        <w:t xml:space="preserve"> </w:t>
      </w:r>
      <w:r>
        <w:t xml:space="preserve">rest of the world to increase ambition of their own Nationally Determined Contributions</w:t>
      </w:r>
      <w:r>
        <w:t xml:space="preserve"> </w:t>
      </w:r>
      <w:r>
        <w:t xml:space="preserve">within the UNFCCC. By showing that the transition is feasible at an acceptable cost, it</w:t>
      </w:r>
      <w:r>
        <w:t xml:space="preserve"> </w:t>
      </w:r>
      <w:r>
        <w:t xml:space="preserve">can be an example to inspire from for climate policy development. By developing</w:t>
      </w:r>
      <w:r>
        <w:t xml:space="preserve"> </w:t>
      </w:r>
      <w:r>
        <w:t xml:space="preserve">technologies to decarbonise the economy, it can also facilitate decarbonisation in other</w:t>
      </w:r>
      <w:r>
        <w:t xml:space="preserve"> </w:t>
      </w:r>
      <w:r>
        <w:t xml:space="preserve">countries. Finally, it is also the option which reduces most the exposure to fossil fuel</w:t>
      </w:r>
      <w:r>
        <w:t xml:space="preserve"> </w:t>
      </w:r>
      <w:r>
        <w:t xml:space="preserve">price shocks like the one induced by the war in Ukraine.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All options will have a positive impact on the capacity to innovate by triggering the</w:t>
      </w:r>
      <w:r>
        <w:t xml:space="preserve"> </w:t>
      </w:r>
      <w:r>
        <w:t xml:space="preserve">development of new markets for products and services compatible with the 2050 climate</w:t>
      </w:r>
      <w:r>
        <w:t xml:space="preserve"> </w:t>
      </w:r>
      <w:r>
        <w:t xml:space="preserve">neutrality objective. Option 3 accelerates this pull further already in 2031-2040 compared</w:t>
      </w:r>
      <w:r>
        <w:t xml:space="preserve"> </w:t>
      </w:r>
      <w:r>
        <w:t xml:space="preserve">to the other options.</w:t>
      </w:r>
      <w:r>
        <w:t xml:space="preserve"> </w:t>
      </w:r>
      <w:r>
        <w:t xml:space="preserve">With regards to SME competitiveness, the preferred option shows no significantly</w:t>
      </w:r>
      <w:r>
        <w:t xml:space="preserve"> </w:t>
      </w:r>
      <w:r>
        <w:t xml:space="preserve">higher energy-related cost for most sectors relevant for SMEs than the other options (see</w:t>
      </w:r>
      <w:r>
        <w:t xml:space="preserve"> </w:t>
      </w:r>
      <w:r>
        <w:t xml:space="preserve">Annex 4). The impact depends on the sectors (see Annex 8). While the decarbonisation</w:t>
      </w:r>
      <w:r>
        <w:t xml:space="preserve"> </w:t>
      </w:r>
      <w:r>
        <w:t xml:space="preserve">requires investments, it benefits SMEs by mitigating the risks associated with climate</w:t>
      </w:r>
      <w:r>
        <w:t xml:space="preserve"> </w:t>
      </w:r>
      <w:r>
        <w:t xml:space="preserve">change and by providing an economic framework which is more resilient to potential</w:t>
      </w:r>
      <w:r>
        <w:t xml:space="preserve"> </w:t>
      </w:r>
      <w:r>
        <w:t xml:space="preserve">energy price shocks.</w:t>
      </w:r>
    </w:p>
    <w:p>
      <w:pPr>
        <w:pStyle w:val="BodyText"/>
      </w:pPr>
      <w:r>
        <w:t xml:space="preserve">Table 42: Overview of impact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</w:t>
      </w:r>
      <w:r>
        <w:t xml:space="preserve"> </w:t>
      </w:r>
      <w:r>
        <w:t xml:space="preserve">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[0] Investment needs for 2031-2050 are very close across</w:t>
      </w:r>
      <w:r>
        <w:t xml:space="preserve"> </w:t>
      </w:r>
      <w:r>
        <w:t xml:space="preserve">options. The preferred option implies more investment in</w:t>
      </w:r>
      <w:r>
        <w:t xml:space="preserve"> </w:t>
      </w:r>
      <w:r>
        <w:t xml:space="preserve">2031-2040 and less in 2041-2050 in comparison with Option</w:t>
      </w:r>
      <w:r>
        <w:t xml:space="preserve"> </w:t>
      </w:r>
      <w:r>
        <w:t xml:space="preserve">2. The difference in total energy system costs between options</w:t>
      </w:r>
      <w:r>
        <w:t xml:space="preserve"> </w:t>
      </w:r>
      <w:r>
        <w:t xml:space="preserve">3 and 2 corresponds to less than 0.2% of GDP.</w:t>
      </w:r>
      <w:r>
        <w:t xml:space="preserve"> </w:t>
      </w:r>
      <w:r>
        <w:t xml:space="preserve">Sections 6.4.2 and 6.4.3</w:t>
      </w:r>
      <w:r>
        <w:br/>
      </w:r>
      <w:r>
        <w:t xml:space="preserve">Annex 8 Sections 2.2 and</w:t>
      </w:r>
      <w:r>
        <w:t xml:space="preserve"> </w:t>
      </w:r>
      <w:r>
        <w:t xml:space="preserve">2.3</w:t>
      </w:r>
      <w:r>
        <w:br/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[0] The EU share in global exports is comparable across</w:t>
      </w:r>
      <w:r>
        <w:t xml:space="preserve"> </w:t>
      </w:r>
      <w:r>
        <w:t xml:space="preserve">options, with a difference of around 0.1 percentage point</w:t>
      </w:r>
      <w:r>
        <w:t xml:space="preserve"> </w:t>
      </w:r>
      <w:r>
        <w:t xml:space="preserve">between options 3 and 2.</w:t>
      </w:r>
      <w:r>
        <w:br/>
      </w:r>
      <w:r>
        <w:t xml:space="preserve">However, the preferred option is more likely to induce more</w:t>
      </w:r>
      <w:r>
        <w:t xml:space="preserve"> </w:t>
      </w:r>
      <w:r>
        <w:t xml:space="preserve">ambitious mitigation action in the rest of the world, which, in</w:t>
      </w:r>
      <w:r>
        <w:t xml:space="preserve"> </w:t>
      </w:r>
      <w:r>
        <w:t xml:space="preserve">turn, would have a positive impact on the EU share of global</w:t>
      </w:r>
      <w:r>
        <w:t xml:space="preserve"> </w:t>
      </w:r>
      <w:r>
        <w:t xml:space="preserve">exports.</w:t>
      </w:r>
      <w:r>
        <w:t xml:space="preserve"> </w:t>
      </w:r>
      <w:r>
        <w:t xml:space="preserve">The preferred option allows an earlier positioning of EU</w:t>
      </w:r>
      <w:r>
        <w:t xml:space="preserve"> </w:t>
      </w:r>
      <w:r>
        <w:t xml:space="preserve">companies in the growing global market for innovative, low</w:t>
      </w:r>
      <w:r>
        <w:t xml:space="preserve"> </w:t>
      </w:r>
      <w:r>
        <w:t xml:space="preserve">carbon technologies, clean products and services. The</w:t>
      </w:r>
      <w:r>
        <w:t xml:space="preserve"> </w:t>
      </w:r>
      <w:r>
        <w:t xml:space="preserve">preferred option reduces exposure to fossil fuel import costs</w:t>
      </w:r>
      <w:r>
        <w:t xml:space="preserve"> </w:t>
      </w:r>
      <w:r>
        <w:t xml:space="preserve">the quickest.</w:t>
      </w:r>
      <w:r>
        <w:t xml:space="preserve"> </w:t>
      </w:r>
      <w:r>
        <w:t xml:space="preserve">Section 6.4.1</w:t>
      </w:r>
    </w:p>
    <w:p>
      <w:pPr>
        <w:pStyle w:val="BodyText"/>
      </w:pPr>
      <w:r>
        <w:t xml:space="preserve">Capacity to innovate</w:t>
      </w:r>
      <w:r>
        <w:t xml:space="preserve"> </w:t>
      </w:r>
      <w:r>
        <w:t xml:space="preserve">[++] The preferred option will spur innovation in a number of</w:t>
      </w:r>
      <w:r>
        <w:t xml:space="preserve"> </w:t>
      </w:r>
      <w:r>
        <w:t xml:space="preserve">sectors by 2040 to deliver the reductions of net GHGs,</w:t>
      </w:r>
      <w:r>
        <w:t xml:space="preserve"> </w:t>
      </w:r>
      <w:r>
        <w:t xml:space="preserve">including in energy, industry or the land sector.</w:t>
      </w:r>
      <w:r>
        <w:t xml:space="preserve"> </w:t>
      </w:r>
      <w:r>
        <w:t xml:space="preserve">Sections 6.1 and 6.2</w:t>
      </w:r>
      <w:r>
        <w:br/>
      </w:r>
      <w:r>
        <w:t xml:space="preserve">Annex 8 Section 1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[0] The investment needs will depend on the sector. The</w:t>
      </w:r>
      <w:r>
        <w:t xml:space="preserve"> </w:t>
      </w:r>
      <w:r>
        <w:t xml:space="preserve">preferred option shows no significantly higher energy-related</w:t>
      </w:r>
      <w:r>
        <w:t xml:space="preserve"> </w:t>
      </w:r>
      <w:r>
        <w:t xml:space="preserve">cost than option 2 for most sectors relevant for SMEs.</w:t>
      </w:r>
      <w:r>
        <w:t xml:space="preserve"> </w:t>
      </w:r>
      <w:r>
        <w:t xml:space="preserve">Annex 4</w:t>
      </w:r>
      <w:r>
        <w:t xml:space="preserve"> </w:t>
      </w:r>
      <w:r>
        <w:t xml:space="preserve">Annex 8 Section 2.3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TABLE OF FIGURES</w:t>
      </w:r>
      <w:r>
        <w:t xml:space="preserve"> </w:t>
      </w:r>
      <w:r>
        <w:t xml:space="preserve">Figure 1: GHG emissions and GDP development in the EU since 1990 __________________________________________ 11</w:t>
      </w:r>
      <w:r>
        <w:t xml:space="preserve"> </w:t>
      </w:r>
      <w:r>
        <w:t xml:space="preserve">Figure 2: Intervention logic_____________________________________________________________________________ 21</w:t>
      </w:r>
      <w:r>
        <w:t xml:space="preserve"> </w:t>
      </w:r>
      <w:r>
        <w:t xml:space="preserve">Figure 3: Theoretical 2030-2040 GHG emissions with the current policy framework _______________________________ 23</w:t>
      </w:r>
      <w:r>
        <w:t xml:space="preserve"> </w:t>
      </w:r>
      <w:r>
        <w:t xml:space="preserve">Figure 4. Profile of the net GHG emissions over 1990-2050 ___________________________________________________ 28</w:t>
      </w:r>
      <w:r>
        <w:t xml:space="preserve"> </w:t>
      </w:r>
      <w:r>
        <w:t xml:space="preserve">Figure 5: Modelling tools used for the impact assessment ____________________________________________________ 93</w:t>
      </w:r>
      <w:r>
        <w:t xml:space="preserve"> </w:t>
      </w:r>
      <w:r>
        <w:t xml:space="preserve">Figure 6: Responses by stakeholder group ________________________________________________________________ 97</w:t>
      </w:r>
      <w:r>
        <w:t xml:space="preserve"> </w:t>
      </w:r>
      <w:r>
        <w:t xml:space="preserve">Figure 7: Geographical distribution of responses by EU Member States _________________________________________ 97</w:t>
      </w:r>
      <w:r>
        <w:t xml:space="preserve"> </w:t>
      </w:r>
      <w:r>
        <w:t xml:space="preserve">Figure 8: Responses on the pace of the climate transition (Q1) and the level of ambition (Q2) ______________________ 100</w:t>
      </w:r>
      <w:r>
        <w:t xml:space="preserve"> </w:t>
      </w:r>
      <w:r>
        <w:t xml:space="preserve">Figure 9: Responses on the set up for the EU 2040 climate target _____________________________________________ 101</w:t>
      </w:r>
      <w:r>
        <w:t xml:space="preserve"> </w:t>
      </w:r>
      <w:r>
        <w:t xml:space="preserve">Figure 10: Position papers by stakeholder group __________________________________________________________ 105</w:t>
      </w:r>
    </w:p>
    <w:p>
      <w:pPr>
        <w:pStyle w:val="BodyText"/>
      </w:pPr>
      <w:r>
        <w:t xml:space="preserve">TABLE OF TABLES</w:t>
      </w:r>
      <w:r>
        <w:t xml:space="preserve"> </w:t>
      </w:r>
      <w:r>
        <w:t xml:space="preserve">Table 1: Mapping of the Specific Objectives to Article 4(5) of the Climate Law ____________________________________ 21</w:t>
      </w:r>
      <w:r>
        <w:t xml:space="preserve"> </w:t>
      </w:r>
      <w:r>
        <w:t xml:space="preserve">Table 2: Pieces of legislation considered in the default post-2030 framework ____________________________________ 25</w:t>
      </w:r>
      <w:r>
        <w:t xml:space="preserve"> </w:t>
      </w:r>
      <w:r>
        <w:t xml:space="preserve">Table 3: GHG budget and annual reduction of GHG emissions of each target option _______________________________ 28</w:t>
      </w:r>
      <w:r>
        <w:t xml:space="preserve"> </w:t>
      </w:r>
      <w:r>
        <w:t xml:space="preserve">Table 4: Overview of the scenario building blocks by 2040 ___________________________________________________ 32</w:t>
      </w:r>
      <w:r>
        <w:t xml:space="preserve"> </w:t>
      </w:r>
      <w:r>
        <w:t xml:space="preserve">Table 5: Sectoral net GHG emissions _____________________________________________________________________ 35</w:t>
      </w:r>
      <w:r>
        <w:t xml:space="preserve"> </w:t>
      </w:r>
      <w:r>
        <w:t xml:space="preserve">Table 6: Industrial carbon capture and use ________________________________________________________________ 38</w:t>
      </w:r>
      <w:r>
        <w:t xml:space="preserve"> </w:t>
      </w:r>
      <w:r>
        <w:t xml:space="preserve">Table 7: Industrial removals and net LULUCF removals ______________________________________________________ 38</w:t>
      </w:r>
      <w:r>
        <w:t xml:space="preserve"> </w:t>
      </w:r>
      <w:r>
        <w:t xml:space="preserve">Table 8: Emissions from the agriculture sector and LULUCF net removals _______________________________________ 39</w:t>
      </w:r>
      <w:r>
        <w:t xml:space="preserve"> </w:t>
      </w:r>
      <w:r>
        <w:t xml:space="preserve">Table 9: Comparison of GHG in the LIFE case with the core scenarios ___________________________________________ 40</w:t>
      </w:r>
      <w:r>
        <w:t xml:space="preserve"> </w:t>
      </w:r>
      <w:r>
        <w:t xml:space="preserve">Table 10: Summary of key energy indicators _______________________________________________________________ 42</w:t>
      </w:r>
      <w:r>
        <w:t xml:space="preserve"> </w:t>
      </w:r>
      <w:r>
        <w:t xml:space="preserve">Table 11: Difference across options in cumulative GHG emissions and cost of climate change _______________________ 47</w:t>
      </w:r>
      <w:r>
        <w:t xml:space="preserve"> </w:t>
      </w:r>
      <w:r>
        <w:t xml:space="preserve">Table 12: Primary air pollutant emissions, impacts on premature mortality and costs associated to premature</w:t>
      </w:r>
      <w:r>
        <w:t xml:space="preserve"> </w:t>
      </w:r>
      <w:r>
        <w:t xml:space="preserve">mortality _____________________________________________________________________________ 49</w:t>
      </w:r>
      <w:r>
        <w:t xml:space="preserve"> </w:t>
      </w:r>
      <w:r>
        <w:t xml:space="preserve">Table 13: EU ecosystem area where acidification or eutrophication exceed critical loads ___________________________ 50</w:t>
      </w:r>
      <w:r>
        <w:t xml:space="preserve"> </w:t>
      </w:r>
      <w:r>
        <w:t xml:space="preserve">Table 14: Sectoral output and GDP in 2040, deviation vs. S2 (% change) ________________________________________ 52</w:t>
      </w:r>
      <w:r>
        <w:t xml:space="preserve"> </w:t>
      </w:r>
      <w:r>
        <w:t xml:space="preserve">Table 15: EU share in global exports (% of world trade) ______________________________________________________ 53</w:t>
      </w:r>
      <w:r>
        <w:t xml:space="preserve"> </w:t>
      </w:r>
      <w:r>
        <w:t xml:space="preserve">Table 16: Average annual energy system investment needs (billion EUR 2023). ___________________________________ 56</w:t>
      </w:r>
      <w:r>
        <w:t xml:space="preserve"> </w:t>
      </w:r>
      <w:r>
        <w:t xml:space="preserve">Table 17: investment profiles across options and financial feasibility (annual averages, 2031-2040) __________________ 58</w:t>
      </w:r>
      <w:r>
        <w:t xml:space="preserve"> </w:t>
      </w:r>
      <w:r>
        <w:t xml:space="preserve">Table 18: Energy system costs profiles across options (2031-2040, annual average) _______________________________ 60</w:t>
      </w:r>
      <w:r>
        <w:t xml:space="preserve"> </w:t>
      </w:r>
      <w:r>
        <w:t xml:space="preserve">Table 19: Average annual economy-wide energy system costs (billion EUR) ______________________________________ 61</w:t>
      </w:r>
      <w:r>
        <w:t xml:space="preserve"> </w:t>
      </w:r>
      <w:r>
        <w:t xml:space="preserve">Table 20: Average electricity production cost ______________________________________________________________ 61</w:t>
      </w:r>
      <w:r>
        <w:t xml:space="preserve"> </w:t>
      </w:r>
      <w:r>
        <w:t xml:space="preserve">Table 21: Average annual energy system costs for businesses (billion EUR) ______________________________________ 62</w:t>
      </w:r>
      <w:r>
        <w:t xml:space="preserve"> </w:t>
      </w:r>
      <w:r>
        <w:t xml:space="preserve">Table 22: Average final price of electricity for businesses ____________________________________________________ 63</w:t>
      </w:r>
      <w:r>
        <w:t xml:space="preserve"> </w:t>
      </w:r>
      <w:r>
        <w:t xml:space="preserve">Table 23: Share of energy-related costs in total production costs in industry _____________________________________ 63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Table 24: Costs related to mitigation of GHG emissions in the LULUCF sector and non-CO2 GHG emissions by</w:t>
      </w:r>
      <w:r>
        <w:t xml:space="preserve"> </w:t>
      </w:r>
      <w:r>
        <w:t xml:space="preserve">decades ______________________________________________________________________________ 64</w:t>
      </w:r>
      <w:r>
        <w:t xml:space="preserve"> </w:t>
      </w:r>
      <w:r>
        <w:t xml:space="preserve">Table 25: Average annual energy system costs as % of private consumption and average final price of electricity</w:t>
      </w:r>
      <w:r>
        <w:t xml:space="preserve"> </w:t>
      </w:r>
      <w:r>
        <w:t xml:space="preserve">for households in the residential sector ____________________________________________________ 66</w:t>
      </w:r>
      <w:r>
        <w:t xml:space="preserve"> </w:t>
      </w:r>
      <w:r>
        <w:t xml:space="preserve">Table 26: Average annual energy system costs of road transport (% of total private consumption), and average</w:t>
      </w:r>
      <w:r>
        <w:t xml:space="preserve"> </w:t>
      </w:r>
      <w:r>
        <w:t xml:space="preserve">final price of electricity in private transport _________________________________________________ 66</w:t>
      </w:r>
      <w:r>
        <w:t xml:space="preserve"> </w:t>
      </w:r>
      <w:r>
        <w:t xml:space="preserve">Table 27: Sectoral employment, share in total employment (%) _______________________________________________ 69</w:t>
      </w:r>
      <w:r>
        <w:t xml:space="preserve"> </w:t>
      </w:r>
      <w:r>
        <w:t xml:space="preserve">Table 28: Effectiveness: Delivering climate neutrality and GHG budget _________________________________________ 71</w:t>
      </w:r>
      <w:r>
        <w:t xml:space="preserve"> </w:t>
      </w:r>
      <w:r>
        <w:t xml:space="preserve">Table 29: Just transition and Competitiveness _____________________________________________________________ 73</w:t>
      </w:r>
      <w:r>
        <w:t xml:space="preserve"> </w:t>
      </w:r>
      <w:r>
        <w:t xml:space="preserve">Table 30: Effectiveness: Deployment of technologies and security of energy supply _______________________________ 74</w:t>
      </w:r>
      <w:r>
        <w:t xml:space="preserve"> </w:t>
      </w:r>
      <w:r>
        <w:t xml:space="preserve">Table 31: Environmental effectiveness ___________________________________________________________________ 74</w:t>
      </w:r>
      <w:r>
        <w:t xml:space="preserve"> </w:t>
      </w:r>
      <w:r>
        <w:t xml:space="preserve">Table 32: Average annual investment needs in 2031-2040 (% of GDP and deviation vs. S2) _________________________ 75</w:t>
      </w:r>
      <w:r>
        <w:t xml:space="preserve"> </w:t>
      </w:r>
      <w:r>
        <w:t xml:space="preserve">Table 33: Average annual investment needs (excluding transport) and capital costs (billion EUR 2023 and</w:t>
      </w:r>
      <w:r>
        <w:t xml:space="preserve"> </w:t>
      </w:r>
      <w:r>
        <w:t xml:space="preserve">deviation from S2) _____________________________________________________________________ 76</w:t>
      </w:r>
      <w:r>
        <w:t xml:space="preserve"> </w:t>
      </w:r>
      <w:r>
        <w:t xml:space="preserve">Table 34. Comparison of the monetised costs and benefits across the different target options ______________________ 79</w:t>
      </w:r>
      <w:r>
        <w:t xml:space="preserve"> </w:t>
      </w:r>
      <w:r>
        <w:t xml:space="preserve">Table 35: Summary of the comparison of options __________________________________________________________ 83</w:t>
      </w:r>
      <w:r>
        <w:t xml:space="preserve"> </w:t>
      </w:r>
      <w:r>
        <w:t xml:space="preserve">Table 36: How the RSB findings of the 1st opinion have been addressed ________________________________________ 88</w:t>
      </w:r>
      <w:r>
        <w:t xml:space="preserve"> </w:t>
      </w:r>
      <w:r>
        <w:t xml:space="preserve">Table 37: How the RSB findings of the 2nd opinion have been addressed _______________________________________ 90</w:t>
      </w:r>
      <w:r>
        <w:t xml:space="preserve"> </w:t>
      </w:r>
      <w:r>
        <w:t xml:space="preserve">Table 38: Uncertainty level for key high-level energy and CO2 indicators. _______________________________________ 94</w:t>
      </w:r>
      <w:r>
        <w:t xml:space="preserve"> </w:t>
      </w:r>
      <w:r>
        <w:t xml:space="preserve">Table 39: Impacts on key macro-economic variables across models (% change vs. S2, 2040) ________________________ 94</w:t>
      </w:r>
      <w:r>
        <w:t xml:space="preserve"> </w:t>
      </w:r>
      <w:r>
        <w:t xml:space="preserve">Table 40: Indicators of SME activity by sector (2019) _______________________________________________________ 119</w:t>
      </w:r>
      <w:r>
        <w:t xml:space="preserve"> </w:t>
      </w:r>
      <w:r>
        <w:t xml:space="preserve">Table 41: Energy system costs for 2031-2040 and sectoral distribution of SMEs _________________________________ 123</w:t>
      </w:r>
      <w:r>
        <w:t xml:space="preserve"> </w:t>
      </w:r>
      <w:r>
        <w:t xml:space="preserve">Table 42: Overview of impact on competitiveness _________________________________________________________ 128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38">
    <w:nsid w:val="00A99438"/>
    <w:multiLevelType w:val="multilevel"/>
    <w:lvl w:ilvl="0">
      <w:start w:val="8"/>
      <w:numFmt w:val="decimal"/>
      <w:lvlText w:val="(%1)"/>
      <w:lvlJc w:val="left"/>
      <w:pPr>
        <w:ind w:left="720" w:hanging="360"/>
      </w:pPr>
    </w:lvl>
    <w:lvl w:ilvl="1">
      <w:start w:val="8"/>
      <w:numFmt w:val="decimal"/>
      <w:lvlText w:val="(%2)"/>
      <w:lvlJc w:val="left"/>
      <w:pPr>
        <w:ind w:left="1440" w:hanging="360"/>
      </w:pPr>
    </w:lvl>
    <w:lvl w:ilvl="2">
      <w:start w:val="8"/>
      <w:numFmt w:val="decimal"/>
      <w:lvlText w:val="(%3)"/>
      <w:lvlJc w:val="left"/>
      <w:pPr>
        <w:ind w:left="2160" w:hanging="360"/>
      </w:pPr>
    </w:lvl>
    <w:lvl w:ilvl="3">
      <w:start w:val="8"/>
      <w:numFmt w:val="decimal"/>
      <w:lvlText w:val="(%4)"/>
      <w:lvlJc w:val="left"/>
      <w:pPr>
        <w:ind w:left="2880" w:hanging="360"/>
      </w:pPr>
    </w:lvl>
    <w:lvl w:ilvl="4">
      <w:start w:val="8"/>
      <w:numFmt w:val="decimal"/>
      <w:lvlText w:val="(%5)"/>
      <w:lvlJc w:val="left"/>
      <w:pPr>
        <w:ind w:left="3600" w:hanging="360"/>
      </w:pPr>
    </w:lvl>
    <w:lvl w:ilvl="5">
      <w:start w:val="8"/>
      <w:numFmt w:val="decimal"/>
      <w:lvlText w:val="(%6)"/>
      <w:lvlJc w:val="left"/>
      <w:pPr>
        <w:ind w:left="4320" w:hanging="360"/>
      </w:pPr>
    </w:lvl>
    <w:lvl w:ilvl="6">
      <w:start w:val="8"/>
      <w:numFmt w:val="decimal"/>
      <w:lvlText w:val="(%7)"/>
      <w:lvlJc w:val="left"/>
      <w:pPr>
        <w:ind w:left="5040" w:hanging="360"/>
      </w:pPr>
    </w:lvl>
    <w:lvl w:ilvl="7">
      <w:start w:val="8"/>
      <w:numFmt w:val="decimal"/>
      <w:lvlText w:val="(%8)"/>
      <w:lvlJc w:val="left"/>
      <w:pPr>
        <w:ind w:left="5760" w:hanging="360"/>
      </w:pPr>
    </w:lvl>
    <w:lvl w:ilvl="8">
      <w:start w:val="8"/>
      <w:numFmt w:val="decimal"/>
      <w:lvlText w:val="(%9)"/>
      <w:lvlJc w:val="left"/>
      <w:pPr>
        <w:ind w:left="6480" w:hanging="360"/>
      </w:pPr>
    </w:lvl>
  </w:abstractNum>
  <w:abstractNum w:abstractNumId="994312">
    <w:nsid w:val="0A994312"/>
    <w:multiLevelType w:val="multilevel"/>
    <w:lvl w:ilvl="0">
      <w:start w:val="12"/>
      <w:numFmt w:val="decimal"/>
      <w:lvlText w:val="(%1)"/>
      <w:lvlJc w:val="left"/>
      <w:pPr>
        <w:ind w:left="720" w:hanging="360"/>
      </w:pPr>
    </w:lvl>
    <w:lvl w:ilvl="1">
      <w:start w:val="12"/>
      <w:numFmt w:val="decimal"/>
      <w:lvlText w:val="(%2)"/>
      <w:lvlJc w:val="left"/>
      <w:pPr>
        <w:ind w:left="1440" w:hanging="360"/>
      </w:pPr>
    </w:lvl>
    <w:lvl w:ilvl="2">
      <w:start w:val="12"/>
      <w:numFmt w:val="decimal"/>
      <w:lvlText w:val="(%3)"/>
      <w:lvlJc w:val="left"/>
      <w:pPr>
        <w:ind w:left="2160" w:hanging="360"/>
      </w:pPr>
    </w:lvl>
    <w:lvl w:ilvl="3">
      <w:start w:val="12"/>
      <w:numFmt w:val="decimal"/>
      <w:lvlText w:val="(%4)"/>
      <w:lvlJc w:val="left"/>
      <w:pPr>
        <w:ind w:left="2880" w:hanging="360"/>
      </w:pPr>
    </w:lvl>
    <w:lvl w:ilvl="4">
      <w:start w:val="12"/>
      <w:numFmt w:val="decimal"/>
      <w:lvlText w:val="(%5)"/>
      <w:lvlJc w:val="left"/>
      <w:pPr>
        <w:ind w:left="3600" w:hanging="360"/>
      </w:pPr>
    </w:lvl>
    <w:lvl w:ilvl="5">
      <w:start w:val="12"/>
      <w:numFmt w:val="decimal"/>
      <w:lvlText w:val="(%6)"/>
      <w:lvlJc w:val="left"/>
      <w:pPr>
        <w:ind w:left="4320" w:hanging="360"/>
      </w:pPr>
    </w:lvl>
    <w:lvl w:ilvl="6">
      <w:start w:val="12"/>
      <w:numFmt w:val="decimal"/>
      <w:lvlText w:val="(%7)"/>
      <w:lvlJc w:val="left"/>
      <w:pPr>
        <w:ind w:left="5040" w:hanging="360"/>
      </w:pPr>
    </w:lvl>
    <w:lvl w:ilvl="7">
      <w:start w:val="12"/>
      <w:numFmt w:val="decimal"/>
      <w:lvlText w:val="(%8)"/>
      <w:lvlJc w:val="left"/>
      <w:pPr>
        <w:ind w:left="5760" w:hanging="360"/>
      </w:pPr>
    </w:lvl>
    <w:lvl w:ilvl="8">
      <w:start w:val="12"/>
      <w:numFmt w:val="decimal"/>
      <w:lvlText w:val="(%9)"/>
      <w:lvlJc w:val="left"/>
      <w:pPr>
        <w:ind w:left="6480" w:hanging="360"/>
      </w:pPr>
    </w:lvl>
  </w:abstractNum>
  <w:abstractNum w:abstractNumId="994314">
    <w:nsid w:val="0A994314"/>
    <w:multiLevelType w:val="multilevel"/>
    <w:lvl w:ilvl="0">
      <w:start w:val="14"/>
      <w:numFmt w:val="decimal"/>
      <w:lvlText w:val="(%1)"/>
      <w:lvlJc w:val="left"/>
      <w:pPr>
        <w:ind w:left="720" w:hanging="360"/>
      </w:pPr>
    </w:lvl>
    <w:lvl w:ilvl="1">
      <w:start w:val="14"/>
      <w:numFmt w:val="decimal"/>
      <w:lvlText w:val="(%2)"/>
      <w:lvlJc w:val="left"/>
      <w:pPr>
        <w:ind w:left="1440" w:hanging="360"/>
      </w:pPr>
    </w:lvl>
    <w:lvl w:ilvl="2">
      <w:start w:val="14"/>
      <w:numFmt w:val="decimal"/>
      <w:lvlText w:val="(%3)"/>
      <w:lvlJc w:val="left"/>
      <w:pPr>
        <w:ind w:left="2160" w:hanging="360"/>
      </w:pPr>
    </w:lvl>
    <w:lvl w:ilvl="3">
      <w:start w:val="14"/>
      <w:numFmt w:val="decimal"/>
      <w:lvlText w:val="(%4)"/>
      <w:lvlJc w:val="left"/>
      <w:pPr>
        <w:ind w:left="2880" w:hanging="360"/>
      </w:pPr>
    </w:lvl>
    <w:lvl w:ilvl="4">
      <w:start w:val="14"/>
      <w:numFmt w:val="decimal"/>
      <w:lvlText w:val="(%5)"/>
      <w:lvlJc w:val="left"/>
      <w:pPr>
        <w:ind w:left="3600" w:hanging="360"/>
      </w:pPr>
    </w:lvl>
    <w:lvl w:ilvl="5">
      <w:start w:val="14"/>
      <w:numFmt w:val="decimal"/>
      <w:lvlText w:val="(%6)"/>
      <w:lvlJc w:val="left"/>
      <w:pPr>
        <w:ind w:left="4320" w:hanging="360"/>
      </w:pPr>
    </w:lvl>
    <w:lvl w:ilvl="6">
      <w:start w:val="14"/>
      <w:numFmt w:val="decimal"/>
      <w:lvlText w:val="(%7)"/>
      <w:lvlJc w:val="left"/>
      <w:pPr>
        <w:ind w:left="5040" w:hanging="360"/>
      </w:pPr>
    </w:lvl>
    <w:lvl w:ilvl="7">
      <w:start w:val="14"/>
      <w:numFmt w:val="decimal"/>
      <w:lvlText w:val="(%8)"/>
      <w:lvlJc w:val="left"/>
      <w:pPr>
        <w:ind w:left="5760" w:hanging="360"/>
      </w:pPr>
    </w:lvl>
    <w:lvl w:ilvl="8">
      <w:start w:val="14"/>
      <w:numFmt w:val="decimal"/>
      <w:lvlText w:val="(%9)"/>
      <w:lvlJc w:val="left"/>
      <w:pPr>
        <w:ind w:left="6480" w:hanging="360"/>
      </w:pPr>
    </w:lvl>
  </w:abstractNum>
  <w:abstractNum w:abstractNumId="994318">
    <w:nsid w:val="0A994318"/>
    <w:multiLevelType w:val="multilevel"/>
    <w:lvl w:ilvl="0">
      <w:start w:val="18"/>
      <w:numFmt w:val="decimal"/>
      <w:lvlText w:val="(%1)"/>
      <w:lvlJc w:val="left"/>
      <w:pPr>
        <w:ind w:left="720" w:hanging="360"/>
      </w:pPr>
    </w:lvl>
    <w:lvl w:ilvl="1">
      <w:start w:val="18"/>
      <w:numFmt w:val="decimal"/>
      <w:lvlText w:val="(%2)"/>
      <w:lvlJc w:val="left"/>
      <w:pPr>
        <w:ind w:left="1440" w:hanging="360"/>
      </w:pPr>
    </w:lvl>
    <w:lvl w:ilvl="2">
      <w:start w:val="18"/>
      <w:numFmt w:val="decimal"/>
      <w:lvlText w:val="(%3)"/>
      <w:lvlJc w:val="left"/>
      <w:pPr>
        <w:ind w:left="2160" w:hanging="360"/>
      </w:pPr>
    </w:lvl>
    <w:lvl w:ilvl="3">
      <w:start w:val="18"/>
      <w:numFmt w:val="decimal"/>
      <w:lvlText w:val="(%4)"/>
      <w:lvlJc w:val="left"/>
      <w:pPr>
        <w:ind w:left="2880" w:hanging="360"/>
      </w:pPr>
    </w:lvl>
    <w:lvl w:ilvl="4">
      <w:start w:val="18"/>
      <w:numFmt w:val="decimal"/>
      <w:lvlText w:val="(%5)"/>
      <w:lvlJc w:val="left"/>
      <w:pPr>
        <w:ind w:left="3600" w:hanging="360"/>
      </w:pPr>
    </w:lvl>
    <w:lvl w:ilvl="5">
      <w:start w:val="18"/>
      <w:numFmt w:val="decimal"/>
      <w:lvlText w:val="(%6)"/>
      <w:lvlJc w:val="left"/>
      <w:pPr>
        <w:ind w:left="4320" w:hanging="360"/>
      </w:pPr>
    </w:lvl>
    <w:lvl w:ilvl="6">
      <w:start w:val="18"/>
      <w:numFmt w:val="decimal"/>
      <w:lvlText w:val="(%7)"/>
      <w:lvlJc w:val="left"/>
      <w:pPr>
        <w:ind w:left="5040" w:hanging="360"/>
      </w:pPr>
    </w:lvl>
    <w:lvl w:ilvl="7">
      <w:start w:val="18"/>
      <w:numFmt w:val="decimal"/>
      <w:lvlText w:val="(%8)"/>
      <w:lvlJc w:val="left"/>
      <w:pPr>
        <w:ind w:left="5760" w:hanging="360"/>
      </w:pPr>
    </w:lvl>
    <w:lvl w:ilvl="8">
      <w:start w:val="18"/>
      <w:numFmt w:val="decimal"/>
      <w:lvlText w:val="(%9)"/>
      <w:lvlJc w:val="left"/>
      <w:pPr>
        <w:ind w:left="6480" w:hanging="360"/>
      </w:pPr>
    </w:lvl>
  </w:abstractNum>
  <w:abstractNum w:abstractNumId="994321">
    <w:nsid w:val="0A994321"/>
    <w:multiLevelType w:val="multilevel"/>
    <w:lvl w:ilvl="0">
      <w:start w:val="21"/>
      <w:numFmt w:val="decimal"/>
      <w:lvlText w:val="(%1)"/>
      <w:lvlJc w:val="left"/>
      <w:pPr>
        <w:ind w:left="720" w:hanging="360"/>
      </w:pPr>
    </w:lvl>
    <w:lvl w:ilvl="1">
      <w:start w:val="21"/>
      <w:numFmt w:val="decimal"/>
      <w:lvlText w:val="(%2)"/>
      <w:lvlJc w:val="left"/>
      <w:pPr>
        <w:ind w:left="1440" w:hanging="360"/>
      </w:pPr>
    </w:lvl>
    <w:lvl w:ilvl="2">
      <w:start w:val="21"/>
      <w:numFmt w:val="decimal"/>
      <w:lvlText w:val="(%3)"/>
      <w:lvlJc w:val="left"/>
      <w:pPr>
        <w:ind w:left="2160" w:hanging="360"/>
      </w:pPr>
    </w:lvl>
    <w:lvl w:ilvl="3">
      <w:start w:val="21"/>
      <w:numFmt w:val="decimal"/>
      <w:lvlText w:val="(%4)"/>
      <w:lvlJc w:val="left"/>
      <w:pPr>
        <w:ind w:left="2880" w:hanging="360"/>
      </w:pPr>
    </w:lvl>
    <w:lvl w:ilvl="4">
      <w:start w:val="21"/>
      <w:numFmt w:val="decimal"/>
      <w:lvlText w:val="(%5)"/>
      <w:lvlJc w:val="left"/>
      <w:pPr>
        <w:ind w:left="3600" w:hanging="360"/>
      </w:pPr>
    </w:lvl>
    <w:lvl w:ilvl="5">
      <w:start w:val="21"/>
      <w:numFmt w:val="decimal"/>
      <w:lvlText w:val="(%6)"/>
      <w:lvlJc w:val="left"/>
      <w:pPr>
        <w:ind w:left="4320" w:hanging="360"/>
      </w:pPr>
    </w:lvl>
    <w:lvl w:ilvl="6">
      <w:start w:val="21"/>
      <w:numFmt w:val="decimal"/>
      <w:lvlText w:val="(%7)"/>
      <w:lvlJc w:val="left"/>
      <w:pPr>
        <w:ind w:left="5040" w:hanging="360"/>
      </w:pPr>
    </w:lvl>
    <w:lvl w:ilvl="7">
      <w:start w:val="21"/>
      <w:numFmt w:val="decimal"/>
      <w:lvlText w:val="(%8)"/>
      <w:lvlJc w:val="left"/>
      <w:pPr>
        <w:ind w:left="5760" w:hanging="360"/>
      </w:pPr>
    </w:lvl>
    <w:lvl w:ilvl="8">
      <w:start w:val="21"/>
      <w:numFmt w:val="decimal"/>
      <w:lvlText w:val="(%9)"/>
      <w:lvlJc w:val="left"/>
      <w:pPr>
        <w:ind w:left="6480" w:hanging="360"/>
      </w:pPr>
    </w:lvl>
  </w:abstractNum>
  <w:abstractNum w:abstractNumId="994323">
    <w:nsid w:val="0A994323"/>
    <w:multiLevelType w:val="multilevel"/>
    <w:lvl w:ilvl="0">
      <w:start w:val="23"/>
      <w:numFmt w:val="decimal"/>
      <w:lvlText w:val="(%1)"/>
      <w:lvlJc w:val="left"/>
      <w:pPr>
        <w:ind w:left="720" w:hanging="360"/>
      </w:pPr>
    </w:lvl>
    <w:lvl w:ilvl="1">
      <w:start w:val="23"/>
      <w:numFmt w:val="decimal"/>
      <w:lvlText w:val="(%2)"/>
      <w:lvlJc w:val="left"/>
      <w:pPr>
        <w:ind w:left="1440" w:hanging="360"/>
      </w:pPr>
    </w:lvl>
    <w:lvl w:ilvl="2">
      <w:start w:val="23"/>
      <w:numFmt w:val="decimal"/>
      <w:lvlText w:val="(%3)"/>
      <w:lvlJc w:val="left"/>
      <w:pPr>
        <w:ind w:left="2160" w:hanging="360"/>
      </w:pPr>
    </w:lvl>
    <w:lvl w:ilvl="3">
      <w:start w:val="23"/>
      <w:numFmt w:val="decimal"/>
      <w:lvlText w:val="(%4)"/>
      <w:lvlJc w:val="left"/>
      <w:pPr>
        <w:ind w:left="2880" w:hanging="360"/>
      </w:pPr>
    </w:lvl>
    <w:lvl w:ilvl="4">
      <w:start w:val="23"/>
      <w:numFmt w:val="decimal"/>
      <w:lvlText w:val="(%5)"/>
      <w:lvlJc w:val="left"/>
      <w:pPr>
        <w:ind w:left="3600" w:hanging="360"/>
      </w:pPr>
    </w:lvl>
    <w:lvl w:ilvl="5">
      <w:start w:val="23"/>
      <w:numFmt w:val="decimal"/>
      <w:lvlText w:val="(%6)"/>
      <w:lvlJc w:val="left"/>
      <w:pPr>
        <w:ind w:left="4320" w:hanging="360"/>
      </w:pPr>
    </w:lvl>
    <w:lvl w:ilvl="6">
      <w:start w:val="23"/>
      <w:numFmt w:val="decimal"/>
      <w:lvlText w:val="(%7)"/>
      <w:lvlJc w:val="left"/>
      <w:pPr>
        <w:ind w:left="5040" w:hanging="360"/>
      </w:pPr>
    </w:lvl>
    <w:lvl w:ilvl="7">
      <w:start w:val="23"/>
      <w:numFmt w:val="decimal"/>
      <w:lvlText w:val="(%8)"/>
      <w:lvlJc w:val="left"/>
      <w:pPr>
        <w:ind w:left="5760" w:hanging="360"/>
      </w:pPr>
    </w:lvl>
    <w:lvl w:ilvl="8">
      <w:start w:val="23"/>
      <w:numFmt w:val="decimal"/>
      <w:lvlText w:val="(%9)"/>
      <w:lvlJc w:val="left"/>
      <w:pPr>
        <w:ind w:left="6480" w:hanging="360"/>
      </w:pPr>
    </w:lvl>
  </w:abstractNum>
  <w:abstractNum w:abstractNumId="994325">
    <w:nsid w:val="0A994325"/>
    <w:multiLevelType w:val="multilevel"/>
    <w:lvl w:ilvl="0">
      <w:start w:val="25"/>
      <w:numFmt w:val="decimal"/>
      <w:lvlText w:val="(%1)"/>
      <w:lvlJc w:val="left"/>
      <w:pPr>
        <w:ind w:left="720" w:hanging="360"/>
      </w:pPr>
    </w:lvl>
    <w:lvl w:ilvl="1">
      <w:start w:val="25"/>
      <w:numFmt w:val="decimal"/>
      <w:lvlText w:val="(%2)"/>
      <w:lvlJc w:val="left"/>
      <w:pPr>
        <w:ind w:left="1440" w:hanging="360"/>
      </w:pPr>
    </w:lvl>
    <w:lvl w:ilvl="2">
      <w:start w:val="25"/>
      <w:numFmt w:val="decimal"/>
      <w:lvlText w:val="(%3)"/>
      <w:lvlJc w:val="left"/>
      <w:pPr>
        <w:ind w:left="2160" w:hanging="360"/>
      </w:pPr>
    </w:lvl>
    <w:lvl w:ilvl="3">
      <w:start w:val="25"/>
      <w:numFmt w:val="decimal"/>
      <w:lvlText w:val="(%4)"/>
      <w:lvlJc w:val="left"/>
      <w:pPr>
        <w:ind w:left="2880" w:hanging="360"/>
      </w:pPr>
    </w:lvl>
    <w:lvl w:ilvl="4">
      <w:start w:val="25"/>
      <w:numFmt w:val="decimal"/>
      <w:lvlText w:val="(%5)"/>
      <w:lvlJc w:val="left"/>
      <w:pPr>
        <w:ind w:left="3600" w:hanging="360"/>
      </w:pPr>
    </w:lvl>
    <w:lvl w:ilvl="5">
      <w:start w:val="25"/>
      <w:numFmt w:val="decimal"/>
      <w:lvlText w:val="(%6)"/>
      <w:lvlJc w:val="left"/>
      <w:pPr>
        <w:ind w:left="4320" w:hanging="360"/>
      </w:pPr>
    </w:lvl>
    <w:lvl w:ilvl="6">
      <w:start w:val="25"/>
      <w:numFmt w:val="decimal"/>
      <w:lvlText w:val="(%7)"/>
      <w:lvlJc w:val="left"/>
      <w:pPr>
        <w:ind w:left="5040" w:hanging="360"/>
      </w:pPr>
    </w:lvl>
    <w:lvl w:ilvl="7">
      <w:start w:val="25"/>
      <w:numFmt w:val="decimal"/>
      <w:lvlText w:val="(%8)"/>
      <w:lvlJc w:val="left"/>
      <w:pPr>
        <w:ind w:left="5760" w:hanging="360"/>
      </w:pPr>
    </w:lvl>
    <w:lvl w:ilvl="8">
      <w:start w:val="25"/>
      <w:numFmt w:val="decimal"/>
      <w:lvlText w:val="(%9)"/>
      <w:lvlJc w:val="left"/>
      <w:pPr>
        <w:ind w:left="6480" w:hanging="360"/>
      </w:pPr>
    </w:lvl>
  </w:abstractNum>
  <w:abstractNum w:abstractNumId="994327">
    <w:nsid w:val="0A994327"/>
    <w:multiLevelType w:val="multilevel"/>
    <w:lvl w:ilvl="0">
      <w:start w:val="27"/>
      <w:numFmt w:val="decimal"/>
      <w:lvlText w:val="(%1)"/>
      <w:lvlJc w:val="left"/>
      <w:pPr>
        <w:ind w:left="720" w:hanging="360"/>
      </w:pPr>
    </w:lvl>
    <w:lvl w:ilvl="1">
      <w:start w:val="27"/>
      <w:numFmt w:val="decimal"/>
      <w:lvlText w:val="(%2)"/>
      <w:lvlJc w:val="left"/>
      <w:pPr>
        <w:ind w:left="1440" w:hanging="360"/>
      </w:pPr>
    </w:lvl>
    <w:lvl w:ilvl="2">
      <w:start w:val="27"/>
      <w:numFmt w:val="decimal"/>
      <w:lvlText w:val="(%3)"/>
      <w:lvlJc w:val="left"/>
      <w:pPr>
        <w:ind w:left="2160" w:hanging="360"/>
      </w:pPr>
    </w:lvl>
    <w:lvl w:ilvl="3">
      <w:start w:val="27"/>
      <w:numFmt w:val="decimal"/>
      <w:lvlText w:val="(%4)"/>
      <w:lvlJc w:val="left"/>
      <w:pPr>
        <w:ind w:left="2880" w:hanging="360"/>
      </w:pPr>
    </w:lvl>
    <w:lvl w:ilvl="4">
      <w:start w:val="27"/>
      <w:numFmt w:val="decimal"/>
      <w:lvlText w:val="(%5)"/>
      <w:lvlJc w:val="left"/>
      <w:pPr>
        <w:ind w:left="3600" w:hanging="360"/>
      </w:pPr>
    </w:lvl>
    <w:lvl w:ilvl="5">
      <w:start w:val="27"/>
      <w:numFmt w:val="decimal"/>
      <w:lvlText w:val="(%6)"/>
      <w:lvlJc w:val="left"/>
      <w:pPr>
        <w:ind w:left="4320" w:hanging="360"/>
      </w:pPr>
    </w:lvl>
    <w:lvl w:ilvl="6">
      <w:start w:val="27"/>
      <w:numFmt w:val="decimal"/>
      <w:lvlText w:val="(%7)"/>
      <w:lvlJc w:val="left"/>
      <w:pPr>
        <w:ind w:left="5040" w:hanging="360"/>
      </w:pPr>
    </w:lvl>
    <w:lvl w:ilvl="7">
      <w:start w:val="27"/>
      <w:numFmt w:val="decimal"/>
      <w:lvlText w:val="(%8)"/>
      <w:lvlJc w:val="left"/>
      <w:pPr>
        <w:ind w:left="5760" w:hanging="360"/>
      </w:pPr>
    </w:lvl>
    <w:lvl w:ilvl="8">
      <w:start w:val="27"/>
      <w:numFmt w:val="decimal"/>
      <w:lvlText w:val="(%9)"/>
      <w:lvlJc w:val="left"/>
      <w:pPr>
        <w:ind w:left="6480" w:hanging="360"/>
      </w:pPr>
    </w:lvl>
  </w:abstractNum>
  <w:abstractNum w:abstractNumId="994330">
    <w:nsid w:val="0A994330"/>
    <w:multiLevelType w:val="multilevel"/>
    <w:lvl w:ilvl="0">
      <w:start w:val="30"/>
      <w:numFmt w:val="decimal"/>
      <w:lvlText w:val="(%1)"/>
      <w:lvlJc w:val="left"/>
      <w:pPr>
        <w:ind w:left="720" w:hanging="360"/>
      </w:pPr>
    </w:lvl>
    <w:lvl w:ilvl="1">
      <w:start w:val="30"/>
      <w:numFmt w:val="decimal"/>
      <w:lvlText w:val="(%2)"/>
      <w:lvlJc w:val="left"/>
      <w:pPr>
        <w:ind w:left="1440" w:hanging="360"/>
      </w:pPr>
    </w:lvl>
    <w:lvl w:ilvl="2">
      <w:start w:val="30"/>
      <w:numFmt w:val="decimal"/>
      <w:lvlText w:val="(%3)"/>
      <w:lvlJc w:val="left"/>
      <w:pPr>
        <w:ind w:left="2160" w:hanging="360"/>
      </w:pPr>
    </w:lvl>
    <w:lvl w:ilvl="3">
      <w:start w:val="30"/>
      <w:numFmt w:val="decimal"/>
      <w:lvlText w:val="(%4)"/>
      <w:lvlJc w:val="left"/>
      <w:pPr>
        <w:ind w:left="2880" w:hanging="360"/>
      </w:pPr>
    </w:lvl>
    <w:lvl w:ilvl="4">
      <w:start w:val="30"/>
      <w:numFmt w:val="decimal"/>
      <w:lvlText w:val="(%5)"/>
      <w:lvlJc w:val="left"/>
      <w:pPr>
        <w:ind w:left="3600" w:hanging="360"/>
      </w:pPr>
    </w:lvl>
    <w:lvl w:ilvl="5">
      <w:start w:val="30"/>
      <w:numFmt w:val="decimal"/>
      <w:lvlText w:val="(%6)"/>
      <w:lvlJc w:val="left"/>
      <w:pPr>
        <w:ind w:left="4320" w:hanging="360"/>
      </w:pPr>
    </w:lvl>
    <w:lvl w:ilvl="6">
      <w:start w:val="30"/>
      <w:numFmt w:val="decimal"/>
      <w:lvlText w:val="(%7)"/>
      <w:lvlJc w:val="left"/>
      <w:pPr>
        <w:ind w:left="5040" w:hanging="360"/>
      </w:pPr>
    </w:lvl>
    <w:lvl w:ilvl="7">
      <w:start w:val="30"/>
      <w:numFmt w:val="decimal"/>
      <w:lvlText w:val="(%8)"/>
      <w:lvlJc w:val="left"/>
      <w:pPr>
        <w:ind w:left="5760" w:hanging="360"/>
      </w:pPr>
    </w:lvl>
    <w:lvl w:ilvl="8">
      <w:start w:val="30"/>
      <w:numFmt w:val="decimal"/>
      <w:lvlText w:val="(%9)"/>
      <w:lvlJc w:val="left"/>
      <w:pPr>
        <w:ind w:left="6480" w:hanging="360"/>
      </w:pPr>
    </w:lvl>
  </w:abstractNum>
  <w:abstractNum w:abstractNumId="994331">
    <w:nsid w:val="0A994331"/>
    <w:multiLevelType w:val="multilevel"/>
    <w:lvl w:ilvl="0">
      <w:start w:val="31"/>
      <w:numFmt w:val="decimal"/>
      <w:lvlText w:val="(%1)"/>
      <w:lvlJc w:val="left"/>
      <w:pPr>
        <w:ind w:left="720" w:hanging="360"/>
      </w:pPr>
    </w:lvl>
    <w:lvl w:ilvl="1">
      <w:start w:val="31"/>
      <w:numFmt w:val="decimal"/>
      <w:lvlText w:val="(%2)"/>
      <w:lvlJc w:val="left"/>
      <w:pPr>
        <w:ind w:left="1440" w:hanging="360"/>
      </w:pPr>
    </w:lvl>
    <w:lvl w:ilvl="2">
      <w:start w:val="31"/>
      <w:numFmt w:val="decimal"/>
      <w:lvlText w:val="(%3)"/>
      <w:lvlJc w:val="left"/>
      <w:pPr>
        <w:ind w:left="2160" w:hanging="360"/>
      </w:pPr>
    </w:lvl>
    <w:lvl w:ilvl="3">
      <w:start w:val="31"/>
      <w:numFmt w:val="decimal"/>
      <w:lvlText w:val="(%4)"/>
      <w:lvlJc w:val="left"/>
      <w:pPr>
        <w:ind w:left="2880" w:hanging="360"/>
      </w:pPr>
    </w:lvl>
    <w:lvl w:ilvl="4">
      <w:start w:val="31"/>
      <w:numFmt w:val="decimal"/>
      <w:lvlText w:val="(%5)"/>
      <w:lvlJc w:val="left"/>
      <w:pPr>
        <w:ind w:left="3600" w:hanging="360"/>
      </w:pPr>
    </w:lvl>
    <w:lvl w:ilvl="5">
      <w:start w:val="31"/>
      <w:numFmt w:val="decimal"/>
      <w:lvlText w:val="(%6)"/>
      <w:lvlJc w:val="left"/>
      <w:pPr>
        <w:ind w:left="4320" w:hanging="360"/>
      </w:pPr>
    </w:lvl>
    <w:lvl w:ilvl="6">
      <w:start w:val="31"/>
      <w:numFmt w:val="decimal"/>
      <w:lvlText w:val="(%7)"/>
      <w:lvlJc w:val="left"/>
      <w:pPr>
        <w:ind w:left="5040" w:hanging="360"/>
      </w:pPr>
    </w:lvl>
    <w:lvl w:ilvl="7">
      <w:start w:val="31"/>
      <w:numFmt w:val="decimal"/>
      <w:lvlText w:val="(%8)"/>
      <w:lvlJc w:val="left"/>
      <w:pPr>
        <w:ind w:left="5760" w:hanging="360"/>
      </w:pPr>
    </w:lvl>
    <w:lvl w:ilvl="8">
      <w:start w:val="31"/>
      <w:numFmt w:val="decimal"/>
      <w:lvlText w:val="(%9)"/>
      <w:lvlJc w:val="left"/>
      <w:pPr>
        <w:ind w:left="6480" w:hanging="360"/>
      </w:pPr>
    </w:lvl>
  </w:abstractNum>
  <w:abstractNum w:abstractNumId="994333">
    <w:nsid w:val="0A994333"/>
    <w:multiLevelType w:val="multilevel"/>
    <w:lvl w:ilvl="0">
      <w:start w:val="33"/>
      <w:numFmt w:val="decimal"/>
      <w:lvlText w:val="(%1)"/>
      <w:lvlJc w:val="left"/>
      <w:pPr>
        <w:ind w:left="720" w:hanging="360"/>
      </w:pPr>
    </w:lvl>
    <w:lvl w:ilvl="1">
      <w:start w:val="33"/>
      <w:numFmt w:val="decimal"/>
      <w:lvlText w:val="(%2)"/>
      <w:lvlJc w:val="left"/>
      <w:pPr>
        <w:ind w:left="1440" w:hanging="360"/>
      </w:pPr>
    </w:lvl>
    <w:lvl w:ilvl="2">
      <w:start w:val="33"/>
      <w:numFmt w:val="decimal"/>
      <w:lvlText w:val="(%3)"/>
      <w:lvlJc w:val="left"/>
      <w:pPr>
        <w:ind w:left="2160" w:hanging="360"/>
      </w:pPr>
    </w:lvl>
    <w:lvl w:ilvl="3">
      <w:start w:val="33"/>
      <w:numFmt w:val="decimal"/>
      <w:lvlText w:val="(%4)"/>
      <w:lvlJc w:val="left"/>
      <w:pPr>
        <w:ind w:left="2880" w:hanging="360"/>
      </w:pPr>
    </w:lvl>
    <w:lvl w:ilvl="4">
      <w:start w:val="33"/>
      <w:numFmt w:val="decimal"/>
      <w:lvlText w:val="(%5)"/>
      <w:lvlJc w:val="left"/>
      <w:pPr>
        <w:ind w:left="3600" w:hanging="360"/>
      </w:pPr>
    </w:lvl>
    <w:lvl w:ilvl="5">
      <w:start w:val="33"/>
      <w:numFmt w:val="decimal"/>
      <w:lvlText w:val="(%6)"/>
      <w:lvlJc w:val="left"/>
      <w:pPr>
        <w:ind w:left="4320" w:hanging="360"/>
      </w:pPr>
    </w:lvl>
    <w:lvl w:ilvl="6">
      <w:start w:val="33"/>
      <w:numFmt w:val="decimal"/>
      <w:lvlText w:val="(%7)"/>
      <w:lvlJc w:val="left"/>
      <w:pPr>
        <w:ind w:left="5040" w:hanging="360"/>
      </w:pPr>
    </w:lvl>
    <w:lvl w:ilvl="7">
      <w:start w:val="33"/>
      <w:numFmt w:val="decimal"/>
      <w:lvlText w:val="(%8)"/>
      <w:lvlJc w:val="left"/>
      <w:pPr>
        <w:ind w:left="5760" w:hanging="360"/>
      </w:pPr>
    </w:lvl>
    <w:lvl w:ilvl="8">
      <w:start w:val="33"/>
      <w:numFmt w:val="decimal"/>
      <w:lvlText w:val="(%9)"/>
      <w:lvlJc w:val="left"/>
      <w:pPr>
        <w:ind w:left="6480" w:hanging="360"/>
      </w:pPr>
    </w:lvl>
  </w:abstractNum>
  <w:abstractNum w:abstractNumId="994335">
    <w:nsid w:val="0A994335"/>
    <w:multiLevelType w:val="multilevel"/>
    <w:lvl w:ilvl="0">
      <w:start w:val="35"/>
      <w:numFmt w:val="decimal"/>
      <w:lvlText w:val="(%1)"/>
      <w:lvlJc w:val="left"/>
      <w:pPr>
        <w:ind w:left="720" w:hanging="360"/>
      </w:pPr>
    </w:lvl>
    <w:lvl w:ilvl="1">
      <w:start w:val="35"/>
      <w:numFmt w:val="decimal"/>
      <w:lvlText w:val="(%2)"/>
      <w:lvlJc w:val="left"/>
      <w:pPr>
        <w:ind w:left="1440" w:hanging="360"/>
      </w:pPr>
    </w:lvl>
    <w:lvl w:ilvl="2">
      <w:start w:val="35"/>
      <w:numFmt w:val="decimal"/>
      <w:lvlText w:val="(%3)"/>
      <w:lvlJc w:val="left"/>
      <w:pPr>
        <w:ind w:left="2160" w:hanging="360"/>
      </w:pPr>
    </w:lvl>
    <w:lvl w:ilvl="3">
      <w:start w:val="35"/>
      <w:numFmt w:val="decimal"/>
      <w:lvlText w:val="(%4)"/>
      <w:lvlJc w:val="left"/>
      <w:pPr>
        <w:ind w:left="2880" w:hanging="360"/>
      </w:pPr>
    </w:lvl>
    <w:lvl w:ilvl="4">
      <w:start w:val="35"/>
      <w:numFmt w:val="decimal"/>
      <w:lvlText w:val="(%5)"/>
      <w:lvlJc w:val="left"/>
      <w:pPr>
        <w:ind w:left="3600" w:hanging="360"/>
      </w:pPr>
    </w:lvl>
    <w:lvl w:ilvl="5">
      <w:start w:val="35"/>
      <w:numFmt w:val="decimal"/>
      <w:lvlText w:val="(%6)"/>
      <w:lvlJc w:val="left"/>
      <w:pPr>
        <w:ind w:left="4320" w:hanging="360"/>
      </w:pPr>
    </w:lvl>
    <w:lvl w:ilvl="6">
      <w:start w:val="35"/>
      <w:numFmt w:val="decimal"/>
      <w:lvlText w:val="(%7)"/>
      <w:lvlJc w:val="left"/>
      <w:pPr>
        <w:ind w:left="5040" w:hanging="360"/>
      </w:pPr>
    </w:lvl>
    <w:lvl w:ilvl="7">
      <w:start w:val="35"/>
      <w:numFmt w:val="decimal"/>
      <w:lvlText w:val="(%8)"/>
      <w:lvlJc w:val="left"/>
      <w:pPr>
        <w:ind w:left="5760" w:hanging="360"/>
      </w:pPr>
    </w:lvl>
    <w:lvl w:ilvl="8">
      <w:start w:val="35"/>
      <w:numFmt w:val="decimal"/>
      <w:lvlText w:val="(%9)"/>
      <w:lvlJc w:val="left"/>
      <w:pPr>
        <w:ind w:left="6480" w:hanging="360"/>
      </w:pPr>
    </w:lvl>
  </w:abstractNum>
  <w:abstractNum w:abstractNumId="994337">
    <w:nsid w:val="0A994337"/>
    <w:multiLevelType w:val="multilevel"/>
    <w:lvl w:ilvl="0">
      <w:start w:val="37"/>
      <w:numFmt w:val="decimal"/>
      <w:lvlText w:val="(%1)"/>
      <w:lvlJc w:val="left"/>
      <w:pPr>
        <w:ind w:left="720" w:hanging="360"/>
      </w:pPr>
    </w:lvl>
    <w:lvl w:ilvl="1">
      <w:start w:val="37"/>
      <w:numFmt w:val="decimal"/>
      <w:lvlText w:val="(%2)"/>
      <w:lvlJc w:val="left"/>
      <w:pPr>
        <w:ind w:left="1440" w:hanging="360"/>
      </w:pPr>
    </w:lvl>
    <w:lvl w:ilvl="2">
      <w:start w:val="37"/>
      <w:numFmt w:val="decimal"/>
      <w:lvlText w:val="(%3)"/>
      <w:lvlJc w:val="left"/>
      <w:pPr>
        <w:ind w:left="2160" w:hanging="360"/>
      </w:pPr>
    </w:lvl>
    <w:lvl w:ilvl="3">
      <w:start w:val="37"/>
      <w:numFmt w:val="decimal"/>
      <w:lvlText w:val="(%4)"/>
      <w:lvlJc w:val="left"/>
      <w:pPr>
        <w:ind w:left="2880" w:hanging="360"/>
      </w:pPr>
    </w:lvl>
    <w:lvl w:ilvl="4">
      <w:start w:val="37"/>
      <w:numFmt w:val="decimal"/>
      <w:lvlText w:val="(%5)"/>
      <w:lvlJc w:val="left"/>
      <w:pPr>
        <w:ind w:left="3600" w:hanging="360"/>
      </w:pPr>
    </w:lvl>
    <w:lvl w:ilvl="5">
      <w:start w:val="37"/>
      <w:numFmt w:val="decimal"/>
      <w:lvlText w:val="(%6)"/>
      <w:lvlJc w:val="left"/>
      <w:pPr>
        <w:ind w:left="4320" w:hanging="360"/>
      </w:pPr>
    </w:lvl>
    <w:lvl w:ilvl="6">
      <w:start w:val="37"/>
      <w:numFmt w:val="decimal"/>
      <w:lvlText w:val="(%7)"/>
      <w:lvlJc w:val="left"/>
      <w:pPr>
        <w:ind w:left="5040" w:hanging="360"/>
      </w:pPr>
    </w:lvl>
    <w:lvl w:ilvl="7">
      <w:start w:val="37"/>
      <w:numFmt w:val="decimal"/>
      <w:lvlText w:val="(%8)"/>
      <w:lvlJc w:val="left"/>
      <w:pPr>
        <w:ind w:left="5760" w:hanging="360"/>
      </w:pPr>
    </w:lvl>
    <w:lvl w:ilvl="8">
      <w:start w:val="37"/>
      <w:numFmt w:val="decimal"/>
      <w:lvlText w:val="(%9)"/>
      <w:lvlJc w:val="left"/>
      <w:pPr>
        <w:ind w:left="6480" w:hanging="360"/>
      </w:pPr>
    </w:lvl>
  </w:abstractNum>
  <w:abstractNum w:abstractNumId="994340">
    <w:nsid w:val="0A994340"/>
    <w:multiLevelType w:val="multilevel"/>
    <w:lvl w:ilvl="0">
      <w:start w:val="40"/>
      <w:numFmt w:val="decimal"/>
      <w:lvlText w:val="(%1)"/>
      <w:lvlJc w:val="left"/>
      <w:pPr>
        <w:ind w:left="720" w:hanging="360"/>
      </w:pPr>
    </w:lvl>
    <w:lvl w:ilvl="1">
      <w:start w:val="40"/>
      <w:numFmt w:val="decimal"/>
      <w:lvlText w:val="(%2)"/>
      <w:lvlJc w:val="left"/>
      <w:pPr>
        <w:ind w:left="1440" w:hanging="360"/>
      </w:pPr>
    </w:lvl>
    <w:lvl w:ilvl="2">
      <w:start w:val="40"/>
      <w:numFmt w:val="decimal"/>
      <w:lvlText w:val="(%3)"/>
      <w:lvlJc w:val="left"/>
      <w:pPr>
        <w:ind w:left="2160" w:hanging="360"/>
      </w:pPr>
    </w:lvl>
    <w:lvl w:ilvl="3">
      <w:start w:val="40"/>
      <w:numFmt w:val="decimal"/>
      <w:lvlText w:val="(%4)"/>
      <w:lvlJc w:val="left"/>
      <w:pPr>
        <w:ind w:left="2880" w:hanging="360"/>
      </w:pPr>
    </w:lvl>
    <w:lvl w:ilvl="4">
      <w:start w:val="40"/>
      <w:numFmt w:val="decimal"/>
      <w:lvlText w:val="(%5)"/>
      <w:lvlJc w:val="left"/>
      <w:pPr>
        <w:ind w:left="3600" w:hanging="360"/>
      </w:pPr>
    </w:lvl>
    <w:lvl w:ilvl="5">
      <w:start w:val="40"/>
      <w:numFmt w:val="decimal"/>
      <w:lvlText w:val="(%6)"/>
      <w:lvlJc w:val="left"/>
      <w:pPr>
        <w:ind w:left="4320" w:hanging="360"/>
      </w:pPr>
    </w:lvl>
    <w:lvl w:ilvl="6">
      <w:start w:val="40"/>
      <w:numFmt w:val="decimal"/>
      <w:lvlText w:val="(%7)"/>
      <w:lvlJc w:val="left"/>
      <w:pPr>
        <w:ind w:left="5040" w:hanging="360"/>
      </w:pPr>
    </w:lvl>
    <w:lvl w:ilvl="7">
      <w:start w:val="40"/>
      <w:numFmt w:val="decimal"/>
      <w:lvlText w:val="(%8)"/>
      <w:lvlJc w:val="left"/>
      <w:pPr>
        <w:ind w:left="5760" w:hanging="360"/>
      </w:pPr>
    </w:lvl>
    <w:lvl w:ilvl="8">
      <w:start w:val="40"/>
      <w:numFmt w:val="decimal"/>
      <w:lvlText w:val="(%9)"/>
      <w:lvlJc w:val="left"/>
      <w:pPr>
        <w:ind w:left="6480" w:hanging="360"/>
      </w:pPr>
    </w:lvl>
  </w:abstractNum>
  <w:abstractNum w:abstractNumId="994343">
    <w:nsid w:val="0A994343"/>
    <w:multiLevelType w:val="multilevel"/>
    <w:lvl w:ilvl="0">
      <w:start w:val="43"/>
      <w:numFmt w:val="decimal"/>
      <w:lvlText w:val="(%1)"/>
      <w:lvlJc w:val="left"/>
      <w:pPr>
        <w:ind w:left="720" w:hanging="360"/>
      </w:pPr>
    </w:lvl>
    <w:lvl w:ilvl="1">
      <w:start w:val="43"/>
      <w:numFmt w:val="decimal"/>
      <w:lvlText w:val="(%2)"/>
      <w:lvlJc w:val="left"/>
      <w:pPr>
        <w:ind w:left="1440" w:hanging="360"/>
      </w:pPr>
    </w:lvl>
    <w:lvl w:ilvl="2">
      <w:start w:val="43"/>
      <w:numFmt w:val="decimal"/>
      <w:lvlText w:val="(%3)"/>
      <w:lvlJc w:val="left"/>
      <w:pPr>
        <w:ind w:left="2160" w:hanging="360"/>
      </w:pPr>
    </w:lvl>
    <w:lvl w:ilvl="3">
      <w:start w:val="43"/>
      <w:numFmt w:val="decimal"/>
      <w:lvlText w:val="(%4)"/>
      <w:lvlJc w:val="left"/>
      <w:pPr>
        <w:ind w:left="2880" w:hanging="360"/>
      </w:pPr>
    </w:lvl>
    <w:lvl w:ilvl="4">
      <w:start w:val="43"/>
      <w:numFmt w:val="decimal"/>
      <w:lvlText w:val="(%5)"/>
      <w:lvlJc w:val="left"/>
      <w:pPr>
        <w:ind w:left="3600" w:hanging="360"/>
      </w:pPr>
    </w:lvl>
    <w:lvl w:ilvl="5">
      <w:start w:val="43"/>
      <w:numFmt w:val="decimal"/>
      <w:lvlText w:val="(%6)"/>
      <w:lvlJc w:val="left"/>
      <w:pPr>
        <w:ind w:left="4320" w:hanging="360"/>
      </w:pPr>
    </w:lvl>
    <w:lvl w:ilvl="6">
      <w:start w:val="43"/>
      <w:numFmt w:val="decimal"/>
      <w:lvlText w:val="(%7)"/>
      <w:lvlJc w:val="left"/>
      <w:pPr>
        <w:ind w:left="5040" w:hanging="360"/>
      </w:pPr>
    </w:lvl>
    <w:lvl w:ilvl="7">
      <w:start w:val="43"/>
      <w:numFmt w:val="decimal"/>
      <w:lvlText w:val="(%8)"/>
      <w:lvlJc w:val="left"/>
      <w:pPr>
        <w:ind w:left="5760" w:hanging="360"/>
      </w:pPr>
    </w:lvl>
    <w:lvl w:ilvl="8">
      <w:start w:val="43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44">
    <w:nsid w:val="0A994344"/>
    <w:multiLevelType w:val="multilevel"/>
    <w:lvl w:ilvl="0">
      <w:start w:val="44"/>
      <w:numFmt w:val="decimal"/>
      <w:lvlText w:val="(%1)"/>
      <w:lvlJc w:val="left"/>
      <w:pPr>
        <w:ind w:left="720" w:hanging="360"/>
      </w:pPr>
    </w:lvl>
    <w:lvl w:ilvl="1">
      <w:start w:val="44"/>
      <w:numFmt w:val="decimal"/>
      <w:lvlText w:val="(%2)"/>
      <w:lvlJc w:val="left"/>
      <w:pPr>
        <w:ind w:left="1440" w:hanging="360"/>
      </w:pPr>
    </w:lvl>
    <w:lvl w:ilvl="2">
      <w:start w:val="44"/>
      <w:numFmt w:val="decimal"/>
      <w:lvlText w:val="(%3)"/>
      <w:lvlJc w:val="left"/>
      <w:pPr>
        <w:ind w:left="2160" w:hanging="360"/>
      </w:pPr>
    </w:lvl>
    <w:lvl w:ilvl="3">
      <w:start w:val="44"/>
      <w:numFmt w:val="decimal"/>
      <w:lvlText w:val="(%4)"/>
      <w:lvlJc w:val="left"/>
      <w:pPr>
        <w:ind w:left="2880" w:hanging="360"/>
      </w:pPr>
    </w:lvl>
    <w:lvl w:ilvl="4">
      <w:start w:val="44"/>
      <w:numFmt w:val="decimal"/>
      <w:lvlText w:val="(%5)"/>
      <w:lvlJc w:val="left"/>
      <w:pPr>
        <w:ind w:left="3600" w:hanging="360"/>
      </w:pPr>
    </w:lvl>
    <w:lvl w:ilvl="5">
      <w:start w:val="44"/>
      <w:numFmt w:val="decimal"/>
      <w:lvlText w:val="(%6)"/>
      <w:lvlJc w:val="left"/>
      <w:pPr>
        <w:ind w:left="4320" w:hanging="360"/>
      </w:pPr>
    </w:lvl>
    <w:lvl w:ilvl="6">
      <w:start w:val="44"/>
      <w:numFmt w:val="decimal"/>
      <w:lvlText w:val="(%7)"/>
      <w:lvlJc w:val="left"/>
      <w:pPr>
        <w:ind w:left="5040" w:hanging="360"/>
      </w:pPr>
    </w:lvl>
    <w:lvl w:ilvl="7">
      <w:start w:val="44"/>
      <w:numFmt w:val="decimal"/>
      <w:lvlText w:val="(%8)"/>
      <w:lvlJc w:val="left"/>
      <w:pPr>
        <w:ind w:left="5760" w:hanging="360"/>
      </w:pPr>
    </w:lvl>
    <w:lvl w:ilvl="8">
      <w:start w:val="44"/>
      <w:numFmt w:val="decimal"/>
      <w:lvlText w:val="(%9)"/>
      <w:lvlJc w:val="left"/>
      <w:pPr>
        <w:ind w:left="6480" w:hanging="360"/>
      </w:pPr>
    </w:lvl>
  </w:abstractNum>
  <w:abstractNum w:abstractNumId="994345">
    <w:nsid w:val="0A994345"/>
    <w:multiLevelType w:val="multilevel"/>
    <w:lvl w:ilvl="0">
      <w:start w:val="45"/>
      <w:numFmt w:val="decimal"/>
      <w:lvlText w:val="(%1)"/>
      <w:lvlJc w:val="left"/>
      <w:pPr>
        <w:ind w:left="720" w:hanging="360"/>
      </w:pPr>
    </w:lvl>
    <w:lvl w:ilvl="1">
      <w:start w:val="45"/>
      <w:numFmt w:val="decimal"/>
      <w:lvlText w:val="(%2)"/>
      <w:lvlJc w:val="left"/>
      <w:pPr>
        <w:ind w:left="1440" w:hanging="360"/>
      </w:pPr>
    </w:lvl>
    <w:lvl w:ilvl="2">
      <w:start w:val="45"/>
      <w:numFmt w:val="decimal"/>
      <w:lvlText w:val="(%3)"/>
      <w:lvlJc w:val="left"/>
      <w:pPr>
        <w:ind w:left="2160" w:hanging="360"/>
      </w:pPr>
    </w:lvl>
    <w:lvl w:ilvl="3">
      <w:start w:val="45"/>
      <w:numFmt w:val="decimal"/>
      <w:lvlText w:val="(%4)"/>
      <w:lvlJc w:val="left"/>
      <w:pPr>
        <w:ind w:left="2880" w:hanging="360"/>
      </w:pPr>
    </w:lvl>
    <w:lvl w:ilvl="4">
      <w:start w:val="45"/>
      <w:numFmt w:val="decimal"/>
      <w:lvlText w:val="(%5)"/>
      <w:lvlJc w:val="left"/>
      <w:pPr>
        <w:ind w:left="3600" w:hanging="360"/>
      </w:pPr>
    </w:lvl>
    <w:lvl w:ilvl="5">
      <w:start w:val="45"/>
      <w:numFmt w:val="decimal"/>
      <w:lvlText w:val="(%6)"/>
      <w:lvlJc w:val="left"/>
      <w:pPr>
        <w:ind w:left="4320" w:hanging="360"/>
      </w:pPr>
    </w:lvl>
    <w:lvl w:ilvl="6">
      <w:start w:val="45"/>
      <w:numFmt w:val="decimal"/>
      <w:lvlText w:val="(%7)"/>
      <w:lvlJc w:val="left"/>
      <w:pPr>
        <w:ind w:left="5040" w:hanging="360"/>
      </w:pPr>
    </w:lvl>
    <w:lvl w:ilvl="7">
      <w:start w:val="45"/>
      <w:numFmt w:val="decimal"/>
      <w:lvlText w:val="(%8)"/>
      <w:lvlJc w:val="left"/>
      <w:pPr>
        <w:ind w:left="5760" w:hanging="360"/>
      </w:pPr>
    </w:lvl>
    <w:lvl w:ilvl="8">
      <w:start w:val="45"/>
      <w:numFmt w:val="decimal"/>
      <w:lvlText w:val="(%9)"/>
      <w:lvlJc w:val="left"/>
      <w:pPr>
        <w:ind w:left="6480" w:hanging="360"/>
      </w:pPr>
    </w:lvl>
  </w:abstractNum>
  <w:abstractNum w:abstractNumId="994348">
    <w:nsid w:val="0A994348"/>
    <w:multiLevelType w:val="multilevel"/>
    <w:lvl w:ilvl="0">
      <w:start w:val="48"/>
      <w:numFmt w:val="decimal"/>
      <w:lvlText w:val="(%1)"/>
      <w:lvlJc w:val="left"/>
      <w:pPr>
        <w:ind w:left="720" w:hanging="360"/>
      </w:pPr>
    </w:lvl>
    <w:lvl w:ilvl="1">
      <w:start w:val="48"/>
      <w:numFmt w:val="decimal"/>
      <w:lvlText w:val="(%2)"/>
      <w:lvlJc w:val="left"/>
      <w:pPr>
        <w:ind w:left="1440" w:hanging="360"/>
      </w:pPr>
    </w:lvl>
    <w:lvl w:ilvl="2">
      <w:start w:val="48"/>
      <w:numFmt w:val="decimal"/>
      <w:lvlText w:val="(%3)"/>
      <w:lvlJc w:val="left"/>
      <w:pPr>
        <w:ind w:left="2160" w:hanging="360"/>
      </w:pPr>
    </w:lvl>
    <w:lvl w:ilvl="3">
      <w:start w:val="48"/>
      <w:numFmt w:val="decimal"/>
      <w:lvlText w:val="(%4)"/>
      <w:lvlJc w:val="left"/>
      <w:pPr>
        <w:ind w:left="2880" w:hanging="360"/>
      </w:pPr>
    </w:lvl>
    <w:lvl w:ilvl="4">
      <w:start w:val="48"/>
      <w:numFmt w:val="decimal"/>
      <w:lvlText w:val="(%5)"/>
      <w:lvlJc w:val="left"/>
      <w:pPr>
        <w:ind w:left="3600" w:hanging="360"/>
      </w:pPr>
    </w:lvl>
    <w:lvl w:ilvl="5">
      <w:start w:val="48"/>
      <w:numFmt w:val="decimal"/>
      <w:lvlText w:val="(%6)"/>
      <w:lvlJc w:val="left"/>
      <w:pPr>
        <w:ind w:left="4320" w:hanging="360"/>
      </w:pPr>
    </w:lvl>
    <w:lvl w:ilvl="6">
      <w:start w:val="48"/>
      <w:numFmt w:val="decimal"/>
      <w:lvlText w:val="(%7)"/>
      <w:lvlJc w:val="left"/>
      <w:pPr>
        <w:ind w:left="5040" w:hanging="360"/>
      </w:pPr>
    </w:lvl>
    <w:lvl w:ilvl="7">
      <w:start w:val="48"/>
      <w:numFmt w:val="decimal"/>
      <w:lvlText w:val="(%8)"/>
      <w:lvlJc w:val="left"/>
      <w:pPr>
        <w:ind w:left="5760" w:hanging="360"/>
      </w:pPr>
    </w:lvl>
    <w:lvl w:ilvl="8">
      <w:start w:val="48"/>
      <w:numFmt w:val="decimal"/>
      <w:lvlText w:val="(%9)"/>
      <w:lvlJc w:val="left"/>
      <w:pPr>
        <w:ind w:left="6480" w:hanging="360"/>
      </w:pPr>
    </w:lvl>
  </w:abstractNum>
  <w:abstractNum w:abstractNumId="994351">
    <w:nsid w:val="0A994351"/>
    <w:multiLevelType w:val="multilevel"/>
    <w:lvl w:ilvl="0">
      <w:start w:val="51"/>
      <w:numFmt w:val="decimal"/>
      <w:lvlText w:val="(%1)"/>
      <w:lvlJc w:val="left"/>
      <w:pPr>
        <w:ind w:left="720" w:hanging="360"/>
      </w:pPr>
    </w:lvl>
    <w:lvl w:ilvl="1">
      <w:start w:val="51"/>
      <w:numFmt w:val="decimal"/>
      <w:lvlText w:val="(%2)"/>
      <w:lvlJc w:val="left"/>
      <w:pPr>
        <w:ind w:left="1440" w:hanging="360"/>
      </w:pPr>
    </w:lvl>
    <w:lvl w:ilvl="2">
      <w:start w:val="51"/>
      <w:numFmt w:val="decimal"/>
      <w:lvlText w:val="(%3)"/>
      <w:lvlJc w:val="left"/>
      <w:pPr>
        <w:ind w:left="2160" w:hanging="360"/>
      </w:pPr>
    </w:lvl>
    <w:lvl w:ilvl="3">
      <w:start w:val="51"/>
      <w:numFmt w:val="decimal"/>
      <w:lvlText w:val="(%4)"/>
      <w:lvlJc w:val="left"/>
      <w:pPr>
        <w:ind w:left="2880" w:hanging="360"/>
      </w:pPr>
    </w:lvl>
    <w:lvl w:ilvl="4">
      <w:start w:val="51"/>
      <w:numFmt w:val="decimal"/>
      <w:lvlText w:val="(%5)"/>
      <w:lvlJc w:val="left"/>
      <w:pPr>
        <w:ind w:left="3600" w:hanging="360"/>
      </w:pPr>
    </w:lvl>
    <w:lvl w:ilvl="5">
      <w:start w:val="51"/>
      <w:numFmt w:val="decimal"/>
      <w:lvlText w:val="(%6)"/>
      <w:lvlJc w:val="left"/>
      <w:pPr>
        <w:ind w:left="4320" w:hanging="360"/>
      </w:pPr>
    </w:lvl>
    <w:lvl w:ilvl="6">
      <w:start w:val="51"/>
      <w:numFmt w:val="decimal"/>
      <w:lvlText w:val="(%7)"/>
      <w:lvlJc w:val="left"/>
      <w:pPr>
        <w:ind w:left="5040" w:hanging="360"/>
      </w:pPr>
    </w:lvl>
    <w:lvl w:ilvl="7">
      <w:start w:val="51"/>
      <w:numFmt w:val="decimal"/>
      <w:lvlText w:val="(%8)"/>
      <w:lvlJc w:val="left"/>
      <w:pPr>
        <w:ind w:left="5760" w:hanging="360"/>
      </w:pPr>
    </w:lvl>
    <w:lvl w:ilvl="8">
      <w:start w:val="51"/>
      <w:numFmt w:val="decimal"/>
      <w:lvlText w:val="(%9)"/>
      <w:lvlJc w:val="left"/>
      <w:pPr>
        <w:ind w:left="6480" w:hanging="360"/>
      </w:pPr>
    </w:lvl>
  </w:abstractNum>
  <w:abstractNum w:abstractNumId="994353">
    <w:nsid w:val="0A994353"/>
    <w:multiLevelType w:val="multilevel"/>
    <w:lvl w:ilvl="0">
      <w:start w:val="53"/>
      <w:numFmt w:val="decimal"/>
      <w:lvlText w:val="(%1)"/>
      <w:lvlJc w:val="left"/>
      <w:pPr>
        <w:ind w:left="720" w:hanging="360"/>
      </w:pPr>
    </w:lvl>
    <w:lvl w:ilvl="1">
      <w:start w:val="53"/>
      <w:numFmt w:val="decimal"/>
      <w:lvlText w:val="(%2)"/>
      <w:lvlJc w:val="left"/>
      <w:pPr>
        <w:ind w:left="1440" w:hanging="360"/>
      </w:pPr>
    </w:lvl>
    <w:lvl w:ilvl="2">
      <w:start w:val="53"/>
      <w:numFmt w:val="decimal"/>
      <w:lvlText w:val="(%3)"/>
      <w:lvlJc w:val="left"/>
      <w:pPr>
        <w:ind w:left="2160" w:hanging="360"/>
      </w:pPr>
    </w:lvl>
    <w:lvl w:ilvl="3">
      <w:start w:val="53"/>
      <w:numFmt w:val="decimal"/>
      <w:lvlText w:val="(%4)"/>
      <w:lvlJc w:val="left"/>
      <w:pPr>
        <w:ind w:left="2880" w:hanging="360"/>
      </w:pPr>
    </w:lvl>
    <w:lvl w:ilvl="4">
      <w:start w:val="53"/>
      <w:numFmt w:val="decimal"/>
      <w:lvlText w:val="(%5)"/>
      <w:lvlJc w:val="left"/>
      <w:pPr>
        <w:ind w:left="3600" w:hanging="360"/>
      </w:pPr>
    </w:lvl>
    <w:lvl w:ilvl="5">
      <w:start w:val="53"/>
      <w:numFmt w:val="decimal"/>
      <w:lvlText w:val="(%6)"/>
      <w:lvlJc w:val="left"/>
      <w:pPr>
        <w:ind w:left="4320" w:hanging="360"/>
      </w:pPr>
    </w:lvl>
    <w:lvl w:ilvl="6">
      <w:start w:val="53"/>
      <w:numFmt w:val="decimal"/>
      <w:lvlText w:val="(%7)"/>
      <w:lvlJc w:val="left"/>
      <w:pPr>
        <w:ind w:left="5040" w:hanging="360"/>
      </w:pPr>
    </w:lvl>
    <w:lvl w:ilvl="7">
      <w:start w:val="53"/>
      <w:numFmt w:val="decimal"/>
      <w:lvlText w:val="(%8)"/>
      <w:lvlJc w:val="left"/>
      <w:pPr>
        <w:ind w:left="5760" w:hanging="360"/>
      </w:pPr>
    </w:lvl>
    <w:lvl w:ilvl="8">
      <w:start w:val="53"/>
      <w:numFmt w:val="decimal"/>
      <w:lvlText w:val="(%9)"/>
      <w:lvlJc w:val="left"/>
      <w:pPr>
        <w:ind w:left="6480" w:hanging="360"/>
      </w:pPr>
    </w:lvl>
  </w:abstractNum>
  <w:abstractNum w:abstractNumId="994357">
    <w:nsid w:val="0A994357"/>
    <w:multiLevelType w:val="multilevel"/>
    <w:lvl w:ilvl="0">
      <w:start w:val="57"/>
      <w:numFmt w:val="decimal"/>
      <w:lvlText w:val="(%1)"/>
      <w:lvlJc w:val="left"/>
      <w:pPr>
        <w:ind w:left="720" w:hanging="360"/>
      </w:pPr>
    </w:lvl>
    <w:lvl w:ilvl="1">
      <w:start w:val="57"/>
      <w:numFmt w:val="decimal"/>
      <w:lvlText w:val="(%2)"/>
      <w:lvlJc w:val="left"/>
      <w:pPr>
        <w:ind w:left="1440" w:hanging="360"/>
      </w:pPr>
    </w:lvl>
    <w:lvl w:ilvl="2">
      <w:start w:val="57"/>
      <w:numFmt w:val="decimal"/>
      <w:lvlText w:val="(%3)"/>
      <w:lvlJc w:val="left"/>
      <w:pPr>
        <w:ind w:left="2160" w:hanging="360"/>
      </w:pPr>
    </w:lvl>
    <w:lvl w:ilvl="3">
      <w:start w:val="57"/>
      <w:numFmt w:val="decimal"/>
      <w:lvlText w:val="(%4)"/>
      <w:lvlJc w:val="left"/>
      <w:pPr>
        <w:ind w:left="2880" w:hanging="360"/>
      </w:pPr>
    </w:lvl>
    <w:lvl w:ilvl="4">
      <w:start w:val="57"/>
      <w:numFmt w:val="decimal"/>
      <w:lvlText w:val="(%5)"/>
      <w:lvlJc w:val="left"/>
      <w:pPr>
        <w:ind w:left="3600" w:hanging="360"/>
      </w:pPr>
    </w:lvl>
    <w:lvl w:ilvl="5">
      <w:start w:val="57"/>
      <w:numFmt w:val="decimal"/>
      <w:lvlText w:val="(%6)"/>
      <w:lvlJc w:val="left"/>
      <w:pPr>
        <w:ind w:left="4320" w:hanging="360"/>
      </w:pPr>
    </w:lvl>
    <w:lvl w:ilvl="6">
      <w:start w:val="57"/>
      <w:numFmt w:val="decimal"/>
      <w:lvlText w:val="(%7)"/>
      <w:lvlJc w:val="left"/>
      <w:pPr>
        <w:ind w:left="5040" w:hanging="360"/>
      </w:pPr>
    </w:lvl>
    <w:lvl w:ilvl="7">
      <w:start w:val="57"/>
      <w:numFmt w:val="decimal"/>
      <w:lvlText w:val="(%8)"/>
      <w:lvlJc w:val="left"/>
      <w:pPr>
        <w:ind w:left="5760" w:hanging="360"/>
      </w:pPr>
    </w:lvl>
    <w:lvl w:ilvl="8">
      <w:start w:val="57"/>
      <w:numFmt w:val="decimal"/>
      <w:lvlText w:val="(%9)"/>
      <w:lvlJc w:val="left"/>
      <w:pPr>
        <w:ind w:left="6480" w:hanging="360"/>
      </w:pPr>
    </w:lvl>
  </w:abstractNum>
  <w:abstractNum w:abstractNumId="994358">
    <w:nsid w:val="0A994358"/>
    <w:multiLevelType w:val="multilevel"/>
    <w:lvl w:ilvl="0">
      <w:start w:val="58"/>
      <w:numFmt w:val="decimal"/>
      <w:lvlText w:val="(%1)"/>
      <w:lvlJc w:val="left"/>
      <w:pPr>
        <w:ind w:left="720" w:hanging="360"/>
      </w:pPr>
    </w:lvl>
    <w:lvl w:ilvl="1">
      <w:start w:val="58"/>
      <w:numFmt w:val="decimal"/>
      <w:lvlText w:val="(%2)"/>
      <w:lvlJc w:val="left"/>
      <w:pPr>
        <w:ind w:left="1440" w:hanging="360"/>
      </w:pPr>
    </w:lvl>
    <w:lvl w:ilvl="2">
      <w:start w:val="58"/>
      <w:numFmt w:val="decimal"/>
      <w:lvlText w:val="(%3)"/>
      <w:lvlJc w:val="left"/>
      <w:pPr>
        <w:ind w:left="2160" w:hanging="360"/>
      </w:pPr>
    </w:lvl>
    <w:lvl w:ilvl="3">
      <w:start w:val="58"/>
      <w:numFmt w:val="decimal"/>
      <w:lvlText w:val="(%4)"/>
      <w:lvlJc w:val="left"/>
      <w:pPr>
        <w:ind w:left="2880" w:hanging="360"/>
      </w:pPr>
    </w:lvl>
    <w:lvl w:ilvl="4">
      <w:start w:val="58"/>
      <w:numFmt w:val="decimal"/>
      <w:lvlText w:val="(%5)"/>
      <w:lvlJc w:val="left"/>
      <w:pPr>
        <w:ind w:left="3600" w:hanging="360"/>
      </w:pPr>
    </w:lvl>
    <w:lvl w:ilvl="5">
      <w:start w:val="58"/>
      <w:numFmt w:val="decimal"/>
      <w:lvlText w:val="(%6)"/>
      <w:lvlJc w:val="left"/>
      <w:pPr>
        <w:ind w:left="4320" w:hanging="360"/>
      </w:pPr>
    </w:lvl>
    <w:lvl w:ilvl="6">
      <w:start w:val="58"/>
      <w:numFmt w:val="decimal"/>
      <w:lvlText w:val="(%7)"/>
      <w:lvlJc w:val="left"/>
      <w:pPr>
        <w:ind w:left="5040" w:hanging="360"/>
      </w:pPr>
    </w:lvl>
    <w:lvl w:ilvl="7">
      <w:start w:val="58"/>
      <w:numFmt w:val="decimal"/>
      <w:lvlText w:val="(%8)"/>
      <w:lvlJc w:val="left"/>
      <w:pPr>
        <w:ind w:left="5760" w:hanging="360"/>
      </w:pPr>
    </w:lvl>
    <w:lvl w:ilvl="8">
      <w:start w:val="58"/>
      <w:numFmt w:val="decimal"/>
      <w:lvlText w:val="(%9)"/>
      <w:lvlJc w:val="left"/>
      <w:pPr>
        <w:ind w:left="6480" w:hanging="360"/>
      </w:pPr>
    </w:lvl>
  </w:abstractNum>
  <w:abstractNum w:abstractNumId="994359">
    <w:nsid w:val="0A994359"/>
    <w:multiLevelType w:val="multilevel"/>
    <w:lvl w:ilvl="0">
      <w:start w:val="59"/>
      <w:numFmt w:val="decimal"/>
      <w:lvlText w:val="(%1)"/>
      <w:lvlJc w:val="left"/>
      <w:pPr>
        <w:ind w:left="720" w:hanging="360"/>
      </w:pPr>
    </w:lvl>
    <w:lvl w:ilvl="1">
      <w:start w:val="59"/>
      <w:numFmt w:val="decimal"/>
      <w:lvlText w:val="(%2)"/>
      <w:lvlJc w:val="left"/>
      <w:pPr>
        <w:ind w:left="1440" w:hanging="360"/>
      </w:pPr>
    </w:lvl>
    <w:lvl w:ilvl="2">
      <w:start w:val="59"/>
      <w:numFmt w:val="decimal"/>
      <w:lvlText w:val="(%3)"/>
      <w:lvlJc w:val="left"/>
      <w:pPr>
        <w:ind w:left="2160" w:hanging="360"/>
      </w:pPr>
    </w:lvl>
    <w:lvl w:ilvl="3">
      <w:start w:val="59"/>
      <w:numFmt w:val="decimal"/>
      <w:lvlText w:val="(%4)"/>
      <w:lvlJc w:val="left"/>
      <w:pPr>
        <w:ind w:left="2880" w:hanging="360"/>
      </w:pPr>
    </w:lvl>
    <w:lvl w:ilvl="4">
      <w:start w:val="59"/>
      <w:numFmt w:val="decimal"/>
      <w:lvlText w:val="(%5)"/>
      <w:lvlJc w:val="left"/>
      <w:pPr>
        <w:ind w:left="3600" w:hanging="360"/>
      </w:pPr>
    </w:lvl>
    <w:lvl w:ilvl="5">
      <w:start w:val="59"/>
      <w:numFmt w:val="decimal"/>
      <w:lvlText w:val="(%6)"/>
      <w:lvlJc w:val="left"/>
      <w:pPr>
        <w:ind w:left="4320" w:hanging="360"/>
      </w:pPr>
    </w:lvl>
    <w:lvl w:ilvl="6">
      <w:start w:val="59"/>
      <w:numFmt w:val="decimal"/>
      <w:lvlText w:val="(%7)"/>
      <w:lvlJc w:val="left"/>
      <w:pPr>
        <w:ind w:left="5040" w:hanging="360"/>
      </w:pPr>
    </w:lvl>
    <w:lvl w:ilvl="7">
      <w:start w:val="59"/>
      <w:numFmt w:val="decimal"/>
      <w:lvlText w:val="(%8)"/>
      <w:lvlJc w:val="left"/>
      <w:pPr>
        <w:ind w:left="5760" w:hanging="360"/>
      </w:pPr>
    </w:lvl>
    <w:lvl w:ilvl="8">
      <w:start w:val="59"/>
      <w:numFmt w:val="decimal"/>
      <w:lvlText w:val="(%9)"/>
      <w:lvlJc w:val="left"/>
      <w:pPr>
        <w:ind w:left="6480" w:hanging="360"/>
      </w:pPr>
    </w:lvl>
  </w:abstractNum>
  <w:abstractNum w:abstractNumId="994362">
    <w:nsid w:val="0A994362"/>
    <w:multiLevelType w:val="multilevel"/>
    <w:lvl w:ilvl="0">
      <w:start w:val="62"/>
      <w:numFmt w:val="decimal"/>
      <w:lvlText w:val="(%1)"/>
      <w:lvlJc w:val="left"/>
      <w:pPr>
        <w:ind w:left="720" w:hanging="360"/>
      </w:pPr>
    </w:lvl>
    <w:lvl w:ilvl="1">
      <w:start w:val="62"/>
      <w:numFmt w:val="decimal"/>
      <w:lvlText w:val="(%2)"/>
      <w:lvlJc w:val="left"/>
      <w:pPr>
        <w:ind w:left="1440" w:hanging="360"/>
      </w:pPr>
    </w:lvl>
    <w:lvl w:ilvl="2">
      <w:start w:val="62"/>
      <w:numFmt w:val="decimal"/>
      <w:lvlText w:val="(%3)"/>
      <w:lvlJc w:val="left"/>
      <w:pPr>
        <w:ind w:left="2160" w:hanging="360"/>
      </w:pPr>
    </w:lvl>
    <w:lvl w:ilvl="3">
      <w:start w:val="62"/>
      <w:numFmt w:val="decimal"/>
      <w:lvlText w:val="(%4)"/>
      <w:lvlJc w:val="left"/>
      <w:pPr>
        <w:ind w:left="2880" w:hanging="360"/>
      </w:pPr>
    </w:lvl>
    <w:lvl w:ilvl="4">
      <w:start w:val="62"/>
      <w:numFmt w:val="decimal"/>
      <w:lvlText w:val="(%5)"/>
      <w:lvlJc w:val="left"/>
      <w:pPr>
        <w:ind w:left="3600" w:hanging="360"/>
      </w:pPr>
    </w:lvl>
    <w:lvl w:ilvl="5">
      <w:start w:val="62"/>
      <w:numFmt w:val="decimal"/>
      <w:lvlText w:val="(%6)"/>
      <w:lvlJc w:val="left"/>
      <w:pPr>
        <w:ind w:left="4320" w:hanging="360"/>
      </w:pPr>
    </w:lvl>
    <w:lvl w:ilvl="6">
      <w:start w:val="62"/>
      <w:numFmt w:val="decimal"/>
      <w:lvlText w:val="(%7)"/>
      <w:lvlJc w:val="left"/>
      <w:pPr>
        <w:ind w:left="5040" w:hanging="360"/>
      </w:pPr>
    </w:lvl>
    <w:lvl w:ilvl="7">
      <w:start w:val="62"/>
      <w:numFmt w:val="decimal"/>
      <w:lvlText w:val="(%8)"/>
      <w:lvlJc w:val="left"/>
      <w:pPr>
        <w:ind w:left="5760" w:hanging="360"/>
      </w:pPr>
    </w:lvl>
    <w:lvl w:ilvl="8">
      <w:start w:val="62"/>
      <w:numFmt w:val="decimal"/>
      <w:lvlText w:val="(%9)"/>
      <w:lvlJc w:val="left"/>
      <w:pPr>
        <w:ind w:left="6480" w:hanging="360"/>
      </w:pPr>
    </w:lvl>
  </w:abstractNum>
  <w:abstractNum w:abstractNumId="994367">
    <w:nsid w:val="0A994367"/>
    <w:multiLevelType w:val="multilevel"/>
    <w:lvl w:ilvl="0">
      <w:start w:val="67"/>
      <w:numFmt w:val="decimal"/>
      <w:lvlText w:val="(%1)"/>
      <w:lvlJc w:val="left"/>
      <w:pPr>
        <w:ind w:left="720" w:hanging="360"/>
      </w:pPr>
    </w:lvl>
    <w:lvl w:ilvl="1">
      <w:start w:val="67"/>
      <w:numFmt w:val="decimal"/>
      <w:lvlText w:val="(%2)"/>
      <w:lvlJc w:val="left"/>
      <w:pPr>
        <w:ind w:left="1440" w:hanging="360"/>
      </w:pPr>
    </w:lvl>
    <w:lvl w:ilvl="2">
      <w:start w:val="67"/>
      <w:numFmt w:val="decimal"/>
      <w:lvlText w:val="(%3)"/>
      <w:lvlJc w:val="left"/>
      <w:pPr>
        <w:ind w:left="2160" w:hanging="360"/>
      </w:pPr>
    </w:lvl>
    <w:lvl w:ilvl="3">
      <w:start w:val="67"/>
      <w:numFmt w:val="decimal"/>
      <w:lvlText w:val="(%4)"/>
      <w:lvlJc w:val="left"/>
      <w:pPr>
        <w:ind w:left="2880" w:hanging="360"/>
      </w:pPr>
    </w:lvl>
    <w:lvl w:ilvl="4">
      <w:start w:val="67"/>
      <w:numFmt w:val="decimal"/>
      <w:lvlText w:val="(%5)"/>
      <w:lvlJc w:val="left"/>
      <w:pPr>
        <w:ind w:left="3600" w:hanging="360"/>
      </w:pPr>
    </w:lvl>
    <w:lvl w:ilvl="5">
      <w:start w:val="67"/>
      <w:numFmt w:val="decimal"/>
      <w:lvlText w:val="(%6)"/>
      <w:lvlJc w:val="left"/>
      <w:pPr>
        <w:ind w:left="4320" w:hanging="360"/>
      </w:pPr>
    </w:lvl>
    <w:lvl w:ilvl="6">
      <w:start w:val="67"/>
      <w:numFmt w:val="decimal"/>
      <w:lvlText w:val="(%7)"/>
      <w:lvlJc w:val="left"/>
      <w:pPr>
        <w:ind w:left="5040" w:hanging="360"/>
      </w:pPr>
    </w:lvl>
    <w:lvl w:ilvl="7">
      <w:start w:val="67"/>
      <w:numFmt w:val="decimal"/>
      <w:lvlText w:val="(%8)"/>
      <w:lvlJc w:val="left"/>
      <w:pPr>
        <w:ind w:left="5760" w:hanging="360"/>
      </w:pPr>
    </w:lvl>
    <w:lvl w:ilvl="8">
      <w:start w:val="67"/>
      <w:numFmt w:val="decimal"/>
      <w:lvlText w:val="(%9)"/>
      <w:lvlJc w:val="left"/>
      <w:pPr>
        <w:ind w:left="6480" w:hanging="360"/>
      </w:pPr>
    </w:lvl>
  </w:abstractNum>
  <w:abstractNum w:abstractNumId="994371">
    <w:nsid w:val="0A994371"/>
    <w:multiLevelType w:val="multilevel"/>
    <w:lvl w:ilvl="0">
      <w:start w:val="71"/>
      <w:numFmt w:val="decimal"/>
      <w:lvlText w:val="(%1)"/>
      <w:lvlJc w:val="left"/>
      <w:pPr>
        <w:ind w:left="720" w:hanging="360"/>
      </w:pPr>
    </w:lvl>
    <w:lvl w:ilvl="1">
      <w:start w:val="71"/>
      <w:numFmt w:val="decimal"/>
      <w:lvlText w:val="(%2)"/>
      <w:lvlJc w:val="left"/>
      <w:pPr>
        <w:ind w:left="1440" w:hanging="360"/>
      </w:pPr>
    </w:lvl>
    <w:lvl w:ilvl="2">
      <w:start w:val="71"/>
      <w:numFmt w:val="decimal"/>
      <w:lvlText w:val="(%3)"/>
      <w:lvlJc w:val="left"/>
      <w:pPr>
        <w:ind w:left="2160" w:hanging="360"/>
      </w:pPr>
    </w:lvl>
    <w:lvl w:ilvl="3">
      <w:start w:val="71"/>
      <w:numFmt w:val="decimal"/>
      <w:lvlText w:val="(%4)"/>
      <w:lvlJc w:val="left"/>
      <w:pPr>
        <w:ind w:left="2880" w:hanging="360"/>
      </w:pPr>
    </w:lvl>
    <w:lvl w:ilvl="4">
      <w:start w:val="71"/>
      <w:numFmt w:val="decimal"/>
      <w:lvlText w:val="(%5)"/>
      <w:lvlJc w:val="left"/>
      <w:pPr>
        <w:ind w:left="3600" w:hanging="360"/>
      </w:pPr>
    </w:lvl>
    <w:lvl w:ilvl="5">
      <w:start w:val="71"/>
      <w:numFmt w:val="decimal"/>
      <w:lvlText w:val="(%6)"/>
      <w:lvlJc w:val="left"/>
      <w:pPr>
        <w:ind w:left="4320" w:hanging="360"/>
      </w:pPr>
    </w:lvl>
    <w:lvl w:ilvl="6">
      <w:start w:val="71"/>
      <w:numFmt w:val="decimal"/>
      <w:lvlText w:val="(%7)"/>
      <w:lvlJc w:val="left"/>
      <w:pPr>
        <w:ind w:left="5040" w:hanging="360"/>
      </w:pPr>
    </w:lvl>
    <w:lvl w:ilvl="7">
      <w:start w:val="71"/>
      <w:numFmt w:val="decimal"/>
      <w:lvlText w:val="(%8)"/>
      <w:lvlJc w:val="left"/>
      <w:pPr>
        <w:ind w:left="5760" w:hanging="360"/>
      </w:pPr>
    </w:lvl>
    <w:lvl w:ilvl="8">
      <w:start w:val="71"/>
      <w:numFmt w:val="decimal"/>
      <w:lvlText w:val="(%9)"/>
      <w:lvlJc w:val="left"/>
      <w:pPr>
        <w:ind w:left="6480" w:hanging="360"/>
      </w:pPr>
    </w:lvl>
  </w:abstractNum>
  <w:abstractNum w:abstractNumId="994372">
    <w:nsid w:val="0A994372"/>
    <w:multiLevelType w:val="multilevel"/>
    <w:lvl w:ilvl="0">
      <w:start w:val="72"/>
      <w:numFmt w:val="decimal"/>
      <w:lvlText w:val="(%1)"/>
      <w:lvlJc w:val="left"/>
      <w:pPr>
        <w:ind w:left="720" w:hanging="360"/>
      </w:pPr>
    </w:lvl>
    <w:lvl w:ilvl="1">
      <w:start w:val="72"/>
      <w:numFmt w:val="decimal"/>
      <w:lvlText w:val="(%2)"/>
      <w:lvlJc w:val="left"/>
      <w:pPr>
        <w:ind w:left="1440" w:hanging="360"/>
      </w:pPr>
    </w:lvl>
    <w:lvl w:ilvl="2">
      <w:start w:val="72"/>
      <w:numFmt w:val="decimal"/>
      <w:lvlText w:val="(%3)"/>
      <w:lvlJc w:val="left"/>
      <w:pPr>
        <w:ind w:left="2160" w:hanging="360"/>
      </w:pPr>
    </w:lvl>
    <w:lvl w:ilvl="3">
      <w:start w:val="72"/>
      <w:numFmt w:val="decimal"/>
      <w:lvlText w:val="(%4)"/>
      <w:lvlJc w:val="left"/>
      <w:pPr>
        <w:ind w:left="2880" w:hanging="360"/>
      </w:pPr>
    </w:lvl>
    <w:lvl w:ilvl="4">
      <w:start w:val="72"/>
      <w:numFmt w:val="decimal"/>
      <w:lvlText w:val="(%5)"/>
      <w:lvlJc w:val="left"/>
      <w:pPr>
        <w:ind w:left="3600" w:hanging="360"/>
      </w:pPr>
    </w:lvl>
    <w:lvl w:ilvl="5">
      <w:start w:val="72"/>
      <w:numFmt w:val="decimal"/>
      <w:lvlText w:val="(%6)"/>
      <w:lvlJc w:val="left"/>
      <w:pPr>
        <w:ind w:left="4320" w:hanging="360"/>
      </w:pPr>
    </w:lvl>
    <w:lvl w:ilvl="6">
      <w:start w:val="72"/>
      <w:numFmt w:val="decimal"/>
      <w:lvlText w:val="(%7)"/>
      <w:lvlJc w:val="left"/>
      <w:pPr>
        <w:ind w:left="5040" w:hanging="360"/>
      </w:pPr>
    </w:lvl>
    <w:lvl w:ilvl="7">
      <w:start w:val="72"/>
      <w:numFmt w:val="decimal"/>
      <w:lvlText w:val="(%8)"/>
      <w:lvlJc w:val="left"/>
      <w:pPr>
        <w:ind w:left="5760" w:hanging="360"/>
      </w:pPr>
    </w:lvl>
    <w:lvl w:ilvl="8">
      <w:start w:val="72"/>
      <w:numFmt w:val="decimal"/>
      <w:lvlText w:val="(%9)"/>
      <w:lvlJc w:val="left"/>
      <w:pPr>
        <w:ind w:left="6480" w:hanging="360"/>
      </w:pPr>
    </w:lvl>
  </w:abstractNum>
  <w:abstractNum w:abstractNumId="994376">
    <w:nsid w:val="0A994376"/>
    <w:multiLevelType w:val="multilevel"/>
    <w:lvl w:ilvl="0">
      <w:start w:val="76"/>
      <w:numFmt w:val="decimal"/>
      <w:lvlText w:val="(%1)"/>
      <w:lvlJc w:val="left"/>
      <w:pPr>
        <w:ind w:left="720" w:hanging="360"/>
      </w:pPr>
    </w:lvl>
    <w:lvl w:ilvl="1">
      <w:start w:val="76"/>
      <w:numFmt w:val="decimal"/>
      <w:lvlText w:val="(%2)"/>
      <w:lvlJc w:val="left"/>
      <w:pPr>
        <w:ind w:left="1440" w:hanging="360"/>
      </w:pPr>
    </w:lvl>
    <w:lvl w:ilvl="2">
      <w:start w:val="76"/>
      <w:numFmt w:val="decimal"/>
      <w:lvlText w:val="(%3)"/>
      <w:lvlJc w:val="left"/>
      <w:pPr>
        <w:ind w:left="2160" w:hanging="360"/>
      </w:pPr>
    </w:lvl>
    <w:lvl w:ilvl="3">
      <w:start w:val="76"/>
      <w:numFmt w:val="decimal"/>
      <w:lvlText w:val="(%4)"/>
      <w:lvlJc w:val="left"/>
      <w:pPr>
        <w:ind w:left="2880" w:hanging="360"/>
      </w:pPr>
    </w:lvl>
    <w:lvl w:ilvl="4">
      <w:start w:val="76"/>
      <w:numFmt w:val="decimal"/>
      <w:lvlText w:val="(%5)"/>
      <w:lvlJc w:val="left"/>
      <w:pPr>
        <w:ind w:left="3600" w:hanging="360"/>
      </w:pPr>
    </w:lvl>
    <w:lvl w:ilvl="5">
      <w:start w:val="76"/>
      <w:numFmt w:val="decimal"/>
      <w:lvlText w:val="(%6)"/>
      <w:lvlJc w:val="left"/>
      <w:pPr>
        <w:ind w:left="4320" w:hanging="360"/>
      </w:pPr>
    </w:lvl>
    <w:lvl w:ilvl="6">
      <w:start w:val="76"/>
      <w:numFmt w:val="decimal"/>
      <w:lvlText w:val="(%7)"/>
      <w:lvlJc w:val="left"/>
      <w:pPr>
        <w:ind w:left="5040" w:hanging="360"/>
      </w:pPr>
    </w:lvl>
    <w:lvl w:ilvl="7">
      <w:start w:val="76"/>
      <w:numFmt w:val="decimal"/>
      <w:lvlText w:val="(%8)"/>
      <w:lvlJc w:val="left"/>
      <w:pPr>
        <w:ind w:left="5760" w:hanging="360"/>
      </w:pPr>
    </w:lvl>
    <w:lvl w:ilvl="8">
      <w:start w:val="76"/>
      <w:numFmt w:val="decimal"/>
      <w:lvlText w:val="(%9)"/>
      <w:lvlJc w:val="left"/>
      <w:pPr>
        <w:ind w:left="6480" w:hanging="360"/>
      </w:pPr>
    </w:lvl>
  </w:abstractNum>
  <w:abstractNum w:abstractNumId="994378">
    <w:nsid w:val="0A994378"/>
    <w:multiLevelType w:val="multilevel"/>
    <w:lvl w:ilvl="0">
      <w:start w:val="78"/>
      <w:numFmt w:val="decimal"/>
      <w:lvlText w:val="(%1)"/>
      <w:lvlJc w:val="left"/>
      <w:pPr>
        <w:ind w:left="720" w:hanging="360"/>
      </w:pPr>
    </w:lvl>
    <w:lvl w:ilvl="1">
      <w:start w:val="78"/>
      <w:numFmt w:val="decimal"/>
      <w:lvlText w:val="(%2)"/>
      <w:lvlJc w:val="left"/>
      <w:pPr>
        <w:ind w:left="1440" w:hanging="360"/>
      </w:pPr>
    </w:lvl>
    <w:lvl w:ilvl="2">
      <w:start w:val="78"/>
      <w:numFmt w:val="decimal"/>
      <w:lvlText w:val="(%3)"/>
      <w:lvlJc w:val="left"/>
      <w:pPr>
        <w:ind w:left="2160" w:hanging="360"/>
      </w:pPr>
    </w:lvl>
    <w:lvl w:ilvl="3">
      <w:start w:val="78"/>
      <w:numFmt w:val="decimal"/>
      <w:lvlText w:val="(%4)"/>
      <w:lvlJc w:val="left"/>
      <w:pPr>
        <w:ind w:left="2880" w:hanging="360"/>
      </w:pPr>
    </w:lvl>
    <w:lvl w:ilvl="4">
      <w:start w:val="78"/>
      <w:numFmt w:val="decimal"/>
      <w:lvlText w:val="(%5)"/>
      <w:lvlJc w:val="left"/>
      <w:pPr>
        <w:ind w:left="3600" w:hanging="360"/>
      </w:pPr>
    </w:lvl>
    <w:lvl w:ilvl="5">
      <w:start w:val="78"/>
      <w:numFmt w:val="decimal"/>
      <w:lvlText w:val="(%6)"/>
      <w:lvlJc w:val="left"/>
      <w:pPr>
        <w:ind w:left="4320" w:hanging="360"/>
      </w:pPr>
    </w:lvl>
    <w:lvl w:ilvl="6">
      <w:start w:val="78"/>
      <w:numFmt w:val="decimal"/>
      <w:lvlText w:val="(%7)"/>
      <w:lvlJc w:val="left"/>
      <w:pPr>
        <w:ind w:left="5040" w:hanging="360"/>
      </w:pPr>
    </w:lvl>
    <w:lvl w:ilvl="7">
      <w:start w:val="78"/>
      <w:numFmt w:val="decimal"/>
      <w:lvlText w:val="(%8)"/>
      <w:lvlJc w:val="left"/>
      <w:pPr>
        <w:ind w:left="5760" w:hanging="360"/>
      </w:pPr>
    </w:lvl>
    <w:lvl w:ilvl="8">
      <w:start w:val="78"/>
      <w:numFmt w:val="decimal"/>
      <w:lvlText w:val="(%9)"/>
      <w:lvlJc w:val="left"/>
      <w:pPr>
        <w:ind w:left="6480" w:hanging="360"/>
      </w:pPr>
    </w:lvl>
  </w:abstractNum>
  <w:abstractNum w:abstractNumId="994380">
    <w:nsid w:val="0A994380"/>
    <w:multiLevelType w:val="multilevel"/>
    <w:lvl w:ilvl="0">
      <w:start w:val="80"/>
      <w:numFmt w:val="decimal"/>
      <w:lvlText w:val="(%1)"/>
      <w:lvlJc w:val="left"/>
      <w:pPr>
        <w:ind w:left="720" w:hanging="360"/>
      </w:pPr>
    </w:lvl>
    <w:lvl w:ilvl="1">
      <w:start w:val="80"/>
      <w:numFmt w:val="decimal"/>
      <w:lvlText w:val="(%2)"/>
      <w:lvlJc w:val="left"/>
      <w:pPr>
        <w:ind w:left="1440" w:hanging="360"/>
      </w:pPr>
    </w:lvl>
    <w:lvl w:ilvl="2">
      <w:start w:val="80"/>
      <w:numFmt w:val="decimal"/>
      <w:lvlText w:val="(%3)"/>
      <w:lvlJc w:val="left"/>
      <w:pPr>
        <w:ind w:left="2160" w:hanging="360"/>
      </w:pPr>
    </w:lvl>
    <w:lvl w:ilvl="3">
      <w:start w:val="80"/>
      <w:numFmt w:val="decimal"/>
      <w:lvlText w:val="(%4)"/>
      <w:lvlJc w:val="left"/>
      <w:pPr>
        <w:ind w:left="2880" w:hanging="360"/>
      </w:pPr>
    </w:lvl>
    <w:lvl w:ilvl="4">
      <w:start w:val="80"/>
      <w:numFmt w:val="decimal"/>
      <w:lvlText w:val="(%5)"/>
      <w:lvlJc w:val="left"/>
      <w:pPr>
        <w:ind w:left="3600" w:hanging="360"/>
      </w:pPr>
    </w:lvl>
    <w:lvl w:ilvl="5">
      <w:start w:val="80"/>
      <w:numFmt w:val="decimal"/>
      <w:lvlText w:val="(%6)"/>
      <w:lvlJc w:val="left"/>
      <w:pPr>
        <w:ind w:left="4320" w:hanging="360"/>
      </w:pPr>
    </w:lvl>
    <w:lvl w:ilvl="6">
      <w:start w:val="80"/>
      <w:numFmt w:val="decimal"/>
      <w:lvlText w:val="(%7)"/>
      <w:lvlJc w:val="left"/>
      <w:pPr>
        <w:ind w:left="5040" w:hanging="360"/>
      </w:pPr>
    </w:lvl>
    <w:lvl w:ilvl="7">
      <w:start w:val="80"/>
      <w:numFmt w:val="decimal"/>
      <w:lvlText w:val="(%8)"/>
      <w:lvlJc w:val="left"/>
      <w:pPr>
        <w:ind w:left="5760" w:hanging="360"/>
      </w:pPr>
    </w:lvl>
    <w:lvl w:ilvl="8">
      <w:start w:val="80"/>
      <w:numFmt w:val="decimal"/>
      <w:lvlText w:val="(%9)"/>
      <w:lvlJc w:val="left"/>
      <w:pPr>
        <w:ind w:left="6480" w:hanging="360"/>
      </w:pPr>
    </w:lvl>
  </w:abstractNum>
  <w:abstractNum w:abstractNumId="994384">
    <w:nsid w:val="0A994384"/>
    <w:multiLevelType w:val="multilevel"/>
    <w:lvl w:ilvl="0">
      <w:start w:val="84"/>
      <w:numFmt w:val="decimal"/>
      <w:lvlText w:val="(%1)"/>
      <w:lvlJc w:val="left"/>
      <w:pPr>
        <w:ind w:left="720" w:hanging="360"/>
      </w:pPr>
    </w:lvl>
    <w:lvl w:ilvl="1">
      <w:start w:val="84"/>
      <w:numFmt w:val="decimal"/>
      <w:lvlText w:val="(%2)"/>
      <w:lvlJc w:val="left"/>
      <w:pPr>
        <w:ind w:left="1440" w:hanging="360"/>
      </w:pPr>
    </w:lvl>
    <w:lvl w:ilvl="2">
      <w:start w:val="84"/>
      <w:numFmt w:val="decimal"/>
      <w:lvlText w:val="(%3)"/>
      <w:lvlJc w:val="left"/>
      <w:pPr>
        <w:ind w:left="2160" w:hanging="360"/>
      </w:pPr>
    </w:lvl>
    <w:lvl w:ilvl="3">
      <w:start w:val="84"/>
      <w:numFmt w:val="decimal"/>
      <w:lvlText w:val="(%4)"/>
      <w:lvlJc w:val="left"/>
      <w:pPr>
        <w:ind w:left="2880" w:hanging="360"/>
      </w:pPr>
    </w:lvl>
    <w:lvl w:ilvl="4">
      <w:start w:val="84"/>
      <w:numFmt w:val="decimal"/>
      <w:lvlText w:val="(%5)"/>
      <w:lvlJc w:val="left"/>
      <w:pPr>
        <w:ind w:left="3600" w:hanging="360"/>
      </w:pPr>
    </w:lvl>
    <w:lvl w:ilvl="5">
      <w:start w:val="84"/>
      <w:numFmt w:val="decimal"/>
      <w:lvlText w:val="(%6)"/>
      <w:lvlJc w:val="left"/>
      <w:pPr>
        <w:ind w:left="4320" w:hanging="360"/>
      </w:pPr>
    </w:lvl>
    <w:lvl w:ilvl="6">
      <w:start w:val="84"/>
      <w:numFmt w:val="decimal"/>
      <w:lvlText w:val="(%7)"/>
      <w:lvlJc w:val="left"/>
      <w:pPr>
        <w:ind w:left="5040" w:hanging="360"/>
      </w:pPr>
    </w:lvl>
    <w:lvl w:ilvl="7">
      <w:start w:val="84"/>
      <w:numFmt w:val="decimal"/>
      <w:lvlText w:val="(%8)"/>
      <w:lvlJc w:val="left"/>
      <w:pPr>
        <w:ind w:left="5760" w:hanging="360"/>
      </w:pPr>
    </w:lvl>
    <w:lvl w:ilvl="8">
      <w:start w:val="84"/>
      <w:numFmt w:val="decimal"/>
      <w:lvlText w:val="(%9)"/>
      <w:lvlJc w:val="left"/>
      <w:pPr>
        <w:ind w:left="6480" w:hanging="360"/>
      </w:pPr>
    </w:lvl>
  </w:abstractNum>
  <w:abstractNum w:abstractNumId="994386">
    <w:nsid w:val="0A994386"/>
    <w:multiLevelType w:val="multilevel"/>
    <w:lvl w:ilvl="0">
      <w:start w:val="86"/>
      <w:numFmt w:val="decimal"/>
      <w:lvlText w:val="(%1)"/>
      <w:lvlJc w:val="left"/>
      <w:pPr>
        <w:ind w:left="720" w:hanging="360"/>
      </w:pPr>
    </w:lvl>
    <w:lvl w:ilvl="1">
      <w:start w:val="86"/>
      <w:numFmt w:val="decimal"/>
      <w:lvlText w:val="(%2)"/>
      <w:lvlJc w:val="left"/>
      <w:pPr>
        <w:ind w:left="1440" w:hanging="360"/>
      </w:pPr>
    </w:lvl>
    <w:lvl w:ilvl="2">
      <w:start w:val="86"/>
      <w:numFmt w:val="decimal"/>
      <w:lvlText w:val="(%3)"/>
      <w:lvlJc w:val="left"/>
      <w:pPr>
        <w:ind w:left="2160" w:hanging="360"/>
      </w:pPr>
    </w:lvl>
    <w:lvl w:ilvl="3">
      <w:start w:val="86"/>
      <w:numFmt w:val="decimal"/>
      <w:lvlText w:val="(%4)"/>
      <w:lvlJc w:val="left"/>
      <w:pPr>
        <w:ind w:left="2880" w:hanging="360"/>
      </w:pPr>
    </w:lvl>
    <w:lvl w:ilvl="4">
      <w:start w:val="86"/>
      <w:numFmt w:val="decimal"/>
      <w:lvlText w:val="(%5)"/>
      <w:lvlJc w:val="left"/>
      <w:pPr>
        <w:ind w:left="3600" w:hanging="360"/>
      </w:pPr>
    </w:lvl>
    <w:lvl w:ilvl="5">
      <w:start w:val="86"/>
      <w:numFmt w:val="decimal"/>
      <w:lvlText w:val="(%6)"/>
      <w:lvlJc w:val="left"/>
      <w:pPr>
        <w:ind w:left="4320" w:hanging="360"/>
      </w:pPr>
    </w:lvl>
    <w:lvl w:ilvl="6">
      <w:start w:val="86"/>
      <w:numFmt w:val="decimal"/>
      <w:lvlText w:val="(%7)"/>
      <w:lvlJc w:val="left"/>
      <w:pPr>
        <w:ind w:left="5040" w:hanging="360"/>
      </w:pPr>
    </w:lvl>
    <w:lvl w:ilvl="7">
      <w:start w:val="86"/>
      <w:numFmt w:val="decimal"/>
      <w:lvlText w:val="(%8)"/>
      <w:lvlJc w:val="left"/>
      <w:pPr>
        <w:ind w:left="5760" w:hanging="360"/>
      </w:pPr>
    </w:lvl>
    <w:lvl w:ilvl="8">
      <w:start w:val="86"/>
      <w:numFmt w:val="decimal"/>
      <w:lvlText w:val="(%9)"/>
      <w:lvlJc w:val="left"/>
      <w:pPr>
        <w:ind w:left="6480" w:hanging="360"/>
      </w:pPr>
    </w:lvl>
  </w:abstractNum>
  <w:abstractNum w:abstractNumId="994388">
    <w:nsid w:val="0A994388"/>
    <w:multiLevelType w:val="multilevel"/>
    <w:lvl w:ilvl="0">
      <w:start w:val="88"/>
      <w:numFmt w:val="decimal"/>
      <w:lvlText w:val="(%1)"/>
      <w:lvlJc w:val="left"/>
      <w:pPr>
        <w:ind w:left="720" w:hanging="360"/>
      </w:pPr>
    </w:lvl>
    <w:lvl w:ilvl="1">
      <w:start w:val="88"/>
      <w:numFmt w:val="decimal"/>
      <w:lvlText w:val="(%2)"/>
      <w:lvlJc w:val="left"/>
      <w:pPr>
        <w:ind w:left="1440" w:hanging="360"/>
      </w:pPr>
    </w:lvl>
    <w:lvl w:ilvl="2">
      <w:start w:val="88"/>
      <w:numFmt w:val="decimal"/>
      <w:lvlText w:val="(%3)"/>
      <w:lvlJc w:val="left"/>
      <w:pPr>
        <w:ind w:left="2160" w:hanging="360"/>
      </w:pPr>
    </w:lvl>
    <w:lvl w:ilvl="3">
      <w:start w:val="88"/>
      <w:numFmt w:val="decimal"/>
      <w:lvlText w:val="(%4)"/>
      <w:lvlJc w:val="left"/>
      <w:pPr>
        <w:ind w:left="2880" w:hanging="360"/>
      </w:pPr>
    </w:lvl>
    <w:lvl w:ilvl="4">
      <w:start w:val="88"/>
      <w:numFmt w:val="decimal"/>
      <w:lvlText w:val="(%5)"/>
      <w:lvlJc w:val="left"/>
      <w:pPr>
        <w:ind w:left="3600" w:hanging="360"/>
      </w:pPr>
    </w:lvl>
    <w:lvl w:ilvl="5">
      <w:start w:val="88"/>
      <w:numFmt w:val="decimal"/>
      <w:lvlText w:val="(%6)"/>
      <w:lvlJc w:val="left"/>
      <w:pPr>
        <w:ind w:left="4320" w:hanging="360"/>
      </w:pPr>
    </w:lvl>
    <w:lvl w:ilvl="6">
      <w:start w:val="88"/>
      <w:numFmt w:val="decimal"/>
      <w:lvlText w:val="(%7)"/>
      <w:lvlJc w:val="left"/>
      <w:pPr>
        <w:ind w:left="5040" w:hanging="360"/>
      </w:pPr>
    </w:lvl>
    <w:lvl w:ilvl="7">
      <w:start w:val="88"/>
      <w:numFmt w:val="decimal"/>
      <w:lvlText w:val="(%8)"/>
      <w:lvlJc w:val="left"/>
      <w:pPr>
        <w:ind w:left="5760" w:hanging="360"/>
      </w:pPr>
    </w:lvl>
    <w:lvl w:ilvl="8">
      <w:start w:val="88"/>
      <w:numFmt w:val="decimal"/>
      <w:lvlText w:val="(%9)"/>
      <w:lvlJc w:val="left"/>
      <w:pPr>
        <w:ind w:left="6480" w:hanging="360"/>
      </w:pPr>
    </w:lvl>
  </w:abstractNum>
  <w:abstractNum w:abstractNumId="994391">
    <w:nsid w:val="0A994391"/>
    <w:multiLevelType w:val="multilevel"/>
    <w:lvl w:ilvl="0">
      <w:start w:val="91"/>
      <w:numFmt w:val="decimal"/>
      <w:lvlText w:val="(%1)"/>
      <w:lvlJc w:val="left"/>
      <w:pPr>
        <w:ind w:left="720" w:hanging="360"/>
      </w:pPr>
    </w:lvl>
    <w:lvl w:ilvl="1">
      <w:start w:val="91"/>
      <w:numFmt w:val="decimal"/>
      <w:lvlText w:val="(%2)"/>
      <w:lvlJc w:val="left"/>
      <w:pPr>
        <w:ind w:left="1440" w:hanging="360"/>
      </w:pPr>
    </w:lvl>
    <w:lvl w:ilvl="2">
      <w:start w:val="91"/>
      <w:numFmt w:val="decimal"/>
      <w:lvlText w:val="(%3)"/>
      <w:lvlJc w:val="left"/>
      <w:pPr>
        <w:ind w:left="2160" w:hanging="360"/>
      </w:pPr>
    </w:lvl>
    <w:lvl w:ilvl="3">
      <w:start w:val="91"/>
      <w:numFmt w:val="decimal"/>
      <w:lvlText w:val="(%4)"/>
      <w:lvlJc w:val="left"/>
      <w:pPr>
        <w:ind w:left="2880" w:hanging="360"/>
      </w:pPr>
    </w:lvl>
    <w:lvl w:ilvl="4">
      <w:start w:val="91"/>
      <w:numFmt w:val="decimal"/>
      <w:lvlText w:val="(%5)"/>
      <w:lvlJc w:val="left"/>
      <w:pPr>
        <w:ind w:left="3600" w:hanging="360"/>
      </w:pPr>
    </w:lvl>
    <w:lvl w:ilvl="5">
      <w:start w:val="91"/>
      <w:numFmt w:val="decimal"/>
      <w:lvlText w:val="(%6)"/>
      <w:lvlJc w:val="left"/>
      <w:pPr>
        <w:ind w:left="4320" w:hanging="360"/>
      </w:pPr>
    </w:lvl>
    <w:lvl w:ilvl="6">
      <w:start w:val="91"/>
      <w:numFmt w:val="decimal"/>
      <w:lvlText w:val="(%7)"/>
      <w:lvlJc w:val="left"/>
      <w:pPr>
        <w:ind w:left="5040" w:hanging="360"/>
      </w:pPr>
    </w:lvl>
    <w:lvl w:ilvl="7">
      <w:start w:val="91"/>
      <w:numFmt w:val="decimal"/>
      <w:lvlText w:val="(%8)"/>
      <w:lvlJc w:val="left"/>
      <w:pPr>
        <w:ind w:left="5760" w:hanging="360"/>
      </w:pPr>
    </w:lvl>
    <w:lvl w:ilvl="8">
      <w:start w:val="91"/>
      <w:numFmt w:val="decimal"/>
      <w:lvlText w:val="(%9)"/>
      <w:lvlJc w:val="left"/>
      <w:pPr>
        <w:ind w:left="6480" w:hanging="360"/>
      </w:pPr>
    </w:lvl>
  </w:abstractNum>
  <w:abstractNum w:abstractNumId="994392">
    <w:nsid w:val="0A994392"/>
    <w:multiLevelType w:val="multilevel"/>
    <w:lvl w:ilvl="0">
      <w:start w:val="92"/>
      <w:numFmt w:val="decimal"/>
      <w:lvlText w:val="(%1)"/>
      <w:lvlJc w:val="left"/>
      <w:pPr>
        <w:ind w:left="720" w:hanging="360"/>
      </w:pPr>
    </w:lvl>
    <w:lvl w:ilvl="1">
      <w:start w:val="92"/>
      <w:numFmt w:val="decimal"/>
      <w:lvlText w:val="(%2)"/>
      <w:lvlJc w:val="left"/>
      <w:pPr>
        <w:ind w:left="1440" w:hanging="360"/>
      </w:pPr>
    </w:lvl>
    <w:lvl w:ilvl="2">
      <w:start w:val="92"/>
      <w:numFmt w:val="decimal"/>
      <w:lvlText w:val="(%3)"/>
      <w:lvlJc w:val="left"/>
      <w:pPr>
        <w:ind w:left="2160" w:hanging="360"/>
      </w:pPr>
    </w:lvl>
    <w:lvl w:ilvl="3">
      <w:start w:val="92"/>
      <w:numFmt w:val="decimal"/>
      <w:lvlText w:val="(%4)"/>
      <w:lvlJc w:val="left"/>
      <w:pPr>
        <w:ind w:left="2880" w:hanging="360"/>
      </w:pPr>
    </w:lvl>
    <w:lvl w:ilvl="4">
      <w:start w:val="92"/>
      <w:numFmt w:val="decimal"/>
      <w:lvlText w:val="(%5)"/>
      <w:lvlJc w:val="left"/>
      <w:pPr>
        <w:ind w:left="3600" w:hanging="360"/>
      </w:pPr>
    </w:lvl>
    <w:lvl w:ilvl="5">
      <w:start w:val="92"/>
      <w:numFmt w:val="decimal"/>
      <w:lvlText w:val="(%6)"/>
      <w:lvlJc w:val="left"/>
      <w:pPr>
        <w:ind w:left="4320" w:hanging="360"/>
      </w:pPr>
    </w:lvl>
    <w:lvl w:ilvl="6">
      <w:start w:val="92"/>
      <w:numFmt w:val="decimal"/>
      <w:lvlText w:val="(%7)"/>
      <w:lvlJc w:val="left"/>
      <w:pPr>
        <w:ind w:left="5040" w:hanging="360"/>
      </w:pPr>
    </w:lvl>
    <w:lvl w:ilvl="7">
      <w:start w:val="92"/>
      <w:numFmt w:val="decimal"/>
      <w:lvlText w:val="(%8)"/>
      <w:lvlJc w:val="left"/>
      <w:pPr>
        <w:ind w:left="5760" w:hanging="360"/>
      </w:pPr>
    </w:lvl>
    <w:lvl w:ilvl="8">
      <w:start w:val="92"/>
      <w:numFmt w:val="decimal"/>
      <w:lvlText w:val="(%9)"/>
      <w:lvlJc w:val="left"/>
      <w:pPr>
        <w:ind w:left="6480" w:hanging="360"/>
      </w:pPr>
    </w:lvl>
  </w:abstractNum>
  <w:abstractNum w:abstractNumId="994393">
    <w:nsid w:val="0A994393"/>
    <w:multiLevelType w:val="multilevel"/>
    <w:lvl w:ilvl="0">
      <w:start w:val="93"/>
      <w:numFmt w:val="decimal"/>
      <w:lvlText w:val="(%1)"/>
      <w:lvlJc w:val="left"/>
      <w:pPr>
        <w:ind w:left="720" w:hanging="360"/>
      </w:pPr>
    </w:lvl>
    <w:lvl w:ilvl="1">
      <w:start w:val="93"/>
      <w:numFmt w:val="decimal"/>
      <w:lvlText w:val="(%2)"/>
      <w:lvlJc w:val="left"/>
      <w:pPr>
        <w:ind w:left="1440" w:hanging="360"/>
      </w:pPr>
    </w:lvl>
    <w:lvl w:ilvl="2">
      <w:start w:val="93"/>
      <w:numFmt w:val="decimal"/>
      <w:lvlText w:val="(%3)"/>
      <w:lvlJc w:val="left"/>
      <w:pPr>
        <w:ind w:left="2160" w:hanging="360"/>
      </w:pPr>
    </w:lvl>
    <w:lvl w:ilvl="3">
      <w:start w:val="93"/>
      <w:numFmt w:val="decimal"/>
      <w:lvlText w:val="(%4)"/>
      <w:lvlJc w:val="left"/>
      <w:pPr>
        <w:ind w:left="2880" w:hanging="360"/>
      </w:pPr>
    </w:lvl>
    <w:lvl w:ilvl="4">
      <w:start w:val="93"/>
      <w:numFmt w:val="decimal"/>
      <w:lvlText w:val="(%5)"/>
      <w:lvlJc w:val="left"/>
      <w:pPr>
        <w:ind w:left="3600" w:hanging="360"/>
      </w:pPr>
    </w:lvl>
    <w:lvl w:ilvl="5">
      <w:start w:val="93"/>
      <w:numFmt w:val="decimal"/>
      <w:lvlText w:val="(%6)"/>
      <w:lvlJc w:val="left"/>
      <w:pPr>
        <w:ind w:left="4320" w:hanging="360"/>
      </w:pPr>
    </w:lvl>
    <w:lvl w:ilvl="6">
      <w:start w:val="93"/>
      <w:numFmt w:val="decimal"/>
      <w:lvlText w:val="(%7)"/>
      <w:lvlJc w:val="left"/>
      <w:pPr>
        <w:ind w:left="5040" w:hanging="360"/>
      </w:pPr>
    </w:lvl>
    <w:lvl w:ilvl="7">
      <w:start w:val="93"/>
      <w:numFmt w:val="decimal"/>
      <w:lvlText w:val="(%8)"/>
      <w:lvlJc w:val="left"/>
      <w:pPr>
        <w:ind w:left="5760" w:hanging="360"/>
      </w:pPr>
    </w:lvl>
    <w:lvl w:ilvl="8">
      <w:start w:val="93"/>
      <w:numFmt w:val="decimal"/>
      <w:lvlText w:val="(%9)"/>
      <w:lvlJc w:val="left"/>
      <w:pPr>
        <w:ind w:left="6480" w:hanging="360"/>
      </w:pPr>
    </w:lvl>
  </w:abstractNum>
  <w:abstractNum w:abstractNumId="994295">
    <w:nsid w:val="0A994295"/>
    <w:multiLevelType w:val="multilevel"/>
    <w:lvl w:ilvl="0">
      <w:start w:val="95"/>
      <w:numFmt w:val="decimal"/>
      <w:lvlText w:val="%1)"/>
      <w:lvlJc w:val="left"/>
      <w:pPr>
        <w:ind w:left="720" w:hanging="360"/>
      </w:pPr>
    </w:lvl>
    <w:lvl w:ilvl="1">
      <w:start w:val="95"/>
      <w:numFmt w:val="decimal"/>
      <w:lvlText w:val="%2)"/>
      <w:lvlJc w:val="left"/>
      <w:pPr>
        <w:ind w:left="1440" w:hanging="360"/>
      </w:pPr>
    </w:lvl>
    <w:lvl w:ilvl="2">
      <w:start w:val="95"/>
      <w:numFmt w:val="decimal"/>
      <w:lvlText w:val="%3)"/>
      <w:lvlJc w:val="left"/>
      <w:pPr>
        <w:ind w:left="2160" w:hanging="360"/>
      </w:pPr>
    </w:lvl>
    <w:lvl w:ilvl="3">
      <w:start w:val="95"/>
      <w:numFmt w:val="decimal"/>
      <w:lvlText w:val="%4)"/>
      <w:lvlJc w:val="left"/>
      <w:pPr>
        <w:ind w:left="2880" w:hanging="360"/>
      </w:pPr>
    </w:lvl>
    <w:lvl w:ilvl="4">
      <w:start w:val="95"/>
      <w:numFmt w:val="decimal"/>
      <w:lvlText w:val="%5)"/>
      <w:lvlJc w:val="left"/>
      <w:pPr>
        <w:ind w:left="3600" w:hanging="360"/>
      </w:pPr>
    </w:lvl>
    <w:lvl w:ilvl="5">
      <w:start w:val="95"/>
      <w:numFmt w:val="decimal"/>
      <w:lvlText w:val="%6)"/>
      <w:lvlJc w:val="left"/>
      <w:pPr>
        <w:ind w:left="4320" w:hanging="360"/>
      </w:pPr>
    </w:lvl>
    <w:lvl w:ilvl="6">
      <w:start w:val="95"/>
      <w:numFmt w:val="decimal"/>
      <w:lvlText w:val="%7)"/>
      <w:lvlJc w:val="left"/>
      <w:pPr>
        <w:ind w:left="5040" w:hanging="360"/>
      </w:pPr>
    </w:lvl>
    <w:lvl w:ilvl="7">
      <w:start w:val="95"/>
      <w:numFmt w:val="decimal"/>
      <w:lvlText w:val="%8)"/>
      <w:lvlJc w:val="left"/>
      <w:pPr>
        <w:ind w:left="5760" w:hanging="360"/>
      </w:pPr>
    </w:lvl>
    <w:lvl w:ilvl="8">
      <w:start w:val="95"/>
      <w:numFmt w:val="decimal"/>
      <w:lvlText w:val="%9)"/>
      <w:lvlJc w:val="left"/>
      <w:pPr>
        <w:ind w:left="6480" w:hanging="360"/>
      </w:pPr>
    </w:lvl>
  </w:abstractNum>
  <w:abstractNum w:abstractNumId="994396">
    <w:nsid w:val="0A994396"/>
    <w:multiLevelType w:val="multilevel"/>
    <w:lvl w:ilvl="0">
      <w:start w:val="96"/>
      <w:numFmt w:val="decimal"/>
      <w:lvlText w:val="(%1)"/>
      <w:lvlJc w:val="left"/>
      <w:pPr>
        <w:ind w:left="720" w:hanging="360"/>
      </w:pPr>
    </w:lvl>
    <w:lvl w:ilvl="1">
      <w:start w:val="96"/>
      <w:numFmt w:val="decimal"/>
      <w:lvlText w:val="(%2)"/>
      <w:lvlJc w:val="left"/>
      <w:pPr>
        <w:ind w:left="1440" w:hanging="360"/>
      </w:pPr>
    </w:lvl>
    <w:lvl w:ilvl="2">
      <w:start w:val="96"/>
      <w:numFmt w:val="decimal"/>
      <w:lvlText w:val="(%3)"/>
      <w:lvlJc w:val="left"/>
      <w:pPr>
        <w:ind w:left="2160" w:hanging="360"/>
      </w:pPr>
    </w:lvl>
    <w:lvl w:ilvl="3">
      <w:start w:val="96"/>
      <w:numFmt w:val="decimal"/>
      <w:lvlText w:val="(%4)"/>
      <w:lvlJc w:val="left"/>
      <w:pPr>
        <w:ind w:left="2880" w:hanging="360"/>
      </w:pPr>
    </w:lvl>
    <w:lvl w:ilvl="4">
      <w:start w:val="96"/>
      <w:numFmt w:val="decimal"/>
      <w:lvlText w:val="(%5)"/>
      <w:lvlJc w:val="left"/>
      <w:pPr>
        <w:ind w:left="3600" w:hanging="360"/>
      </w:pPr>
    </w:lvl>
    <w:lvl w:ilvl="5">
      <w:start w:val="96"/>
      <w:numFmt w:val="decimal"/>
      <w:lvlText w:val="(%6)"/>
      <w:lvlJc w:val="left"/>
      <w:pPr>
        <w:ind w:left="4320" w:hanging="360"/>
      </w:pPr>
    </w:lvl>
    <w:lvl w:ilvl="6">
      <w:start w:val="96"/>
      <w:numFmt w:val="decimal"/>
      <w:lvlText w:val="(%7)"/>
      <w:lvlJc w:val="left"/>
      <w:pPr>
        <w:ind w:left="5040" w:hanging="360"/>
      </w:pPr>
    </w:lvl>
    <w:lvl w:ilvl="7">
      <w:start w:val="96"/>
      <w:numFmt w:val="decimal"/>
      <w:lvlText w:val="(%8)"/>
      <w:lvlJc w:val="left"/>
      <w:pPr>
        <w:ind w:left="5760" w:hanging="360"/>
      </w:pPr>
    </w:lvl>
    <w:lvl w:ilvl="8">
      <w:start w:val="96"/>
      <w:numFmt w:val="decimal"/>
      <w:lvlText w:val="(%9)"/>
      <w:lvlJc w:val="left"/>
      <w:pPr>
        <w:ind w:left="6480" w:hanging="360"/>
      </w:pPr>
    </w:lvl>
  </w:abstractNum>
  <w:abstractNum w:abstractNumId="994397">
    <w:nsid w:val="0A994397"/>
    <w:multiLevelType w:val="multilevel"/>
    <w:lvl w:ilvl="0">
      <w:start w:val="97"/>
      <w:numFmt w:val="decimal"/>
      <w:lvlText w:val="(%1)"/>
      <w:lvlJc w:val="left"/>
      <w:pPr>
        <w:ind w:left="720" w:hanging="360"/>
      </w:pPr>
    </w:lvl>
    <w:lvl w:ilvl="1">
      <w:start w:val="97"/>
      <w:numFmt w:val="decimal"/>
      <w:lvlText w:val="(%2)"/>
      <w:lvlJc w:val="left"/>
      <w:pPr>
        <w:ind w:left="1440" w:hanging="360"/>
      </w:pPr>
    </w:lvl>
    <w:lvl w:ilvl="2">
      <w:start w:val="97"/>
      <w:numFmt w:val="decimal"/>
      <w:lvlText w:val="(%3)"/>
      <w:lvlJc w:val="left"/>
      <w:pPr>
        <w:ind w:left="2160" w:hanging="360"/>
      </w:pPr>
    </w:lvl>
    <w:lvl w:ilvl="3">
      <w:start w:val="97"/>
      <w:numFmt w:val="decimal"/>
      <w:lvlText w:val="(%4)"/>
      <w:lvlJc w:val="left"/>
      <w:pPr>
        <w:ind w:left="2880" w:hanging="360"/>
      </w:pPr>
    </w:lvl>
    <w:lvl w:ilvl="4">
      <w:start w:val="97"/>
      <w:numFmt w:val="decimal"/>
      <w:lvlText w:val="(%5)"/>
      <w:lvlJc w:val="left"/>
      <w:pPr>
        <w:ind w:left="3600" w:hanging="360"/>
      </w:pPr>
    </w:lvl>
    <w:lvl w:ilvl="5">
      <w:start w:val="97"/>
      <w:numFmt w:val="decimal"/>
      <w:lvlText w:val="(%6)"/>
      <w:lvlJc w:val="left"/>
      <w:pPr>
        <w:ind w:left="4320" w:hanging="360"/>
      </w:pPr>
    </w:lvl>
    <w:lvl w:ilvl="6">
      <w:start w:val="97"/>
      <w:numFmt w:val="decimal"/>
      <w:lvlText w:val="(%7)"/>
      <w:lvlJc w:val="left"/>
      <w:pPr>
        <w:ind w:left="5040" w:hanging="360"/>
      </w:pPr>
    </w:lvl>
    <w:lvl w:ilvl="7">
      <w:start w:val="97"/>
      <w:numFmt w:val="decimal"/>
      <w:lvlText w:val="(%8)"/>
      <w:lvlJc w:val="left"/>
      <w:pPr>
        <w:ind w:left="5760" w:hanging="360"/>
      </w:pPr>
    </w:lvl>
    <w:lvl w:ilvl="8">
      <w:start w:val="97"/>
      <w:numFmt w:val="decimal"/>
      <w:lvlText w:val="(%9)"/>
      <w:lvlJc w:val="left"/>
      <w:pPr>
        <w:ind w:left="6480" w:hanging="360"/>
      </w:pPr>
    </w:lvl>
  </w:abstractNum>
  <w:abstractNum w:abstractNumId="994398">
    <w:nsid w:val="0A994398"/>
    <w:multiLevelType w:val="multilevel"/>
    <w:lvl w:ilvl="0">
      <w:start w:val="98"/>
      <w:numFmt w:val="decimal"/>
      <w:lvlText w:val="(%1)"/>
      <w:lvlJc w:val="left"/>
      <w:pPr>
        <w:ind w:left="720" w:hanging="360"/>
      </w:pPr>
    </w:lvl>
    <w:lvl w:ilvl="1">
      <w:start w:val="98"/>
      <w:numFmt w:val="decimal"/>
      <w:lvlText w:val="(%2)"/>
      <w:lvlJc w:val="left"/>
      <w:pPr>
        <w:ind w:left="1440" w:hanging="360"/>
      </w:pPr>
    </w:lvl>
    <w:lvl w:ilvl="2">
      <w:start w:val="98"/>
      <w:numFmt w:val="decimal"/>
      <w:lvlText w:val="(%3)"/>
      <w:lvlJc w:val="left"/>
      <w:pPr>
        <w:ind w:left="2160" w:hanging="360"/>
      </w:pPr>
    </w:lvl>
    <w:lvl w:ilvl="3">
      <w:start w:val="98"/>
      <w:numFmt w:val="decimal"/>
      <w:lvlText w:val="(%4)"/>
      <w:lvlJc w:val="left"/>
      <w:pPr>
        <w:ind w:left="2880" w:hanging="360"/>
      </w:pPr>
    </w:lvl>
    <w:lvl w:ilvl="4">
      <w:start w:val="98"/>
      <w:numFmt w:val="decimal"/>
      <w:lvlText w:val="(%5)"/>
      <w:lvlJc w:val="left"/>
      <w:pPr>
        <w:ind w:left="3600" w:hanging="360"/>
      </w:pPr>
    </w:lvl>
    <w:lvl w:ilvl="5">
      <w:start w:val="98"/>
      <w:numFmt w:val="decimal"/>
      <w:lvlText w:val="(%6)"/>
      <w:lvlJc w:val="left"/>
      <w:pPr>
        <w:ind w:left="4320" w:hanging="360"/>
      </w:pPr>
    </w:lvl>
    <w:lvl w:ilvl="6">
      <w:start w:val="98"/>
      <w:numFmt w:val="decimal"/>
      <w:lvlText w:val="(%7)"/>
      <w:lvlJc w:val="left"/>
      <w:pPr>
        <w:ind w:left="5040" w:hanging="360"/>
      </w:pPr>
    </w:lvl>
    <w:lvl w:ilvl="7">
      <w:start w:val="98"/>
      <w:numFmt w:val="decimal"/>
      <w:lvlText w:val="(%8)"/>
      <w:lvlJc w:val="left"/>
      <w:pPr>
        <w:ind w:left="5760" w:hanging="360"/>
      </w:pPr>
    </w:lvl>
    <w:lvl w:ilvl="8">
      <w:start w:val="98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02">
    <w:nsid w:val="A9943102"/>
    <w:multiLevelType w:val="multilevel"/>
    <w:lvl w:ilvl="0">
      <w:start w:val="102"/>
      <w:numFmt w:val="decimal"/>
      <w:lvlText w:val="(%1)"/>
      <w:lvlJc w:val="left"/>
      <w:pPr>
        <w:ind w:left="720" w:hanging="360"/>
      </w:pPr>
    </w:lvl>
    <w:lvl w:ilvl="1">
      <w:start w:val="102"/>
      <w:numFmt w:val="decimal"/>
      <w:lvlText w:val="(%2)"/>
      <w:lvlJc w:val="left"/>
      <w:pPr>
        <w:ind w:left="1440" w:hanging="360"/>
      </w:pPr>
    </w:lvl>
    <w:lvl w:ilvl="2">
      <w:start w:val="102"/>
      <w:numFmt w:val="decimal"/>
      <w:lvlText w:val="(%3)"/>
      <w:lvlJc w:val="left"/>
      <w:pPr>
        <w:ind w:left="2160" w:hanging="360"/>
      </w:pPr>
    </w:lvl>
    <w:lvl w:ilvl="3">
      <w:start w:val="102"/>
      <w:numFmt w:val="decimal"/>
      <w:lvlText w:val="(%4)"/>
      <w:lvlJc w:val="left"/>
      <w:pPr>
        <w:ind w:left="2880" w:hanging="360"/>
      </w:pPr>
    </w:lvl>
    <w:lvl w:ilvl="4">
      <w:start w:val="102"/>
      <w:numFmt w:val="decimal"/>
      <w:lvlText w:val="(%5)"/>
      <w:lvlJc w:val="left"/>
      <w:pPr>
        <w:ind w:left="3600" w:hanging="360"/>
      </w:pPr>
    </w:lvl>
    <w:lvl w:ilvl="5">
      <w:start w:val="102"/>
      <w:numFmt w:val="decimal"/>
      <w:lvlText w:val="(%6)"/>
      <w:lvlJc w:val="left"/>
      <w:pPr>
        <w:ind w:left="4320" w:hanging="360"/>
      </w:pPr>
    </w:lvl>
    <w:lvl w:ilvl="6">
      <w:start w:val="102"/>
      <w:numFmt w:val="decimal"/>
      <w:lvlText w:val="(%7)"/>
      <w:lvlJc w:val="left"/>
      <w:pPr>
        <w:ind w:left="5040" w:hanging="360"/>
      </w:pPr>
    </w:lvl>
    <w:lvl w:ilvl="7">
      <w:start w:val="102"/>
      <w:numFmt w:val="decimal"/>
      <w:lvlText w:val="(%8)"/>
      <w:lvlJc w:val="left"/>
      <w:pPr>
        <w:ind w:left="5760" w:hanging="360"/>
      </w:pPr>
    </w:lvl>
    <w:lvl w:ilvl="8">
      <w:start w:val="102"/>
      <w:numFmt w:val="decimal"/>
      <w:lvlText w:val="(%9)"/>
      <w:lvlJc w:val="left"/>
      <w:pPr>
        <w:ind w:left="6480" w:hanging="360"/>
      </w:pPr>
    </w:lvl>
  </w:abstractNum>
  <w:abstractNum w:abstractNumId="9943108">
    <w:nsid w:val="A9943108"/>
    <w:multiLevelType w:val="multilevel"/>
    <w:lvl w:ilvl="0">
      <w:start w:val="108"/>
      <w:numFmt w:val="decimal"/>
      <w:lvlText w:val="(%1)"/>
      <w:lvlJc w:val="left"/>
      <w:pPr>
        <w:ind w:left="720" w:hanging="360"/>
      </w:pPr>
    </w:lvl>
    <w:lvl w:ilvl="1">
      <w:start w:val="108"/>
      <w:numFmt w:val="decimal"/>
      <w:lvlText w:val="(%2)"/>
      <w:lvlJc w:val="left"/>
      <w:pPr>
        <w:ind w:left="1440" w:hanging="360"/>
      </w:pPr>
    </w:lvl>
    <w:lvl w:ilvl="2">
      <w:start w:val="108"/>
      <w:numFmt w:val="decimal"/>
      <w:lvlText w:val="(%3)"/>
      <w:lvlJc w:val="left"/>
      <w:pPr>
        <w:ind w:left="2160" w:hanging="360"/>
      </w:pPr>
    </w:lvl>
    <w:lvl w:ilvl="3">
      <w:start w:val="108"/>
      <w:numFmt w:val="decimal"/>
      <w:lvlText w:val="(%4)"/>
      <w:lvlJc w:val="left"/>
      <w:pPr>
        <w:ind w:left="2880" w:hanging="360"/>
      </w:pPr>
    </w:lvl>
    <w:lvl w:ilvl="4">
      <w:start w:val="108"/>
      <w:numFmt w:val="decimal"/>
      <w:lvlText w:val="(%5)"/>
      <w:lvlJc w:val="left"/>
      <w:pPr>
        <w:ind w:left="3600" w:hanging="360"/>
      </w:pPr>
    </w:lvl>
    <w:lvl w:ilvl="5">
      <w:start w:val="108"/>
      <w:numFmt w:val="decimal"/>
      <w:lvlText w:val="(%6)"/>
      <w:lvlJc w:val="left"/>
      <w:pPr>
        <w:ind w:left="4320" w:hanging="360"/>
      </w:pPr>
    </w:lvl>
    <w:lvl w:ilvl="6">
      <w:start w:val="108"/>
      <w:numFmt w:val="decimal"/>
      <w:lvlText w:val="(%7)"/>
      <w:lvlJc w:val="left"/>
      <w:pPr>
        <w:ind w:left="5040" w:hanging="360"/>
      </w:pPr>
    </w:lvl>
    <w:lvl w:ilvl="7">
      <w:start w:val="108"/>
      <w:numFmt w:val="decimal"/>
      <w:lvlText w:val="(%8)"/>
      <w:lvlJc w:val="left"/>
      <w:pPr>
        <w:ind w:left="5760" w:hanging="360"/>
      </w:pPr>
    </w:lvl>
    <w:lvl w:ilvl="8">
      <w:start w:val="108"/>
      <w:numFmt w:val="decimal"/>
      <w:lvlText w:val="(%9)"/>
      <w:lvlJc w:val="left"/>
      <w:pPr>
        <w:ind w:left="6480" w:hanging="360"/>
      </w:pPr>
    </w:lvl>
  </w:abstractNum>
  <w:abstractNum w:abstractNumId="9943110">
    <w:nsid w:val="A9943110"/>
    <w:multiLevelType w:val="multilevel"/>
    <w:lvl w:ilvl="0">
      <w:start w:val="110"/>
      <w:numFmt w:val="decimal"/>
      <w:lvlText w:val="(%1)"/>
      <w:lvlJc w:val="left"/>
      <w:pPr>
        <w:ind w:left="720" w:hanging="360"/>
      </w:pPr>
    </w:lvl>
    <w:lvl w:ilvl="1">
      <w:start w:val="110"/>
      <w:numFmt w:val="decimal"/>
      <w:lvlText w:val="(%2)"/>
      <w:lvlJc w:val="left"/>
      <w:pPr>
        <w:ind w:left="1440" w:hanging="360"/>
      </w:pPr>
    </w:lvl>
    <w:lvl w:ilvl="2">
      <w:start w:val="110"/>
      <w:numFmt w:val="decimal"/>
      <w:lvlText w:val="(%3)"/>
      <w:lvlJc w:val="left"/>
      <w:pPr>
        <w:ind w:left="2160" w:hanging="360"/>
      </w:pPr>
    </w:lvl>
    <w:lvl w:ilvl="3">
      <w:start w:val="110"/>
      <w:numFmt w:val="decimal"/>
      <w:lvlText w:val="(%4)"/>
      <w:lvlJc w:val="left"/>
      <w:pPr>
        <w:ind w:left="2880" w:hanging="360"/>
      </w:pPr>
    </w:lvl>
    <w:lvl w:ilvl="4">
      <w:start w:val="110"/>
      <w:numFmt w:val="decimal"/>
      <w:lvlText w:val="(%5)"/>
      <w:lvlJc w:val="left"/>
      <w:pPr>
        <w:ind w:left="3600" w:hanging="360"/>
      </w:pPr>
    </w:lvl>
    <w:lvl w:ilvl="5">
      <w:start w:val="110"/>
      <w:numFmt w:val="decimal"/>
      <w:lvlText w:val="(%6)"/>
      <w:lvlJc w:val="left"/>
      <w:pPr>
        <w:ind w:left="4320" w:hanging="360"/>
      </w:pPr>
    </w:lvl>
    <w:lvl w:ilvl="6">
      <w:start w:val="110"/>
      <w:numFmt w:val="decimal"/>
      <w:lvlText w:val="(%7)"/>
      <w:lvlJc w:val="left"/>
      <w:pPr>
        <w:ind w:left="5040" w:hanging="360"/>
      </w:pPr>
    </w:lvl>
    <w:lvl w:ilvl="7">
      <w:start w:val="110"/>
      <w:numFmt w:val="decimal"/>
      <w:lvlText w:val="(%8)"/>
      <w:lvlJc w:val="left"/>
      <w:pPr>
        <w:ind w:left="5760" w:hanging="360"/>
      </w:pPr>
    </w:lvl>
    <w:lvl w:ilvl="8">
      <w:start w:val="110"/>
      <w:numFmt w:val="decimal"/>
      <w:lvlText w:val="(%9)"/>
      <w:lvlJc w:val="left"/>
      <w:pPr>
        <w:ind w:left="6480" w:hanging="360"/>
      </w:pPr>
    </w:lvl>
  </w:abstractNum>
  <w:abstractNum w:abstractNumId="9943111">
    <w:nsid w:val="A9943111"/>
    <w:multiLevelType w:val="multilevel"/>
    <w:lvl w:ilvl="0">
      <w:start w:val="111"/>
      <w:numFmt w:val="decimal"/>
      <w:lvlText w:val="(%1)"/>
      <w:lvlJc w:val="left"/>
      <w:pPr>
        <w:ind w:left="720" w:hanging="360"/>
      </w:pPr>
    </w:lvl>
    <w:lvl w:ilvl="1">
      <w:start w:val="111"/>
      <w:numFmt w:val="decimal"/>
      <w:lvlText w:val="(%2)"/>
      <w:lvlJc w:val="left"/>
      <w:pPr>
        <w:ind w:left="1440" w:hanging="360"/>
      </w:pPr>
    </w:lvl>
    <w:lvl w:ilvl="2">
      <w:start w:val="111"/>
      <w:numFmt w:val="decimal"/>
      <w:lvlText w:val="(%3)"/>
      <w:lvlJc w:val="left"/>
      <w:pPr>
        <w:ind w:left="2160" w:hanging="360"/>
      </w:pPr>
    </w:lvl>
    <w:lvl w:ilvl="3">
      <w:start w:val="111"/>
      <w:numFmt w:val="decimal"/>
      <w:lvlText w:val="(%4)"/>
      <w:lvlJc w:val="left"/>
      <w:pPr>
        <w:ind w:left="2880" w:hanging="360"/>
      </w:pPr>
    </w:lvl>
    <w:lvl w:ilvl="4">
      <w:start w:val="111"/>
      <w:numFmt w:val="decimal"/>
      <w:lvlText w:val="(%5)"/>
      <w:lvlJc w:val="left"/>
      <w:pPr>
        <w:ind w:left="3600" w:hanging="360"/>
      </w:pPr>
    </w:lvl>
    <w:lvl w:ilvl="5">
      <w:start w:val="111"/>
      <w:numFmt w:val="decimal"/>
      <w:lvlText w:val="(%6)"/>
      <w:lvlJc w:val="left"/>
      <w:pPr>
        <w:ind w:left="4320" w:hanging="360"/>
      </w:pPr>
    </w:lvl>
    <w:lvl w:ilvl="6">
      <w:start w:val="111"/>
      <w:numFmt w:val="decimal"/>
      <w:lvlText w:val="(%7)"/>
      <w:lvlJc w:val="left"/>
      <w:pPr>
        <w:ind w:left="5040" w:hanging="360"/>
      </w:pPr>
    </w:lvl>
    <w:lvl w:ilvl="7">
      <w:start w:val="111"/>
      <w:numFmt w:val="decimal"/>
      <w:lvlText w:val="(%8)"/>
      <w:lvlJc w:val="left"/>
      <w:pPr>
        <w:ind w:left="5760" w:hanging="360"/>
      </w:pPr>
    </w:lvl>
    <w:lvl w:ilvl="8">
      <w:start w:val="111"/>
      <w:numFmt w:val="decimal"/>
      <w:lvlText w:val="(%9)"/>
      <w:lvlJc w:val="left"/>
      <w:pPr>
        <w:ind w:left="6480" w:hanging="360"/>
      </w:pPr>
    </w:lvl>
  </w:abstractNum>
  <w:abstractNum w:abstractNumId="9943113">
    <w:nsid w:val="A9943113"/>
    <w:multiLevelType w:val="multilevel"/>
    <w:lvl w:ilvl="0">
      <w:start w:val="113"/>
      <w:numFmt w:val="decimal"/>
      <w:lvlText w:val="(%1)"/>
      <w:lvlJc w:val="left"/>
      <w:pPr>
        <w:ind w:left="720" w:hanging="360"/>
      </w:pPr>
    </w:lvl>
    <w:lvl w:ilvl="1">
      <w:start w:val="113"/>
      <w:numFmt w:val="decimal"/>
      <w:lvlText w:val="(%2)"/>
      <w:lvlJc w:val="left"/>
      <w:pPr>
        <w:ind w:left="1440" w:hanging="360"/>
      </w:pPr>
    </w:lvl>
    <w:lvl w:ilvl="2">
      <w:start w:val="113"/>
      <w:numFmt w:val="decimal"/>
      <w:lvlText w:val="(%3)"/>
      <w:lvlJc w:val="left"/>
      <w:pPr>
        <w:ind w:left="2160" w:hanging="360"/>
      </w:pPr>
    </w:lvl>
    <w:lvl w:ilvl="3">
      <w:start w:val="113"/>
      <w:numFmt w:val="decimal"/>
      <w:lvlText w:val="(%4)"/>
      <w:lvlJc w:val="left"/>
      <w:pPr>
        <w:ind w:left="2880" w:hanging="360"/>
      </w:pPr>
    </w:lvl>
    <w:lvl w:ilvl="4">
      <w:start w:val="113"/>
      <w:numFmt w:val="decimal"/>
      <w:lvlText w:val="(%5)"/>
      <w:lvlJc w:val="left"/>
      <w:pPr>
        <w:ind w:left="3600" w:hanging="360"/>
      </w:pPr>
    </w:lvl>
    <w:lvl w:ilvl="5">
      <w:start w:val="113"/>
      <w:numFmt w:val="decimal"/>
      <w:lvlText w:val="(%6)"/>
      <w:lvlJc w:val="left"/>
      <w:pPr>
        <w:ind w:left="4320" w:hanging="360"/>
      </w:pPr>
    </w:lvl>
    <w:lvl w:ilvl="6">
      <w:start w:val="113"/>
      <w:numFmt w:val="decimal"/>
      <w:lvlText w:val="(%7)"/>
      <w:lvlJc w:val="left"/>
      <w:pPr>
        <w:ind w:left="5040" w:hanging="360"/>
      </w:pPr>
    </w:lvl>
    <w:lvl w:ilvl="7">
      <w:start w:val="113"/>
      <w:numFmt w:val="decimal"/>
      <w:lvlText w:val="(%8)"/>
      <w:lvlJc w:val="left"/>
      <w:pPr>
        <w:ind w:left="5760" w:hanging="360"/>
      </w:pPr>
    </w:lvl>
    <w:lvl w:ilvl="8">
      <w:start w:val="113"/>
      <w:numFmt w:val="decimal"/>
      <w:lvlText w:val="(%9)"/>
      <w:lvlJc w:val="left"/>
      <w:pPr>
        <w:ind w:left="6480" w:hanging="360"/>
      </w:pPr>
    </w:lvl>
  </w:abstractNum>
  <w:abstractNum w:abstractNumId="9943114">
    <w:nsid w:val="A9943114"/>
    <w:multiLevelType w:val="multilevel"/>
    <w:lvl w:ilvl="0">
      <w:start w:val="114"/>
      <w:numFmt w:val="decimal"/>
      <w:lvlText w:val="(%1)"/>
      <w:lvlJc w:val="left"/>
      <w:pPr>
        <w:ind w:left="720" w:hanging="360"/>
      </w:pPr>
    </w:lvl>
    <w:lvl w:ilvl="1">
      <w:start w:val="114"/>
      <w:numFmt w:val="decimal"/>
      <w:lvlText w:val="(%2)"/>
      <w:lvlJc w:val="left"/>
      <w:pPr>
        <w:ind w:left="1440" w:hanging="360"/>
      </w:pPr>
    </w:lvl>
    <w:lvl w:ilvl="2">
      <w:start w:val="114"/>
      <w:numFmt w:val="decimal"/>
      <w:lvlText w:val="(%3)"/>
      <w:lvlJc w:val="left"/>
      <w:pPr>
        <w:ind w:left="2160" w:hanging="360"/>
      </w:pPr>
    </w:lvl>
    <w:lvl w:ilvl="3">
      <w:start w:val="114"/>
      <w:numFmt w:val="decimal"/>
      <w:lvlText w:val="(%4)"/>
      <w:lvlJc w:val="left"/>
      <w:pPr>
        <w:ind w:left="2880" w:hanging="360"/>
      </w:pPr>
    </w:lvl>
    <w:lvl w:ilvl="4">
      <w:start w:val="114"/>
      <w:numFmt w:val="decimal"/>
      <w:lvlText w:val="(%5)"/>
      <w:lvlJc w:val="left"/>
      <w:pPr>
        <w:ind w:left="3600" w:hanging="360"/>
      </w:pPr>
    </w:lvl>
    <w:lvl w:ilvl="5">
      <w:start w:val="114"/>
      <w:numFmt w:val="decimal"/>
      <w:lvlText w:val="(%6)"/>
      <w:lvlJc w:val="left"/>
      <w:pPr>
        <w:ind w:left="4320" w:hanging="360"/>
      </w:pPr>
    </w:lvl>
    <w:lvl w:ilvl="6">
      <w:start w:val="114"/>
      <w:numFmt w:val="decimal"/>
      <w:lvlText w:val="(%7)"/>
      <w:lvlJc w:val="left"/>
      <w:pPr>
        <w:ind w:left="5040" w:hanging="360"/>
      </w:pPr>
    </w:lvl>
    <w:lvl w:ilvl="7">
      <w:start w:val="114"/>
      <w:numFmt w:val="decimal"/>
      <w:lvlText w:val="(%8)"/>
      <w:lvlJc w:val="left"/>
      <w:pPr>
        <w:ind w:left="5760" w:hanging="360"/>
      </w:pPr>
    </w:lvl>
    <w:lvl w:ilvl="8">
      <w:start w:val="114"/>
      <w:numFmt w:val="decimal"/>
      <w:lvlText w:val="(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3115">
    <w:nsid w:val="A9943115"/>
    <w:multiLevelType w:val="multilevel"/>
    <w:lvl w:ilvl="0">
      <w:start w:val="115"/>
      <w:numFmt w:val="decimal"/>
      <w:lvlText w:val="(%1)"/>
      <w:lvlJc w:val="left"/>
      <w:pPr>
        <w:ind w:left="720" w:hanging="360"/>
      </w:pPr>
    </w:lvl>
    <w:lvl w:ilvl="1">
      <w:start w:val="115"/>
      <w:numFmt w:val="decimal"/>
      <w:lvlText w:val="(%2)"/>
      <w:lvlJc w:val="left"/>
      <w:pPr>
        <w:ind w:left="1440" w:hanging="360"/>
      </w:pPr>
    </w:lvl>
    <w:lvl w:ilvl="2">
      <w:start w:val="115"/>
      <w:numFmt w:val="decimal"/>
      <w:lvlText w:val="(%3)"/>
      <w:lvlJc w:val="left"/>
      <w:pPr>
        <w:ind w:left="2160" w:hanging="360"/>
      </w:pPr>
    </w:lvl>
    <w:lvl w:ilvl="3">
      <w:start w:val="115"/>
      <w:numFmt w:val="decimal"/>
      <w:lvlText w:val="(%4)"/>
      <w:lvlJc w:val="left"/>
      <w:pPr>
        <w:ind w:left="2880" w:hanging="360"/>
      </w:pPr>
    </w:lvl>
    <w:lvl w:ilvl="4">
      <w:start w:val="115"/>
      <w:numFmt w:val="decimal"/>
      <w:lvlText w:val="(%5)"/>
      <w:lvlJc w:val="left"/>
      <w:pPr>
        <w:ind w:left="3600" w:hanging="360"/>
      </w:pPr>
    </w:lvl>
    <w:lvl w:ilvl="5">
      <w:start w:val="115"/>
      <w:numFmt w:val="decimal"/>
      <w:lvlText w:val="(%6)"/>
      <w:lvlJc w:val="left"/>
      <w:pPr>
        <w:ind w:left="4320" w:hanging="360"/>
      </w:pPr>
    </w:lvl>
    <w:lvl w:ilvl="6">
      <w:start w:val="115"/>
      <w:numFmt w:val="decimal"/>
      <w:lvlText w:val="(%7)"/>
      <w:lvlJc w:val="left"/>
      <w:pPr>
        <w:ind w:left="5040" w:hanging="360"/>
      </w:pPr>
    </w:lvl>
    <w:lvl w:ilvl="7">
      <w:start w:val="115"/>
      <w:numFmt w:val="decimal"/>
      <w:lvlText w:val="(%8)"/>
      <w:lvlJc w:val="left"/>
      <w:pPr>
        <w:ind w:left="5760" w:hanging="360"/>
      </w:pPr>
    </w:lvl>
    <w:lvl w:ilvl="8">
      <w:start w:val="115"/>
      <w:numFmt w:val="decimal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3118">
    <w:nsid w:val="A9943118"/>
    <w:multiLevelType w:val="multilevel"/>
    <w:lvl w:ilvl="0">
      <w:start w:val="118"/>
      <w:numFmt w:val="decimal"/>
      <w:lvlText w:val="(%1)"/>
      <w:lvlJc w:val="left"/>
      <w:pPr>
        <w:ind w:left="720" w:hanging="360"/>
      </w:pPr>
    </w:lvl>
    <w:lvl w:ilvl="1">
      <w:start w:val="118"/>
      <w:numFmt w:val="decimal"/>
      <w:lvlText w:val="(%2)"/>
      <w:lvlJc w:val="left"/>
      <w:pPr>
        <w:ind w:left="1440" w:hanging="360"/>
      </w:pPr>
    </w:lvl>
    <w:lvl w:ilvl="2">
      <w:start w:val="118"/>
      <w:numFmt w:val="decimal"/>
      <w:lvlText w:val="(%3)"/>
      <w:lvlJc w:val="left"/>
      <w:pPr>
        <w:ind w:left="2160" w:hanging="360"/>
      </w:pPr>
    </w:lvl>
    <w:lvl w:ilvl="3">
      <w:start w:val="118"/>
      <w:numFmt w:val="decimal"/>
      <w:lvlText w:val="(%4)"/>
      <w:lvlJc w:val="left"/>
      <w:pPr>
        <w:ind w:left="2880" w:hanging="360"/>
      </w:pPr>
    </w:lvl>
    <w:lvl w:ilvl="4">
      <w:start w:val="118"/>
      <w:numFmt w:val="decimal"/>
      <w:lvlText w:val="(%5)"/>
      <w:lvlJc w:val="left"/>
      <w:pPr>
        <w:ind w:left="3600" w:hanging="360"/>
      </w:pPr>
    </w:lvl>
    <w:lvl w:ilvl="5">
      <w:start w:val="118"/>
      <w:numFmt w:val="decimal"/>
      <w:lvlText w:val="(%6)"/>
      <w:lvlJc w:val="left"/>
      <w:pPr>
        <w:ind w:left="4320" w:hanging="360"/>
      </w:pPr>
    </w:lvl>
    <w:lvl w:ilvl="6">
      <w:start w:val="118"/>
      <w:numFmt w:val="decimal"/>
      <w:lvlText w:val="(%7)"/>
      <w:lvlJc w:val="left"/>
      <w:pPr>
        <w:ind w:left="5040" w:hanging="360"/>
      </w:pPr>
    </w:lvl>
    <w:lvl w:ilvl="7">
      <w:start w:val="118"/>
      <w:numFmt w:val="decimal"/>
      <w:lvlText w:val="(%8)"/>
      <w:lvlJc w:val="left"/>
      <w:pPr>
        <w:ind w:left="5760" w:hanging="360"/>
      </w:pPr>
    </w:lvl>
    <w:lvl w:ilvl="8">
      <w:start w:val="118"/>
      <w:numFmt w:val="decimal"/>
      <w:lvlText w:val="(%9)"/>
      <w:lvlJc w:val="left"/>
      <w:pPr>
        <w:ind w:left="6480" w:hanging="360"/>
      </w:pPr>
    </w:lvl>
  </w:abstractNum>
  <w:abstractNum w:abstractNumId="9943120">
    <w:nsid w:val="A9943120"/>
    <w:multiLevelType w:val="multilevel"/>
    <w:lvl w:ilvl="0">
      <w:start w:val="120"/>
      <w:numFmt w:val="decimal"/>
      <w:lvlText w:val="(%1)"/>
      <w:lvlJc w:val="left"/>
      <w:pPr>
        <w:ind w:left="720" w:hanging="360"/>
      </w:pPr>
    </w:lvl>
    <w:lvl w:ilvl="1">
      <w:start w:val="120"/>
      <w:numFmt w:val="decimal"/>
      <w:lvlText w:val="(%2)"/>
      <w:lvlJc w:val="left"/>
      <w:pPr>
        <w:ind w:left="1440" w:hanging="360"/>
      </w:pPr>
    </w:lvl>
    <w:lvl w:ilvl="2">
      <w:start w:val="120"/>
      <w:numFmt w:val="decimal"/>
      <w:lvlText w:val="(%3)"/>
      <w:lvlJc w:val="left"/>
      <w:pPr>
        <w:ind w:left="2160" w:hanging="360"/>
      </w:pPr>
    </w:lvl>
    <w:lvl w:ilvl="3">
      <w:start w:val="120"/>
      <w:numFmt w:val="decimal"/>
      <w:lvlText w:val="(%4)"/>
      <w:lvlJc w:val="left"/>
      <w:pPr>
        <w:ind w:left="2880" w:hanging="360"/>
      </w:pPr>
    </w:lvl>
    <w:lvl w:ilvl="4">
      <w:start w:val="120"/>
      <w:numFmt w:val="decimal"/>
      <w:lvlText w:val="(%5)"/>
      <w:lvlJc w:val="left"/>
      <w:pPr>
        <w:ind w:left="3600" w:hanging="360"/>
      </w:pPr>
    </w:lvl>
    <w:lvl w:ilvl="5">
      <w:start w:val="120"/>
      <w:numFmt w:val="decimal"/>
      <w:lvlText w:val="(%6)"/>
      <w:lvlJc w:val="left"/>
      <w:pPr>
        <w:ind w:left="4320" w:hanging="360"/>
      </w:pPr>
    </w:lvl>
    <w:lvl w:ilvl="6">
      <w:start w:val="120"/>
      <w:numFmt w:val="decimal"/>
      <w:lvlText w:val="(%7)"/>
      <w:lvlJc w:val="left"/>
      <w:pPr>
        <w:ind w:left="5040" w:hanging="360"/>
      </w:pPr>
    </w:lvl>
    <w:lvl w:ilvl="7">
      <w:start w:val="120"/>
      <w:numFmt w:val="decimal"/>
      <w:lvlText w:val="(%8)"/>
      <w:lvlJc w:val="left"/>
      <w:pPr>
        <w:ind w:left="5760" w:hanging="360"/>
      </w:pPr>
    </w:lvl>
    <w:lvl w:ilvl="8">
      <w:start w:val="120"/>
      <w:numFmt w:val="decimal"/>
      <w:lvlText w:val="(%9)"/>
      <w:lvlJc w:val="left"/>
      <w:pPr>
        <w:ind w:left="6480" w:hanging="360"/>
      </w:pPr>
    </w:lvl>
  </w:abstractNum>
  <w:abstractNum w:abstractNumId="9943121">
    <w:nsid w:val="A9943121"/>
    <w:multiLevelType w:val="multilevel"/>
    <w:lvl w:ilvl="0">
      <w:start w:val="121"/>
      <w:numFmt w:val="decimal"/>
      <w:lvlText w:val="(%1)"/>
      <w:lvlJc w:val="left"/>
      <w:pPr>
        <w:ind w:left="720" w:hanging="360"/>
      </w:pPr>
    </w:lvl>
    <w:lvl w:ilvl="1">
      <w:start w:val="121"/>
      <w:numFmt w:val="decimal"/>
      <w:lvlText w:val="(%2)"/>
      <w:lvlJc w:val="left"/>
      <w:pPr>
        <w:ind w:left="1440" w:hanging="360"/>
      </w:pPr>
    </w:lvl>
    <w:lvl w:ilvl="2">
      <w:start w:val="121"/>
      <w:numFmt w:val="decimal"/>
      <w:lvlText w:val="(%3)"/>
      <w:lvlJc w:val="left"/>
      <w:pPr>
        <w:ind w:left="2160" w:hanging="360"/>
      </w:pPr>
    </w:lvl>
    <w:lvl w:ilvl="3">
      <w:start w:val="121"/>
      <w:numFmt w:val="decimal"/>
      <w:lvlText w:val="(%4)"/>
      <w:lvlJc w:val="left"/>
      <w:pPr>
        <w:ind w:left="2880" w:hanging="360"/>
      </w:pPr>
    </w:lvl>
    <w:lvl w:ilvl="4">
      <w:start w:val="121"/>
      <w:numFmt w:val="decimal"/>
      <w:lvlText w:val="(%5)"/>
      <w:lvlJc w:val="left"/>
      <w:pPr>
        <w:ind w:left="3600" w:hanging="360"/>
      </w:pPr>
    </w:lvl>
    <w:lvl w:ilvl="5">
      <w:start w:val="121"/>
      <w:numFmt w:val="decimal"/>
      <w:lvlText w:val="(%6)"/>
      <w:lvlJc w:val="left"/>
      <w:pPr>
        <w:ind w:left="4320" w:hanging="360"/>
      </w:pPr>
    </w:lvl>
    <w:lvl w:ilvl="6">
      <w:start w:val="121"/>
      <w:numFmt w:val="decimal"/>
      <w:lvlText w:val="(%7)"/>
      <w:lvlJc w:val="left"/>
      <w:pPr>
        <w:ind w:left="5040" w:hanging="360"/>
      </w:pPr>
    </w:lvl>
    <w:lvl w:ilvl="7">
      <w:start w:val="121"/>
      <w:numFmt w:val="decimal"/>
      <w:lvlText w:val="(%8)"/>
      <w:lvlJc w:val="left"/>
      <w:pPr>
        <w:ind w:left="5760" w:hanging="360"/>
      </w:pPr>
    </w:lvl>
    <w:lvl w:ilvl="8">
      <w:start w:val="121"/>
      <w:numFmt w:val="decimal"/>
      <w:lvlText w:val="(%9)"/>
      <w:lvlJc w:val="left"/>
      <w:pPr>
        <w:ind w:left="6480" w:hanging="360"/>
      </w:pPr>
    </w:lvl>
  </w:abstractNum>
  <w:abstractNum w:abstractNumId="9943122">
    <w:nsid w:val="A9943122"/>
    <w:multiLevelType w:val="multilevel"/>
    <w:lvl w:ilvl="0">
      <w:start w:val="122"/>
      <w:numFmt w:val="decimal"/>
      <w:lvlText w:val="(%1)"/>
      <w:lvlJc w:val="left"/>
      <w:pPr>
        <w:ind w:left="720" w:hanging="360"/>
      </w:pPr>
    </w:lvl>
    <w:lvl w:ilvl="1">
      <w:start w:val="122"/>
      <w:numFmt w:val="decimal"/>
      <w:lvlText w:val="(%2)"/>
      <w:lvlJc w:val="left"/>
      <w:pPr>
        <w:ind w:left="1440" w:hanging="360"/>
      </w:pPr>
    </w:lvl>
    <w:lvl w:ilvl="2">
      <w:start w:val="122"/>
      <w:numFmt w:val="decimal"/>
      <w:lvlText w:val="(%3)"/>
      <w:lvlJc w:val="left"/>
      <w:pPr>
        <w:ind w:left="2160" w:hanging="360"/>
      </w:pPr>
    </w:lvl>
    <w:lvl w:ilvl="3">
      <w:start w:val="122"/>
      <w:numFmt w:val="decimal"/>
      <w:lvlText w:val="(%4)"/>
      <w:lvlJc w:val="left"/>
      <w:pPr>
        <w:ind w:left="2880" w:hanging="360"/>
      </w:pPr>
    </w:lvl>
    <w:lvl w:ilvl="4">
      <w:start w:val="122"/>
      <w:numFmt w:val="decimal"/>
      <w:lvlText w:val="(%5)"/>
      <w:lvlJc w:val="left"/>
      <w:pPr>
        <w:ind w:left="3600" w:hanging="360"/>
      </w:pPr>
    </w:lvl>
    <w:lvl w:ilvl="5">
      <w:start w:val="122"/>
      <w:numFmt w:val="decimal"/>
      <w:lvlText w:val="(%6)"/>
      <w:lvlJc w:val="left"/>
      <w:pPr>
        <w:ind w:left="4320" w:hanging="360"/>
      </w:pPr>
    </w:lvl>
    <w:lvl w:ilvl="6">
      <w:start w:val="122"/>
      <w:numFmt w:val="decimal"/>
      <w:lvlText w:val="(%7)"/>
      <w:lvlJc w:val="left"/>
      <w:pPr>
        <w:ind w:left="5040" w:hanging="360"/>
      </w:pPr>
    </w:lvl>
    <w:lvl w:ilvl="7">
      <w:start w:val="122"/>
      <w:numFmt w:val="decimal"/>
      <w:lvlText w:val="(%8)"/>
      <w:lvlJc w:val="left"/>
      <w:pPr>
        <w:ind w:left="5760" w:hanging="360"/>
      </w:pPr>
    </w:lvl>
    <w:lvl w:ilvl="8">
      <w:start w:val="122"/>
      <w:numFmt w:val="decimal"/>
      <w:lvlText w:val="(%9)"/>
      <w:lvlJc w:val="left"/>
      <w:pPr>
        <w:ind w:left="6480" w:hanging="360"/>
      </w:pPr>
    </w:lvl>
  </w:abstractNum>
  <w:abstractNum w:abstractNumId="9943126">
    <w:nsid w:val="A9943126"/>
    <w:multiLevelType w:val="multilevel"/>
    <w:lvl w:ilvl="0">
      <w:start w:val="126"/>
      <w:numFmt w:val="decimal"/>
      <w:lvlText w:val="(%1)"/>
      <w:lvlJc w:val="left"/>
      <w:pPr>
        <w:ind w:left="720" w:hanging="360"/>
      </w:pPr>
    </w:lvl>
    <w:lvl w:ilvl="1">
      <w:start w:val="126"/>
      <w:numFmt w:val="decimal"/>
      <w:lvlText w:val="(%2)"/>
      <w:lvlJc w:val="left"/>
      <w:pPr>
        <w:ind w:left="1440" w:hanging="360"/>
      </w:pPr>
    </w:lvl>
    <w:lvl w:ilvl="2">
      <w:start w:val="126"/>
      <w:numFmt w:val="decimal"/>
      <w:lvlText w:val="(%3)"/>
      <w:lvlJc w:val="left"/>
      <w:pPr>
        <w:ind w:left="2160" w:hanging="360"/>
      </w:pPr>
    </w:lvl>
    <w:lvl w:ilvl="3">
      <w:start w:val="126"/>
      <w:numFmt w:val="decimal"/>
      <w:lvlText w:val="(%4)"/>
      <w:lvlJc w:val="left"/>
      <w:pPr>
        <w:ind w:left="2880" w:hanging="360"/>
      </w:pPr>
    </w:lvl>
    <w:lvl w:ilvl="4">
      <w:start w:val="126"/>
      <w:numFmt w:val="decimal"/>
      <w:lvlText w:val="(%5)"/>
      <w:lvlJc w:val="left"/>
      <w:pPr>
        <w:ind w:left="3600" w:hanging="360"/>
      </w:pPr>
    </w:lvl>
    <w:lvl w:ilvl="5">
      <w:start w:val="126"/>
      <w:numFmt w:val="decimal"/>
      <w:lvlText w:val="(%6)"/>
      <w:lvlJc w:val="left"/>
      <w:pPr>
        <w:ind w:left="4320" w:hanging="360"/>
      </w:pPr>
    </w:lvl>
    <w:lvl w:ilvl="6">
      <w:start w:val="126"/>
      <w:numFmt w:val="decimal"/>
      <w:lvlText w:val="(%7)"/>
      <w:lvlJc w:val="left"/>
      <w:pPr>
        <w:ind w:left="5040" w:hanging="360"/>
      </w:pPr>
    </w:lvl>
    <w:lvl w:ilvl="7">
      <w:start w:val="126"/>
      <w:numFmt w:val="decimal"/>
      <w:lvlText w:val="(%8)"/>
      <w:lvlJc w:val="left"/>
      <w:pPr>
        <w:ind w:left="5760" w:hanging="360"/>
      </w:pPr>
    </w:lvl>
    <w:lvl w:ilvl="8">
      <w:start w:val="126"/>
      <w:numFmt w:val="decimal"/>
      <w:lvlText w:val="(%9)"/>
      <w:lvlJc w:val="left"/>
      <w:pPr>
        <w:ind w:left="6480" w:hanging="360"/>
      </w:pPr>
    </w:lvl>
  </w:abstractNum>
  <w:abstractNum w:abstractNumId="9943129">
    <w:nsid w:val="A9943129"/>
    <w:multiLevelType w:val="multilevel"/>
    <w:lvl w:ilvl="0">
      <w:start w:val="129"/>
      <w:numFmt w:val="decimal"/>
      <w:lvlText w:val="(%1)"/>
      <w:lvlJc w:val="left"/>
      <w:pPr>
        <w:ind w:left="720" w:hanging="360"/>
      </w:pPr>
    </w:lvl>
    <w:lvl w:ilvl="1">
      <w:start w:val="129"/>
      <w:numFmt w:val="decimal"/>
      <w:lvlText w:val="(%2)"/>
      <w:lvlJc w:val="left"/>
      <w:pPr>
        <w:ind w:left="1440" w:hanging="360"/>
      </w:pPr>
    </w:lvl>
    <w:lvl w:ilvl="2">
      <w:start w:val="129"/>
      <w:numFmt w:val="decimal"/>
      <w:lvlText w:val="(%3)"/>
      <w:lvlJc w:val="left"/>
      <w:pPr>
        <w:ind w:left="2160" w:hanging="360"/>
      </w:pPr>
    </w:lvl>
    <w:lvl w:ilvl="3">
      <w:start w:val="129"/>
      <w:numFmt w:val="decimal"/>
      <w:lvlText w:val="(%4)"/>
      <w:lvlJc w:val="left"/>
      <w:pPr>
        <w:ind w:left="2880" w:hanging="360"/>
      </w:pPr>
    </w:lvl>
    <w:lvl w:ilvl="4">
      <w:start w:val="129"/>
      <w:numFmt w:val="decimal"/>
      <w:lvlText w:val="(%5)"/>
      <w:lvlJc w:val="left"/>
      <w:pPr>
        <w:ind w:left="3600" w:hanging="360"/>
      </w:pPr>
    </w:lvl>
    <w:lvl w:ilvl="5">
      <w:start w:val="129"/>
      <w:numFmt w:val="decimal"/>
      <w:lvlText w:val="(%6)"/>
      <w:lvlJc w:val="left"/>
      <w:pPr>
        <w:ind w:left="4320" w:hanging="360"/>
      </w:pPr>
    </w:lvl>
    <w:lvl w:ilvl="6">
      <w:start w:val="129"/>
      <w:numFmt w:val="decimal"/>
      <w:lvlText w:val="(%7)"/>
      <w:lvlJc w:val="left"/>
      <w:pPr>
        <w:ind w:left="5040" w:hanging="360"/>
      </w:pPr>
    </w:lvl>
    <w:lvl w:ilvl="7">
      <w:start w:val="129"/>
      <w:numFmt w:val="decimal"/>
      <w:lvlText w:val="(%8)"/>
      <w:lvlJc w:val="left"/>
      <w:pPr>
        <w:ind w:left="5760" w:hanging="360"/>
      </w:pPr>
    </w:lvl>
    <w:lvl w:ilvl="8">
      <w:start w:val="129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3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5">
    <w:abstractNumId w:val="9943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3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7">
    <w:abstractNumId w:val="9943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8">
    <w:abstractNumId w:val="994323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1009">
    <w:abstractNumId w:val="9943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10">
    <w:abstractNumId w:val="9943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11">
    <w:abstractNumId w:val="994330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1012">
    <w:abstractNumId w:val="9943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3">
    <w:abstractNumId w:val="994333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1014">
    <w:abstractNumId w:val="9943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15">
    <w:abstractNumId w:val="994337"/>
    <w:lvlOverride w:ilvl="0">
      <w:startOverride w:val="37"/>
    </w:lvlOverride>
    <w:lvlOverride w:ilvl="1">
      <w:startOverride w:val="37"/>
    </w:lvlOverride>
    <w:lvlOverride w:ilvl="2">
      <w:startOverride w:val="37"/>
    </w:lvlOverride>
    <w:lvlOverride w:ilvl="3">
      <w:startOverride w:val="37"/>
    </w:lvlOverride>
    <w:lvlOverride w:ilvl="4">
      <w:startOverride w:val="37"/>
    </w:lvlOverride>
    <w:lvlOverride w:ilvl="5">
      <w:startOverride w:val="37"/>
    </w:lvlOverride>
    <w:lvlOverride w:ilvl="6">
      <w:startOverride w:val="37"/>
    </w:lvlOverride>
    <w:lvlOverride w:ilvl="7">
      <w:startOverride w:val="37"/>
    </w:lvlOverride>
    <w:lvlOverride w:ilvl="8">
      <w:startOverride w:val="37"/>
    </w:lvlOverride>
  </w:num>
  <w:num w:numId="1016">
    <w:abstractNumId w:val="994340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1017">
    <w:abstractNumId w:val="994343"/>
    <w:lvlOverride w:ilvl="0">
      <w:startOverride w:val="43"/>
    </w:lvlOverride>
    <w:lvlOverride w:ilvl="1">
      <w:startOverride w:val="43"/>
    </w:lvlOverride>
    <w:lvlOverride w:ilvl="2">
      <w:startOverride w:val="43"/>
    </w:lvlOverride>
    <w:lvlOverride w:ilvl="3">
      <w:startOverride w:val="43"/>
    </w:lvlOverride>
    <w:lvlOverride w:ilvl="4">
      <w:startOverride w:val="43"/>
    </w:lvlOverride>
    <w:lvlOverride w:ilvl="5">
      <w:startOverride w:val="43"/>
    </w:lvlOverride>
    <w:lvlOverride w:ilvl="6">
      <w:startOverride w:val="43"/>
    </w:lvlOverride>
    <w:lvlOverride w:ilvl="7">
      <w:startOverride w:val="43"/>
    </w:lvlOverride>
    <w:lvlOverride w:ilvl="8">
      <w:startOverride w:val="43"/>
    </w:lvlOverride>
  </w:num>
  <w:num w:numId="1018">
    <w:abstractNumId w:val="991"/>
  </w:num>
  <w:num w:numId="1019">
    <w:abstractNumId w:val="994344"/>
    <w:lvlOverride w:ilvl="0">
      <w:startOverride w:val="44"/>
    </w:lvlOverride>
    <w:lvlOverride w:ilvl="1">
      <w:startOverride w:val="44"/>
    </w:lvlOverride>
    <w:lvlOverride w:ilvl="2">
      <w:startOverride w:val="44"/>
    </w:lvlOverride>
    <w:lvlOverride w:ilvl="3">
      <w:startOverride w:val="44"/>
    </w:lvlOverride>
    <w:lvlOverride w:ilvl="4">
      <w:startOverride w:val="44"/>
    </w:lvlOverride>
    <w:lvlOverride w:ilvl="5">
      <w:startOverride w:val="44"/>
    </w:lvlOverride>
    <w:lvlOverride w:ilvl="6">
      <w:startOverride w:val="44"/>
    </w:lvlOverride>
    <w:lvlOverride w:ilvl="7">
      <w:startOverride w:val="44"/>
    </w:lvlOverride>
    <w:lvlOverride w:ilvl="8">
      <w:startOverride w:val="44"/>
    </w:lvlOverride>
  </w:num>
  <w:num w:numId="1020">
    <w:abstractNumId w:val="9943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21">
    <w:abstractNumId w:val="994348"/>
    <w:lvlOverride w:ilvl="0">
      <w:startOverride w:val="48"/>
    </w:lvlOverride>
    <w:lvlOverride w:ilvl="1">
      <w:startOverride w:val="48"/>
    </w:lvlOverride>
    <w:lvlOverride w:ilvl="2">
      <w:startOverride w:val="48"/>
    </w:lvlOverride>
    <w:lvlOverride w:ilvl="3">
      <w:startOverride w:val="48"/>
    </w:lvlOverride>
    <w:lvlOverride w:ilvl="4">
      <w:startOverride w:val="48"/>
    </w:lvlOverride>
    <w:lvlOverride w:ilvl="5">
      <w:startOverride w:val="48"/>
    </w:lvlOverride>
    <w:lvlOverride w:ilvl="6">
      <w:startOverride w:val="48"/>
    </w:lvlOverride>
    <w:lvlOverride w:ilvl="7">
      <w:startOverride w:val="48"/>
    </w:lvlOverride>
    <w:lvlOverride w:ilvl="8">
      <w:startOverride w:val="48"/>
    </w:lvlOverride>
  </w:num>
  <w:num w:numId="1022">
    <w:abstractNumId w:val="9943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3">
    <w:abstractNumId w:val="994353"/>
    <w:lvlOverride w:ilvl="0">
      <w:startOverride w:val="53"/>
    </w:lvlOverride>
    <w:lvlOverride w:ilvl="1">
      <w:startOverride w:val="53"/>
    </w:lvlOverride>
    <w:lvlOverride w:ilvl="2">
      <w:startOverride w:val="53"/>
    </w:lvlOverride>
    <w:lvlOverride w:ilvl="3">
      <w:startOverride w:val="53"/>
    </w:lvlOverride>
    <w:lvlOverride w:ilvl="4">
      <w:startOverride w:val="53"/>
    </w:lvlOverride>
    <w:lvlOverride w:ilvl="5">
      <w:startOverride w:val="53"/>
    </w:lvlOverride>
    <w:lvlOverride w:ilvl="6">
      <w:startOverride w:val="53"/>
    </w:lvlOverride>
    <w:lvlOverride w:ilvl="7">
      <w:startOverride w:val="53"/>
    </w:lvlOverride>
    <w:lvlOverride w:ilvl="8">
      <w:startOverride w:val="53"/>
    </w:lvlOverride>
  </w:num>
  <w:num w:numId="1024">
    <w:abstractNumId w:val="9943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25">
    <w:abstractNumId w:val="9943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26">
    <w:abstractNumId w:val="994359"/>
    <w:lvlOverride w:ilvl="0">
      <w:startOverride w:val="59"/>
    </w:lvlOverride>
    <w:lvlOverride w:ilvl="1">
      <w:startOverride w:val="59"/>
    </w:lvlOverride>
    <w:lvlOverride w:ilvl="2">
      <w:startOverride w:val="59"/>
    </w:lvlOverride>
    <w:lvlOverride w:ilvl="3">
      <w:startOverride w:val="59"/>
    </w:lvlOverride>
    <w:lvlOverride w:ilvl="4">
      <w:startOverride w:val="59"/>
    </w:lvlOverride>
    <w:lvlOverride w:ilvl="5">
      <w:startOverride w:val="59"/>
    </w:lvlOverride>
    <w:lvlOverride w:ilvl="6">
      <w:startOverride w:val="59"/>
    </w:lvlOverride>
    <w:lvlOverride w:ilvl="7">
      <w:startOverride w:val="59"/>
    </w:lvlOverride>
    <w:lvlOverride w:ilvl="8">
      <w:startOverride w:val="59"/>
    </w:lvlOverride>
  </w:num>
  <w:num w:numId="1027">
    <w:abstractNumId w:val="994362"/>
    <w:lvlOverride w:ilvl="0">
      <w:startOverride w:val="62"/>
    </w:lvlOverride>
    <w:lvlOverride w:ilvl="1">
      <w:startOverride w:val="62"/>
    </w:lvlOverride>
    <w:lvlOverride w:ilvl="2">
      <w:startOverride w:val="62"/>
    </w:lvlOverride>
    <w:lvlOverride w:ilvl="3">
      <w:startOverride w:val="62"/>
    </w:lvlOverride>
    <w:lvlOverride w:ilvl="4">
      <w:startOverride w:val="62"/>
    </w:lvlOverride>
    <w:lvlOverride w:ilvl="5">
      <w:startOverride w:val="62"/>
    </w:lvlOverride>
    <w:lvlOverride w:ilvl="6">
      <w:startOverride w:val="62"/>
    </w:lvlOverride>
    <w:lvlOverride w:ilvl="7">
      <w:startOverride w:val="62"/>
    </w:lvlOverride>
    <w:lvlOverride w:ilvl="8">
      <w:startOverride w:val="62"/>
    </w:lvlOverride>
  </w:num>
  <w:num w:numId="1028">
    <w:abstractNumId w:val="994367"/>
    <w:lvlOverride w:ilvl="0">
      <w:startOverride w:val="67"/>
    </w:lvlOverride>
    <w:lvlOverride w:ilvl="1">
      <w:startOverride w:val="67"/>
    </w:lvlOverride>
    <w:lvlOverride w:ilvl="2">
      <w:startOverride w:val="67"/>
    </w:lvlOverride>
    <w:lvlOverride w:ilvl="3">
      <w:startOverride w:val="67"/>
    </w:lvlOverride>
    <w:lvlOverride w:ilvl="4">
      <w:startOverride w:val="67"/>
    </w:lvlOverride>
    <w:lvlOverride w:ilvl="5">
      <w:startOverride w:val="67"/>
    </w:lvlOverride>
    <w:lvlOverride w:ilvl="6">
      <w:startOverride w:val="67"/>
    </w:lvlOverride>
    <w:lvlOverride w:ilvl="7">
      <w:startOverride w:val="67"/>
    </w:lvlOverride>
    <w:lvlOverride w:ilvl="8">
      <w:startOverride w:val="67"/>
    </w:lvlOverride>
  </w:num>
  <w:num w:numId="1029">
    <w:abstractNumId w:val="9943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30">
    <w:abstractNumId w:val="994372"/>
    <w:lvlOverride w:ilvl="0">
      <w:startOverride w:val="72"/>
    </w:lvlOverride>
    <w:lvlOverride w:ilvl="1">
      <w:startOverride w:val="72"/>
    </w:lvlOverride>
    <w:lvlOverride w:ilvl="2">
      <w:startOverride w:val="72"/>
    </w:lvlOverride>
    <w:lvlOverride w:ilvl="3">
      <w:startOverride w:val="72"/>
    </w:lvlOverride>
    <w:lvlOverride w:ilvl="4">
      <w:startOverride w:val="72"/>
    </w:lvlOverride>
    <w:lvlOverride w:ilvl="5">
      <w:startOverride w:val="72"/>
    </w:lvlOverride>
    <w:lvlOverride w:ilvl="6">
      <w:startOverride w:val="72"/>
    </w:lvlOverride>
    <w:lvlOverride w:ilvl="7">
      <w:startOverride w:val="72"/>
    </w:lvlOverride>
    <w:lvlOverride w:ilvl="8">
      <w:startOverride w:val="72"/>
    </w:lvlOverride>
  </w:num>
  <w:num w:numId="1031">
    <w:abstractNumId w:val="994376"/>
    <w:lvlOverride w:ilvl="0">
      <w:startOverride w:val="76"/>
    </w:lvlOverride>
    <w:lvlOverride w:ilvl="1">
      <w:startOverride w:val="76"/>
    </w:lvlOverride>
    <w:lvlOverride w:ilvl="2">
      <w:startOverride w:val="76"/>
    </w:lvlOverride>
    <w:lvlOverride w:ilvl="3">
      <w:startOverride w:val="76"/>
    </w:lvlOverride>
    <w:lvlOverride w:ilvl="4">
      <w:startOverride w:val="76"/>
    </w:lvlOverride>
    <w:lvlOverride w:ilvl="5">
      <w:startOverride w:val="76"/>
    </w:lvlOverride>
    <w:lvlOverride w:ilvl="6">
      <w:startOverride w:val="76"/>
    </w:lvlOverride>
    <w:lvlOverride w:ilvl="7">
      <w:startOverride w:val="76"/>
    </w:lvlOverride>
    <w:lvlOverride w:ilvl="8">
      <w:startOverride w:val="76"/>
    </w:lvlOverride>
  </w:num>
  <w:num w:numId="1032">
    <w:abstractNumId w:val="994378"/>
    <w:lvlOverride w:ilvl="0">
      <w:startOverride w:val="78"/>
    </w:lvlOverride>
    <w:lvlOverride w:ilvl="1">
      <w:startOverride w:val="78"/>
    </w:lvlOverride>
    <w:lvlOverride w:ilvl="2">
      <w:startOverride w:val="78"/>
    </w:lvlOverride>
    <w:lvlOverride w:ilvl="3">
      <w:startOverride w:val="78"/>
    </w:lvlOverride>
    <w:lvlOverride w:ilvl="4">
      <w:startOverride w:val="78"/>
    </w:lvlOverride>
    <w:lvlOverride w:ilvl="5">
      <w:startOverride w:val="78"/>
    </w:lvlOverride>
    <w:lvlOverride w:ilvl="6">
      <w:startOverride w:val="78"/>
    </w:lvlOverride>
    <w:lvlOverride w:ilvl="7">
      <w:startOverride w:val="78"/>
    </w:lvlOverride>
    <w:lvlOverride w:ilvl="8">
      <w:startOverride w:val="78"/>
    </w:lvlOverride>
  </w:num>
  <w:num w:numId="1033">
    <w:abstractNumId w:val="994380"/>
    <w:lvlOverride w:ilvl="0">
      <w:startOverride w:val="80"/>
    </w:lvlOverride>
    <w:lvlOverride w:ilvl="1">
      <w:startOverride w:val="80"/>
    </w:lvlOverride>
    <w:lvlOverride w:ilvl="2">
      <w:startOverride w:val="80"/>
    </w:lvlOverride>
    <w:lvlOverride w:ilvl="3">
      <w:startOverride w:val="80"/>
    </w:lvlOverride>
    <w:lvlOverride w:ilvl="4">
      <w:startOverride w:val="80"/>
    </w:lvlOverride>
    <w:lvlOverride w:ilvl="5">
      <w:startOverride w:val="80"/>
    </w:lvlOverride>
    <w:lvlOverride w:ilvl="6">
      <w:startOverride w:val="80"/>
    </w:lvlOverride>
    <w:lvlOverride w:ilvl="7">
      <w:startOverride w:val="80"/>
    </w:lvlOverride>
    <w:lvlOverride w:ilvl="8">
      <w:startOverride w:val="80"/>
    </w:lvlOverride>
  </w:num>
  <w:num w:numId="1034">
    <w:abstractNumId w:val="994384"/>
    <w:lvlOverride w:ilvl="0">
      <w:startOverride w:val="84"/>
    </w:lvlOverride>
    <w:lvlOverride w:ilvl="1">
      <w:startOverride w:val="84"/>
    </w:lvlOverride>
    <w:lvlOverride w:ilvl="2">
      <w:startOverride w:val="84"/>
    </w:lvlOverride>
    <w:lvlOverride w:ilvl="3">
      <w:startOverride w:val="84"/>
    </w:lvlOverride>
    <w:lvlOverride w:ilvl="4">
      <w:startOverride w:val="84"/>
    </w:lvlOverride>
    <w:lvlOverride w:ilvl="5">
      <w:startOverride w:val="84"/>
    </w:lvlOverride>
    <w:lvlOverride w:ilvl="6">
      <w:startOverride w:val="84"/>
    </w:lvlOverride>
    <w:lvlOverride w:ilvl="7">
      <w:startOverride w:val="84"/>
    </w:lvlOverride>
    <w:lvlOverride w:ilvl="8">
      <w:startOverride w:val="84"/>
    </w:lvlOverride>
  </w:num>
  <w:num w:numId="1035">
    <w:abstractNumId w:val="994386"/>
    <w:lvlOverride w:ilvl="0">
      <w:startOverride w:val="86"/>
    </w:lvlOverride>
    <w:lvlOverride w:ilvl="1">
      <w:startOverride w:val="86"/>
    </w:lvlOverride>
    <w:lvlOverride w:ilvl="2">
      <w:startOverride w:val="86"/>
    </w:lvlOverride>
    <w:lvlOverride w:ilvl="3">
      <w:startOverride w:val="86"/>
    </w:lvlOverride>
    <w:lvlOverride w:ilvl="4">
      <w:startOverride w:val="86"/>
    </w:lvlOverride>
    <w:lvlOverride w:ilvl="5">
      <w:startOverride w:val="86"/>
    </w:lvlOverride>
    <w:lvlOverride w:ilvl="6">
      <w:startOverride w:val="86"/>
    </w:lvlOverride>
    <w:lvlOverride w:ilvl="7">
      <w:startOverride w:val="86"/>
    </w:lvlOverride>
    <w:lvlOverride w:ilvl="8">
      <w:startOverride w:val="86"/>
    </w:lvlOverride>
  </w:num>
  <w:num w:numId="1036">
    <w:abstractNumId w:val="9943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37">
    <w:abstractNumId w:val="9943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38">
    <w:abstractNumId w:val="994392"/>
    <w:lvlOverride w:ilvl="0">
      <w:startOverride w:val="92"/>
    </w:lvlOverride>
    <w:lvlOverride w:ilvl="1">
      <w:startOverride w:val="92"/>
    </w:lvlOverride>
    <w:lvlOverride w:ilvl="2">
      <w:startOverride w:val="92"/>
    </w:lvlOverride>
    <w:lvlOverride w:ilvl="3">
      <w:startOverride w:val="92"/>
    </w:lvlOverride>
    <w:lvlOverride w:ilvl="4">
      <w:startOverride w:val="92"/>
    </w:lvlOverride>
    <w:lvlOverride w:ilvl="5">
      <w:startOverride w:val="92"/>
    </w:lvlOverride>
    <w:lvlOverride w:ilvl="6">
      <w:startOverride w:val="92"/>
    </w:lvlOverride>
    <w:lvlOverride w:ilvl="7">
      <w:startOverride w:val="92"/>
    </w:lvlOverride>
    <w:lvlOverride w:ilvl="8">
      <w:startOverride w:val="92"/>
    </w:lvlOverride>
  </w:num>
  <w:num w:numId="1039">
    <w:abstractNumId w:val="994393"/>
    <w:lvlOverride w:ilvl="0">
      <w:startOverride w:val="93"/>
    </w:lvlOverride>
    <w:lvlOverride w:ilvl="1">
      <w:startOverride w:val="93"/>
    </w:lvlOverride>
    <w:lvlOverride w:ilvl="2">
      <w:startOverride w:val="93"/>
    </w:lvlOverride>
    <w:lvlOverride w:ilvl="3">
      <w:startOverride w:val="93"/>
    </w:lvlOverride>
    <w:lvlOverride w:ilvl="4">
      <w:startOverride w:val="93"/>
    </w:lvlOverride>
    <w:lvlOverride w:ilvl="5">
      <w:startOverride w:val="93"/>
    </w:lvlOverride>
    <w:lvlOverride w:ilvl="6">
      <w:startOverride w:val="93"/>
    </w:lvlOverride>
    <w:lvlOverride w:ilvl="7">
      <w:startOverride w:val="93"/>
    </w:lvlOverride>
    <w:lvlOverride w:ilvl="8">
      <w:startOverride w:val="93"/>
    </w:lvlOverride>
  </w:num>
  <w:num w:numId="1040">
    <w:abstractNumId w:val="994295"/>
    <w:lvlOverride w:ilvl="0">
      <w:startOverride w:val="95"/>
    </w:lvlOverride>
    <w:lvlOverride w:ilvl="1">
      <w:startOverride w:val="95"/>
    </w:lvlOverride>
    <w:lvlOverride w:ilvl="2">
      <w:startOverride w:val="95"/>
    </w:lvlOverride>
    <w:lvlOverride w:ilvl="3">
      <w:startOverride w:val="95"/>
    </w:lvlOverride>
    <w:lvlOverride w:ilvl="4">
      <w:startOverride w:val="95"/>
    </w:lvlOverride>
    <w:lvlOverride w:ilvl="5">
      <w:startOverride w:val="95"/>
    </w:lvlOverride>
    <w:lvlOverride w:ilvl="6">
      <w:startOverride w:val="95"/>
    </w:lvlOverride>
    <w:lvlOverride w:ilvl="7">
      <w:startOverride w:val="95"/>
    </w:lvlOverride>
    <w:lvlOverride w:ilvl="8">
      <w:startOverride w:val="95"/>
    </w:lvlOverride>
  </w:num>
  <w:num w:numId="1041">
    <w:abstractNumId w:val="994396"/>
    <w:lvlOverride w:ilvl="0">
      <w:startOverride w:val="96"/>
    </w:lvlOverride>
    <w:lvlOverride w:ilvl="1">
      <w:startOverride w:val="96"/>
    </w:lvlOverride>
    <w:lvlOverride w:ilvl="2">
      <w:startOverride w:val="96"/>
    </w:lvlOverride>
    <w:lvlOverride w:ilvl="3">
      <w:startOverride w:val="96"/>
    </w:lvlOverride>
    <w:lvlOverride w:ilvl="4">
      <w:startOverride w:val="96"/>
    </w:lvlOverride>
    <w:lvlOverride w:ilvl="5">
      <w:startOverride w:val="96"/>
    </w:lvlOverride>
    <w:lvlOverride w:ilvl="6">
      <w:startOverride w:val="96"/>
    </w:lvlOverride>
    <w:lvlOverride w:ilvl="7">
      <w:startOverride w:val="96"/>
    </w:lvlOverride>
    <w:lvlOverride w:ilvl="8">
      <w:startOverride w:val="96"/>
    </w:lvlOverride>
  </w:num>
  <w:num w:numId="1042">
    <w:abstractNumId w:val="991"/>
  </w:num>
  <w:num w:numId="1043">
    <w:abstractNumId w:val="994397"/>
    <w:lvlOverride w:ilvl="0">
      <w:startOverride w:val="97"/>
    </w:lvlOverride>
    <w:lvlOverride w:ilvl="1">
      <w:startOverride w:val="97"/>
    </w:lvlOverride>
    <w:lvlOverride w:ilvl="2">
      <w:startOverride w:val="97"/>
    </w:lvlOverride>
    <w:lvlOverride w:ilvl="3">
      <w:startOverride w:val="97"/>
    </w:lvlOverride>
    <w:lvlOverride w:ilvl="4">
      <w:startOverride w:val="97"/>
    </w:lvlOverride>
    <w:lvlOverride w:ilvl="5">
      <w:startOverride w:val="97"/>
    </w:lvlOverride>
    <w:lvlOverride w:ilvl="6">
      <w:startOverride w:val="97"/>
    </w:lvlOverride>
    <w:lvlOverride w:ilvl="7">
      <w:startOverride w:val="97"/>
    </w:lvlOverride>
    <w:lvlOverride w:ilvl="8">
      <w:startOverride w:val="97"/>
    </w:lvlOverride>
  </w:num>
  <w:num w:numId="1044">
    <w:abstractNumId w:val="994398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10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43102"/>
    <w:lvlOverride w:ilvl="0">
      <w:startOverride w:val="102"/>
    </w:lvlOverride>
    <w:lvlOverride w:ilvl="1">
      <w:startOverride w:val="102"/>
    </w:lvlOverride>
    <w:lvlOverride w:ilvl="2">
      <w:startOverride w:val="102"/>
    </w:lvlOverride>
    <w:lvlOverride w:ilvl="3">
      <w:startOverride w:val="102"/>
    </w:lvlOverride>
    <w:lvlOverride w:ilvl="4">
      <w:startOverride w:val="102"/>
    </w:lvlOverride>
    <w:lvlOverride w:ilvl="5">
      <w:startOverride w:val="102"/>
    </w:lvlOverride>
    <w:lvlOverride w:ilvl="6">
      <w:startOverride w:val="102"/>
    </w:lvlOverride>
    <w:lvlOverride w:ilvl="7">
      <w:startOverride w:val="102"/>
    </w:lvlOverride>
    <w:lvlOverride w:ilvl="8">
      <w:startOverride w:val="102"/>
    </w:lvlOverride>
  </w:num>
  <w:num w:numId="1047">
    <w:abstractNumId w:val="9943108"/>
    <w:lvlOverride w:ilvl="0">
      <w:startOverride w:val="108"/>
    </w:lvlOverride>
    <w:lvlOverride w:ilvl="1">
      <w:startOverride w:val="108"/>
    </w:lvlOverride>
    <w:lvlOverride w:ilvl="2">
      <w:startOverride w:val="108"/>
    </w:lvlOverride>
    <w:lvlOverride w:ilvl="3">
      <w:startOverride w:val="108"/>
    </w:lvlOverride>
    <w:lvlOverride w:ilvl="4">
      <w:startOverride w:val="108"/>
    </w:lvlOverride>
    <w:lvlOverride w:ilvl="5">
      <w:startOverride w:val="108"/>
    </w:lvlOverride>
    <w:lvlOverride w:ilvl="6">
      <w:startOverride w:val="108"/>
    </w:lvlOverride>
    <w:lvlOverride w:ilvl="7">
      <w:startOverride w:val="108"/>
    </w:lvlOverride>
    <w:lvlOverride w:ilvl="8">
      <w:startOverride w:val="108"/>
    </w:lvlOverride>
  </w:num>
  <w:num w:numId="1048">
    <w:abstractNumId w:val="9943110"/>
    <w:lvlOverride w:ilvl="0">
      <w:startOverride w:val="110"/>
    </w:lvlOverride>
    <w:lvlOverride w:ilvl="1">
      <w:startOverride w:val="110"/>
    </w:lvlOverride>
    <w:lvlOverride w:ilvl="2">
      <w:startOverride w:val="110"/>
    </w:lvlOverride>
    <w:lvlOverride w:ilvl="3">
      <w:startOverride w:val="110"/>
    </w:lvlOverride>
    <w:lvlOverride w:ilvl="4">
      <w:startOverride w:val="110"/>
    </w:lvlOverride>
    <w:lvlOverride w:ilvl="5">
      <w:startOverride w:val="110"/>
    </w:lvlOverride>
    <w:lvlOverride w:ilvl="6">
      <w:startOverride w:val="110"/>
    </w:lvlOverride>
    <w:lvlOverride w:ilvl="7">
      <w:startOverride w:val="110"/>
    </w:lvlOverride>
    <w:lvlOverride w:ilvl="8">
      <w:startOverride w:val="110"/>
    </w:lvlOverride>
  </w:num>
  <w:num w:numId="1049">
    <w:abstractNumId w:val="9943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  <w:num w:numId="1050">
    <w:abstractNumId w:val="9943113"/>
    <w:lvlOverride w:ilvl="0">
      <w:startOverride w:val="113"/>
    </w:lvlOverride>
    <w:lvlOverride w:ilvl="1">
      <w:startOverride w:val="113"/>
    </w:lvlOverride>
    <w:lvlOverride w:ilvl="2">
      <w:startOverride w:val="113"/>
    </w:lvlOverride>
    <w:lvlOverride w:ilvl="3">
      <w:startOverride w:val="113"/>
    </w:lvlOverride>
    <w:lvlOverride w:ilvl="4">
      <w:startOverride w:val="113"/>
    </w:lvlOverride>
    <w:lvlOverride w:ilvl="5">
      <w:startOverride w:val="113"/>
    </w:lvlOverride>
    <w:lvlOverride w:ilvl="6">
      <w:startOverride w:val="113"/>
    </w:lvlOverride>
    <w:lvlOverride w:ilvl="7">
      <w:startOverride w:val="113"/>
    </w:lvlOverride>
    <w:lvlOverride w:ilvl="8">
      <w:startOverride w:val="113"/>
    </w:lvlOverride>
  </w:num>
  <w:num w:numId="1051">
    <w:abstractNumId w:val="9943114"/>
    <w:lvlOverride w:ilvl="0">
      <w:startOverride w:val="114"/>
    </w:lvlOverride>
    <w:lvlOverride w:ilvl="1">
      <w:startOverride w:val="114"/>
    </w:lvlOverride>
    <w:lvlOverride w:ilvl="2">
      <w:startOverride w:val="114"/>
    </w:lvlOverride>
    <w:lvlOverride w:ilvl="3">
      <w:startOverride w:val="114"/>
    </w:lvlOverride>
    <w:lvlOverride w:ilvl="4">
      <w:startOverride w:val="114"/>
    </w:lvlOverride>
    <w:lvlOverride w:ilvl="5">
      <w:startOverride w:val="114"/>
    </w:lvlOverride>
    <w:lvlOverride w:ilvl="6">
      <w:startOverride w:val="114"/>
    </w:lvlOverride>
    <w:lvlOverride w:ilvl="7">
      <w:startOverride w:val="114"/>
    </w:lvlOverride>
    <w:lvlOverride w:ilvl="8">
      <w:startOverride w:val="114"/>
    </w:lvlOverride>
  </w:num>
  <w:num w:numId="105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53">
    <w:abstractNumId w:val="9943115"/>
    <w:lvlOverride w:ilvl="0">
      <w:startOverride w:val="115"/>
    </w:lvlOverride>
    <w:lvlOverride w:ilvl="1">
      <w:startOverride w:val="115"/>
    </w:lvlOverride>
    <w:lvlOverride w:ilvl="2">
      <w:startOverride w:val="115"/>
    </w:lvlOverride>
    <w:lvlOverride w:ilvl="3">
      <w:startOverride w:val="115"/>
    </w:lvlOverride>
    <w:lvlOverride w:ilvl="4">
      <w:startOverride w:val="115"/>
    </w:lvlOverride>
    <w:lvlOverride w:ilvl="5">
      <w:startOverride w:val="115"/>
    </w:lvlOverride>
    <w:lvlOverride w:ilvl="6">
      <w:startOverride w:val="115"/>
    </w:lvlOverride>
    <w:lvlOverride w:ilvl="7">
      <w:startOverride w:val="115"/>
    </w:lvlOverride>
    <w:lvlOverride w:ilvl="8">
      <w:startOverride w:val="115"/>
    </w:lvlOverride>
  </w:num>
  <w:num w:numId="105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6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7">
    <w:abstractNumId w:val="9943118"/>
    <w:lvlOverride w:ilvl="0">
      <w:startOverride w:val="118"/>
    </w:lvlOverride>
    <w:lvlOverride w:ilvl="1">
      <w:startOverride w:val="118"/>
    </w:lvlOverride>
    <w:lvlOverride w:ilvl="2">
      <w:startOverride w:val="118"/>
    </w:lvlOverride>
    <w:lvlOverride w:ilvl="3">
      <w:startOverride w:val="118"/>
    </w:lvlOverride>
    <w:lvlOverride w:ilvl="4">
      <w:startOverride w:val="118"/>
    </w:lvlOverride>
    <w:lvlOverride w:ilvl="5">
      <w:startOverride w:val="118"/>
    </w:lvlOverride>
    <w:lvlOverride w:ilvl="6">
      <w:startOverride w:val="118"/>
    </w:lvlOverride>
    <w:lvlOverride w:ilvl="7">
      <w:startOverride w:val="118"/>
    </w:lvlOverride>
    <w:lvlOverride w:ilvl="8">
      <w:startOverride w:val="118"/>
    </w:lvlOverride>
  </w:num>
  <w:num w:numId="1058">
    <w:abstractNumId w:val="9943120"/>
    <w:lvlOverride w:ilvl="0">
      <w:startOverride w:val="120"/>
    </w:lvlOverride>
    <w:lvlOverride w:ilvl="1">
      <w:startOverride w:val="120"/>
    </w:lvlOverride>
    <w:lvlOverride w:ilvl="2">
      <w:startOverride w:val="120"/>
    </w:lvlOverride>
    <w:lvlOverride w:ilvl="3">
      <w:startOverride w:val="120"/>
    </w:lvlOverride>
    <w:lvlOverride w:ilvl="4">
      <w:startOverride w:val="120"/>
    </w:lvlOverride>
    <w:lvlOverride w:ilvl="5">
      <w:startOverride w:val="120"/>
    </w:lvlOverride>
    <w:lvlOverride w:ilvl="6">
      <w:startOverride w:val="120"/>
    </w:lvlOverride>
    <w:lvlOverride w:ilvl="7">
      <w:startOverride w:val="120"/>
    </w:lvlOverride>
    <w:lvlOverride w:ilvl="8">
      <w:startOverride w:val="120"/>
    </w:lvlOverride>
  </w:num>
  <w:num w:numId="1059">
    <w:abstractNumId w:val="9943121"/>
    <w:lvlOverride w:ilvl="0">
      <w:startOverride w:val="121"/>
    </w:lvlOverride>
    <w:lvlOverride w:ilvl="1">
      <w:startOverride w:val="121"/>
    </w:lvlOverride>
    <w:lvlOverride w:ilvl="2">
      <w:startOverride w:val="121"/>
    </w:lvlOverride>
    <w:lvlOverride w:ilvl="3">
      <w:startOverride w:val="121"/>
    </w:lvlOverride>
    <w:lvlOverride w:ilvl="4">
      <w:startOverride w:val="121"/>
    </w:lvlOverride>
    <w:lvlOverride w:ilvl="5">
      <w:startOverride w:val="121"/>
    </w:lvlOverride>
    <w:lvlOverride w:ilvl="6">
      <w:startOverride w:val="121"/>
    </w:lvlOverride>
    <w:lvlOverride w:ilvl="7">
      <w:startOverride w:val="121"/>
    </w:lvlOverride>
    <w:lvlOverride w:ilvl="8">
      <w:startOverride w:val="121"/>
    </w:lvlOverride>
  </w:num>
  <w:num w:numId="1060">
    <w:abstractNumId w:val="9943122"/>
    <w:lvlOverride w:ilvl="0">
      <w:startOverride w:val="122"/>
    </w:lvlOverride>
    <w:lvlOverride w:ilvl="1">
      <w:startOverride w:val="122"/>
    </w:lvlOverride>
    <w:lvlOverride w:ilvl="2">
      <w:startOverride w:val="122"/>
    </w:lvlOverride>
    <w:lvlOverride w:ilvl="3">
      <w:startOverride w:val="122"/>
    </w:lvlOverride>
    <w:lvlOverride w:ilvl="4">
      <w:startOverride w:val="122"/>
    </w:lvlOverride>
    <w:lvlOverride w:ilvl="5">
      <w:startOverride w:val="122"/>
    </w:lvlOverride>
    <w:lvlOverride w:ilvl="6">
      <w:startOverride w:val="122"/>
    </w:lvlOverride>
    <w:lvlOverride w:ilvl="7">
      <w:startOverride w:val="122"/>
    </w:lvlOverride>
    <w:lvlOverride w:ilvl="8">
      <w:startOverride w:val="122"/>
    </w:lvlOverride>
  </w:num>
  <w:num w:numId="1061">
    <w:abstractNumId w:val="9943126"/>
    <w:lvlOverride w:ilvl="0">
      <w:startOverride w:val="126"/>
    </w:lvlOverride>
    <w:lvlOverride w:ilvl="1">
      <w:startOverride w:val="126"/>
    </w:lvlOverride>
    <w:lvlOverride w:ilvl="2">
      <w:startOverride w:val="126"/>
    </w:lvlOverride>
    <w:lvlOverride w:ilvl="3">
      <w:startOverride w:val="126"/>
    </w:lvlOverride>
    <w:lvlOverride w:ilvl="4">
      <w:startOverride w:val="126"/>
    </w:lvlOverride>
    <w:lvlOverride w:ilvl="5">
      <w:startOverride w:val="126"/>
    </w:lvlOverride>
    <w:lvlOverride w:ilvl="6">
      <w:startOverride w:val="126"/>
    </w:lvlOverride>
    <w:lvlOverride w:ilvl="7">
      <w:startOverride w:val="126"/>
    </w:lvlOverride>
    <w:lvlOverride w:ilvl="8">
      <w:startOverride w:val="126"/>
    </w:lvlOverride>
  </w:num>
  <w:num w:numId="1062">
    <w:abstractNumId w:val="9943129"/>
    <w:lvlOverride w:ilvl="0">
      <w:startOverride w:val="129"/>
    </w:lvlOverride>
    <w:lvlOverride w:ilvl="1">
      <w:startOverride w:val="129"/>
    </w:lvlOverride>
    <w:lvlOverride w:ilvl="2">
      <w:startOverride w:val="129"/>
    </w:lvlOverride>
    <w:lvlOverride w:ilvl="3">
      <w:startOverride w:val="129"/>
    </w:lvlOverride>
    <w:lvlOverride w:ilvl="4">
      <w:startOverride w:val="129"/>
    </w:lvlOverride>
    <w:lvlOverride w:ilvl="5">
      <w:startOverride w:val="129"/>
    </w:lvlOverride>
    <w:lvlOverride w:ilvl="6">
      <w:startOverride w:val="129"/>
    </w:lvlOverride>
    <w:lvlOverride w:ilvl="7">
      <w:startOverride w:val="129"/>
    </w:lvlOverride>
    <w:lvlOverride w:ilvl="8">
      <w:startOverride w:val="12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2026-07-31T16:48:27Z</dcterms:created>
  <dcterms:modified xsi:type="dcterms:W3CDTF">2026-07-31T16:48:27Z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